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F0A86C">
      <w:pPr>
        <w:widowControl/>
        <w:jc w:val="left"/>
        <w:rPr>
          <w:rFonts w:ascii="宋体" w:hAnsi="宋体"/>
          <w:sz w:val="20"/>
          <w:szCs w:val="20"/>
        </w:rPr>
      </w:pPr>
      <w:bookmarkStart w:id="0" w:name="_Toc132190016"/>
      <w:bookmarkStart w:id="1" w:name="_Toc55466818"/>
      <w:bookmarkStart w:id="2" w:name="_Toc139525391"/>
      <w:bookmarkStart w:id="3" w:name="_Toc57624176"/>
      <w:bookmarkStart w:id="4" w:name="_Toc51921178"/>
      <w:bookmarkStart w:id="5" w:name="_Toc139554165"/>
      <w:bookmarkStart w:id="6" w:name="_Toc54701497"/>
      <w:bookmarkStart w:id="7" w:name="_Toc451845312"/>
      <w:r>
        <mc:AlternateContent>
          <mc:Choice Requires="wps">
            <w:drawing>
              <wp:anchor distT="0" distB="0" distL="114300" distR="114300" simplePos="0" relativeHeight="251667456" behindDoc="0" locked="0" layoutInCell="1" allowOverlap="1">
                <wp:simplePos x="0" y="0"/>
                <wp:positionH relativeFrom="column">
                  <wp:posOffset>4509135</wp:posOffset>
                </wp:positionH>
                <wp:positionV relativeFrom="paragraph">
                  <wp:posOffset>-222250</wp:posOffset>
                </wp:positionV>
                <wp:extent cx="1981835" cy="1481455"/>
                <wp:effectExtent l="0" t="0" r="0" b="0"/>
                <wp:wrapNone/>
                <wp:docPr id="124"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1438275" cy="1481138"/>
                        </a:xfrm>
                        <a:prstGeom prst="rect">
                          <a:avLst/>
                        </a:prstGeom>
                        <a:noFill/>
                        <a:ln>
                          <a:noFill/>
                        </a:ln>
                        <a:effectLst/>
                      </wps:spPr>
                      <wps:txbx>
                        <w:txbxContent>
                          <w:p w14:paraId="2A8B19A1">
                            <w:pPr>
                              <w:rPr>
                                <w:rFonts w:ascii="Adobe 黑体 Std R" w:hAnsi="Adobe 黑体 Std R" w:eastAsia="Adobe 黑体 Std R"/>
                                <w:sz w:val="144"/>
                                <w:szCs w:val="144"/>
                              </w:rPr>
                            </w:pPr>
                            <w:r>
                              <w:rPr>
                                <w:rFonts w:ascii="Adobe 黑体 Std R" w:hAnsi="Adobe 黑体 Std R" w:eastAsia="Adobe 黑体 Std R"/>
                                <w:sz w:val="144"/>
                                <w:szCs w:val="144"/>
                              </w:rPr>
                              <w:t>D</w:t>
                            </w:r>
                            <w:r>
                              <w:rPr>
                                <w:rFonts w:hint="eastAsia" w:ascii="Adobe 黑体 Std R" w:hAnsi="Adobe 黑体 Std R" w:eastAsia="Adobe 黑体 Std R"/>
                                <w:sz w:val="144"/>
                                <w:szCs w:val="144"/>
                              </w:rPr>
                              <w:t>B</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5.05pt;margin-top:-17.5pt;height:116.65pt;width:156.05pt;z-index:251667456;mso-width-relative:page;mso-height-relative:page;" filled="f" stroked="f" coordsize="21600,21600" o:gfxdata="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X7rdvZ&#10;AAAADAEAAA8AAAAAAAAAAQAgAAAAIgAAAGRycy9kb3ducmV2LnhtbFBLAQIUABQAAAAIAIdO4kC5&#10;ZiCIHwIAACgEAAAOAAAAAAAAAAEAIAAAACgBAABkcnMvZTJvRG9jLnhtbFBLBQYAAAAABgAGAFkB&#10;AAC5BQAAAAA=&#10;">
                <v:fill on="f" focussize="0,0"/>
                <v:stroke on="f"/>
                <v:imagedata o:title=""/>
                <o:lock v:ext="edit" aspectratio="f"/>
                <v:textbox>
                  <w:txbxContent>
                    <w:p w14:paraId="2A8B19A1">
                      <w:pPr>
                        <w:rPr>
                          <w:rFonts w:ascii="Adobe 黑体 Std R" w:hAnsi="Adobe 黑体 Std R" w:eastAsia="Adobe 黑体 Std R"/>
                          <w:sz w:val="144"/>
                          <w:szCs w:val="144"/>
                        </w:rPr>
                      </w:pPr>
                      <w:r>
                        <w:rPr>
                          <w:rFonts w:ascii="Adobe 黑体 Std R" w:hAnsi="Adobe 黑体 Std R" w:eastAsia="Adobe 黑体 Std R"/>
                          <w:sz w:val="144"/>
                          <w:szCs w:val="144"/>
                        </w:rPr>
                        <w:t>D</w:t>
                      </w:r>
                      <w:r>
                        <w:rPr>
                          <w:rFonts w:hint="eastAsia" w:ascii="Adobe 黑体 Std R" w:hAnsi="Adobe 黑体 Std R" w:eastAsia="Adobe 黑体 Std R"/>
                          <w:sz w:val="144"/>
                          <w:szCs w:val="144"/>
                        </w:rPr>
                        <w:t>B</w:t>
                      </w:r>
                    </w:p>
                  </w:txbxContent>
                </v:textbox>
              </v:shape>
            </w:pict>
          </mc:Fallback>
        </mc:AlternateContent>
      </w:r>
      <w:bookmarkEnd w:id="0"/>
      <w:bookmarkEnd w:id="1"/>
      <w:bookmarkEnd w:id="2"/>
      <w:bookmarkEnd w:id="3"/>
      <w:bookmarkEnd w:id="4"/>
      <w:bookmarkEnd w:id="5"/>
      <w:bookmarkEnd w:id="6"/>
    </w:p>
    <w:p w14:paraId="174F5032">
      <w:pPr>
        <w:widowControl/>
        <w:jc w:val="left"/>
        <w:rPr>
          <w:rFonts w:ascii="宋体" w:hAnsi="宋体"/>
          <w:sz w:val="20"/>
          <w:szCs w:val="20"/>
          <w:highlight w:val="yellow"/>
        </w:rPr>
      </w:pPr>
    </w:p>
    <w:p w14:paraId="0F28DB77">
      <w:pPr>
        <w:widowControl/>
        <w:spacing w:before="48" w:beforeLines="20"/>
        <w:jc w:val="center"/>
        <w:rPr>
          <w:rFonts w:ascii="黑体" w:hAnsi="黑体" w:eastAsia="黑体"/>
          <w:sz w:val="36"/>
          <w:szCs w:val="36"/>
        </w:rPr>
      </w:pPr>
      <w:r>
        <w:rPr>
          <w:rFonts w:hint="eastAsia" w:ascii="黑体" w:eastAsia="黑体"/>
          <w:sz w:val="48"/>
          <w:szCs w:val="48"/>
        </w:rPr>
        <w:t>北京</w:t>
      </w:r>
      <w:r>
        <w:rPr>
          <w:rFonts w:ascii="黑体" w:eastAsia="黑体"/>
          <w:sz w:val="48"/>
          <w:szCs w:val="48"/>
        </w:rPr>
        <w:t>市地方标准</w:t>
      </w:r>
    </w:p>
    <w:p w14:paraId="7F118924">
      <w:pPr>
        <w:widowControl/>
        <w:spacing w:before="96" w:beforeLines="40"/>
        <w:ind w:firstLine="3276" w:firstLineChars="1560"/>
        <w:jc w:val="center"/>
        <w:rPr>
          <w:rFonts w:ascii="黑体" w:hAnsi="黑体" w:eastAsia="黑体"/>
        </w:rPr>
      </w:pPr>
    </w:p>
    <w:p w14:paraId="3CAFE542">
      <w:pPr>
        <w:widowControl/>
        <w:spacing w:before="96" w:beforeLines="40"/>
        <w:ind w:firstLine="3276" w:firstLineChars="1560"/>
        <w:jc w:val="center"/>
        <w:rPr>
          <w:rFonts w:ascii="黑体" w:hAnsi="黑体" w:eastAsia="黑体"/>
        </w:rPr>
      </w:pPr>
    </w:p>
    <w:p w14:paraId="206C5902">
      <w:pPr>
        <w:widowControl/>
        <w:spacing w:before="96" w:beforeLines="40"/>
        <w:ind w:firstLine="3276" w:firstLineChars="1560"/>
        <w:jc w:val="center"/>
        <w:rPr>
          <w:rFonts w:ascii="黑体" w:hAnsi="黑体" w:eastAsia="黑体"/>
        </w:rPr>
      </w:pPr>
      <w:r>
        <w:rPr>
          <w:rFonts w:hint="eastAsia" w:ascii="黑体" w:hAnsi="黑体" w:eastAsia="黑体"/>
        </w:rPr>
        <w:t>编  号</w:t>
      </w:r>
      <w:r>
        <w:rPr>
          <w:rFonts w:ascii="黑体" w:hAnsi="黑体" w:eastAsia="黑体"/>
        </w:rPr>
        <w:t>：</w:t>
      </w:r>
    </w:p>
    <w:p w14:paraId="7E39C6FA">
      <w:pPr>
        <w:widowControl/>
        <w:spacing w:before="24" w:beforeLines="10"/>
        <w:ind w:firstLine="3276" w:firstLineChars="1560"/>
        <w:jc w:val="center"/>
        <w:rPr>
          <w:rFonts w:ascii="黑体" w:hAnsi="黑体" w:eastAsia="黑体"/>
        </w:rPr>
      </w:pPr>
      <w:r>
        <w:rPr>
          <w:rFonts w:hint="eastAsia" w:ascii="黑体" w:hAnsi="黑体" w:eastAsia="黑体"/>
        </w:rPr>
        <w:t>备</w:t>
      </w:r>
      <w:r>
        <w:rPr>
          <w:rFonts w:ascii="黑体" w:hAnsi="黑体" w:eastAsia="黑体"/>
        </w:rPr>
        <w:t>案号：</w:t>
      </w:r>
    </w:p>
    <w:p w14:paraId="7C0C656E">
      <w:pPr>
        <w:widowControl/>
        <w:jc w:val="center"/>
        <w:rPr>
          <w:rFonts w:ascii="宋体" w:hAnsi="宋体"/>
          <w:sz w:val="20"/>
          <w:szCs w:val="20"/>
        </w:rPr>
      </w:pPr>
    </w:p>
    <w:p w14:paraId="6B4F36E3">
      <w:pPr>
        <w:widowControl/>
        <w:jc w:val="center"/>
        <w:rPr>
          <w:rFonts w:ascii="宋体" w:hAnsi="宋体"/>
          <w:sz w:val="20"/>
          <w:szCs w:val="20"/>
        </w:rPr>
      </w:pPr>
      <w:r>
        <w:rPr>
          <w:rFonts w:ascii="宋体" w:hAnsi="宋体"/>
          <w:sz w:val="20"/>
          <w:szCs w:val="20"/>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24765</wp:posOffset>
                </wp:positionV>
                <wp:extent cx="6233795" cy="0"/>
                <wp:effectExtent l="14605" t="10795" r="9525" b="8255"/>
                <wp:wrapNone/>
                <wp:docPr id="1842480215" name="AutoShape 392"/>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straightConnector1">
                          <a:avLst/>
                        </a:prstGeom>
                        <a:noFill/>
                        <a:ln w="12700">
                          <a:solidFill>
                            <a:srgbClr val="000000"/>
                          </a:solidFill>
                          <a:round/>
                        </a:ln>
                      </wps:spPr>
                      <wps:bodyPr/>
                    </wps:wsp>
                  </a:graphicData>
                </a:graphic>
              </wp:anchor>
            </w:drawing>
          </mc:Choice>
          <mc:Fallback>
            <w:pict>
              <v:shape id="AutoShape 392" o:spid="_x0000_s1026" o:spt="32" type="#_x0000_t32" style="position:absolute;left:0pt;margin-left:-0.4pt;margin-top:1.95pt;height:0pt;width:490.85pt;z-index:251665408;mso-width-relative:page;mso-height-relative:page;" filled="f" stroked="t" coordsize="21600,21600" o:gfxdata="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HYqQfQAAAABQEAAA8AAAAAAAAA&#10;AQAgAAAAIgAAAGRycy9kb3ducmV2LnhtbFBLAQIUABQAAAAIAIdO4kB0FiZf4AEAAL4DAAAOAAAA&#10;AAAAAAEAIAAAAB8BAABkcnMvZTJvRG9jLnhtbFBLBQYAAAAABgAGAFkBAABxBQAAAAA=&#10;">
                <v:fill on="f" focussize="0,0"/>
                <v:stroke weight="1pt" color="#000000" joinstyle="round"/>
                <v:imagedata o:title=""/>
                <o:lock v:ext="edit" aspectratio="f"/>
              </v:shape>
            </w:pict>
          </mc:Fallback>
        </mc:AlternateContent>
      </w:r>
    </w:p>
    <w:p w14:paraId="4B0283C9">
      <w:pPr>
        <w:widowControl/>
        <w:jc w:val="center"/>
        <w:rPr>
          <w:rFonts w:ascii="宋体" w:hAnsi="宋体"/>
          <w:sz w:val="20"/>
          <w:szCs w:val="20"/>
        </w:rPr>
      </w:pPr>
    </w:p>
    <w:p w14:paraId="4A938B5E">
      <w:pPr>
        <w:pStyle w:val="2"/>
        <w:ind w:firstLine="400"/>
        <w:rPr>
          <w:rFonts w:ascii="宋体" w:hAnsi="宋体"/>
          <w:sz w:val="20"/>
          <w:szCs w:val="20"/>
        </w:rPr>
      </w:pPr>
    </w:p>
    <w:p w14:paraId="1164FC52">
      <w:pPr>
        <w:widowControl/>
        <w:jc w:val="center"/>
        <w:rPr>
          <w:rFonts w:ascii="宋体" w:hAnsi="宋体"/>
          <w:sz w:val="20"/>
          <w:szCs w:val="20"/>
        </w:rPr>
      </w:pPr>
    </w:p>
    <w:p w14:paraId="560DEA7A">
      <w:pPr>
        <w:widowControl/>
        <w:spacing w:before="48" w:beforeLines="20"/>
        <w:jc w:val="center"/>
        <w:rPr>
          <w:rFonts w:ascii="黑体" w:hAnsi="黑体" w:eastAsia="黑体"/>
          <w:sz w:val="42"/>
          <w:szCs w:val="42"/>
        </w:rPr>
      </w:pPr>
      <w:r>
        <w:rPr>
          <w:rFonts w:hint="eastAsia" w:ascii="黑体" w:hAnsi="黑体" w:eastAsia="黑体"/>
          <w:sz w:val="42"/>
          <w:szCs w:val="42"/>
        </w:rPr>
        <w:t>建筑基坑支护技术规程</w:t>
      </w:r>
    </w:p>
    <w:p w14:paraId="1D581345">
      <w:pPr>
        <w:widowControl/>
        <w:spacing w:before="240" w:beforeLines="100"/>
        <w:jc w:val="center"/>
        <w:rPr>
          <w:rFonts w:ascii="黑体" w:hAnsi="黑体" w:eastAsia="黑体"/>
          <w:sz w:val="42"/>
          <w:szCs w:val="42"/>
        </w:rPr>
      </w:pPr>
      <w:r>
        <w:rPr>
          <w:b/>
          <w:sz w:val="28"/>
          <w:szCs w:val="28"/>
        </w:rPr>
        <w:t>Technical specification for retaining and protecti</w:t>
      </w:r>
      <w:r>
        <w:rPr>
          <w:rFonts w:hint="eastAsia"/>
          <w:b/>
          <w:sz w:val="28"/>
          <w:szCs w:val="28"/>
        </w:rPr>
        <w:t>on</w:t>
      </w:r>
      <w:r>
        <w:rPr>
          <w:b/>
          <w:sz w:val="28"/>
          <w:szCs w:val="28"/>
        </w:rPr>
        <w:t xml:space="preserve"> of building foundation excavation</w:t>
      </w:r>
      <w:r>
        <w:rPr>
          <w:rFonts w:hint="eastAsia"/>
          <w:b/>
          <w:sz w:val="28"/>
          <w:szCs w:val="28"/>
        </w:rPr>
        <w:t>s</w:t>
      </w:r>
    </w:p>
    <w:p w14:paraId="17022E1C">
      <w:pPr>
        <w:widowControl/>
        <w:jc w:val="left"/>
        <w:rPr>
          <w:rFonts w:ascii="宋体" w:hAnsi="宋体"/>
          <w:sz w:val="20"/>
          <w:szCs w:val="20"/>
        </w:rPr>
      </w:pPr>
    </w:p>
    <w:p w14:paraId="6AA23BC0">
      <w:pPr>
        <w:spacing w:line="360" w:lineRule="auto"/>
        <w:jc w:val="center"/>
        <w:rPr>
          <w:b/>
          <w:bCs/>
          <w:sz w:val="28"/>
          <w:szCs w:val="28"/>
        </w:rPr>
      </w:pPr>
      <w:r>
        <w:rPr>
          <w:rFonts w:hint="eastAsia"/>
          <w:b/>
          <w:bCs/>
          <w:sz w:val="28"/>
          <w:szCs w:val="28"/>
        </w:rPr>
        <w:t>（征求意见稿）</w:t>
      </w:r>
    </w:p>
    <w:p w14:paraId="7D903CC6">
      <w:pPr>
        <w:pStyle w:val="2"/>
        <w:ind w:firstLine="643"/>
        <w:rPr>
          <w:b/>
          <w:bCs/>
          <w:sz w:val="32"/>
          <w:szCs w:val="32"/>
        </w:rPr>
      </w:pPr>
    </w:p>
    <w:p w14:paraId="06D9623A">
      <w:pPr>
        <w:pStyle w:val="2"/>
        <w:ind w:firstLine="643"/>
        <w:rPr>
          <w:b/>
          <w:bCs/>
          <w:sz w:val="32"/>
          <w:szCs w:val="32"/>
        </w:rPr>
      </w:pPr>
    </w:p>
    <w:p w14:paraId="493340A4">
      <w:pPr>
        <w:pStyle w:val="2"/>
        <w:ind w:firstLine="643"/>
        <w:rPr>
          <w:b/>
          <w:bCs/>
          <w:sz w:val="32"/>
          <w:szCs w:val="32"/>
        </w:rPr>
      </w:pPr>
    </w:p>
    <w:p w14:paraId="456212C9">
      <w:pPr>
        <w:pStyle w:val="2"/>
        <w:ind w:firstLine="643"/>
        <w:rPr>
          <w:b/>
          <w:bCs/>
          <w:sz w:val="32"/>
          <w:szCs w:val="32"/>
        </w:rPr>
      </w:pPr>
    </w:p>
    <w:p w14:paraId="7B568286">
      <w:pPr>
        <w:pStyle w:val="2"/>
        <w:ind w:firstLine="643"/>
        <w:rPr>
          <w:b/>
          <w:bCs/>
          <w:sz w:val="32"/>
          <w:szCs w:val="32"/>
        </w:rPr>
      </w:pPr>
    </w:p>
    <w:p w14:paraId="08306DC0">
      <w:pPr>
        <w:pStyle w:val="2"/>
        <w:ind w:firstLine="643"/>
        <w:rPr>
          <w:b/>
          <w:bCs/>
          <w:sz w:val="32"/>
          <w:szCs w:val="32"/>
        </w:rPr>
      </w:pPr>
    </w:p>
    <w:p w14:paraId="149691C8">
      <w:pPr>
        <w:pStyle w:val="2"/>
        <w:ind w:firstLine="643"/>
        <w:rPr>
          <w:b/>
          <w:bCs/>
          <w:sz w:val="32"/>
          <w:szCs w:val="32"/>
        </w:rPr>
      </w:pPr>
    </w:p>
    <w:p w14:paraId="46DD7C43">
      <w:pPr>
        <w:pStyle w:val="2"/>
        <w:ind w:firstLine="643"/>
        <w:rPr>
          <w:b/>
          <w:bCs/>
          <w:sz w:val="32"/>
          <w:szCs w:val="32"/>
        </w:rPr>
      </w:pPr>
    </w:p>
    <w:p w14:paraId="5B4D81BD">
      <w:pPr>
        <w:pStyle w:val="2"/>
        <w:ind w:firstLine="643"/>
        <w:rPr>
          <w:b/>
          <w:bCs/>
          <w:sz w:val="32"/>
          <w:szCs w:val="32"/>
        </w:rPr>
      </w:pPr>
    </w:p>
    <w:p w14:paraId="7F5E2C95">
      <w:pPr>
        <w:pStyle w:val="2"/>
        <w:ind w:firstLine="643"/>
        <w:rPr>
          <w:b/>
          <w:bCs/>
          <w:sz w:val="32"/>
          <w:szCs w:val="32"/>
        </w:rPr>
      </w:pPr>
    </w:p>
    <w:p w14:paraId="4AD49B95">
      <w:pPr>
        <w:pStyle w:val="2"/>
        <w:ind w:firstLine="643"/>
        <w:rPr>
          <w:b/>
          <w:bCs/>
          <w:sz w:val="32"/>
          <w:szCs w:val="32"/>
        </w:rPr>
      </w:pPr>
    </w:p>
    <w:p w14:paraId="0C835E45">
      <w:pPr>
        <w:jc w:val="center"/>
        <w:rPr>
          <w:rFonts w:eastAsia="黑体"/>
          <w:b/>
          <w:sz w:val="28"/>
          <w:szCs w:val="28"/>
        </w:rPr>
      </w:pPr>
      <w:r>
        <w:rPr>
          <w:rFonts w:eastAsia="黑体"/>
          <w:b/>
          <w:sz w:val="28"/>
          <w:szCs w:val="28"/>
        </w:rPr>
        <w:t>20</w:t>
      </w:r>
      <w:r>
        <w:rPr>
          <w:rFonts w:hint="eastAsia" w:eastAsia="黑体"/>
          <w:b/>
          <w:sz w:val="28"/>
          <w:szCs w:val="28"/>
        </w:rPr>
        <w:t>2</w:t>
      </w:r>
      <w:r>
        <w:rPr>
          <w:rFonts w:eastAsia="黑体"/>
          <w:b/>
          <w:sz w:val="28"/>
          <w:szCs w:val="28"/>
        </w:rPr>
        <w:t>×</w:t>
      </w:r>
      <w:r>
        <w:rPr>
          <w:rFonts w:hint="eastAsia" w:eastAsia="黑体"/>
          <w:b/>
          <w:sz w:val="28"/>
          <w:szCs w:val="28"/>
        </w:rPr>
        <w:t>－</w:t>
      </w:r>
      <w:r>
        <w:rPr>
          <w:rFonts w:eastAsia="黑体"/>
          <w:b/>
          <w:sz w:val="28"/>
          <w:szCs w:val="28"/>
        </w:rPr>
        <w:t>××</w:t>
      </w:r>
      <w:r>
        <w:rPr>
          <w:rFonts w:hint="eastAsia" w:eastAsia="黑体"/>
          <w:b/>
          <w:sz w:val="28"/>
          <w:szCs w:val="28"/>
        </w:rPr>
        <w:t>－</w:t>
      </w:r>
      <w:r>
        <w:rPr>
          <w:rFonts w:eastAsia="黑体"/>
          <w:b/>
          <w:sz w:val="28"/>
          <w:szCs w:val="28"/>
        </w:rPr>
        <w:t>××</w:t>
      </w:r>
      <w:r>
        <w:rPr>
          <w:rFonts w:hint="eastAsia" w:eastAsia="黑体"/>
          <w:b/>
          <w:sz w:val="28"/>
          <w:szCs w:val="28"/>
        </w:rPr>
        <w:t>发布</w:t>
      </w:r>
      <w:r>
        <w:rPr>
          <w:rFonts w:eastAsia="黑体"/>
          <w:b/>
          <w:sz w:val="28"/>
          <w:szCs w:val="28"/>
        </w:rPr>
        <w:t xml:space="preserve">            </w:t>
      </w:r>
      <w:r>
        <w:rPr>
          <w:rFonts w:hint="eastAsia" w:eastAsia="黑体"/>
          <w:b/>
          <w:sz w:val="28"/>
          <w:szCs w:val="28"/>
        </w:rPr>
        <w:t xml:space="preserve">        </w:t>
      </w:r>
      <w:r>
        <w:rPr>
          <w:rFonts w:eastAsia="黑体"/>
          <w:b/>
          <w:sz w:val="28"/>
          <w:szCs w:val="28"/>
        </w:rPr>
        <w:t xml:space="preserve">             20</w:t>
      </w:r>
      <w:r>
        <w:rPr>
          <w:rFonts w:hint="eastAsia" w:eastAsia="黑体"/>
          <w:b/>
          <w:sz w:val="28"/>
          <w:szCs w:val="28"/>
        </w:rPr>
        <w:t>2</w:t>
      </w:r>
      <w:r>
        <w:rPr>
          <w:rFonts w:eastAsia="黑体"/>
          <w:b/>
          <w:sz w:val="28"/>
          <w:szCs w:val="28"/>
        </w:rPr>
        <w:t>×</w:t>
      </w:r>
      <w:r>
        <w:rPr>
          <w:rFonts w:hint="eastAsia" w:eastAsia="黑体"/>
          <w:b/>
          <w:sz w:val="28"/>
          <w:szCs w:val="28"/>
        </w:rPr>
        <w:t>－</w:t>
      </w:r>
      <w:r>
        <w:rPr>
          <w:rFonts w:eastAsia="黑体"/>
          <w:b/>
          <w:sz w:val="28"/>
          <w:szCs w:val="28"/>
        </w:rPr>
        <w:t>××</w:t>
      </w:r>
      <w:r>
        <w:rPr>
          <w:rFonts w:hint="eastAsia" w:eastAsia="黑体"/>
          <w:b/>
          <w:sz w:val="28"/>
          <w:szCs w:val="28"/>
        </w:rPr>
        <w:t>－</w:t>
      </w:r>
      <w:r>
        <w:rPr>
          <w:rFonts w:eastAsia="黑体"/>
          <w:b/>
          <w:sz w:val="28"/>
          <w:szCs w:val="28"/>
        </w:rPr>
        <w:t>××</w:t>
      </w:r>
      <w:r>
        <w:rPr>
          <w:rFonts w:hint="eastAsia" w:eastAsia="黑体"/>
          <w:b/>
          <w:sz w:val="28"/>
          <w:szCs w:val="28"/>
        </w:rPr>
        <w:t>实施</w:t>
      </w:r>
    </w:p>
    <w:p w14:paraId="4D0A7D4D">
      <w:pPr>
        <w:rPr>
          <w:sz w:val="28"/>
          <w:szCs w:val="28"/>
        </w:rPr>
      </w:pPr>
      <w:r>
        <w:rPr>
          <w:rFonts w:ascii="Plotter" w:hAnsi="Plotter" w:cs="Plotter"/>
        </w:rPr>
        <mc:AlternateContent>
          <mc:Choice Requires="wps">
            <w:drawing>
              <wp:anchor distT="0" distB="0" distL="114300" distR="114300" simplePos="0" relativeHeight="251666432" behindDoc="0" locked="0" layoutInCell="1" allowOverlap="1">
                <wp:simplePos x="0" y="0"/>
                <wp:positionH relativeFrom="column">
                  <wp:posOffset>-66040</wp:posOffset>
                </wp:positionH>
                <wp:positionV relativeFrom="paragraph">
                  <wp:posOffset>24130</wp:posOffset>
                </wp:positionV>
                <wp:extent cx="6200775" cy="0"/>
                <wp:effectExtent l="0" t="0" r="0" b="0"/>
                <wp:wrapNone/>
                <wp:docPr id="122"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9525">
                          <a:solidFill>
                            <a:srgbClr val="000000"/>
                          </a:solidFill>
                          <a:round/>
                        </a:ln>
                      </wps:spPr>
                      <wps:bodyPr/>
                    </wps:wsp>
                  </a:graphicData>
                </a:graphic>
              </wp:anchor>
            </w:drawing>
          </mc:Choice>
          <mc:Fallback>
            <w:pict>
              <v:line id="直接连接符 3" o:spid="_x0000_s1026" o:spt="20" style="position:absolute;left:0pt;margin-left:-5.2pt;margin-top:1.9pt;height:0pt;width:488.25pt;z-index:251666432;mso-width-relative:page;mso-height-relative:page;" filled="f" stroked="t" coordsize="21600,21600" o:gfxdata="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Jhwz1AAAAAcB&#10;AAAPAAAAAAAAAAEAIAAAACIAAABkcnMvZG93bnJldi54bWxQSwECFAAUAAAACACHTuJAlTx7aOYB&#10;AACsAwAADgAAAAAAAAABACAAAAAjAQAAZHJzL2Uyb0RvYy54bWxQSwUGAAAAAAYABgBZAQAAewUA&#10;AAAA&#10;">
                <v:fill on="f" focussize="0,0"/>
                <v:stroke color="#000000" joinstyle="round"/>
                <v:imagedata o:title=""/>
                <o:lock v:ext="edit" aspectratio="f"/>
              </v:line>
            </w:pict>
          </mc:Fallback>
        </mc:AlternateContent>
      </w:r>
    </w:p>
    <w:p w14:paraId="0CFE0E7E">
      <w:pPr>
        <w:spacing w:before="240" w:beforeLines="100"/>
        <w:ind w:left="0" w:leftChars="0" w:firstLine="2107" w:firstLineChars="656"/>
        <w:rPr>
          <w:rFonts w:ascii="黑体" w:eastAsia="黑体"/>
          <w:b/>
          <w:spacing w:val="5"/>
          <w:w w:val="73"/>
          <w:kern w:val="0"/>
          <w:sz w:val="32"/>
          <w:szCs w:val="32"/>
        </w:rPr>
      </w:pPr>
      <w:r>
        <w:rPr>
          <w:rFonts w:ascii="黑体" w:eastAsia="黑体"/>
          <w:b/>
          <w:sz w:val="32"/>
          <w:szCs w:val="32"/>
        </w:rPr>
        <mc:AlternateContent>
          <mc:Choice Requires="wps">
            <w:drawing>
              <wp:anchor distT="45720" distB="45720" distL="114300" distR="114300" simplePos="0" relativeHeight="251668480" behindDoc="0" locked="0" layoutInCell="1" allowOverlap="1">
                <wp:simplePos x="0" y="0"/>
                <wp:positionH relativeFrom="column">
                  <wp:posOffset>4134485</wp:posOffset>
                </wp:positionH>
                <wp:positionV relativeFrom="paragraph">
                  <wp:posOffset>478155</wp:posOffset>
                </wp:positionV>
                <wp:extent cx="1410970" cy="1821180"/>
                <wp:effectExtent l="0" t="0" r="0" b="0"/>
                <wp:wrapSquare wrapText="bothSides"/>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410970" cy="1404620"/>
                        </a:xfrm>
                        <a:prstGeom prst="rect">
                          <a:avLst/>
                        </a:prstGeom>
                        <a:noFill/>
                        <a:ln w="9525">
                          <a:noFill/>
                          <a:miter lim="800000"/>
                        </a:ln>
                        <a:effectLst/>
                      </wps:spPr>
                      <wps:txbx>
                        <w:txbxContent>
                          <w:p w14:paraId="51C31006">
                            <w:r>
                              <w:rPr>
                                <w:rFonts w:ascii="黑体" w:eastAsia="黑体"/>
                                <w:b/>
                                <w:sz w:val="32"/>
                                <w:szCs w:val="32"/>
                              </w:rPr>
                              <w:t>联合</w:t>
                            </w:r>
                            <w:r>
                              <w:rPr>
                                <w:rFonts w:hint="eastAsia" w:ascii="黑体" w:eastAsia="黑体"/>
                                <w:b/>
                                <w:sz w:val="32"/>
                                <w:szCs w:val="32"/>
                              </w:rPr>
                              <w:t>发布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25.55pt;margin-top:37.65pt;height:143.4pt;width:111.1pt;mso-wrap-distance-bottom:3.6pt;mso-wrap-distance-left:9pt;mso-wrap-distance-right:9pt;mso-wrap-distance-top:3.6pt;z-index:251668480;mso-width-relative:page;mso-height-relative:margin;mso-height-percent:200;" filled="f" stroked="f" coordsize="21600,21600" o:gfxdata="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yaBx2QAAAAoBAAAPAAAAAAAAAAEAIAAAACIAAABkcnMvZG93bnJldi54bWxQSwEC&#10;FAAUAAAACACHTuJA1odziSwCAAA6BAAADgAAAAAAAAABACAAAAAoAQAAZHJzL2Uyb0RvYy54bWxQ&#10;SwUGAAAAAAYABgBZAQAAxgUAAAAA&#10;">
                <v:fill on="f" focussize="0,0"/>
                <v:stroke on="f" miterlimit="8" joinstyle="miter"/>
                <v:imagedata o:title=""/>
                <o:lock v:ext="edit" aspectratio="f"/>
                <v:textbox style="mso-fit-shape-to-text:t;">
                  <w:txbxContent>
                    <w:p w14:paraId="51C31006">
                      <w:r>
                        <w:rPr>
                          <w:rFonts w:ascii="黑体" w:eastAsia="黑体"/>
                          <w:b/>
                          <w:sz w:val="32"/>
                          <w:szCs w:val="32"/>
                        </w:rPr>
                        <w:t>联合</w:t>
                      </w:r>
                      <w:r>
                        <w:rPr>
                          <w:rFonts w:hint="eastAsia" w:ascii="黑体" w:eastAsia="黑体"/>
                          <w:b/>
                          <w:sz w:val="32"/>
                          <w:szCs w:val="32"/>
                        </w:rPr>
                        <w:t>发布</w:t>
                      </w:r>
                    </w:p>
                  </w:txbxContent>
                </v:textbox>
                <w10:wrap type="square"/>
              </v:shape>
            </w:pict>
          </mc:Fallback>
        </mc:AlternateContent>
      </w:r>
      <w:r>
        <w:rPr>
          <w:rFonts w:ascii="黑体" w:eastAsia="黑体"/>
          <w:b/>
          <w:w w:val="73"/>
          <w:kern w:val="0"/>
          <w:sz w:val="32"/>
          <w:szCs w:val="32"/>
        </w:rPr>
        <w:t>北京市</w:t>
      </w:r>
      <w:r>
        <w:rPr>
          <w:rFonts w:hint="eastAsia" w:ascii="黑体" w:eastAsia="黑体"/>
          <w:b/>
          <w:w w:val="73"/>
          <w:kern w:val="0"/>
          <w:sz w:val="32"/>
          <w:szCs w:val="32"/>
        </w:rPr>
        <w:t>住房和城乡</w:t>
      </w:r>
      <w:r>
        <w:rPr>
          <w:rFonts w:ascii="黑体" w:eastAsia="黑体"/>
          <w:b/>
          <w:w w:val="73"/>
          <w:kern w:val="0"/>
          <w:sz w:val="32"/>
          <w:szCs w:val="32"/>
        </w:rPr>
        <w:t>建设委员</w:t>
      </w:r>
      <w:r>
        <w:rPr>
          <w:rFonts w:ascii="黑体" w:eastAsia="黑体"/>
          <w:b/>
          <w:spacing w:val="5"/>
          <w:w w:val="73"/>
          <w:kern w:val="0"/>
          <w:sz w:val="32"/>
          <w:szCs w:val="32"/>
        </w:rPr>
        <w:t>会</w:t>
      </w:r>
    </w:p>
    <w:p w14:paraId="34DC3E44">
      <w:pPr>
        <w:adjustRightInd w:val="0"/>
        <w:snapToGrid w:val="0"/>
        <w:spacing w:before="240" w:beforeLines="100" w:line="288" w:lineRule="auto"/>
        <w:ind w:left="0" w:leftChars="0" w:firstLine="2086" w:firstLineChars="668"/>
        <w:jc w:val="both"/>
        <w:rPr>
          <w:rFonts w:ascii="仿宋_GB2312" w:hAnsi="宋体" w:eastAsia="仿宋_GB2312"/>
          <w:sz w:val="28"/>
          <w:szCs w:val="28"/>
        </w:rPr>
      </w:pPr>
      <w:r>
        <w:rPr>
          <w:rFonts w:ascii="黑体" w:eastAsia="黑体"/>
          <w:b/>
          <w:spacing w:val="39"/>
          <w:w w:val="73"/>
          <w:kern w:val="0"/>
          <w:sz w:val="32"/>
          <w:szCs w:val="32"/>
        </w:rPr>
        <w:t>北京市市场监督管理</w:t>
      </w:r>
      <w:r>
        <w:rPr>
          <w:rFonts w:ascii="黑体" w:eastAsia="黑体"/>
          <w:b/>
          <w:spacing w:val="5"/>
          <w:w w:val="73"/>
          <w:kern w:val="0"/>
          <w:sz w:val="32"/>
          <w:szCs w:val="32"/>
        </w:rPr>
        <w:t>局</w:t>
      </w:r>
      <w:r>
        <w:rPr>
          <w:rFonts w:hint="eastAsia" w:ascii="黑体" w:eastAsia="黑体"/>
          <w:b/>
          <w:sz w:val="32"/>
          <w:szCs w:val="32"/>
        </w:rPr>
        <w:t xml:space="preserve"> </w:t>
      </w:r>
      <w:r>
        <w:rPr>
          <w:rFonts w:ascii="黑体" w:eastAsia="黑体"/>
          <w:b/>
          <w:sz w:val="32"/>
          <w:szCs w:val="32"/>
        </w:rPr>
        <w:t xml:space="preserve">   </w:t>
      </w:r>
    </w:p>
    <w:p w14:paraId="084DE2B7">
      <w:pPr>
        <w:pStyle w:val="19"/>
        <w:adjustRightInd w:val="0"/>
        <w:snapToGrid w:val="0"/>
        <w:spacing w:after="0" w:line="288" w:lineRule="auto"/>
        <w:ind w:left="0" w:leftChars="0"/>
        <w:jc w:val="center"/>
        <w:rPr>
          <w:rFonts w:ascii="仿宋_GB2312" w:hAnsi="宋体" w:eastAsia="仿宋_GB2312"/>
          <w:sz w:val="28"/>
          <w:szCs w:val="28"/>
        </w:rPr>
      </w:pPr>
    </w:p>
    <w:p w14:paraId="2BFFBF30">
      <w:pPr>
        <w:pStyle w:val="2"/>
      </w:pPr>
    </w:p>
    <w:p w14:paraId="05A44AE4">
      <w:pPr>
        <w:pStyle w:val="2"/>
      </w:pPr>
    </w:p>
    <w:p w14:paraId="6FF257B9">
      <w:pPr>
        <w:rPr>
          <w:rFonts w:ascii="黑体" w:eastAsia="黑体"/>
          <w:b/>
          <w:sz w:val="32"/>
          <w:szCs w:val="32"/>
        </w:rPr>
      </w:pPr>
    </w:p>
    <w:p w14:paraId="5516005C">
      <w:pPr>
        <w:jc w:val="center"/>
        <w:rPr>
          <w:rFonts w:ascii="黑体" w:eastAsia="黑体"/>
          <w:b/>
          <w:sz w:val="32"/>
          <w:szCs w:val="32"/>
        </w:rPr>
      </w:pPr>
      <w:r>
        <w:rPr>
          <w:rFonts w:hint="eastAsia" w:ascii="黑体" w:eastAsia="黑体"/>
          <w:b/>
          <w:sz w:val="32"/>
          <w:szCs w:val="32"/>
        </w:rPr>
        <w:t>北京市地方标准</w:t>
      </w:r>
    </w:p>
    <w:p w14:paraId="5D48D10C">
      <w:pPr>
        <w:jc w:val="center"/>
        <w:rPr>
          <w:rFonts w:ascii="黑体" w:eastAsia="黑体"/>
          <w:b/>
          <w:sz w:val="32"/>
          <w:szCs w:val="32"/>
        </w:rPr>
      </w:pPr>
    </w:p>
    <w:p w14:paraId="10CB98D4">
      <w:pPr>
        <w:jc w:val="center"/>
        <w:rPr>
          <w:rFonts w:ascii="黑体" w:eastAsia="黑体"/>
          <w:b/>
          <w:sz w:val="32"/>
          <w:szCs w:val="32"/>
        </w:rPr>
      </w:pPr>
    </w:p>
    <w:p w14:paraId="71B81867">
      <w:pPr>
        <w:jc w:val="center"/>
        <w:rPr>
          <w:rFonts w:ascii="黑体" w:eastAsia="黑体"/>
          <w:b/>
          <w:sz w:val="32"/>
          <w:szCs w:val="32"/>
        </w:rPr>
      </w:pPr>
    </w:p>
    <w:p w14:paraId="4C9060CC">
      <w:pPr>
        <w:pStyle w:val="2"/>
      </w:pPr>
    </w:p>
    <w:p w14:paraId="64247D81">
      <w:pPr>
        <w:widowControl/>
        <w:spacing w:before="48" w:beforeLines="20"/>
        <w:jc w:val="center"/>
        <w:rPr>
          <w:rFonts w:ascii="黑体" w:hAnsi="黑体" w:eastAsia="黑体"/>
          <w:sz w:val="42"/>
          <w:szCs w:val="42"/>
        </w:rPr>
      </w:pPr>
      <w:r>
        <w:rPr>
          <w:rFonts w:hint="eastAsia" w:ascii="黑体" w:hAnsi="黑体" w:eastAsia="黑体"/>
          <w:sz w:val="42"/>
          <w:szCs w:val="42"/>
        </w:rPr>
        <w:t>建筑基坑支护技术规程</w:t>
      </w:r>
    </w:p>
    <w:p w14:paraId="440821E8">
      <w:pPr>
        <w:widowControl/>
        <w:spacing w:before="240" w:beforeLines="100"/>
        <w:jc w:val="center"/>
        <w:rPr>
          <w:rFonts w:ascii="黑体" w:hAnsi="黑体" w:eastAsia="黑体"/>
          <w:sz w:val="42"/>
          <w:szCs w:val="42"/>
        </w:rPr>
      </w:pPr>
      <w:r>
        <w:rPr>
          <w:b/>
          <w:sz w:val="28"/>
          <w:szCs w:val="28"/>
        </w:rPr>
        <w:t>Technical specification for retaining and protecti</w:t>
      </w:r>
      <w:r>
        <w:rPr>
          <w:rFonts w:hint="eastAsia"/>
          <w:b/>
          <w:sz w:val="28"/>
          <w:szCs w:val="28"/>
        </w:rPr>
        <w:t>on</w:t>
      </w:r>
      <w:r>
        <w:rPr>
          <w:b/>
          <w:sz w:val="28"/>
          <w:szCs w:val="28"/>
        </w:rPr>
        <w:t xml:space="preserve"> of building foundation excavation</w:t>
      </w:r>
      <w:r>
        <w:rPr>
          <w:rFonts w:hint="eastAsia"/>
          <w:b/>
          <w:sz w:val="28"/>
          <w:szCs w:val="28"/>
        </w:rPr>
        <w:t>s</w:t>
      </w:r>
    </w:p>
    <w:p w14:paraId="4109C16F">
      <w:pPr>
        <w:jc w:val="center"/>
        <w:rPr>
          <w:rFonts w:ascii="黑体" w:eastAsia="黑体"/>
          <w:b/>
          <w:sz w:val="32"/>
          <w:szCs w:val="32"/>
        </w:rPr>
      </w:pPr>
    </w:p>
    <w:p w14:paraId="0D258A6D">
      <w:pPr>
        <w:pStyle w:val="2"/>
        <w:ind w:firstLine="643"/>
        <w:rPr>
          <w:rFonts w:ascii="黑体" w:eastAsia="黑体"/>
          <w:b/>
          <w:sz w:val="32"/>
          <w:szCs w:val="32"/>
        </w:rPr>
      </w:pPr>
    </w:p>
    <w:p w14:paraId="30B9E2FC">
      <w:pPr>
        <w:pStyle w:val="2"/>
        <w:ind w:firstLine="643"/>
        <w:rPr>
          <w:rFonts w:ascii="黑体" w:eastAsia="黑体"/>
          <w:b/>
          <w:sz w:val="32"/>
          <w:szCs w:val="32"/>
        </w:rPr>
      </w:pPr>
    </w:p>
    <w:p w14:paraId="700CDFC3">
      <w:pPr>
        <w:jc w:val="center"/>
        <w:rPr>
          <w:rFonts w:ascii="黑体" w:eastAsia="黑体"/>
          <w:b/>
          <w:sz w:val="32"/>
          <w:szCs w:val="32"/>
        </w:rPr>
      </w:pPr>
    </w:p>
    <w:p w14:paraId="2E49BA43">
      <w:pPr>
        <w:ind w:firstLine="3795" w:firstLineChars="1800"/>
        <w:rPr>
          <w:rFonts w:ascii="黑体" w:eastAsia="黑体"/>
          <w:b/>
        </w:rPr>
      </w:pPr>
      <w:r>
        <w:rPr>
          <w:rFonts w:hint="eastAsia" w:ascii="黑体" w:eastAsia="黑体"/>
          <w:b/>
        </w:rPr>
        <w:t>编  号：</w:t>
      </w:r>
    </w:p>
    <w:p w14:paraId="4725851E">
      <w:pPr>
        <w:ind w:firstLine="3795" w:firstLineChars="1800"/>
        <w:rPr>
          <w:rFonts w:ascii="黑体" w:eastAsia="黑体"/>
          <w:b/>
          <w:sz w:val="32"/>
          <w:szCs w:val="32"/>
        </w:rPr>
      </w:pPr>
      <w:r>
        <w:rPr>
          <w:rFonts w:ascii="黑体" w:eastAsia="黑体"/>
          <w:b/>
        </w:rPr>
        <w:t>备案号：</w:t>
      </w:r>
      <w:r>
        <w:rPr>
          <w:rFonts w:ascii="黑体" w:eastAsia="黑体"/>
          <w:b/>
          <w:sz w:val="32"/>
          <w:szCs w:val="32"/>
        </w:rPr>
        <w:t xml:space="preserve"> </w:t>
      </w:r>
    </w:p>
    <w:p w14:paraId="638C93D4">
      <w:pPr>
        <w:pStyle w:val="2"/>
        <w:rPr>
          <w:rFonts w:ascii="黑体" w:eastAsia="黑体"/>
          <w:b/>
          <w:sz w:val="32"/>
          <w:szCs w:val="32"/>
        </w:rPr>
      </w:pPr>
    </w:p>
    <w:p w14:paraId="670EA791">
      <w:pPr>
        <w:pStyle w:val="2"/>
        <w:rPr>
          <w:rFonts w:ascii="黑体" w:eastAsia="黑体"/>
          <w:b/>
          <w:sz w:val="32"/>
          <w:szCs w:val="32"/>
        </w:rPr>
      </w:pPr>
    </w:p>
    <w:p w14:paraId="2CA378B4">
      <w:pPr>
        <w:rPr>
          <w:rFonts w:ascii="宋体" w:hAnsi="宋体"/>
        </w:rPr>
      </w:pPr>
    </w:p>
    <w:p w14:paraId="04F0D812">
      <w:pPr>
        <w:ind w:firstLine="3360" w:firstLineChars="1600"/>
        <w:rPr>
          <w:rFonts w:hint="eastAsia" w:ascii="宋体" w:hAnsi="宋体"/>
        </w:rPr>
      </w:pPr>
      <w:r>
        <w:rPr>
          <w:rFonts w:hint="eastAsia" w:ascii="宋体" w:hAnsi="宋体"/>
        </w:rPr>
        <w:t>主</w:t>
      </w:r>
      <w:r>
        <w:rPr>
          <w:rFonts w:ascii="宋体" w:hAnsi="宋体"/>
        </w:rPr>
        <w:t>编</w:t>
      </w:r>
      <w:r>
        <w:rPr>
          <w:rFonts w:hint="eastAsia" w:ascii="宋体" w:hAnsi="宋体"/>
        </w:rPr>
        <w:t>单位</w:t>
      </w:r>
      <w:r>
        <w:rPr>
          <w:rFonts w:ascii="宋体" w:hAnsi="宋体"/>
        </w:rPr>
        <w:t>：</w:t>
      </w:r>
      <w:r>
        <w:rPr>
          <w:rFonts w:hint="eastAsia" w:ascii="宋体" w:hAnsi="宋体"/>
        </w:rPr>
        <w:t>中国建筑科学研究院</w:t>
      </w:r>
    </w:p>
    <w:p w14:paraId="689EF296">
      <w:pPr>
        <w:ind w:left="840" w:firstLine="3570" w:firstLineChars="1700"/>
        <w:rPr>
          <w:rFonts w:hint="eastAsia" w:ascii="宋体" w:hAnsi="宋体"/>
        </w:rPr>
      </w:pPr>
      <w:r>
        <w:rPr>
          <w:rFonts w:hint="eastAsia" w:ascii="宋体" w:hAnsi="宋体"/>
        </w:rPr>
        <w:t>北京市勘察设计研究院有限公司</w:t>
      </w:r>
    </w:p>
    <w:p w14:paraId="4935C20A">
      <w:pPr>
        <w:ind w:left="840" w:firstLine="3570" w:firstLineChars="1700"/>
        <w:rPr>
          <w:rFonts w:hint="eastAsia" w:ascii="宋体" w:hAnsi="宋体"/>
        </w:rPr>
      </w:pPr>
      <w:r>
        <w:rPr>
          <w:rFonts w:hint="eastAsia" w:ascii="宋体" w:hAnsi="宋体"/>
        </w:rPr>
        <w:t>北京建华建材技术研究院有限公司</w:t>
      </w:r>
    </w:p>
    <w:p w14:paraId="69718FF7">
      <w:pPr>
        <w:ind w:left="840" w:firstLine="3570" w:firstLineChars="1700"/>
        <w:rPr>
          <w:rFonts w:ascii="黑体" w:eastAsia="黑体"/>
          <w:b/>
          <w:sz w:val="32"/>
          <w:szCs w:val="32"/>
        </w:rPr>
      </w:pPr>
      <w:r>
        <w:rPr>
          <w:rFonts w:hint="eastAsia" w:ascii="宋体" w:hAnsi="宋体"/>
        </w:rPr>
        <w:t>北京城建科技促进会</w:t>
      </w:r>
    </w:p>
    <w:p w14:paraId="42865E65">
      <w:pPr>
        <w:jc w:val="center"/>
        <w:rPr>
          <w:rFonts w:ascii="宋体" w:hAnsi="宋体"/>
        </w:rPr>
      </w:pPr>
      <w:r>
        <w:rPr>
          <w:rFonts w:hint="eastAsia" w:ascii="宋体" w:hAnsi="宋体"/>
        </w:rPr>
        <w:t>批准部门：北京市市场监督管理局</w:t>
      </w:r>
    </w:p>
    <w:p w14:paraId="45BB5D18">
      <w:pPr>
        <w:ind w:firstLine="3570" w:firstLineChars="1700"/>
        <w:jc w:val="center"/>
        <w:rPr>
          <w:rFonts w:ascii="宋体" w:hAnsi="宋体"/>
        </w:rPr>
      </w:pPr>
    </w:p>
    <w:p w14:paraId="612770B2">
      <w:pPr>
        <w:ind w:firstLine="3360" w:firstLineChars="1600"/>
        <w:rPr>
          <w:rFonts w:ascii="宋体" w:hAnsi="宋体"/>
        </w:rPr>
      </w:pPr>
      <w:r>
        <w:rPr>
          <w:rFonts w:hint="eastAsia" w:ascii="宋体" w:hAnsi="宋体"/>
        </w:rPr>
        <w:t>施行日期：20××年×月×日</w:t>
      </w:r>
    </w:p>
    <w:p w14:paraId="63BAD43B">
      <w:pPr>
        <w:rPr>
          <w:rFonts w:ascii="黑体" w:eastAsia="黑体"/>
          <w:b/>
          <w:sz w:val="32"/>
          <w:szCs w:val="32"/>
        </w:rPr>
      </w:pPr>
    </w:p>
    <w:p w14:paraId="17A46A00">
      <w:pPr>
        <w:pStyle w:val="2"/>
        <w:ind w:firstLine="643"/>
        <w:rPr>
          <w:rFonts w:ascii="黑体" w:eastAsia="黑体"/>
          <w:b/>
          <w:sz w:val="32"/>
          <w:szCs w:val="32"/>
        </w:rPr>
      </w:pPr>
    </w:p>
    <w:p w14:paraId="62DD0CC8">
      <w:pPr>
        <w:pStyle w:val="2"/>
        <w:ind w:left="0" w:leftChars="0" w:firstLine="0" w:firstLineChars="0"/>
        <w:rPr>
          <w:rFonts w:ascii="黑体" w:eastAsia="黑体"/>
          <w:b/>
          <w:sz w:val="32"/>
          <w:szCs w:val="32"/>
        </w:rPr>
      </w:pPr>
    </w:p>
    <w:p w14:paraId="1F21D5D8">
      <w:pPr>
        <w:pStyle w:val="2"/>
        <w:ind w:left="0" w:leftChars="0" w:firstLine="0" w:firstLineChars="0"/>
        <w:rPr>
          <w:rFonts w:ascii="黑体" w:eastAsia="黑体"/>
          <w:b/>
          <w:sz w:val="32"/>
          <w:szCs w:val="32"/>
        </w:rPr>
      </w:pPr>
    </w:p>
    <w:p w14:paraId="0CA124CB">
      <w:pPr>
        <w:rPr>
          <w:rFonts w:ascii="黑体" w:eastAsia="黑体"/>
          <w:b/>
          <w:sz w:val="32"/>
          <w:szCs w:val="32"/>
        </w:rPr>
      </w:pPr>
    </w:p>
    <w:p w14:paraId="44DC6593">
      <w:pPr>
        <w:rPr>
          <w:rFonts w:ascii="黑体" w:eastAsia="黑体"/>
          <w:b/>
          <w:sz w:val="32"/>
          <w:szCs w:val="32"/>
        </w:rPr>
      </w:pPr>
    </w:p>
    <w:p w14:paraId="5C2F93CF">
      <w:pPr>
        <w:jc w:val="center"/>
        <w:rPr>
          <w:rFonts w:eastAsia="黑体"/>
        </w:rPr>
      </w:pPr>
      <w:r>
        <w:rPr>
          <w:rFonts w:eastAsia="黑体"/>
        </w:rPr>
        <w:t>20</w:t>
      </w:r>
      <w:r>
        <w:rPr>
          <w:rFonts w:hint="eastAsia" w:eastAsia="黑体"/>
        </w:rPr>
        <w:t>2</w:t>
      </w:r>
      <w:r>
        <w:rPr>
          <w:rFonts w:eastAsia="黑体"/>
          <w:b/>
          <w:sz w:val="28"/>
          <w:szCs w:val="28"/>
        </w:rPr>
        <w:t>×</w:t>
      </w:r>
      <w:r>
        <w:rPr>
          <w:rFonts w:eastAsia="黑体"/>
        </w:rPr>
        <w:t xml:space="preserve"> 北京</w:t>
      </w:r>
    </w:p>
    <w:p w14:paraId="4C6A3BCD"/>
    <w:p w14:paraId="4189D9C3">
      <w:pPr>
        <w:pStyle w:val="19"/>
        <w:adjustRightInd w:val="0"/>
        <w:snapToGrid w:val="0"/>
        <w:spacing w:after="0" w:line="288" w:lineRule="auto"/>
        <w:ind w:left="0" w:leftChars="0"/>
        <w:jc w:val="center"/>
        <w:rPr>
          <w:rFonts w:ascii="仿宋_GB2312" w:hAnsi="宋体" w:eastAsia="仿宋_GB2312"/>
          <w:sz w:val="28"/>
          <w:szCs w:val="28"/>
        </w:rPr>
      </w:pPr>
    </w:p>
    <w:p w14:paraId="2981BC3F">
      <w:pPr>
        <w:pStyle w:val="19"/>
        <w:adjustRightInd w:val="0"/>
        <w:snapToGrid w:val="0"/>
        <w:spacing w:after="0" w:line="288" w:lineRule="auto"/>
        <w:ind w:left="0" w:leftChars="0"/>
        <w:jc w:val="center"/>
        <w:rPr>
          <w:rFonts w:ascii="仿宋_GB2312" w:hAnsi="宋体" w:eastAsia="仿宋_GB2312"/>
          <w:sz w:val="28"/>
          <w:szCs w:val="28"/>
        </w:rPr>
      </w:pPr>
    </w:p>
    <w:p w14:paraId="48B9125D">
      <w:pPr>
        <w:pStyle w:val="19"/>
        <w:adjustRightInd w:val="0"/>
        <w:snapToGrid w:val="0"/>
        <w:spacing w:after="240" w:afterLines="100" w:line="288" w:lineRule="auto"/>
        <w:ind w:left="0" w:leftChars="0"/>
        <w:jc w:val="center"/>
        <w:rPr>
          <w:rFonts w:ascii="宋体" w:hAnsi="宋体" w:cs="宋体"/>
          <w:b/>
          <w:bCs/>
          <w:sz w:val="28"/>
          <w:szCs w:val="28"/>
        </w:rPr>
      </w:pPr>
      <w:r>
        <w:rPr>
          <w:rFonts w:hint="eastAsia" w:ascii="宋体" w:hAnsi="宋体" w:cs="宋体"/>
          <w:b/>
          <w:bCs/>
          <w:sz w:val="28"/>
          <w:szCs w:val="28"/>
        </w:rPr>
        <w:t>前    言</w:t>
      </w:r>
    </w:p>
    <w:p w14:paraId="64665BC8">
      <w:pPr>
        <w:pStyle w:val="19"/>
        <w:adjustRightInd w:val="0"/>
        <w:snapToGrid w:val="0"/>
        <w:spacing w:after="0" w:line="288" w:lineRule="auto"/>
        <w:ind w:left="0" w:leftChars="0" w:firstLine="400" w:firstLineChars="200"/>
        <w:rPr>
          <w:rFonts w:ascii="宋体" w:hAnsi="宋体"/>
          <w:sz w:val="20"/>
          <w:szCs w:val="20"/>
        </w:rPr>
      </w:pPr>
      <w:r>
        <w:rPr>
          <w:rFonts w:hint="eastAsia" w:ascii="宋体" w:hAnsi="宋体"/>
          <w:sz w:val="20"/>
          <w:szCs w:val="20"/>
        </w:rPr>
        <w:t>根据北京市市场监督管理局《</w:t>
      </w:r>
      <w:r>
        <w:rPr>
          <w:rFonts w:hint="eastAsia"/>
          <w:sz w:val="20"/>
          <w:szCs w:val="20"/>
        </w:rPr>
        <w:t>20</w:t>
      </w:r>
      <w:r>
        <w:rPr>
          <w:sz w:val="20"/>
          <w:szCs w:val="20"/>
        </w:rPr>
        <w:t>22</w:t>
      </w:r>
      <w:r>
        <w:rPr>
          <w:rFonts w:hint="eastAsia" w:ascii="宋体" w:hAnsi="宋体"/>
          <w:sz w:val="20"/>
          <w:szCs w:val="20"/>
        </w:rPr>
        <w:t>年北京市地方标准制修订项目计划（第一批）的通知》（京市监发</w:t>
      </w:r>
      <w:r>
        <w:rPr>
          <w:rFonts w:hint="eastAsia"/>
          <w:sz w:val="20"/>
          <w:szCs w:val="20"/>
        </w:rPr>
        <w:t>〔20</w:t>
      </w:r>
      <w:r>
        <w:rPr>
          <w:sz w:val="20"/>
          <w:szCs w:val="20"/>
        </w:rPr>
        <w:t>22</w:t>
      </w:r>
      <w:r>
        <w:rPr>
          <w:rFonts w:hint="eastAsia"/>
          <w:sz w:val="20"/>
          <w:szCs w:val="20"/>
        </w:rPr>
        <w:t>〕</w:t>
      </w:r>
      <w:r>
        <w:rPr>
          <w:sz w:val="20"/>
          <w:szCs w:val="20"/>
        </w:rPr>
        <w:t>14</w:t>
      </w:r>
      <w:r>
        <w:rPr>
          <w:rFonts w:hint="eastAsia"/>
          <w:sz w:val="20"/>
          <w:szCs w:val="20"/>
        </w:rPr>
        <w:t>号</w:t>
      </w:r>
      <w:r>
        <w:rPr>
          <w:rFonts w:hint="eastAsia" w:ascii="宋体" w:hAnsi="宋体"/>
          <w:sz w:val="20"/>
          <w:szCs w:val="20"/>
        </w:rPr>
        <w:t>文）的要求，规程编制组经广泛调查研究，认真总结实践经验，参考国内相关标准，并在广泛征求意见的基础上，修订本规程。</w:t>
      </w:r>
    </w:p>
    <w:p w14:paraId="23663175">
      <w:pPr>
        <w:pStyle w:val="19"/>
        <w:adjustRightInd w:val="0"/>
        <w:snapToGrid w:val="0"/>
        <w:spacing w:after="0" w:line="288" w:lineRule="auto"/>
        <w:ind w:left="0" w:leftChars="0" w:firstLine="400" w:firstLineChars="200"/>
        <w:rPr>
          <w:rFonts w:ascii="宋体" w:hAnsi="宋体"/>
          <w:sz w:val="20"/>
          <w:szCs w:val="20"/>
        </w:rPr>
      </w:pPr>
      <w:r>
        <w:rPr>
          <w:rFonts w:hint="eastAsia" w:ascii="宋体" w:hAnsi="宋体"/>
          <w:sz w:val="20"/>
          <w:szCs w:val="20"/>
        </w:rPr>
        <w:t>本规程的主要技术内容是：1总则；2术语和符号；3基本规定；4勘察与周边环境调查；5地下水控制；6放坡；7支挡式结构；8土钉墙；9抗震设计；10基坑开挖与回填；11监测；12碳排放量计算。</w:t>
      </w:r>
    </w:p>
    <w:p w14:paraId="0024383B">
      <w:pPr>
        <w:pStyle w:val="19"/>
        <w:adjustRightInd w:val="0"/>
        <w:snapToGrid w:val="0"/>
        <w:spacing w:after="0" w:line="288" w:lineRule="auto"/>
        <w:ind w:left="0" w:leftChars="0" w:firstLine="400" w:firstLineChars="200"/>
        <w:rPr>
          <w:sz w:val="20"/>
          <w:szCs w:val="20"/>
        </w:rPr>
      </w:pPr>
      <w:r>
        <w:rPr>
          <w:sz w:val="20"/>
          <w:szCs w:val="20"/>
        </w:rPr>
        <w:t>本规程修订的主要技术内容是：</w:t>
      </w:r>
      <w:r>
        <w:rPr>
          <w:rFonts w:hint="eastAsia"/>
          <w:sz w:val="20"/>
          <w:szCs w:val="20"/>
        </w:rPr>
        <w:t>1</w:t>
      </w:r>
      <w:r>
        <w:rPr>
          <w:sz w:val="20"/>
          <w:szCs w:val="20"/>
        </w:rPr>
        <w:t>将原规程3.2节勘察要求单独成章并新增</w:t>
      </w:r>
      <w:r>
        <w:rPr>
          <w:rFonts w:hint="eastAsia"/>
          <w:sz w:val="20"/>
          <w:szCs w:val="20"/>
        </w:rPr>
        <w:t>周边</w:t>
      </w:r>
      <w:r>
        <w:rPr>
          <w:sz w:val="20"/>
          <w:szCs w:val="20"/>
        </w:rPr>
        <w:t>环境调查内容，作为第4章；</w:t>
      </w:r>
      <w:r>
        <w:rPr>
          <w:rFonts w:hint="eastAsia"/>
          <w:sz w:val="20"/>
          <w:szCs w:val="20"/>
        </w:rPr>
        <w:t>2</w:t>
      </w:r>
      <w:r>
        <w:rPr>
          <w:sz w:val="20"/>
          <w:szCs w:val="20"/>
        </w:rPr>
        <w:t>新增第9章抗震设计内容；</w:t>
      </w:r>
      <w:r>
        <w:rPr>
          <w:rFonts w:hint="eastAsia"/>
          <w:sz w:val="20"/>
          <w:szCs w:val="20"/>
        </w:rPr>
        <w:t>3对第1</w:t>
      </w:r>
      <w:r>
        <w:rPr>
          <w:sz w:val="20"/>
          <w:szCs w:val="20"/>
        </w:rPr>
        <w:t>1</w:t>
      </w:r>
      <w:r>
        <w:rPr>
          <w:rFonts w:hint="eastAsia"/>
          <w:sz w:val="20"/>
          <w:szCs w:val="20"/>
        </w:rPr>
        <w:t>章监测频率及监测预警值进行了修改；4</w:t>
      </w:r>
      <w:r>
        <w:rPr>
          <w:sz w:val="20"/>
          <w:szCs w:val="20"/>
        </w:rPr>
        <w:t>新增第12章碳排放量计算内容</w:t>
      </w:r>
      <w:r>
        <w:rPr>
          <w:rFonts w:hint="eastAsia"/>
          <w:sz w:val="20"/>
          <w:szCs w:val="20"/>
        </w:rPr>
        <w:t>；5</w:t>
      </w:r>
      <w:r>
        <w:rPr>
          <w:sz w:val="20"/>
          <w:szCs w:val="20"/>
        </w:rPr>
        <w:t>新增附录D单位工程量碳排放量及附录E碳排放因子。</w:t>
      </w:r>
    </w:p>
    <w:p w14:paraId="714625FB">
      <w:pPr>
        <w:pStyle w:val="19"/>
        <w:adjustRightInd w:val="0"/>
        <w:snapToGrid w:val="0"/>
        <w:spacing w:after="0" w:line="288" w:lineRule="auto"/>
        <w:ind w:left="0" w:leftChars="0" w:firstLine="400" w:firstLineChars="200"/>
        <w:rPr>
          <w:rFonts w:ascii="宋体" w:hAnsi="宋体"/>
          <w:sz w:val="20"/>
          <w:szCs w:val="20"/>
        </w:rPr>
      </w:pPr>
      <w:r>
        <w:rPr>
          <w:sz w:val="20"/>
          <w:szCs w:val="20"/>
        </w:rPr>
        <w:t>本规程</w:t>
      </w:r>
      <w:r>
        <w:rPr>
          <w:rFonts w:hint="eastAsia" w:ascii="宋体" w:hAnsi="宋体"/>
          <w:sz w:val="20"/>
          <w:szCs w:val="20"/>
        </w:rPr>
        <w:t>由北京市住房和城乡建设委员会和北京市市场监督管理局共同负责管理，由北京市住房和城乡建设委员会归口并负责组织实施，北京城建科技促进会负责具体技术内容的解释。执行过程中如有意见和建议，请寄送北京城建科技促进会（地址：北京市西城区广莲路</w:t>
      </w:r>
      <w:r>
        <w:rPr>
          <w:rFonts w:hint="eastAsia"/>
          <w:sz w:val="20"/>
          <w:szCs w:val="20"/>
        </w:rPr>
        <w:t>1号北京建工大厦A座910室</w:t>
      </w:r>
      <w:r>
        <w:rPr>
          <w:rFonts w:hint="eastAsia" w:ascii="宋体" w:hAnsi="宋体"/>
          <w:sz w:val="20"/>
          <w:szCs w:val="20"/>
        </w:rPr>
        <w:t>；邮政编码：</w:t>
      </w:r>
      <w:r>
        <w:rPr>
          <w:rFonts w:hint="eastAsia"/>
          <w:sz w:val="20"/>
          <w:szCs w:val="20"/>
        </w:rPr>
        <w:t>100055</w:t>
      </w:r>
      <w:r>
        <w:rPr>
          <w:rFonts w:hint="eastAsia" w:ascii="宋体" w:hAnsi="宋体"/>
          <w:sz w:val="20"/>
          <w:szCs w:val="20"/>
        </w:rPr>
        <w:t>）。</w:t>
      </w:r>
    </w:p>
    <w:p w14:paraId="40738FCE">
      <w:pPr>
        <w:pStyle w:val="19"/>
        <w:adjustRightInd w:val="0"/>
        <w:snapToGrid w:val="0"/>
        <w:spacing w:after="0" w:line="288" w:lineRule="auto"/>
        <w:ind w:left="0" w:leftChars="0" w:firstLine="400" w:firstLineChars="200"/>
        <w:rPr>
          <w:rFonts w:ascii="宋体" w:hAnsi="宋体"/>
          <w:sz w:val="20"/>
          <w:szCs w:val="20"/>
        </w:rPr>
      </w:pPr>
    </w:p>
    <w:p w14:paraId="01E9D3CC">
      <w:pPr>
        <w:pStyle w:val="19"/>
        <w:adjustRightInd w:val="0"/>
        <w:snapToGrid w:val="0"/>
        <w:spacing w:after="0" w:line="288" w:lineRule="auto"/>
        <w:ind w:left="0" w:leftChars="0" w:firstLine="400" w:firstLineChars="200"/>
        <w:rPr>
          <w:rFonts w:ascii="宋体" w:hAnsi="宋体"/>
          <w:sz w:val="20"/>
          <w:szCs w:val="20"/>
        </w:rPr>
      </w:pPr>
      <w:r>
        <w:rPr>
          <w:rFonts w:hint="eastAsia" w:ascii="宋体" w:hAnsi="宋体"/>
          <w:sz w:val="20"/>
          <w:szCs w:val="20"/>
        </w:rPr>
        <w:t>本规程主编单位：中国建筑科学研究院</w:t>
      </w:r>
    </w:p>
    <w:p w14:paraId="4D62BB8B">
      <w:pPr>
        <w:pStyle w:val="19"/>
        <w:adjustRightInd w:val="0"/>
        <w:snapToGrid w:val="0"/>
        <w:spacing w:after="0" w:line="288" w:lineRule="auto"/>
        <w:ind w:left="0" w:leftChars="0" w:firstLine="2002" w:firstLineChars="1001"/>
        <w:rPr>
          <w:rFonts w:ascii="宋体" w:hAnsi="宋体"/>
          <w:sz w:val="20"/>
          <w:szCs w:val="20"/>
        </w:rPr>
      </w:pPr>
      <w:r>
        <w:rPr>
          <w:rFonts w:hint="eastAsia" w:ascii="宋体" w:hAnsi="宋体"/>
          <w:sz w:val="20"/>
          <w:szCs w:val="20"/>
        </w:rPr>
        <w:t>北京市勘察设计研究院有限公司</w:t>
      </w:r>
    </w:p>
    <w:p w14:paraId="7D627143">
      <w:pPr>
        <w:pStyle w:val="19"/>
        <w:adjustRightInd w:val="0"/>
        <w:snapToGrid w:val="0"/>
        <w:spacing w:after="0" w:line="288" w:lineRule="auto"/>
        <w:ind w:left="0" w:leftChars="0" w:firstLine="2002" w:firstLineChars="1001"/>
        <w:rPr>
          <w:rFonts w:ascii="宋体" w:hAnsi="宋体"/>
          <w:sz w:val="20"/>
          <w:szCs w:val="20"/>
        </w:rPr>
      </w:pPr>
      <w:r>
        <w:rPr>
          <w:rFonts w:hint="eastAsia" w:ascii="宋体" w:hAnsi="宋体"/>
          <w:sz w:val="20"/>
          <w:szCs w:val="20"/>
        </w:rPr>
        <w:t>北京建华建材技术研究院有限公司</w:t>
      </w:r>
    </w:p>
    <w:p w14:paraId="1BE7D4A4">
      <w:pPr>
        <w:pStyle w:val="19"/>
        <w:adjustRightInd w:val="0"/>
        <w:snapToGrid w:val="0"/>
        <w:spacing w:after="0" w:line="288" w:lineRule="auto"/>
        <w:ind w:left="0" w:leftChars="0" w:firstLine="2002" w:firstLineChars="1001"/>
        <w:rPr>
          <w:rFonts w:ascii="宋体" w:hAnsi="宋体"/>
          <w:sz w:val="20"/>
          <w:szCs w:val="20"/>
        </w:rPr>
      </w:pPr>
      <w:r>
        <w:rPr>
          <w:rFonts w:hint="eastAsia" w:ascii="宋体" w:hAnsi="宋体"/>
          <w:sz w:val="20"/>
          <w:szCs w:val="20"/>
        </w:rPr>
        <w:t>北京城建科技促进会</w:t>
      </w:r>
    </w:p>
    <w:p w14:paraId="19800A9F">
      <w:pPr>
        <w:pStyle w:val="19"/>
        <w:adjustRightInd w:val="0"/>
        <w:snapToGrid w:val="0"/>
        <w:spacing w:after="0" w:line="288" w:lineRule="auto"/>
        <w:ind w:left="0" w:leftChars="0" w:firstLine="400" w:firstLineChars="200"/>
        <w:rPr>
          <w:rFonts w:ascii="宋体" w:hAnsi="宋体"/>
          <w:sz w:val="20"/>
          <w:szCs w:val="20"/>
        </w:rPr>
      </w:pPr>
      <w:r>
        <w:rPr>
          <w:rFonts w:hint="eastAsia" w:ascii="宋体" w:hAnsi="宋体"/>
          <w:sz w:val="20"/>
          <w:szCs w:val="20"/>
        </w:rPr>
        <w:t>本规程参编单位：</w:t>
      </w:r>
      <w:r>
        <w:rPr>
          <w:rFonts w:ascii="宋体" w:hAnsi="宋体"/>
          <w:sz w:val="20"/>
          <w:szCs w:val="20"/>
        </w:rPr>
        <w:t xml:space="preserve"> </w:t>
      </w:r>
    </w:p>
    <w:p w14:paraId="09BDE290">
      <w:pPr>
        <w:pStyle w:val="19"/>
        <w:adjustRightInd w:val="0"/>
        <w:snapToGrid w:val="0"/>
        <w:spacing w:after="0" w:line="288" w:lineRule="auto"/>
        <w:ind w:left="0" w:leftChars="0" w:firstLine="400" w:firstLineChars="200"/>
        <w:rPr>
          <w:rFonts w:ascii="宋体" w:hAnsi="宋体"/>
          <w:sz w:val="20"/>
          <w:szCs w:val="20"/>
        </w:rPr>
      </w:pPr>
      <w:r>
        <w:rPr>
          <w:rFonts w:hint="eastAsia" w:ascii="宋体" w:hAnsi="宋体"/>
          <w:sz w:val="20"/>
          <w:szCs w:val="20"/>
        </w:rPr>
        <w:t>本规程主要起草人员：</w:t>
      </w:r>
      <w:r>
        <w:rPr>
          <w:rFonts w:ascii="宋体" w:hAnsi="宋体"/>
          <w:sz w:val="20"/>
          <w:szCs w:val="20"/>
        </w:rPr>
        <w:t xml:space="preserve"> </w:t>
      </w:r>
    </w:p>
    <w:p w14:paraId="61E96A06">
      <w:pPr>
        <w:pStyle w:val="19"/>
        <w:adjustRightInd w:val="0"/>
        <w:snapToGrid w:val="0"/>
        <w:spacing w:after="0" w:line="288" w:lineRule="auto"/>
        <w:ind w:left="0" w:leftChars="0" w:firstLine="378" w:firstLineChars="189"/>
        <w:rPr>
          <w:rFonts w:ascii="宋体" w:hAnsi="宋体"/>
          <w:sz w:val="20"/>
          <w:szCs w:val="20"/>
        </w:rPr>
      </w:pPr>
      <w:r>
        <w:rPr>
          <w:rFonts w:hint="eastAsia" w:ascii="宋体" w:hAnsi="宋体"/>
          <w:sz w:val="20"/>
          <w:szCs w:val="20"/>
        </w:rPr>
        <w:t>本规程主要审查人员：</w:t>
      </w:r>
    </w:p>
    <w:p w14:paraId="26B0C2A8">
      <w:pPr>
        <w:pStyle w:val="19"/>
        <w:adjustRightInd w:val="0"/>
        <w:snapToGrid w:val="0"/>
        <w:spacing w:after="0" w:line="288" w:lineRule="auto"/>
        <w:ind w:left="0" w:leftChars="0"/>
        <w:jc w:val="center"/>
        <w:rPr>
          <w:rFonts w:ascii="仿宋_GB2312" w:hAnsi="宋体" w:eastAsia="仿宋_GB2312"/>
          <w:sz w:val="28"/>
          <w:szCs w:val="28"/>
        </w:rPr>
      </w:pPr>
    </w:p>
    <w:p w14:paraId="389258C2">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344AE38A">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2AF6BC15">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0D80E4D3">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6EDBEC40">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37D2C208">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6EBEED3A">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60EA305C">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0E85821D">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6D3BBF2F">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30EB21AB">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42833204">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58E23BD9">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272A1B9B">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227018D9">
      <w:pPr>
        <w:pStyle w:val="19"/>
        <w:adjustRightInd w:val="0"/>
        <w:snapToGrid w:val="0"/>
        <w:spacing w:after="0" w:line="288" w:lineRule="auto"/>
        <w:ind w:left="0" w:leftChars="0"/>
        <w:jc w:val="center"/>
        <w:rPr>
          <w:rFonts w:ascii="仿宋_GB2312" w:hAnsi="宋体" w:eastAsia="仿宋_GB2312"/>
          <w:sz w:val="28"/>
          <w:szCs w:val="28"/>
          <w:highlight w:val="yellow"/>
        </w:rPr>
      </w:pPr>
    </w:p>
    <w:p w14:paraId="220C33B0">
      <w:pPr>
        <w:pStyle w:val="19"/>
        <w:adjustRightInd w:val="0"/>
        <w:snapToGrid w:val="0"/>
        <w:spacing w:after="0" w:line="288" w:lineRule="auto"/>
        <w:ind w:left="0" w:leftChars="0"/>
        <w:jc w:val="center"/>
        <w:rPr>
          <w:rFonts w:ascii="仿宋_GB2312" w:hAnsi="宋体" w:eastAsia="仿宋_GB2312"/>
          <w:sz w:val="28"/>
          <w:szCs w:val="28"/>
          <w:highlight w:val="yellow"/>
        </w:rPr>
      </w:pPr>
    </w:p>
    <w:sdt>
      <w:sdtPr>
        <w:rPr>
          <w:highlight w:val="yellow"/>
          <w:lang w:val="zh-CN"/>
        </w:rPr>
        <w:id w:val="655188969"/>
        <w:docPartObj>
          <w:docPartGallery w:val="Table of Contents"/>
          <w:docPartUnique/>
        </w:docPartObj>
      </w:sdtPr>
      <w:sdtEndPr>
        <w:rPr>
          <w:b/>
          <w:bCs/>
          <w:highlight w:val="yellow"/>
          <w:lang w:val="zh-CN"/>
        </w:rPr>
      </w:sdtEndPr>
      <w:sdtContent>
        <w:p w14:paraId="3B366A20">
          <w:pPr>
            <w:pStyle w:val="19"/>
            <w:adjustRightInd w:val="0"/>
            <w:snapToGrid w:val="0"/>
            <w:spacing w:after="0" w:line="240" w:lineRule="auto"/>
            <w:ind w:left="0" w:leftChars="0"/>
            <w:rPr>
              <w:rFonts w:ascii="仿宋_GB2312" w:hAnsi="宋体" w:eastAsia="仿宋_GB2312"/>
              <w:sz w:val="28"/>
              <w:szCs w:val="28"/>
              <w:highlight w:val="yellow"/>
            </w:rPr>
          </w:pPr>
        </w:p>
        <w:p w14:paraId="188E07CD">
          <w:pPr>
            <w:pStyle w:val="19"/>
            <w:adjustRightInd w:val="0"/>
            <w:snapToGrid w:val="0"/>
            <w:spacing w:after="240" w:afterLines="100" w:line="288" w:lineRule="auto"/>
            <w:ind w:left="0" w:leftChars="0"/>
            <w:jc w:val="center"/>
            <w:rPr>
              <w:rFonts w:ascii="仿宋_GB2312" w:hAnsi="宋体" w:eastAsia="仿宋_GB2312"/>
              <w:sz w:val="28"/>
              <w:szCs w:val="28"/>
            </w:rPr>
          </w:pPr>
          <w:r>
            <w:rPr>
              <w:rFonts w:hint="eastAsia" w:ascii="宋体" w:hAnsi="宋体" w:cs="宋体"/>
              <w:b/>
              <w:bCs/>
              <w:sz w:val="28"/>
              <w:szCs w:val="28"/>
            </w:rPr>
            <w:t>目    次</w:t>
          </w:r>
        </w:p>
        <w:p w14:paraId="39F661B3">
          <w:pPr>
            <w:pStyle w:val="28"/>
            <w:jc w:val="center"/>
            <w:rPr>
              <w:rFonts w:eastAsiaTheme="minorEastAsia"/>
              <w:szCs w:val="22"/>
              <w14:ligatures w14:val="standardContextual"/>
            </w:rPr>
          </w:pPr>
          <w:r>
            <w:rPr>
              <w:rFonts w:eastAsiaTheme="minorEastAsia"/>
              <w:highlight w:val="yellow"/>
            </w:rPr>
            <w:fldChar w:fldCharType="begin"/>
          </w:r>
          <w:r>
            <w:rPr>
              <w:rFonts w:eastAsiaTheme="minorEastAsia"/>
              <w:highlight w:val="yellow"/>
            </w:rPr>
            <w:instrText xml:space="preserve"> TOC \o "1-3" \h \z \u </w:instrText>
          </w:r>
          <w:r>
            <w:rPr>
              <w:rFonts w:eastAsiaTheme="minorEastAsia"/>
              <w:highlight w:val="yellow"/>
            </w:rPr>
            <w:fldChar w:fldCharType="separate"/>
          </w:r>
          <w:r>
            <w:fldChar w:fldCharType="begin"/>
          </w:r>
          <w:r>
            <w:instrText xml:space="preserve"> HYPERLINK \l "_Toc139613702" </w:instrText>
          </w:r>
          <w:r>
            <w:fldChar w:fldCharType="separate"/>
          </w:r>
          <w:r>
            <w:rPr>
              <w:rStyle w:val="41"/>
              <w:rFonts w:eastAsiaTheme="minorEastAsia"/>
            </w:rPr>
            <w:t>1  总    则</w:t>
          </w:r>
          <w:r>
            <w:rPr>
              <w:rFonts w:eastAsiaTheme="minorEastAsia"/>
            </w:rPr>
            <w:tab/>
          </w:r>
          <w:r>
            <w:rPr>
              <w:rFonts w:eastAsiaTheme="minorEastAsia"/>
            </w:rPr>
            <w:fldChar w:fldCharType="begin"/>
          </w:r>
          <w:r>
            <w:rPr>
              <w:rFonts w:eastAsiaTheme="minorEastAsia"/>
            </w:rPr>
            <w:instrText xml:space="preserve"> PAGEREF _Toc139613702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14:paraId="21579A94">
          <w:pPr>
            <w:pStyle w:val="28"/>
            <w:jc w:val="center"/>
            <w:rPr>
              <w:rFonts w:eastAsiaTheme="minorEastAsia"/>
              <w:szCs w:val="22"/>
              <w14:ligatures w14:val="standardContextual"/>
            </w:rPr>
          </w:pPr>
          <w:r>
            <w:fldChar w:fldCharType="begin"/>
          </w:r>
          <w:r>
            <w:instrText xml:space="preserve"> HYPERLINK \l "_Toc139613703" </w:instrText>
          </w:r>
          <w:r>
            <w:fldChar w:fldCharType="separate"/>
          </w:r>
          <w:r>
            <w:rPr>
              <w:rStyle w:val="41"/>
              <w:rFonts w:eastAsiaTheme="minorEastAsia"/>
            </w:rPr>
            <w:t>2  术语和符号</w:t>
          </w:r>
          <w:r>
            <w:rPr>
              <w:rFonts w:eastAsiaTheme="minorEastAsia"/>
            </w:rPr>
            <w:tab/>
          </w:r>
          <w:r>
            <w:rPr>
              <w:rFonts w:eastAsiaTheme="minorEastAsia"/>
            </w:rPr>
            <w:fldChar w:fldCharType="begin"/>
          </w:r>
          <w:r>
            <w:rPr>
              <w:rFonts w:eastAsiaTheme="minorEastAsia"/>
            </w:rPr>
            <w:instrText xml:space="preserve"> PAGEREF _Toc139613703 \h </w:instrText>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end"/>
          </w:r>
        </w:p>
        <w:p w14:paraId="4D296EC9">
          <w:pPr>
            <w:pStyle w:val="15"/>
            <w:spacing w:line="240" w:lineRule="auto"/>
            <w:jc w:val="center"/>
            <w:rPr>
              <w:rFonts w:eastAsiaTheme="minorEastAsia"/>
              <w:szCs w:val="22"/>
              <w14:ligatures w14:val="standardContextual"/>
            </w:rPr>
          </w:pPr>
          <w:r>
            <w:fldChar w:fldCharType="begin"/>
          </w:r>
          <w:r>
            <w:instrText xml:space="preserve"> HYPERLINK \l "_Toc139613704" </w:instrText>
          </w:r>
          <w:r>
            <w:fldChar w:fldCharType="separate"/>
          </w:r>
          <w:r>
            <w:rPr>
              <w:rStyle w:val="41"/>
              <w:rFonts w:eastAsiaTheme="minorEastAsia"/>
            </w:rPr>
            <w:t>2.1  术    语</w:t>
          </w:r>
          <w:r>
            <w:rPr>
              <w:rFonts w:eastAsiaTheme="minorEastAsia"/>
            </w:rPr>
            <w:tab/>
          </w:r>
          <w:r>
            <w:rPr>
              <w:rFonts w:eastAsiaTheme="minorEastAsia"/>
            </w:rPr>
            <w:fldChar w:fldCharType="begin"/>
          </w:r>
          <w:r>
            <w:rPr>
              <w:rFonts w:eastAsiaTheme="minorEastAsia"/>
            </w:rPr>
            <w:instrText xml:space="preserve"> PAGEREF _Toc139613704 \h </w:instrText>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end"/>
          </w:r>
        </w:p>
        <w:p w14:paraId="236C52F1">
          <w:pPr>
            <w:pStyle w:val="15"/>
            <w:spacing w:line="240" w:lineRule="auto"/>
            <w:jc w:val="center"/>
            <w:rPr>
              <w:rFonts w:eastAsiaTheme="minorEastAsia"/>
              <w:szCs w:val="22"/>
              <w14:ligatures w14:val="standardContextual"/>
            </w:rPr>
          </w:pPr>
          <w:r>
            <w:fldChar w:fldCharType="begin"/>
          </w:r>
          <w:r>
            <w:instrText xml:space="preserve"> HYPERLINK \l "_Toc139613705" </w:instrText>
          </w:r>
          <w:r>
            <w:fldChar w:fldCharType="separate"/>
          </w:r>
          <w:r>
            <w:rPr>
              <w:rStyle w:val="41"/>
              <w:rFonts w:eastAsiaTheme="minorEastAsia"/>
            </w:rPr>
            <w:t>2.2  符    号</w:t>
          </w:r>
          <w:r>
            <w:rPr>
              <w:rFonts w:eastAsiaTheme="minorEastAsia"/>
            </w:rPr>
            <w:tab/>
          </w:r>
          <w:r>
            <w:rPr>
              <w:rFonts w:eastAsiaTheme="minorEastAsia"/>
            </w:rPr>
            <w:fldChar w:fldCharType="begin"/>
          </w:r>
          <w:r>
            <w:rPr>
              <w:rFonts w:eastAsiaTheme="minorEastAsia"/>
            </w:rPr>
            <w:instrText xml:space="preserve"> PAGEREF _Toc139613705 \h </w:instrText>
          </w:r>
          <w:r>
            <w:rPr>
              <w:rFonts w:eastAsiaTheme="minorEastAsia"/>
            </w:rPr>
            <w:fldChar w:fldCharType="separate"/>
          </w:r>
          <w:r>
            <w:rPr>
              <w:rFonts w:eastAsiaTheme="minorEastAsia"/>
            </w:rPr>
            <w:t>3</w:t>
          </w:r>
          <w:r>
            <w:rPr>
              <w:rFonts w:eastAsiaTheme="minorEastAsia"/>
            </w:rPr>
            <w:fldChar w:fldCharType="end"/>
          </w:r>
          <w:r>
            <w:rPr>
              <w:rFonts w:eastAsiaTheme="minorEastAsia"/>
            </w:rPr>
            <w:fldChar w:fldCharType="end"/>
          </w:r>
        </w:p>
        <w:p w14:paraId="05BAEE7B">
          <w:pPr>
            <w:pStyle w:val="28"/>
            <w:jc w:val="center"/>
            <w:rPr>
              <w:rFonts w:eastAsiaTheme="minorEastAsia"/>
              <w:szCs w:val="22"/>
              <w14:ligatures w14:val="standardContextual"/>
            </w:rPr>
          </w:pPr>
          <w:r>
            <w:fldChar w:fldCharType="begin"/>
          </w:r>
          <w:r>
            <w:instrText xml:space="preserve"> HYPERLINK \l "_Toc139613706" </w:instrText>
          </w:r>
          <w:r>
            <w:fldChar w:fldCharType="separate"/>
          </w:r>
          <w:r>
            <w:rPr>
              <w:rStyle w:val="41"/>
              <w:rFonts w:eastAsiaTheme="minorEastAsia"/>
            </w:rPr>
            <w:t>3  基本规定</w:t>
          </w:r>
          <w:r>
            <w:rPr>
              <w:rFonts w:eastAsiaTheme="minorEastAsia"/>
            </w:rPr>
            <w:tab/>
          </w:r>
          <w:r>
            <w:rPr>
              <w:rFonts w:eastAsiaTheme="minorEastAsia"/>
            </w:rPr>
            <w:fldChar w:fldCharType="begin"/>
          </w:r>
          <w:r>
            <w:rPr>
              <w:rFonts w:eastAsiaTheme="minorEastAsia"/>
            </w:rPr>
            <w:instrText xml:space="preserve"> PAGEREF _Toc139613706 \h </w:instrText>
          </w:r>
          <w:r>
            <w:rPr>
              <w:rFonts w:eastAsiaTheme="minorEastAsia"/>
            </w:rPr>
            <w:fldChar w:fldCharType="separate"/>
          </w:r>
          <w:r>
            <w:rPr>
              <w:rFonts w:eastAsiaTheme="minorEastAsia"/>
            </w:rPr>
            <w:t>5</w:t>
          </w:r>
          <w:r>
            <w:rPr>
              <w:rFonts w:eastAsiaTheme="minorEastAsia"/>
            </w:rPr>
            <w:fldChar w:fldCharType="end"/>
          </w:r>
          <w:r>
            <w:rPr>
              <w:rFonts w:eastAsiaTheme="minorEastAsia"/>
            </w:rPr>
            <w:fldChar w:fldCharType="end"/>
          </w:r>
        </w:p>
        <w:p w14:paraId="30D2E37D">
          <w:pPr>
            <w:pStyle w:val="15"/>
            <w:spacing w:line="240" w:lineRule="auto"/>
            <w:jc w:val="center"/>
            <w:rPr>
              <w:rFonts w:eastAsiaTheme="minorEastAsia"/>
              <w:szCs w:val="22"/>
              <w14:ligatures w14:val="standardContextual"/>
            </w:rPr>
          </w:pPr>
          <w:r>
            <w:fldChar w:fldCharType="begin"/>
          </w:r>
          <w:r>
            <w:instrText xml:space="preserve"> HYPERLINK \l "_Toc139613707" </w:instrText>
          </w:r>
          <w:r>
            <w:fldChar w:fldCharType="separate"/>
          </w:r>
          <w:r>
            <w:rPr>
              <w:rStyle w:val="41"/>
              <w:rFonts w:eastAsiaTheme="minorEastAsia"/>
            </w:rPr>
            <w:t>3.1  设计原则</w:t>
          </w:r>
          <w:r>
            <w:rPr>
              <w:rFonts w:eastAsiaTheme="minorEastAsia"/>
            </w:rPr>
            <w:tab/>
          </w:r>
          <w:r>
            <w:rPr>
              <w:rFonts w:eastAsiaTheme="minorEastAsia"/>
            </w:rPr>
            <w:fldChar w:fldCharType="begin"/>
          </w:r>
          <w:r>
            <w:rPr>
              <w:rFonts w:eastAsiaTheme="minorEastAsia"/>
            </w:rPr>
            <w:instrText xml:space="preserve"> PAGEREF _Toc139613707 \h </w:instrText>
          </w:r>
          <w:r>
            <w:rPr>
              <w:rFonts w:eastAsiaTheme="minorEastAsia"/>
            </w:rPr>
            <w:fldChar w:fldCharType="separate"/>
          </w:r>
          <w:r>
            <w:rPr>
              <w:rFonts w:eastAsiaTheme="minorEastAsia"/>
            </w:rPr>
            <w:t>5</w:t>
          </w:r>
          <w:r>
            <w:rPr>
              <w:rFonts w:eastAsiaTheme="minorEastAsia"/>
            </w:rPr>
            <w:fldChar w:fldCharType="end"/>
          </w:r>
          <w:r>
            <w:rPr>
              <w:rFonts w:eastAsiaTheme="minorEastAsia"/>
            </w:rPr>
            <w:fldChar w:fldCharType="end"/>
          </w:r>
        </w:p>
        <w:p w14:paraId="307EB25A">
          <w:pPr>
            <w:pStyle w:val="15"/>
            <w:spacing w:line="240" w:lineRule="auto"/>
            <w:jc w:val="center"/>
            <w:rPr>
              <w:rFonts w:eastAsiaTheme="minorEastAsia"/>
              <w:szCs w:val="22"/>
              <w14:ligatures w14:val="standardContextual"/>
            </w:rPr>
          </w:pPr>
          <w:r>
            <w:fldChar w:fldCharType="begin"/>
          </w:r>
          <w:r>
            <w:instrText xml:space="preserve"> HYPERLINK \l "_Toc139613708" </w:instrText>
          </w:r>
          <w:r>
            <w:fldChar w:fldCharType="separate"/>
          </w:r>
          <w:r>
            <w:rPr>
              <w:rStyle w:val="41"/>
              <w:rFonts w:eastAsiaTheme="minorEastAsia"/>
            </w:rPr>
            <w:t>3.2  支护结构选型</w:t>
          </w:r>
          <w:r>
            <w:rPr>
              <w:rFonts w:eastAsiaTheme="minorEastAsia"/>
            </w:rPr>
            <w:tab/>
          </w:r>
          <w:r>
            <w:rPr>
              <w:rFonts w:eastAsiaTheme="minorEastAsia"/>
            </w:rPr>
            <w:fldChar w:fldCharType="begin"/>
          </w:r>
          <w:r>
            <w:rPr>
              <w:rFonts w:eastAsiaTheme="minorEastAsia"/>
            </w:rPr>
            <w:instrText xml:space="preserve"> PAGEREF _Toc139613708 \h </w:instrText>
          </w:r>
          <w:r>
            <w:rPr>
              <w:rFonts w:eastAsiaTheme="minorEastAsia"/>
            </w:rPr>
            <w:fldChar w:fldCharType="separate"/>
          </w:r>
          <w:r>
            <w:rPr>
              <w:rFonts w:eastAsiaTheme="minorEastAsia"/>
            </w:rPr>
            <w:t>7</w:t>
          </w:r>
          <w:r>
            <w:rPr>
              <w:rFonts w:eastAsiaTheme="minorEastAsia"/>
            </w:rPr>
            <w:fldChar w:fldCharType="end"/>
          </w:r>
          <w:r>
            <w:rPr>
              <w:rFonts w:eastAsiaTheme="minorEastAsia"/>
            </w:rPr>
            <w:fldChar w:fldCharType="end"/>
          </w:r>
        </w:p>
        <w:p w14:paraId="4F3F5109">
          <w:pPr>
            <w:pStyle w:val="15"/>
            <w:spacing w:line="240" w:lineRule="auto"/>
            <w:jc w:val="center"/>
            <w:rPr>
              <w:rFonts w:eastAsiaTheme="minorEastAsia"/>
              <w:szCs w:val="22"/>
              <w14:ligatures w14:val="standardContextual"/>
            </w:rPr>
          </w:pPr>
          <w:r>
            <w:fldChar w:fldCharType="begin"/>
          </w:r>
          <w:r>
            <w:instrText xml:space="preserve"> HYPERLINK \l "_Toc139613709" </w:instrText>
          </w:r>
          <w:r>
            <w:fldChar w:fldCharType="separate"/>
          </w:r>
          <w:r>
            <w:rPr>
              <w:rStyle w:val="41"/>
              <w:rFonts w:eastAsiaTheme="minorEastAsia"/>
            </w:rPr>
            <w:t>3.3  水平荷载</w:t>
          </w:r>
          <w:r>
            <w:rPr>
              <w:rFonts w:eastAsiaTheme="minorEastAsia"/>
            </w:rPr>
            <w:tab/>
          </w:r>
          <w:r>
            <w:rPr>
              <w:rFonts w:eastAsiaTheme="minorEastAsia"/>
            </w:rPr>
            <w:fldChar w:fldCharType="begin"/>
          </w:r>
          <w:r>
            <w:rPr>
              <w:rFonts w:eastAsiaTheme="minorEastAsia"/>
            </w:rPr>
            <w:instrText xml:space="preserve"> PAGEREF _Toc139613709 \h </w:instrText>
          </w:r>
          <w:r>
            <w:rPr>
              <w:rFonts w:eastAsiaTheme="minorEastAsia"/>
            </w:rPr>
            <w:fldChar w:fldCharType="separate"/>
          </w:r>
          <w:r>
            <w:rPr>
              <w:rFonts w:eastAsiaTheme="minorEastAsia"/>
            </w:rPr>
            <w:t>8</w:t>
          </w:r>
          <w:r>
            <w:rPr>
              <w:rFonts w:eastAsiaTheme="minorEastAsia"/>
            </w:rPr>
            <w:fldChar w:fldCharType="end"/>
          </w:r>
          <w:r>
            <w:rPr>
              <w:rFonts w:eastAsiaTheme="minorEastAsia"/>
            </w:rPr>
            <w:fldChar w:fldCharType="end"/>
          </w:r>
        </w:p>
        <w:p w14:paraId="54054555">
          <w:pPr>
            <w:pStyle w:val="15"/>
            <w:spacing w:line="240" w:lineRule="auto"/>
            <w:jc w:val="center"/>
            <w:rPr>
              <w:rFonts w:eastAsiaTheme="minorEastAsia"/>
              <w:szCs w:val="22"/>
              <w14:ligatures w14:val="standardContextual"/>
            </w:rPr>
          </w:pPr>
          <w:r>
            <w:fldChar w:fldCharType="begin"/>
          </w:r>
          <w:r>
            <w:instrText xml:space="preserve"> HYPERLINK \l "_Toc139613710" </w:instrText>
          </w:r>
          <w:r>
            <w:fldChar w:fldCharType="separate"/>
          </w:r>
          <w:r>
            <w:rPr>
              <w:rStyle w:val="41"/>
              <w:rFonts w:eastAsiaTheme="minorEastAsia"/>
            </w:rPr>
            <w:t>3.4  质量检测</w:t>
          </w:r>
          <w:r>
            <w:rPr>
              <w:rFonts w:eastAsiaTheme="minorEastAsia"/>
            </w:rPr>
            <w:tab/>
          </w:r>
          <w:r>
            <w:rPr>
              <w:rFonts w:eastAsiaTheme="minorEastAsia"/>
            </w:rPr>
            <w:fldChar w:fldCharType="begin"/>
          </w:r>
          <w:r>
            <w:rPr>
              <w:rFonts w:eastAsiaTheme="minorEastAsia"/>
            </w:rPr>
            <w:instrText xml:space="preserve"> PAGEREF _Toc139613710 \h </w:instrText>
          </w:r>
          <w:r>
            <w:rPr>
              <w:rFonts w:eastAsiaTheme="minorEastAsia"/>
            </w:rPr>
            <w:fldChar w:fldCharType="separate"/>
          </w:r>
          <w:r>
            <w:rPr>
              <w:rFonts w:eastAsiaTheme="minorEastAsia"/>
            </w:rPr>
            <w:t>11</w:t>
          </w:r>
          <w:r>
            <w:rPr>
              <w:rFonts w:eastAsiaTheme="minorEastAsia"/>
            </w:rPr>
            <w:fldChar w:fldCharType="end"/>
          </w:r>
          <w:r>
            <w:rPr>
              <w:rFonts w:eastAsiaTheme="minorEastAsia"/>
            </w:rPr>
            <w:fldChar w:fldCharType="end"/>
          </w:r>
        </w:p>
        <w:p w14:paraId="1ADFC0CE">
          <w:pPr>
            <w:pStyle w:val="28"/>
            <w:jc w:val="center"/>
            <w:rPr>
              <w:rFonts w:eastAsiaTheme="minorEastAsia"/>
              <w:szCs w:val="22"/>
              <w14:ligatures w14:val="standardContextual"/>
            </w:rPr>
          </w:pPr>
          <w:r>
            <w:fldChar w:fldCharType="begin"/>
          </w:r>
          <w:r>
            <w:instrText xml:space="preserve"> HYPERLINK \l "_Toc139613711" </w:instrText>
          </w:r>
          <w:r>
            <w:fldChar w:fldCharType="separate"/>
          </w:r>
          <w:r>
            <w:rPr>
              <w:rStyle w:val="41"/>
              <w:rFonts w:eastAsiaTheme="minorEastAsia"/>
            </w:rPr>
            <w:t>4  勘察与周边环境调查</w:t>
          </w:r>
          <w:r>
            <w:rPr>
              <w:rFonts w:eastAsiaTheme="minorEastAsia"/>
            </w:rPr>
            <w:tab/>
          </w:r>
          <w:r>
            <w:rPr>
              <w:rFonts w:eastAsiaTheme="minorEastAsia"/>
            </w:rPr>
            <w:fldChar w:fldCharType="begin"/>
          </w:r>
          <w:r>
            <w:rPr>
              <w:rFonts w:eastAsiaTheme="minorEastAsia"/>
            </w:rPr>
            <w:instrText xml:space="preserve"> PAGEREF _Toc139613711 \h </w:instrText>
          </w:r>
          <w:r>
            <w:rPr>
              <w:rFonts w:eastAsiaTheme="minorEastAsia"/>
            </w:rPr>
            <w:fldChar w:fldCharType="separate"/>
          </w:r>
          <w:r>
            <w:rPr>
              <w:rFonts w:eastAsiaTheme="minorEastAsia"/>
            </w:rPr>
            <w:t>13</w:t>
          </w:r>
          <w:r>
            <w:rPr>
              <w:rFonts w:eastAsiaTheme="minorEastAsia"/>
            </w:rPr>
            <w:fldChar w:fldCharType="end"/>
          </w:r>
          <w:r>
            <w:rPr>
              <w:rFonts w:eastAsiaTheme="minorEastAsia"/>
            </w:rPr>
            <w:fldChar w:fldCharType="end"/>
          </w:r>
        </w:p>
        <w:p w14:paraId="78285EE9">
          <w:pPr>
            <w:pStyle w:val="15"/>
            <w:spacing w:line="240" w:lineRule="auto"/>
            <w:jc w:val="center"/>
            <w:rPr>
              <w:rFonts w:eastAsiaTheme="minorEastAsia"/>
              <w:szCs w:val="22"/>
              <w14:ligatures w14:val="standardContextual"/>
            </w:rPr>
          </w:pPr>
          <w:r>
            <w:fldChar w:fldCharType="begin"/>
          </w:r>
          <w:r>
            <w:instrText xml:space="preserve"> HYPERLINK \l "_Toc139613712" </w:instrText>
          </w:r>
          <w:r>
            <w:fldChar w:fldCharType="separate"/>
          </w:r>
          <w:r>
            <w:rPr>
              <w:rStyle w:val="41"/>
              <w:rFonts w:eastAsiaTheme="minorEastAsia"/>
            </w:rPr>
            <w:t>4.1 一般规定</w:t>
          </w:r>
          <w:r>
            <w:rPr>
              <w:rFonts w:eastAsiaTheme="minorEastAsia"/>
            </w:rPr>
            <w:tab/>
          </w:r>
          <w:r>
            <w:rPr>
              <w:rFonts w:eastAsiaTheme="minorEastAsia"/>
            </w:rPr>
            <w:fldChar w:fldCharType="begin"/>
          </w:r>
          <w:r>
            <w:rPr>
              <w:rFonts w:eastAsiaTheme="minorEastAsia"/>
            </w:rPr>
            <w:instrText xml:space="preserve"> PAGEREF _Toc139613712 \h </w:instrText>
          </w:r>
          <w:r>
            <w:rPr>
              <w:rFonts w:eastAsiaTheme="minorEastAsia"/>
            </w:rPr>
            <w:fldChar w:fldCharType="separate"/>
          </w:r>
          <w:r>
            <w:rPr>
              <w:rFonts w:eastAsiaTheme="minorEastAsia"/>
            </w:rPr>
            <w:t>13</w:t>
          </w:r>
          <w:r>
            <w:rPr>
              <w:rFonts w:eastAsiaTheme="minorEastAsia"/>
            </w:rPr>
            <w:fldChar w:fldCharType="end"/>
          </w:r>
          <w:r>
            <w:rPr>
              <w:rFonts w:eastAsiaTheme="minorEastAsia"/>
            </w:rPr>
            <w:fldChar w:fldCharType="end"/>
          </w:r>
        </w:p>
        <w:p w14:paraId="10CFE1A8">
          <w:pPr>
            <w:pStyle w:val="15"/>
            <w:spacing w:line="240" w:lineRule="auto"/>
            <w:jc w:val="center"/>
            <w:rPr>
              <w:rFonts w:eastAsiaTheme="minorEastAsia"/>
              <w:szCs w:val="22"/>
              <w14:ligatures w14:val="standardContextual"/>
            </w:rPr>
          </w:pPr>
          <w:r>
            <w:fldChar w:fldCharType="begin"/>
          </w:r>
          <w:r>
            <w:instrText xml:space="preserve"> HYPERLINK \l "_Toc139613713" </w:instrText>
          </w:r>
          <w:r>
            <w:fldChar w:fldCharType="separate"/>
          </w:r>
          <w:r>
            <w:rPr>
              <w:rStyle w:val="41"/>
              <w:rFonts w:eastAsiaTheme="minorEastAsia"/>
            </w:rPr>
            <w:t>4.2 勘察</w:t>
          </w:r>
          <w:r>
            <w:rPr>
              <w:rFonts w:eastAsiaTheme="minorEastAsia"/>
            </w:rPr>
            <w:tab/>
          </w:r>
          <w:r>
            <w:rPr>
              <w:rFonts w:eastAsiaTheme="minorEastAsia"/>
            </w:rPr>
            <w:fldChar w:fldCharType="begin"/>
          </w:r>
          <w:r>
            <w:rPr>
              <w:rFonts w:eastAsiaTheme="minorEastAsia"/>
            </w:rPr>
            <w:instrText xml:space="preserve"> PAGEREF _Toc139613713 \h </w:instrText>
          </w:r>
          <w:r>
            <w:rPr>
              <w:rFonts w:eastAsiaTheme="minorEastAsia"/>
            </w:rPr>
            <w:fldChar w:fldCharType="separate"/>
          </w:r>
          <w:r>
            <w:rPr>
              <w:rFonts w:eastAsiaTheme="minorEastAsia"/>
            </w:rPr>
            <w:t>13</w:t>
          </w:r>
          <w:r>
            <w:rPr>
              <w:rFonts w:eastAsiaTheme="minorEastAsia"/>
            </w:rPr>
            <w:fldChar w:fldCharType="end"/>
          </w:r>
          <w:r>
            <w:rPr>
              <w:rFonts w:eastAsiaTheme="minorEastAsia"/>
            </w:rPr>
            <w:fldChar w:fldCharType="end"/>
          </w:r>
        </w:p>
        <w:p w14:paraId="4E0820F0">
          <w:pPr>
            <w:pStyle w:val="15"/>
            <w:spacing w:line="240" w:lineRule="auto"/>
            <w:jc w:val="center"/>
            <w:rPr>
              <w:rFonts w:eastAsiaTheme="minorEastAsia"/>
              <w:szCs w:val="22"/>
              <w14:ligatures w14:val="standardContextual"/>
            </w:rPr>
          </w:pPr>
          <w:r>
            <w:fldChar w:fldCharType="begin"/>
          </w:r>
          <w:r>
            <w:instrText xml:space="preserve"> HYPERLINK \l "_Toc139613714" </w:instrText>
          </w:r>
          <w:r>
            <w:fldChar w:fldCharType="separate"/>
          </w:r>
          <w:r>
            <w:rPr>
              <w:rStyle w:val="41"/>
              <w:rFonts w:eastAsiaTheme="minorEastAsia"/>
            </w:rPr>
            <w:t>4.3 周边环境调查</w:t>
          </w:r>
          <w:r>
            <w:rPr>
              <w:rFonts w:eastAsiaTheme="minorEastAsia"/>
            </w:rPr>
            <w:tab/>
          </w:r>
          <w:r>
            <w:rPr>
              <w:rFonts w:eastAsiaTheme="minorEastAsia"/>
            </w:rPr>
            <w:fldChar w:fldCharType="begin"/>
          </w:r>
          <w:r>
            <w:rPr>
              <w:rFonts w:eastAsiaTheme="minorEastAsia"/>
            </w:rPr>
            <w:instrText xml:space="preserve"> PAGEREF _Toc139613714 \h </w:instrText>
          </w:r>
          <w:r>
            <w:rPr>
              <w:rFonts w:eastAsiaTheme="minorEastAsia"/>
            </w:rPr>
            <w:fldChar w:fldCharType="separate"/>
          </w:r>
          <w:r>
            <w:rPr>
              <w:rFonts w:eastAsiaTheme="minorEastAsia"/>
            </w:rPr>
            <w:t>14</w:t>
          </w:r>
          <w:r>
            <w:rPr>
              <w:rFonts w:eastAsiaTheme="minorEastAsia"/>
            </w:rPr>
            <w:fldChar w:fldCharType="end"/>
          </w:r>
          <w:r>
            <w:rPr>
              <w:rFonts w:eastAsiaTheme="minorEastAsia"/>
            </w:rPr>
            <w:fldChar w:fldCharType="end"/>
          </w:r>
        </w:p>
        <w:p w14:paraId="692FEDA2">
          <w:pPr>
            <w:pStyle w:val="28"/>
            <w:jc w:val="center"/>
            <w:rPr>
              <w:rFonts w:eastAsiaTheme="minorEastAsia"/>
              <w:szCs w:val="22"/>
              <w14:ligatures w14:val="standardContextual"/>
            </w:rPr>
          </w:pPr>
          <w:r>
            <w:fldChar w:fldCharType="begin"/>
          </w:r>
          <w:r>
            <w:instrText xml:space="preserve"> HYPERLINK \l "_Toc139613715" </w:instrText>
          </w:r>
          <w:r>
            <w:fldChar w:fldCharType="separate"/>
          </w:r>
          <w:r>
            <w:rPr>
              <w:rStyle w:val="41"/>
              <w:rFonts w:eastAsiaTheme="minorEastAsia"/>
            </w:rPr>
            <w:t>5  地下水控制</w:t>
          </w:r>
          <w:r>
            <w:rPr>
              <w:rFonts w:eastAsiaTheme="minorEastAsia"/>
            </w:rPr>
            <w:tab/>
          </w:r>
          <w:r>
            <w:rPr>
              <w:rFonts w:eastAsiaTheme="minorEastAsia"/>
            </w:rPr>
            <w:fldChar w:fldCharType="begin"/>
          </w:r>
          <w:r>
            <w:rPr>
              <w:rFonts w:eastAsiaTheme="minorEastAsia"/>
            </w:rPr>
            <w:instrText xml:space="preserve"> PAGEREF _Toc139613715 \h </w:instrText>
          </w:r>
          <w:r>
            <w:rPr>
              <w:rFonts w:eastAsiaTheme="minorEastAsia"/>
            </w:rPr>
            <w:fldChar w:fldCharType="separate"/>
          </w:r>
          <w:r>
            <w:rPr>
              <w:rFonts w:eastAsiaTheme="minorEastAsia"/>
            </w:rPr>
            <w:t>15</w:t>
          </w:r>
          <w:r>
            <w:rPr>
              <w:rFonts w:eastAsiaTheme="minorEastAsia"/>
            </w:rPr>
            <w:fldChar w:fldCharType="end"/>
          </w:r>
          <w:r>
            <w:rPr>
              <w:rFonts w:eastAsiaTheme="minorEastAsia"/>
            </w:rPr>
            <w:fldChar w:fldCharType="end"/>
          </w:r>
        </w:p>
        <w:p w14:paraId="4631082F">
          <w:pPr>
            <w:pStyle w:val="15"/>
            <w:spacing w:line="240" w:lineRule="auto"/>
            <w:jc w:val="center"/>
            <w:rPr>
              <w:rFonts w:eastAsiaTheme="minorEastAsia"/>
              <w:szCs w:val="22"/>
              <w14:ligatures w14:val="standardContextual"/>
            </w:rPr>
          </w:pPr>
          <w:r>
            <w:fldChar w:fldCharType="begin"/>
          </w:r>
          <w:r>
            <w:instrText xml:space="preserve"> HYPERLINK \l "_Toc139613716" </w:instrText>
          </w:r>
          <w:r>
            <w:fldChar w:fldCharType="separate"/>
          </w:r>
          <w:r>
            <w:rPr>
              <w:rStyle w:val="41"/>
              <w:rFonts w:eastAsiaTheme="minorEastAsia"/>
            </w:rPr>
            <w:t>5.1  一般规定</w:t>
          </w:r>
          <w:r>
            <w:rPr>
              <w:rFonts w:eastAsiaTheme="minorEastAsia"/>
            </w:rPr>
            <w:tab/>
          </w:r>
          <w:r>
            <w:rPr>
              <w:rFonts w:eastAsiaTheme="minorEastAsia"/>
            </w:rPr>
            <w:fldChar w:fldCharType="begin"/>
          </w:r>
          <w:r>
            <w:rPr>
              <w:rFonts w:eastAsiaTheme="minorEastAsia"/>
            </w:rPr>
            <w:instrText xml:space="preserve"> PAGEREF _Toc139613716 \h </w:instrText>
          </w:r>
          <w:r>
            <w:rPr>
              <w:rFonts w:eastAsiaTheme="minorEastAsia"/>
            </w:rPr>
            <w:fldChar w:fldCharType="separate"/>
          </w:r>
          <w:r>
            <w:rPr>
              <w:rFonts w:eastAsiaTheme="minorEastAsia"/>
            </w:rPr>
            <w:t>15</w:t>
          </w:r>
          <w:r>
            <w:rPr>
              <w:rFonts w:eastAsiaTheme="minorEastAsia"/>
            </w:rPr>
            <w:fldChar w:fldCharType="end"/>
          </w:r>
          <w:r>
            <w:rPr>
              <w:rFonts w:eastAsiaTheme="minorEastAsia"/>
            </w:rPr>
            <w:fldChar w:fldCharType="end"/>
          </w:r>
        </w:p>
        <w:p w14:paraId="429BFDAE">
          <w:pPr>
            <w:pStyle w:val="15"/>
            <w:spacing w:line="240" w:lineRule="auto"/>
            <w:jc w:val="center"/>
            <w:rPr>
              <w:rFonts w:eastAsiaTheme="minorEastAsia"/>
              <w:szCs w:val="22"/>
              <w14:ligatures w14:val="standardContextual"/>
            </w:rPr>
          </w:pPr>
          <w:r>
            <w:fldChar w:fldCharType="begin"/>
          </w:r>
          <w:r>
            <w:instrText xml:space="preserve"> HYPERLINK \l "_Toc139613717" </w:instrText>
          </w:r>
          <w:r>
            <w:fldChar w:fldCharType="separate"/>
          </w:r>
          <w:r>
            <w:rPr>
              <w:rStyle w:val="41"/>
              <w:rFonts w:eastAsiaTheme="minorEastAsia"/>
            </w:rPr>
            <w:t>5.2  截    水</w:t>
          </w:r>
          <w:r>
            <w:rPr>
              <w:rFonts w:eastAsiaTheme="minorEastAsia"/>
            </w:rPr>
            <w:tab/>
          </w:r>
          <w:r>
            <w:rPr>
              <w:rFonts w:eastAsiaTheme="minorEastAsia"/>
            </w:rPr>
            <w:fldChar w:fldCharType="begin"/>
          </w:r>
          <w:r>
            <w:rPr>
              <w:rFonts w:eastAsiaTheme="minorEastAsia"/>
            </w:rPr>
            <w:instrText xml:space="preserve"> PAGEREF _Toc139613717 \h </w:instrText>
          </w:r>
          <w:r>
            <w:rPr>
              <w:rFonts w:eastAsiaTheme="minorEastAsia"/>
            </w:rPr>
            <w:fldChar w:fldCharType="separate"/>
          </w:r>
          <w:r>
            <w:rPr>
              <w:rFonts w:eastAsiaTheme="minorEastAsia"/>
            </w:rPr>
            <w:t>16</w:t>
          </w:r>
          <w:r>
            <w:rPr>
              <w:rFonts w:eastAsiaTheme="minorEastAsia"/>
            </w:rPr>
            <w:fldChar w:fldCharType="end"/>
          </w:r>
          <w:r>
            <w:rPr>
              <w:rFonts w:eastAsiaTheme="minorEastAsia"/>
            </w:rPr>
            <w:fldChar w:fldCharType="end"/>
          </w:r>
        </w:p>
        <w:p w14:paraId="1FE0FDC9">
          <w:pPr>
            <w:pStyle w:val="15"/>
            <w:spacing w:line="240" w:lineRule="auto"/>
            <w:jc w:val="center"/>
            <w:rPr>
              <w:rFonts w:eastAsiaTheme="minorEastAsia"/>
              <w:szCs w:val="22"/>
              <w14:ligatures w14:val="standardContextual"/>
            </w:rPr>
          </w:pPr>
          <w:r>
            <w:fldChar w:fldCharType="begin"/>
          </w:r>
          <w:r>
            <w:instrText xml:space="preserve"> HYPERLINK \l "_Toc139613718" </w:instrText>
          </w:r>
          <w:r>
            <w:fldChar w:fldCharType="separate"/>
          </w:r>
          <w:r>
            <w:rPr>
              <w:rStyle w:val="41"/>
              <w:rFonts w:eastAsiaTheme="minorEastAsia"/>
            </w:rPr>
            <w:t>5.3  降    水</w:t>
          </w:r>
          <w:r>
            <w:rPr>
              <w:rFonts w:eastAsiaTheme="minorEastAsia"/>
            </w:rPr>
            <w:tab/>
          </w:r>
          <w:r>
            <w:rPr>
              <w:rFonts w:eastAsiaTheme="minorEastAsia"/>
            </w:rPr>
            <w:fldChar w:fldCharType="begin"/>
          </w:r>
          <w:r>
            <w:rPr>
              <w:rFonts w:eastAsiaTheme="minorEastAsia"/>
            </w:rPr>
            <w:instrText xml:space="preserve"> PAGEREF _Toc139613718 \h </w:instrText>
          </w:r>
          <w:r>
            <w:rPr>
              <w:rFonts w:eastAsiaTheme="minorEastAsia"/>
            </w:rPr>
            <w:fldChar w:fldCharType="separate"/>
          </w:r>
          <w:r>
            <w:rPr>
              <w:rFonts w:eastAsiaTheme="minorEastAsia"/>
            </w:rPr>
            <w:t>16</w:t>
          </w:r>
          <w:r>
            <w:rPr>
              <w:rFonts w:eastAsiaTheme="minorEastAsia"/>
            </w:rPr>
            <w:fldChar w:fldCharType="end"/>
          </w:r>
          <w:r>
            <w:rPr>
              <w:rFonts w:eastAsiaTheme="minorEastAsia"/>
            </w:rPr>
            <w:fldChar w:fldCharType="end"/>
          </w:r>
        </w:p>
        <w:p w14:paraId="639A88D5">
          <w:pPr>
            <w:pStyle w:val="15"/>
            <w:spacing w:line="240" w:lineRule="auto"/>
            <w:jc w:val="center"/>
            <w:rPr>
              <w:rFonts w:eastAsiaTheme="minorEastAsia"/>
              <w:szCs w:val="22"/>
              <w14:ligatures w14:val="standardContextual"/>
            </w:rPr>
          </w:pPr>
          <w:r>
            <w:fldChar w:fldCharType="begin"/>
          </w:r>
          <w:r>
            <w:instrText xml:space="preserve"> HYPERLINK \l "_Toc139613719" </w:instrText>
          </w:r>
          <w:r>
            <w:fldChar w:fldCharType="separate"/>
          </w:r>
          <w:r>
            <w:rPr>
              <w:rStyle w:val="41"/>
              <w:rFonts w:eastAsiaTheme="minorEastAsia"/>
            </w:rPr>
            <w:t>5.4  集水明排</w:t>
          </w:r>
          <w:r>
            <w:rPr>
              <w:rFonts w:eastAsiaTheme="minorEastAsia"/>
            </w:rPr>
            <w:tab/>
          </w:r>
          <w:r>
            <w:rPr>
              <w:rFonts w:eastAsiaTheme="minorEastAsia"/>
            </w:rPr>
            <w:fldChar w:fldCharType="begin"/>
          </w:r>
          <w:r>
            <w:rPr>
              <w:rFonts w:eastAsiaTheme="minorEastAsia"/>
            </w:rPr>
            <w:instrText xml:space="preserve"> PAGEREF _Toc139613719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14:paraId="38D57815">
          <w:pPr>
            <w:pStyle w:val="15"/>
            <w:spacing w:line="240" w:lineRule="auto"/>
            <w:jc w:val="center"/>
            <w:rPr>
              <w:rFonts w:eastAsiaTheme="minorEastAsia"/>
              <w:szCs w:val="22"/>
              <w14:ligatures w14:val="standardContextual"/>
            </w:rPr>
          </w:pPr>
          <w:r>
            <w:fldChar w:fldCharType="begin"/>
          </w:r>
          <w:r>
            <w:instrText xml:space="preserve"> HYPERLINK \l "_Toc139613720" </w:instrText>
          </w:r>
          <w:r>
            <w:fldChar w:fldCharType="separate"/>
          </w:r>
          <w:r>
            <w:rPr>
              <w:rStyle w:val="41"/>
              <w:rFonts w:eastAsiaTheme="minorEastAsia"/>
            </w:rPr>
            <w:t>5.5  回  灌</w:t>
          </w:r>
          <w:r>
            <w:rPr>
              <w:rFonts w:eastAsiaTheme="minorEastAsia"/>
            </w:rPr>
            <w:tab/>
          </w:r>
          <w:r>
            <w:rPr>
              <w:rFonts w:eastAsiaTheme="minorEastAsia"/>
            </w:rPr>
            <w:fldChar w:fldCharType="begin"/>
          </w:r>
          <w:r>
            <w:rPr>
              <w:rFonts w:eastAsiaTheme="minorEastAsia"/>
            </w:rPr>
            <w:instrText xml:space="preserve"> PAGEREF _Toc139613720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14:paraId="08562648">
          <w:pPr>
            <w:pStyle w:val="28"/>
            <w:jc w:val="center"/>
            <w:rPr>
              <w:rFonts w:eastAsiaTheme="minorEastAsia"/>
              <w:szCs w:val="22"/>
              <w14:ligatures w14:val="standardContextual"/>
            </w:rPr>
          </w:pPr>
          <w:r>
            <w:fldChar w:fldCharType="begin"/>
          </w:r>
          <w:r>
            <w:instrText xml:space="preserve"> HYPERLINK \l "_Toc139613721" </w:instrText>
          </w:r>
          <w:r>
            <w:fldChar w:fldCharType="separate"/>
          </w:r>
          <w:r>
            <w:rPr>
              <w:rStyle w:val="41"/>
              <w:rFonts w:eastAsiaTheme="minorEastAsia"/>
            </w:rPr>
            <w:t>6  放    坡</w:t>
          </w:r>
          <w:r>
            <w:rPr>
              <w:rFonts w:eastAsiaTheme="minorEastAsia"/>
            </w:rPr>
            <w:tab/>
          </w:r>
          <w:r>
            <w:rPr>
              <w:rFonts w:eastAsiaTheme="minorEastAsia"/>
            </w:rPr>
            <w:fldChar w:fldCharType="begin"/>
          </w:r>
          <w:r>
            <w:rPr>
              <w:rFonts w:eastAsiaTheme="minorEastAsia"/>
            </w:rPr>
            <w:instrText xml:space="preserve"> PAGEREF _Toc139613721 \h </w:instrText>
          </w:r>
          <w:r>
            <w:rPr>
              <w:rFonts w:eastAsiaTheme="minorEastAsia"/>
            </w:rPr>
            <w:fldChar w:fldCharType="separate"/>
          </w:r>
          <w:r>
            <w:rPr>
              <w:rFonts w:eastAsiaTheme="minorEastAsia"/>
            </w:rPr>
            <w:t>22</w:t>
          </w:r>
          <w:r>
            <w:rPr>
              <w:rFonts w:eastAsiaTheme="minorEastAsia"/>
            </w:rPr>
            <w:fldChar w:fldCharType="end"/>
          </w:r>
          <w:r>
            <w:rPr>
              <w:rFonts w:eastAsiaTheme="minorEastAsia"/>
            </w:rPr>
            <w:fldChar w:fldCharType="end"/>
          </w:r>
        </w:p>
        <w:p w14:paraId="452D75DA">
          <w:pPr>
            <w:pStyle w:val="15"/>
            <w:spacing w:line="240" w:lineRule="auto"/>
            <w:jc w:val="center"/>
            <w:rPr>
              <w:rFonts w:eastAsiaTheme="minorEastAsia"/>
              <w:szCs w:val="22"/>
              <w14:ligatures w14:val="standardContextual"/>
            </w:rPr>
          </w:pPr>
          <w:r>
            <w:fldChar w:fldCharType="begin"/>
          </w:r>
          <w:r>
            <w:instrText xml:space="preserve"> HYPERLINK \l "_Toc139613722" </w:instrText>
          </w:r>
          <w:r>
            <w:fldChar w:fldCharType="separate"/>
          </w:r>
          <w:r>
            <w:rPr>
              <w:rStyle w:val="41"/>
              <w:rFonts w:eastAsiaTheme="minorEastAsia"/>
            </w:rPr>
            <w:t>6.1  放坡设计</w:t>
          </w:r>
          <w:r>
            <w:rPr>
              <w:rFonts w:eastAsiaTheme="minorEastAsia"/>
            </w:rPr>
            <w:tab/>
          </w:r>
          <w:r>
            <w:rPr>
              <w:rFonts w:eastAsiaTheme="minorEastAsia"/>
            </w:rPr>
            <w:fldChar w:fldCharType="begin"/>
          </w:r>
          <w:r>
            <w:rPr>
              <w:rFonts w:eastAsiaTheme="minorEastAsia"/>
            </w:rPr>
            <w:instrText xml:space="preserve"> PAGEREF _Toc139613722 \h </w:instrText>
          </w:r>
          <w:r>
            <w:rPr>
              <w:rFonts w:eastAsiaTheme="minorEastAsia"/>
            </w:rPr>
            <w:fldChar w:fldCharType="separate"/>
          </w:r>
          <w:r>
            <w:rPr>
              <w:rFonts w:eastAsiaTheme="minorEastAsia"/>
            </w:rPr>
            <w:t>22</w:t>
          </w:r>
          <w:r>
            <w:rPr>
              <w:rFonts w:eastAsiaTheme="minorEastAsia"/>
            </w:rPr>
            <w:fldChar w:fldCharType="end"/>
          </w:r>
          <w:r>
            <w:rPr>
              <w:rFonts w:eastAsiaTheme="minorEastAsia"/>
            </w:rPr>
            <w:fldChar w:fldCharType="end"/>
          </w:r>
        </w:p>
        <w:p w14:paraId="097FE50D">
          <w:pPr>
            <w:pStyle w:val="15"/>
            <w:spacing w:line="240" w:lineRule="auto"/>
            <w:jc w:val="center"/>
            <w:rPr>
              <w:rFonts w:eastAsiaTheme="minorEastAsia"/>
              <w:szCs w:val="22"/>
              <w14:ligatures w14:val="standardContextual"/>
            </w:rPr>
          </w:pPr>
          <w:r>
            <w:fldChar w:fldCharType="begin"/>
          </w:r>
          <w:r>
            <w:instrText xml:space="preserve"> HYPERLINK \l "_Toc139613723" </w:instrText>
          </w:r>
          <w:r>
            <w:fldChar w:fldCharType="separate"/>
          </w:r>
          <w:r>
            <w:rPr>
              <w:rStyle w:val="41"/>
              <w:rFonts w:eastAsiaTheme="minorEastAsia"/>
            </w:rPr>
            <w:t>6.2  放坡施工</w:t>
          </w:r>
          <w:r>
            <w:rPr>
              <w:rFonts w:eastAsiaTheme="minorEastAsia"/>
            </w:rPr>
            <w:tab/>
          </w:r>
          <w:r>
            <w:rPr>
              <w:rFonts w:eastAsiaTheme="minorEastAsia"/>
            </w:rPr>
            <w:fldChar w:fldCharType="begin"/>
          </w:r>
          <w:r>
            <w:rPr>
              <w:rFonts w:eastAsiaTheme="minorEastAsia"/>
            </w:rPr>
            <w:instrText xml:space="preserve"> PAGEREF _Toc139613723 \h </w:instrText>
          </w:r>
          <w:r>
            <w:rPr>
              <w:rFonts w:eastAsiaTheme="minorEastAsia"/>
            </w:rPr>
            <w:fldChar w:fldCharType="separate"/>
          </w:r>
          <w:r>
            <w:rPr>
              <w:rFonts w:eastAsiaTheme="minorEastAsia"/>
            </w:rPr>
            <w:t>22</w:t>
          </w:r>
          <w:r>
            <w:rPr>
              <w:rFonts w:eastAsiaTheme="minorEastAsia"/>
            </w:rPr>
            <w:fldChar w:fldCharType="end"/>
          </w:r>
          <w:r>
            <w:rPr>
              <w:rFonts w:eastAsiaTheme="minorEastAsia"/>
            </w:rPr>
            <w:fldChar w:fldCharType="end"/>
          </w:r>
        </w:p>
        <w:p w14:paraId="483837B0">
          <w:pPr>
            <w:pStyle w:val="28"/>
            <w:jc w:val="center"/>
            <w:rPr>
              <w:rFonts w:eastAsiaTheme="minorEastAsia"/>
              <w:szCs w:val="22"/>
              <w14:ligatures w14:val="standardContextual"/>
            </w:rPr>
          </w:pPr>
          <w:r>
            <w:fldChar w:fldCharType="begin"/>
          </w:r>
          <w:r>
            <w:instrText xml:space="preserve"> HYPERLINK \l "_Toc139613724" </w:instrText>
          </w:r>
          <w:r>
            <w:fldChar w:fldCharType="separate"/>
          </w:r>
          <w:r>
            <w:rPr>
              <w:rStyle w:val="41"/>
              <w:rFonts w:eastAsiaTheme="minorEastAsia"/>
            </w:rPr>
            <w:t>7  支挡式结构</w:t>
          </w:r>
          <w:r>
            <w:rPr>
              <w:rFonts w:eastAsiaTheme="minorEastAsia"/>
            </w:rPr>
            <w:tab/>
          </w:r>
          <w:r>
            <w:rPr>
              <w:rFonts w:eastAsiaTheme="minorEastAsia"/>
            </w:rPr>
            <w:fldChar w:fldCharType="begin"/>
          </w:r>
          <w:r>
            <w:rPr>
              <w:rFonts w:eastAsiaTheme="minorEastAsia"/>
            </w:rPr>
            <w:instrText xml:space="preserve"> PAGEREF _Toc139613724 \h </w:instrText>
          </w:r>
          <w:r>
            <w:rPr>
              <w:rFonts w:eastAsiaTheme="minorEastAsia"/>
            </w:rPr>
            <w:fldChar w:fldCharType="separate"/>
          </w:r>
          <w:r>
            <w:rPr>
              <w:rFonts w:eastAsiaTheme="minorEastAsia"/>
            </w:rPr>
            <w:t>23</w:t>
          </w:r>
          <w:r>
            <w:rPr>
              <w:rFonts w:eastAsiaTheme="minorEastAsia"/>
            </w:rPr>
            <w:fldChar w:fldCharType="end"/>
          </w:r>
          <w:r>
            <w:rPr>
              <w:rFonts w:eastAsiaTheme="minorEastAsia"/>
            </w:rPr>
            <w:fldChar w:fldCharType="end"/>
          </w:r>
        </w:p>
        <w:p w14:paraId="2CC3EADF">
          <w:pPr>
            <w:pStyle w:val="15"/>
            <w:spacing w:line="240" w:lineRule="auto"/>
            <w:jc w:val="center"/>
            <w:rPr>
              <w:rFonts w:eastAsiaTheme="minorEastAsia"/>
              <w:szCs w:val="22"/>
              <w14:ligatures w14:val="standardContextual"/>
            </w:rPr>
          </w:pPr>
          <w:r>
            <w:fldChar w:fldCharType="begin"/>
          </w:r>
          <w:r>
            <w:instrText xml:space="preserve"> HYPERLINK \l "_Toc139613725" </w:instrText>
          </w:r>
          <w:r>
            <w:fldChar w:fldCharType="separate"/>
          </w:r>
          <w:r>
            <w:rPr>
              <w:rStyle w:val="41"/>
              <w:rFonts w:eastAsiaTheme="minorEastAsia"/>
            </w:rPr>
            <w:t>7.1  一般规定</w:t>
          </w:r>
          <w:r>
            <w:rPr>
              <w:rFonts w:eastAsiaTheme="minorEastAsia"/>
            </w:rPr>
            <w:tab/>
          </w:r>
          <w:r>
            <w:rPr>
              <w:rFonts w:eastAsiaTheme="minorEastAsia"/>
            </w:rPr>
            <w:fldChar w:fldCharType="begin"/>
          </w:r>
          <w:r>
            <w:rPr>
              <w:rFonts w:eastAsiaTheme="minorEastAsia"/>
            </w:rPr>
            <w:instrText xml:space="preserve"> PAGEREF _Toc139613725 \h </w:instrText>
          </w:r>
          <w:r>
            <w:rPr>
              <w:rFonts w:eastAsiaTheme="minorEastAsia"/>
            </w:rPr>
            <w:fldChar w:fldCharType="separate"/>
          </w:r>
          <w:r>
            <w:rPr>
              <w:rFonts w:eastAsiaTheme="minorEastAsia"/>
            </w:rPr>
            <w:t>23</w:t>
          </w:r>
          <w:r>
            <w:rPr>
              <w:rFonts w:eastAsiaTheme="minorEastAsia"/>
            </w:rPr>
            <w:fldChar w:fldCharType="end"/>
          </w:r>
          <w:r>
            <w:rPr>
              <w:rFonts w:eastAsiaTheme="minorEastAsia"/>
            </w:rPr>
            <w:fldChar w:fldCharType="end"/>
          </w:r>
        </w:p>
        <w:p w14:paraId="7D74E1E7">
          <w:pPr>
            <w:pStyle w:val="15"/>
            <w:spacing w:line="240" w:lineRule="auto"/>
            <w:jc w:val="center"/>
            <w:rPr>
              <w:rFonts w:eastAsiaTheme="minorEastAsia"/>
              <w:szCs w:val="22"/>
              <w14:ligatures w14:val="standardContextual"/>
            </w:rPr>
          </w:pPr>
          <w:r>
            <w:fldChar w:fldCharType="begin"/>
          </w:r>
          <w:r>
            <w:instrText xml:space="preserve"> HYPERLINK \l "_Toc139613726" </w:instrText>
          </w:r>
          <w:r>
            <w:fldChar w:fldCharType="separate"/>
          </w:r>
          <w:r>
            <w:rPr>
              <w:rStyle w:val="41"/>
              <w:rFonts w:eastAsiaTheme="minorEastAsia"/>
            </w:rPr>
            <w:t>7.2  结构分析</w:t>
          </w:r>
          <w:r>
            <w:rPr>
              <w:rFonts w:eastAsiaTheme="minorEastAsia"/>
            </w:rPr>
            <w:tab/>
          </w:r>
          <w:r>
            <w:rPr>
              <w:rFonts w:eastAsiaTheme="minorEastAsia"/>
            </w:rPr>
            <w:fldChar w:fldCharType="begin"/>
          </w:r>
          <w:r>
            <w:rPr>
              <w:rFonts w:eastAsiaTheme="minorEastAsia"/>
            </w:rPr>
            <w:instrText xml:space="preserve"> PAGEREF _Toc139613726 \h </w:instrText>
          </w:r>
          <w:r>
            <w:rPr>
              <w:rFonts w:eastAsiaTheme="minorEastAsia"/>
            </w:rPr>
            <w:fldChar w:fldCharType="separate"/>
          </w:r>
          <w:r>
            <w:rPr>
              <w:rFonts w:eastAsiaTheme="minorEastAsia"/>
            </w:rPr>
            <w:t>23</w:t>
          </w:r>
          <w:r>
            <w:rPr>
              <w:rFonts w:eastAsiaTheme="minorEastAsia"/>
            </w:rPr>
            <w:fldChar w:fldCharType="end"/>
          </w:r>
          <w:r>
            <w:rPr>
              <w:rFonts w:eastAsiaTheme="minorEastAsia"/>
            </w:rPr>
            <w:fldChar w:fldCharType="end"/>
          </w:r>
        </w:p>
        <w:p w14:paraId="1671E8A6">
          <w:pPr>
            <w:pStyle w:val="15"/>
            <w:spacing w:line="240" w:lineRule="auto"/>
            <w:jc w:val="center"/>
            <w:rPr>
              <w:rFonts w:eastAsiaTheme="minorEastAsia"/>
              <w:szCs w:val="22"/>
              <w14:ligatures w14:val="standardContextual"/>
            </w:rPr>
          </w:pPr>
          <w:r>
            <w:fldChar w:fldCharType="begin"/>
          </w:r>
          <w:r>
            <w:instrText xml:space="preserve"> HYPERLINK \l "_Toc139613727" </w:instrText>
          </w:r>
          <w:r>
            <w:fldChar w:fldCharType="separate"/>
          </w:r>
          <w:r>
            <w:rPr>
              <w:rStyle w:val="41"/>
              <w:rFonts w:eastAsiaTheme="minorEastAsia"/>
            </w:rPr>
            <w:t>7.3  基坑稳定性验算</w:t>
          </w:r>
          <w:r>
            <w:rPr>
              <w:rFonts w:eastAsiaTheme="minorEastAsia"/>
            </w:rPr>
            <w:tab/>
          </w:r>
          <w:r>
            <w:rPr>
              <w:rFonts w:eastAsiaTheme="minorEastAsia"/>
            </w:rPr>
            <w:fldChar w:fldCharType="begin"/>
          </w:r>
          <w:r>
            <w:rPr>
              <w:rFonts w:eastAsiaTheme="minorEastAsia"/>
            </w:rPr>
            <w:instrText xml:space="preserve"> PAGEREF _Toc139613727 \h </w:instrText>
          </w:r>
          <w:r>
            <w:rPr>
              <w:rFonts w:eastAsiaTheme="minorEastAsia"/>
            </w:rPr>
            <w:fldChar w:fldCharType="separate"/>
          </w:r>
          <w:r>
            <w:rPr>
              <w:rFonts w:eastAsiaTheme="minorEastAsia"/>
            </w:rPr>
            <w:t>23</w:t>
          </w:r>
          <w:r>
            <w:rPr>
              <w:rFonts w:eastAsiaTheme="minorEastAsia"/>
            </w:rPr>
            <w:fldChar w:fldCharType="end"/>
          </w:r>
          <w:r>
            <w:rPr>
              <w:rFonts w:eastAsiaTheme="minorEastAsia"/>
            </w:rPr>
            <w:fldChar w:fldCharType="end"/>
          </w:r>
        </w:p>
        <w:p w14:paraId="699CF816">
          <w:pPr>
            <w:pStyle w:val="15"/>
            <w:spacing w:line="240" w:lineRule="auto"/>
            <w:jc w:val="center"/>
            <w:rPr>
              <w:rFonts w:eastAsiaTheme="minorEastAsia"/>
              <w:szCs w:val="22"/>
              <w14:ligatures w14:val="standardContextual"/>
            </w:rPr>
          </w:pPr>
          <w:r>
            <w:fldChar w:fldCharType="begin"/>
          </w:r>
          <w:r>
            <w:instrText xml:space="preserve"> HYPERLINK \l "_Toc139613728" </w:instrText>
          </w:r>
          <w:r>
            <w:fldChar w:fldCharType="separate"/>
          </w:r>
          <w:r>
            <w:rPr>
              <w:rStyle w:val="41"/>
              <w:rFonts w:eastAsiaTheme="minorEastAsia"/>
            </w:rPr>
            <w:t>7.4  双排桩设计</w:t>
          </w:r>
          <w:r>
            <w:rPr>
              <w:rFonts w:eastAsiaTheme="minorEastAsia"/>
            </w:rPr>
            <w:tab/>
          </w:r>
          <w:r>
            <w:rPr>
              <w:rFonts w:eastAsiaTheme="minorEastAsia"/>
            </w:rPr>
            <w:fldChar w:fldCharType="begin"/>
          </w:r>
          <w:r>
            <w:rPr>
              <w:rFonts w:eastAsiaTheme="minorEastAsia"/>
            </w:rPr>
            <w:instrText xml:space="preserve"> PAGEREF _Toc139613728 \h </w:instrText>
          </w:r>
          <w:r>
            <w:rPr>
              <w:rFonts w:eastAsiaTheme="minorEastAsia"/>
            </w:rPr>
            <w:fldChar w:fldCharType="separate"/>
          </w:r>
          <w:r>
            <w:rPr>
              <w:rFonts w:eastAsiaTheme="minorEastAsia"/>
            </w:rPr>
            <w:t>26</w:t>
          </w:r>
          <w:r>
            <w:rPr>
              <w:rFonts w:eastAsiaTheme="minorEastAsia"/>
            </w:rPr>
            <w:fldChar w:fldCharType="end"/>
          </w:r>
          <w:r>
            <w:rPr>
              <w:rFonts w:eastAsiaTheme="minorEastAsia"/>
            </w:rPr>
            <w:fldChar w:fldCharType="end"/>
          </w:r>
        </w:p>
        <w:p w14:paraId="3299A3F5">
          <w:pPr>
            <w:pStyle w:val="15"/>
            <w:spacing w:line="240" w:lineRule="auto"/>
            <w:jc w:val="center"/>
            <w:rPr>
              <w:rFonts w:eastAsiaTheme="minorEastAsia"/>
              <w:szCs w:val="22"/>
              <w14:ligatures w14:val="standardContextual"/>
            </w:rPr>
          </w:pPr>
          <w:r>
            <w:fldChar w:fldCharType="begin"/>
          </w:r>
          <w:r>
            <w:instrText xml:space="preserve"> HYPERLINK \l "_Toc139613729" </w:instrText>
          </w:r>
          <w:r>
            <w:fldChar w:fldCharType="separate"/>
          </w:r>
          <w:r>
            <w:rPr>
              <w:rStyle w:val="41"/>
              <w:rFonts w:eastAsiaTheme="minorEastAsia"/>
            </w:rPr>
            <w:t>7.5  截面承载力计算</w:t>
          </w:r>
          <w:r>
            <w:rPr>
              <w:rFonts w:eastAsiaTheme="minorEastAsia"/>
            </w:rPr>
            <w:tab/>
          </w:r>
          <w:r>
            <w:rPr>
              <w:rFonts w:eastAsiaTheme="minorEastAsia"/>
            </w:rPr>
            <w:fldChar w:fldCharType="begin"/>
          </w:r>
          <w:r>
            <w:rPr>
              <w:rFonts w:eastAsiaTheme="minorEastAsia"/>
            </w:rPr>
            <w:instrText xml:space="preserve"> PAGEREF _Toc139613729 \h </w:instrText>
          </w:r>
          <w:r>
            <w:rPr>
              <w:rFonts w:eastAsiaTheme="minorEastAsia"/>
            </w:rPr>
            <w:fldChar w:fldCharType="separate"/>
          </w:r>
          <w:r>
            <w:rPr>
              <w:rFonts w:eastAsiaTheme="minorEastAsia"/>
            </w:rPr>
            <w:t>28</w:t>
          </w:r>
          <w:r>
            <w:rPr>
              <w:rFonts w:eastAsiaTheme="minorEastAsia"/>
            </w:rPr>
            <w:fldChar w:fldCharType="end"/>
          </w:r>
          <w:r>
            <w:rPr>
              <w:rFonts w:eastAsiaTheme="minorEastAsia"/>
            </w:rPr>
            <w:fldChar w:fldCharType="end"/>
          </w:r>
        </w:p>
        <w:p w14:paraId="0B9C3E7C">
          <w:pPr>
            <w:pStyle w:val="15"/>
            <w:spacing w:line="240" w:lineRule="auto"/>
            <w:jc w:val="center"/>
            <w:rPr>
              <w:rFonts w:eastAsiaTheme="minorEastAsia"/>
              <w:szCs w:val="22"/>
              <w14:ligatures w14:val="standardContextual"/>
            </w:rPr>
          </w:pPr>
          <w:r>
            <w:fldChar w:fldCharType="begin"/>
          </w:r>
          <w:r>
            <w:instrText xml:space="preserve"> HYPERLINK \l "_Toc139613730" </w:instrText>
          </w:r>
          <w:r>
            <w:fldChar w:fldCharType="separate"/>
          </w:r>
          <w:r>
            <w:rPr>
              <w:rStyle w:val="41"/>
              <w:rFonts w:eastAsiaTheme="minorEastAsia"/>
            </w:rPr>
            <w:t>7.6  锚杆计算</w:t>
          </w:r>
          <w:r>
            <w:rPr>
              <w:rFonts w:eastAsiaTheme="minorEastAsia"/>
            </w:rPr>
            <w:tab/>
          </w:r>
          <w:r>
            <w:rPr>
              <w:rFonts w:eastAsiaTheme="minorEastAsia"/>
            </w:rPr>
            <w:fldChar w:fldCharType="begin"/>
          </w:r>
          <w:r>
            <w:rPr>
              <w:rFonts w:eastAsiaTheme="minorEastAsia"/>
            </w:rPr>
            <w:instrText xml:space="preserve"> PAGEREF _Toc139613730 \h </w:instrText>
          </w:r>
          <w:r>
            <w:rPr>
              <w:rFonts w:eastAsiaTheme="minorEastAsia"/>
            </w:rPr>
            <w:fldChar w:fldCharType="separate"/>
          </w:r>
          <w:r>
            <w:rPr>
              <w:rFonts w:eastAsiaTheme="minorEastAsia"/>
            </w:rPr>
            <w:t>28</w:t>
          </w:r>
          <w:r>
            <w:rPr>
              <w:rFonts w:eastAsiaTheme="minorEastAsia"/>
            </w:rPr>
            <w:fldChar w:fldCharType="end"/>
          </w:r>
          <w:r>
            <w:rPr>
              <w:rFonts w:eastAsiaTheme="minorEastAsia"/>
            </w:rPr>
            <w:fldChar w:fldCharType="end"/>
          </w:r>
        </w:p>
        <w:p w14:paraId="0F3DC52F">
          <w:pPr>
            <w:pStyle w:val="15"/>
            <w:spacing w:line="240" w:lineRule="auto"/>
            <w:jc w:val="center"/>
            <w:rPr>
              <w:rFonts w:eastAsiaTheme="minorEastAsia"/>
              <w:szCs w:val="22"/>
              <w14:ligatures w14:val="standardContextual"/>
            </w:rPr>
          </w:pPr>
          <w:r>
            <w:fldChar w:fldCharType="begin"/>
          </w:r>
          <w:r>
            <w:instrText xml:space="preserve"> HYPERLINK \l "_Toc139613731" </w:instrText>
          </w:r>
          <w:r>
            <w:fldChar w:fldCharType="separate"/>
          </w:r>
          <w:r>
            <w:rPr>
              <w:rStyle w:val="41"/>
              <w:rFonts w:eastAsiaTheme="minorEastAsia"/>
            </w:rPr>
            <w:t>7.7  构造要求</w:t>
          </w:r>
          <w:r>
            <w:rPr>
              <w:rFonts w:eastAsiaTheme="minorEastAsia"/>
            </w:rPr>
            <w:tab/>
          </w:r>
          <w:r>
            <w:rPr>
              <w:rFonts w:eastAsiaTheme="minorEastAsia"/>
            </w:rPr>
            <w:fldChar w:fldCharType="begin"/>
          </w:r>
          <w:r>
            <w:rPr>
              <w:rFonts w:eastAsiaTheme="minorEastAsia"/>
            </w:rPr>
            <w:instrText xml:space="preserve"> PAGEREF _Toc139613731 \h </w:instrText>
          </w:r>
          <w:r>
            <w:rPr>
              <w:rFonts w:eastAsiaTheme="minorEastAsia"/>
            </w:rPr>
            <w:fldChar w:fldCharType="separate"/>
          </w:r>
          <w:r>
            <w:rPr>
              <w:rFonts w:eastAsiaTheme="minorEastAsia"/>
            </w:rPr>
            <w:t>30</w:t>
          </w:r>
          <w:r>
            <w:rPr>
              <w:rFonts w:eastAsiaTheme="minorEastAsia"/>
            </w:rPr>
            <w:fldChar w:fldCharType="end"/>
          </w:r>
          <w:r>
            <w:rPr>
              <w:rFonts w:eastAsiaTheme="minorEastAsia"/>
            </w:rPr>
            <w:fldChar w:fldCharType="end"/>
          </w:r>
        </w:p>
        <w:p w14:paraId="29BFC386">
          <w:pPr>
            <w:pStyle w:val="15"/>
            <w:spacing w:line="240" w:lineRule="auto"/>
            <w:jc w:val="center"/>
            <w:rPr>
              <w:rFonts w:eastAsiaTheme="minorEastAsia"/>
              <w:szCs w:val="22"/>
              <w14:ligatures w14:val="standardContextual"/>
            </w:rPr>
          </w:pPr>
          <w:r>
            <w:fldChar w:fldCharType="begin"/>
          </w:r>
          <w:r>
            <w:instrText xml:space="preserve"> HYPERLINK \l "_Toc139613732" </w:instrText>
          </w:r>
          <w:r>
            <w:fldChar w:fldCharType="separate"/>
          </w:r>
          <w:r>
            <w:rPr>
              <w:rStyle w:val="41"/>
              <w:rFonts w:eastAsiaTheme="minorEastAsia"/>
            </w:rPr>
            <w:t>7.8  施    工</w:t>
          </w:r>
          <w:r>
            <w:rPr>
              <w:rFonts w:eastAsiaTheme="minorEastAsia"/>
            </w:rPr>
            <w:tab/>
          </w:r>
          <w:r>
            <w:rPr>
              <w:rFonts w:eastAsiaTheme="minorEastAsia"/>
            </w:rPr>
            <w:fldChar w:fldCharType="begin"/>
          </w:r>
          <w:r>
            <w:rPr>
              <w:rFonts w:eastAsiaTheme="minorEastAsia"/>
            </w:rPr>
            <w:instrText xml:space="preserve"> PAGEREF _Toc139613732 \h </w:instrText>
          </w:r>
          <w:r>
            <w:rPr>
              <w:rFonts w:eastAsiaTheme="minorEastAsia"/>
            </w:rPr>
            <w:fldChar w:fldCharType="separate"/>
          </w:r>
          <w:r>
            <w:rPr>
              <w:rFonts w:eastAsiaTheme="minorEastAsia"/>
            </w:rPr>
            <w:t>33</w:t>
          </w:r>
          <w:r>
            <w:rPr>
              <w:rFonts w:eastAsiaTheme="minorEastAsia"/>
            </w:rPr>
            <w:fldChar w:fldCharType="end"/>
          </w:r>
          <w:r>
            <w:rPr>
              <w:rFonts w:eastAsiaTheme="minorEastAsia"/>
            </w:rPr>
            <w:fldChar w:fldCharType="end"/>
          </w:r>
        </w:p>
        <w:p w14:paraId="1BCD6FB5">
          <w:pPr>
            <w:pStyle w:val="15"/>
            <w:spacing w:line="240" w:lineRule="auto"/>
            <w:jc w:val="center"/>
            <w:rPr>
              <w:rFonts w:eastAsiaTheme="minorEastAsia"/>
              <w:szCs w:val="22"/>
              <w14:ligatures w14:val="standardContextual"/>
            </w:rPr>
          </w:pPr>
          <w:r>
            <w:fldChar w:fldCharType="begin"/>
          </w:r>
          <w:r>
            <w:instrText xml:space="preserve"> HYPERLINK \l "_Toc139613733" </w:instrText>
          </w:r>
          <w:r>
            <w:fldChar w:fldCharType="separate"/>
          </w:r>
          <w:r>
            <w:rPr>
              <w:rStyle w:val="41"/>
              <w:rFonts w:eastAsiaTheme="minorEastAsia"/>
            </w:rPr>
            <w:t>7.9  质量检测</w:t>
          </w:r>
          <w:r>
            <w:rPr>
              <w:rFonts w:eastAsiaTheme="minorEastAsia"/>
            </w:rPr>
            <w:tab/>
          </w:r>
          <w:r>
            <w:rPr>
              <w:rFonts w:eastAsiaTheme="minorEastAsia"/>
            </w:rPr>
            <w:fldChar w:fldCharType="begin"/>
          </w:r>
          <w:r>
            <w:rPr>
              <w:rFonts w:eastAsiaTheme="minorEastAsia"/>
            </w:rPr>
            <w:instrText xml:space="preserve"> PAGEREF _Toc139613733 \h </w:instrText>
          </w:r>
          <w:r>
            <w:rPr>
              <w:rFonts w:eastAsiaTheme="minorEastAsia"/>
            </w:rPr>
            <w:fldChar w:fldCharType="separate"/>
          </w:r>
          <w:r>
            <w:rPr>
              <w:rFonts w:eastAsiaTheme="minorEastAsia"/>
            </w:rPr>
            <w:t>35</w:t>
          </w:r>
          <w:r>
            <w:rPr>
              <w:rFonts w:eastAsiaTheme="minorEastAsia"/>
            </w:rPr>
            <w:fldChar w:fldCharType="end"/>
          </w:r>
          <w:r>
            <w:rPr>
              <w:rFonts w:eastAsiaTheme="minorEastAsia"/>
            </w:rPr>
            <w:fldChar w:fldCharType="end"/>
          </w:r>
        </w:p>
        <w:p w14:paraId="26C6D598">
          <w:pPr>
            <w:pStyle w:val="28"/>
            <w:jc w:val="center"/>
            <w:rPr>
              <w:rFonts w:eastAsiaTheme="minorEastAsia"/>
              <w:szCs w:val="22"/>
              <w14:ligatures w14:val="standardContextual"/>
            </w:rPr>
          </w:pPr>
          <w:r>
            <w:fldChar w:fldCharType="begin"/>
          </w:r>
          <w:r>
            <w:instrText xml:space="preserve"> HYPERLINK \l "_Toc139613734" </w:instrText>
          </w:r>
          <w:r>
            <w:fldChar w:fldCharType="separate"/>
          </w:r>
          <w:r>
            <w:rPr>
              <w:rStyle w:val="41"/>
              <w:rFonts w:eastAsiaTheme="minorEastAsia"/>
            </w:rPr>
            <w:t>8  土钉墙</w:t>
          </w:r>
          <w:r>
            <w:rPr>
              <w:rFonts w:eastAsiaTheme="minorEastAsia"/>
            </w:rPr>
            <w:tab/>
          </w:r>
          <w:r>
            <w:rPr>
              <w:rFonts w:eastAsiaTheme="minorEastAsia"/>
            </w:rPr>
            <w:fldChar w:fldCharType="begin"/>
          </w:r>
          <w:r>
            <w:rPr>
              <w:rFonts w:eastAsiaTheme="minorEastAsia"/>
            </w:rPr>
            <w:instrText xml:space="preserve"> PAGEREF _Toc139613734 \h </w:instrText>
          </w:r>
          <w:r>
            <w:rPr>
              <w:rFonts w:eastAsiaTheme="minorEastAsia"/>
            </w:rPr>
            <w:fldChar w:fldCharType="separate"/>
          </w:r>
          <w:r>
            <w:rPr>
              <w:rFonts w:eastAsiaTheme="minorEastAsia"/>
            </w:rPr>
            <w:t>37</w:t>
          </w:r>
          <w:r>
            <w:rPr>
              <w:rFonts w:eastAsiaTheme="minorEastAsia"/>
            </w:rPr>
            <w:fldChar w:fldCharType="end"/>
          </w:r>
          <w:r>
            <w:rPr>
              <w:rFonts w:eastAsiaTheme="minorEastAsia"/>
            </w:rPr>
            <w:fldChar w:fldCharType="end"/>
          </w:r>
        </w:p>
        <w:p w14:paraId="2502197F">
          <w:pPr>
            <w:pStyle w:val="15"/>
            <w:spacing w:line="240" w:lineRule="auto"/>
            <w:jc w:val="center"/>
            <w:rPr>
              <w:rFonts w:eastAsiaTheme="minorEastAsia"/>
              <w:szCs w:val="22"/>
              <w14:ligatures w14:val="standardContextual"/>
            </w:rPr>
          </w:pPr>
          <w:r>
            <w:fldChar w:fldCharType="begin"/>
          </w:r>
          <w:r>
            <w:instrText xml:space="preserve"> HYPERLINK \l "_Toc139613735" </w:instrText>
          </w:r>
          <w:r>
            <w:fldChar w:fldCharType="separate"/>
          </w:r>
          <w:r>
            <w:rPr>
              <w:rStyle w:val="41"/>
              <w:rFonts w:eastAsiaTheme="minorEastAsia"/>
            </w:rPr>
            <w:t>8.1  一般规定</w:t>
          </w:r>
          <w:r>
            <w:rPr>
              <w:rFonts w:eastAsiaTheme="minorEastAsia"/>
            </w:rPr>
            <w:tab/>
          </w:r>
          <w:r>
            <w:rPr>
              <w:rFonts w:eastAsiaTheme="minorEastAsia"/>
            </w:rPr>
            <w:fldChar w:fldCharType="begin"/>
          </w:r>
          <w:r>
            <w:rPr>
              <w:rFonts w:eastAsiaTheme="minorEastAsia"/>
            </w:rPr>
            <w:instrText xml:space="preserve"> PAGEREF _Toc139613735 \h </w:instrText>
          </w:r>
          <w:r>
            <w:rPr>
              <w:rFonts w:eastAsiaTheme="minorEastAsia"/>
            </w:rPr>
            <w:fldChar w:fldCharType="separate"/>
          </w:r>
          <w:r>
            <w:rPr>
              <w:rFonts w:eastAsiaTheme="minorEastAsia"/>
            </w:rPr>
            <w:t>37</w:t>
          </w:r>
          <w:r>
            <w:rPr>
              <w:rFonts w:eastAsiaTheme="minorEastAsia"/>
            </w:rPr>
            <w:fldChar w:fldCharType="end"/>
          </w:r>
          <w:r>
            <w:rPr>
              <w:rFonts w:eastAsiaTheme="minorEastAsia"/>
            </w:rPr>
            <w:fldChar w:fldCharType="end"/>
          </w:r>
        </w:p>
        <w:p w14:paraId="72EBB28E">
          <w:pPr>
            <w:pStyle w:val="15"/>
            <w:spacing w:line="240" w:lineRule="auto"/>
            <w:jc w:val="center"/>
            <w:rPr>
              <w:rFonts w:eastAsiaTheme="minorEastAsia"/>
              <w:szCs w:val="22"/>
              <w14:ligatures w14:val="standardContextual"/>
            </w:rPr>
          </w:pPr>
          <w:r>
            <w:fldChar w:fldCharType="begin"/>
          </w:r>
          <w:r>
            <w:instrText xml:space="preserve"> HYPERLINK \l "_Toc139613736" </w:instrText>
          </w:r>
          <w:r>
            <w:fldChar w:fldCharType="separate"/>
          </w:r>
          <w:r>
            <w:rPr>
              <w:rStyle w:val="41"/>
              <w:rFonts w:eastAsiaTheme="minorEastAsia"/>
            </w:rPr>
            <w:t>8.2  设    计</w:t>
          </w:r>
          <w:r>
            <w:rPr>
              <w:rFonts w:eastAsiaTheme="minorEastAsia"/>
            </w:rPr>
            <w:tab/>
          </w:r>
          <w:r>
            <w:rPr>
              <w:rFonts w:eastAsiaTheme="minorEastAsia"/>
            </w:rPr>
            <w:fldChar w:fldCharType="begin"/>
          </w:r>
          <w:r>
            <w:rPr>
              <w:rFonts w:eastAsiaTheme="minorEastAsia"/>
            </w:rPr>
            <w:instrText xml:space="preserve"> PAGEREF _Toc139613736 \h </w:instrText>
          </w:r>
          <w:r>
            <w:rPr>
              <w:rFonts w:eastAsiaTheme="minorEastAsia"/>
            </w:rPr>
            <w:fldChar w:fldCharType="separate"/>
          </w:r>
          <w:r>
            <w:rPr>
              <w:rFonts w:eastAsiaTheme="minorEastAsia"/>
            </w:rPr>
            <w:t>37</w:t>
          </w:r>
          <w:r>
            <w:rPr>
              <w:rFonts w:eastAsiaTheme="minorEastAsia"/>
            </w:rPr>
            <w:fldChar w:fldCharType="end"/>
          </w:r>
          <w:r>
            <w:rPr>
              <w:rFonts w:eastAsiaTheme="minorEastAsia"/>
            </w:rPr>
            <w:fldChar w:fldCharType="end"/>
          </w:r>
        </w:p>
        <w:p w14:paraId="46E13478">
          <w:pPr>
            <w:pStyle w:val="15"/>
            <w:spacing w:line="240" w:lineRule="auto"/>
            <w:jc w:val="center"/>
            <w:rPr>
              <w:rFonts w:eastAsiaTheme="minorEastAsia"/>
              <w:szCs w:val="22"/>
              <w14:ligatures w14:val="standardContextual"/>
            </w:rPr>
          </w:pPr>
          <w:r>
            <w:fldChar w:fldCharType="begin"/>
          </w:r>
          <w:r>
            <w:instrText xml:space="preserve"> HYPERLINK \l "_Toc139613737" </w:instrText>
          </w:r>
          <w:r>
            <w:fldChar w:fldCharType="separate"/>
          </w:r>
          <w:r>
            <w:rPr>
              <w:rStyle w:val="41"/>
              <w:rFonts w:eastAsiaTheme="minorEastAsia"/>
            </w:rPr>
            <w:t>8.3  施    工</w:t>
          </w:r>
          <w:r>
            <w:rPr>
              <w:rFonts w:eastAsiaTheme="minorEastAsia"/>
            </w:rPr>
            <w:tab/>
          </w:r>
          <w:r>
            <w:rPr>
              <w:rFonts w:eastAsiaTheme="minorEastAsia"/>
            </w:rPr>
            <w:fldChar w:fldCharType="begin"/>
          </w:r>
          <w:r>
            <w:rPr>
              <w:rFonts w:eastAsiaTheme="minorEastAsia"/>
            </w:rPr>
            <w:instrText xml:space="preserve"> PAGEREF _Toc139613737 \h </w:instrText>
          </w:r>
          <w:r>
            <w:rPr>
              <w:rFonts w:eastAsiaTheme="minorEastAsia"/>
            </w:rPr>
            <w:fldChar w:fldCharType="separate"/>
          </w:r>
          <w:r>
            <w:rPr>
              <w:rFonts w:eastAsiaTheme="minorEastAsia"/>
            </w:rPr>
            <w:t>42</w:t>
          </w:r>
          <w:r>
            <w:rPr>
              <w:rFonts w:eastAsiaTheme="minorEastAsia"/>
            </w:rPr>
            <w:fldChar w:fldCharType="end"/>
          </w:r>
          <w:r>
            <w:rPr>
              <w:rFonts w:eastAsiaTheme="minorEastAsia"/>
            </w:rPr>
            <w:fldChar w:fldCharType="end"/>
          </w:r>
        </w:p>
        <w:p w14:paraId="30929484">
          <w:pPr>
            <w:pStyle w:val="15"/>
            <w:spacing w:line="240" w:lineRule="auto"/>
            <w:jc w:val="center"/>
            <w:rPr>
              <w:rFonts w:eastAsiaTheme="minorEastAsia"/>
              <w:szCs w:val="22"/>
              <w14:ligatures w14:val="standardContextual"/>
            </w:rPr>
          </w:pPr>
          <w:r>
            <w:fldChar w:fldCharType="begin"/>
          </w:r>
          <w:r>
            <w:instrText xml:space="preserve"> HYPERLINK \l "_Toc139613738" </w:instrText>
          </w:r>
          <w:r>
            <w:fldChar w:fldCharType="separate"/>
          </w:r>
          <w:r>
            <w:rPr>
              <w:rStyle w:val="41"/>
              <w:rFonts w:eastAsiaTheme="minorEastAsia"/>
            </w:rPr>
            <w:t>8.4  质量检测</w:t>
          </w:r>
          <w:r>
            <w:rPr>
              <w:rFonts w:eastAsiaTheme="minorEastAsia"/>
            </w:rPr>
            <w:tab/>
          </w:r>
          <w:r>
            <w:rPr>
              <w:rFonts w:eastAsiaTheme="minorEastAsia"/>
            </w:rPr>
            <w:fldChar w:fldCharType="begin"/>
          </w:r>
          <w:r>
            <w:rPr>
              <w:rFonts w:eastAsiaTheme="minorEastAsia"/>
            </w:rPr>
            <w:instrText xml:space="preserve"> PAGEREF _Toc139613738 \h </w:instrText>
          </w:r>
          <w:r>
            <w:rPr>
              <w:rFonts w:eastAsiaTheme="minorEastAsia"/>
            </w:rPr>
            <w:fldChar w:fldCharType="separate"/>
          </w:r>
          <w:r>
            <w:rPr>
              <w:rFonts w:eastAsiaTheme="minorEastAsia"/>
            </w:rPr>
            <w:t>44</w:t>
          </w:r>
          <w:r>
            <w:rPr>
              <w:rFonts w:eastAsiaTheme="minorEastAsia"/>
            </w:rPr>
            <w:fldChar w:fldCharType="end"/>
          </w:r>
          <w:r>
            <w:rPr>
              <w:rFonts w:eastAsiaTheme="minorEastAsia"/>
            </w:rPr>
            <w:fldChar w:fldCharType="end"/>
          </w:r>
        </w:p>
        <w:p w14:paraId="52F4F87F">
          <w:pPr>
            <w:pStyle w:val="28"/>
            <w:jc w:val="center"/>
            <w:rPr>
              <w:rFonts w:eastAsiaTheme="minorEastAsia"/>
              <w:szCs w:val="22"/>
              <w14:ligatures w14:val="standardContextual"/>
            </w:rPr>
          </w:pPr>
          <w:r>
            <w:fldChar w:fldCharType="begin"/>
          </w:r>
          <w:r>
            <w:instrText xml:space="preserve"> HYPERLINK \l "_Toc139613739" </w:instrText>
          </w:r>
          <w:r>
            <w:fldChar w:fldCharType="separate"/>
          </w:r>
          <w:r>
            <w:rPr>
              <w:rStyle w:val="41"/>
              <w:rFonts w:eastAsiaTheme="minorEastAsia"/>
            </w:rPr>
            <w:t>9  抗震设计</w:t>
          </w:r>
          <w:r>
            <w:rPr>
              <w:rFonts w:eastAsiaTheme="minorEastAsia"/>
            </w:rPr>
            <w:tab/>
          </w:r>
          <w:r>
            <w:rPr>
              <w:rFonts w:eastAsiaTheme="minorEastAsia"/>
            </w:rPr>
            <w:fldChar w:fldCharType="begin"/>
          </w:r>
          <w:r>
            <w:rPr>
              <w:rFonts w:eastAsiaTheme="minorEastAsia"/>
            </w:rPr>
            <w:instrText xml:space="preserve"> PAGEREF _Toc139613739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14:paraId="18B1F260">
          <w:pPr>
            <w:pStyle w:val="15"/>
            <w:spacing w:line="240" w:lineRule="auto"/>
            <w:jc w:val="center"/>
            <w:rPr>
              <w:rFonts w:eastAsiaTheme="minorEastAsia"/>
              <w:szCs w:val="22"/>
              <w14:ligatures w14:val="standardContextual"/>
            </w:rPr>
          </w:pPr>
          <w:r>
            <w:fldChar w:fldCharType="begin"/>
          </w:r>
          <w:r>
            <w:instrText xml:space="preserve"> HYPERLINK \l "_Toc139613740" </w:instrText>
          </w:r>
          <w:r>
            <w:fldChar w:fldCharType="separate"/>
          </w:r>
          <w:r>
            <w:rPr>
              <w:rStyle w:val="41"/>
              <w:rFonts w:eastAsiaTheme="minorEastAsia"/>
            </w:rPr>
            <w:t>9.1  一般规定</w:t>
          </w:r>
          <w:r>
            <w:rPr>
              <w:rFonts w:eastAsiaTheme="minorEastAsia"/>
            </w:rPr>
            <w:tab/>
          </w:r>
          <w:r>
            <w:rPr>
              <w:rFonts w:eastAsiaTheme="minorEastAsia"/>
            </w:rPr>
            <w:fldChar w:fldCharType="begin"/>
          </w:r>
          <w:r>
            <w:rPr>
              <w:rFonts w:eastAsiaTheme="minorEastAsia"/>
            </w:rPr>
            <w:instrText xml:space="preserve"> PAGEREF _Toc139613740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14:paraId="12DF16B7">
          <w:pPr>
            <w:pStyle w:val="15"/>
            <w:spacing w:line="240" w:lineRule="auto"/>
            <w:jc w:val="center"/>
            <w:rPr>
              <w:rFonts w:eastAsiaTheme="minorEastAsia"/>
              <w:szCs w:val="22"/>
              <w14:ligatures w14:val="standardContextual"/>
            </w:rPr>
          </w:pPr>
          <w:r>
            <w:fldChar w:fldCharType="begin"/>
          </w:r>
          <w:r>
            <w:instrText xml:space="preserve"> HYPERLINK \l "_Toc139613741" </w:instrText>
          </w:r>
          <w:r>
            <w:fldChar w:fldCharType="separate"/>
          </w:r>
          <w:r>
            <w:rPr>
              <w:rStyle w:val="41"/>
              <w:rFonts w:eastAsiaTheme="minorEastAsia"/>
            </w:rPr>
            <w:t>9.2  抗震验算</w:t>
          </w:r>
          <w:r>
            <w:rPr>
              <w:rFonts w:eastAsiaTheme="minorEastAsia"/>
            </w:rPr>
            <w:tab/>
          </w:r>
          <w:r>
            <w:rPr>
              <w:rFonts w:eastAsiaTheme="minorEastAsia"/>
            </w:rPr>
            <w:fldChar w:fldCharType="begin"/>
          </w:r>
          <w:r>
            <w:rPr>
              <w:rFonts w:eastAsiaTheme="minorEastAsia"/>
            </w:rPr>
            <w:instrText xml:space="preserve"> PAGEREF _Toc139613741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14:paraId="512A506D">
          <w:pPr>
            <w:pStyle w:val="15"/>
            <w:spacing w:line="240" w:lineRule="auto"/>
            <w:jc w:val="center"/>
            <w:rPr>
              <w:rFonts w:eastAsiaTheme="minorEastAsia"/>
              <w:szCs w:val="22"/>
              <w14:ligatures w14:val="standardContextual"/>
            </w:rPr>
          </w:pPr>
          <w:r>
            <w:fldChar w:fldCharType="begin"/>
          </w:r>
          <w:r>
            <w:instrText xml:space="preserve"> HYPERLINK \l "_Toc139613742" </w:instrText>
          </w:r>
          <w:r>
            <w:fldChar w:fldCharType="separate"/>
          </w:r>
          <w:r>
            <w:rPr>
              <w:rStyle w:val="41"/>
              <w:rFonts w:eastAsiaTheme="minorEastAsia"/>
            </w:rPr>
            <w:t>9.3  抗震构造措施</w:t>
          </w:r>
          <w:r>
            <w:rPr>
              <w:rFonts w:eastAsiaTheme="minorEastAsia"/>
            </w:rPr>
            <w:tab/>
          </w:r>
          <w:r>
            <w:rPr>
              <w:rFonts w:eastAsiaTheme="minorEastAsia"/>
            </w:rPr>
            <w:fldChar w:fldCharType="begin"/>
          </w:r>
          <w:r>
            <w:rPr>
              <w:rFonts w:eastAsiaTheme="minorEastAsia"/>
            </w:rPr>
            <w:instrText xml:space="preserve"> PAGEREF _Toc139613742 \h </w:instrText>
          </w:r>
          <w:r>
            <w:rPr>
              <w:rFonts w:eastAsiaTheme="minorEastAsia"/>
            </w:rPr>
            <w:fldChar w:fldCharType="separate"/>
          </w:r>
          <w:r>
            <w:rPr>
              <w:rFonts w:eastAsiaTheme="minorEastAsia"/>
            </w:rPr>
            <w:t>50</w:t>
          </w:r>
          <w:r>
            <w:rPr>
              <w:rFonts w:eastAsiaTheme="minorEastAsia"/>
            </w:rPr>
            <w:fldChar w:fldCharType="end"/>
          </w:r>
          <w:r>
            <w:rPr>
              <w:rFonts w:eastAsiaTheme="minorEastAsia"/>
            </w:rPr>
            <w:fldChar w:fldCharType="end"/>
          </w:r>
        </w:p>
        <w:p w14:paraId="709FF937">
          <w:pPr>
            <w:pStyle w:val="28"/>
            <w:jc w:val="center"/>
            <w:rPr>
              <w:rFonts w:eastAsiaTheme="minorEastAsia"/>
              <w:szCs w:val="22"/>
              <w14:ligatures w14:val="standardContextual"/>
            </w:rPr>
          </w:pPr>
          <w:r>
            <w:fldChar w:fldCharType="begin"/>
          </w:r>
          <w:r>
            <w:instrText xml:space="preserve"> HYPERLINK \l "_Toc139613743" </w:instrText>
          </w:r>
          <w:r>
            <w:fldChar w:fldCharType="separate"/>
          </w:r>
          <w:r>
            <w:rPr>
              <w:rStyle w:val="41"/>
              <w:rFonts w:eastAsiaTheme="minorEastAsia"/>
            </w:rPr>
            <w:t>10  基坑开挖与回填</w:t>
          </w:r>
          <w:r>
            <w:rPr>
              <w:rFonts w:eastAsiaTheme="minorEastAsia"/>
            </w:rPr>
            <w:tab/>
          </w:r>
          <w:r>
            <w:rPr>
              <w:rFonts w:eastAsiaTheme="minorEastAsia"/>
            </w:rPr>
            <w:fldChar w:fldCharType="begin"/>
          </w:r>
          <w:r>
            <w:rPr>
              <w:rFonts w:eastAsiaTheme="minorEastAsia"/>
            </w:rPr>
            <w:instrText xml:space="preserve"> PAGEREF _Toc139613743 \h </w:instrText>
          </w:r>
          <w:r>
            <w:rPr>
              <w:rFonts w:eastAsiaTheme="minorEastAsia"/>
            </w:rPr>
            <w:fldChar w:fldCharType="separate"/>
          </w:r>
          <w:r>
            <w:rPr>
              <w:rFonts w:eastAsiaTheme="minorEastAsia"/>
            </w:rPr>
            <w:t>52</w:t>
          </w:r>
          <w:r>
            <w:rPr>
              <w:rFonts w:eastAsiaTheme="minorEastAsia"/>
            </w:rPr>
            <w:fldChar w:fldCharType="end"/>
          </w:r>
          <w:r>
            <w:rPr>
              <w:rFonts w:eastAsiaTheme="minorEastAsia"/>
            </w:rPr>
            <w:fldChar w:fldCharType="end"/>
          </w:r>
        </w:p>
        <w:p w14:paraId="103BCA5B">
          <w:pPr>
            <w:pStyle w:val="15"/>
            <w:spacing w:line="240" w:lineRule="auto"/>
            <w:jc w:val="center"/>
            <w:rPr>
              <w:rFonts w:eastAsiaTheme="minorEastAsia"/>
              <w:szCs w:val="22"/>
              <w14:ligatures w14:val="standardContextual"/>
            </w:rPr>
          </w:pPr>
          <w:r>
            <w:fldChar w:fldCharType="begin"/>
          </w:r>
          <w:r>
            <w:instrText xml:space="preserve"> HYPERLINK \l "_Toc139613744" </w:instrText>
          </w:r>
          <w:r>
            <w:fldChar w:fldCharType="separate"/>
          </w:r>
          <w:r>
            <w:rPr>
              <w:rStyle w:val="41"/>
              <w:rFonts w:eastAsiaTheme="minorEastAsia"/>
            </w:rPr>
            <w:t>10.1  一般规定</w:t>
          </w:r>
          <w:r>
            <w:rPr>
              <w:rFonts w:eastAsiaTheme="minorEastAsia"/>
            </w:rPr>
            <w:tab/>
          </w:r>
          <w:r>
            <w:rPr>
              <w:rFonts w:eastAsiaTheme="minorEastAsia"/>
            </w:rPr>
            <w:fldChar w:fldCharType="begin"/>
          </w:r>
          <w:r>
            <w:rPr>
              <w:rFonts w:eastAsiaTheme="minorEastAsia"/>
            </w:rPr>
            <w:instrText xml:space="preserve"> PAGEREF _Toc139613744 \h </w:instrText>
          </w:r>
          <w:r>
            <w:rPr>
              <w:rFonts w:eastAsiaTheme="minorEastAsia"/>
            </w:rPr>
            <w:fldChar w:fldCharType="separate"/>
          </w:r>
          <w:r>
            <w:rPr>
              <w:rFonts w:eastAsiaTheme="minorEastAsia"/>
            </w:rPr>
            <w:t>52</w:t>
          </w:r>
          <w:r>
            <w:rPr>
              <w:rFonts w:eastAsiaTheme="minorEastAsia"/>
            </w:rPr>
            <w:fldChar w:fldCharType="end"/>
          </w:r>
          <w:r>
            <w:rPr>
              <w:rFonts w:eastAsiaTheme="minorEastAsia"/>
            </w:rPr>
            <w:fldChar w:fldCharType="end"/>
          </w:r>
        </w:p>
        <w:p w14:paraId="75ACCA03">
          <w:pPr>
            <w:pStyle w:val="15"/>
            <w:spacing w:line="240" w:lineRule="auto"/>
            <w:jc w:val="center"/>
            <w:rPr>
              <w:rFonts w:eastAsiaTheme="minorEastAsia"/>
              <w:szCs w:val="22"/>
              <w14:ligatures w14:val="standardContextual"/>
            </w:rPr>
          </w:pPr>
          <w:r>
            <w:fldChar w:fldCharType="begin"/>
          </w:r>
          <w:r>
            <w:instrText xml:space="preserve"> HYPERLINK \l "_Toc139613745" </w:instrText>
          </w:r>
          <w:r>
            <w:fldChar w:fldCharType="separate"/>
          </w:r>
          <w:r>
            <w:rPr>
              <w:rStyle w:val="41"/>
              <w:rFonts w:eastAsiaTheme="minorEastAsia"/>
            </w:rPr>
            <w:t>10.2  开    挖</w:t>
          </w:r>
          <w:r>
            <w:rPr>
              <w:rFonts w:eastAsiaTheme="minorEastAsia"/>
            </w:rPr>
            <w:tab/>
          </w:r>
          <w:r>
            <w:rPr>
              <w:rFonts w:eastAsiaTheme="minorEastAsia"/>
            </w:rPr>
            <w:fldChar w:fldCharType="begin"/>
          </w:r>
          <w:r>
            <w:rPr>
              <w:rFonts w:eastAsiaTheme="minorEastAsia"/>
            </w:rPr>
            <w:instrText xml:space="preserve"> PAGEREF _Toc139613745 \h </w:instrText>
          </w:r>
          <w:r>
            <w:rPr>
              <w:rFonts w:eastAsiaTheme="minorEastAsia"/>
            </w:rPr>
            <w:fldChar w:fldCharType="separate"/>
          </w:r>
          <w:r>
            <w:rPr>
              <w:rFonts w:eastAsiaTheme="minorEastAsia"/>
            </w:rPr>
            <w:t>52</w:t>
          </w:r>
          <w:r>
            <w:rPr>
              <w:rFonts w:eastAsiaTheme="minorEastAsia"/>
            </w:rPr>
            <w:fldChar w:fldCharType="end"/>
          </w:r>
          <w:r>
            <w:rPr>
              <w:rFonts w:eastAsiaTheme="minorEastAsia"/>
            </w:rPr>
            <w:fldChar w:fldCharType="end"/>
          </w:r>
        </w:p>
        <w:p w14:paraId="4BD4458C">
          <w:pPr>
            <w:pStyle w:val="15"/>
            <w:spacing w:line="240" w:lineRule="auto"/>
            <w:jc w:val="center"/>
            <w:rPr>
              <w:rFonts w:eastAsiaTheme="minorEastAsia"/>
              <w:szCs w:val="22"/>
              <w14:ligatures w14:val="standardContextual"/>
            </w:rPr>
          </w:pPr>
          <w:r>
            <w:fldChar w:fldCharType="begin"/>
          </w:r>
          <w:r>
            <w:instrText xml:space="preserve"> HYPERLINK \l "_Toc139613746" </w:instrText>
          </w:r>
          <w:r>
            <w:fldChar w:fldCharType="separate"/>
          </w:r>
          <w:r>
            <w:rPr>
              <w:rStyle w:val="41"/>
              <w:rFonts w:eastAsiaTheme="minorEastAsia"/>
            </w:rPr>
            <w:t>10.3  基坑防排水</w:t>
          </w:r>
          <w:r>
            <w:rPr>
              <w:rFonts w:eastAsiaTheme="minorEastAsia"/>
            </w:rPr>
            <w:tab/>
          </w:r>
          <w:r>
            <w:rPr>
              <w:rFonts w:eastAsiaTheme="minorEastAsia"/>
            </w:rPr>
            <w:fldChar w:fldCharType="begin"/>
          </w:r>
          <w:r>
            <w:rPr>
              <w:rFonts w:eastAsiaTheme="minorEastAsia"/>
            </w:rPr>
            <w:instrText xml:space="preserve"> PAGEREF _Toc139613746 \h </w:instrText>
          </w:r>
          <w:r>
            <w:rPr>
              <w:rFonts w:eastAsiaTheme="minorEastAsia"/>
            </w:rPr>
            <w:fldChar w:fldCharType="separate"/>
          </w:r>
          <w:r>
            <w:rPr>
              <w:rFonts w:eastAsiaTheme="minorEastAsia"/>
            </w:rPr>
            <w:t>52</w:t>
          </w:r>
          <w:r>
            <w:rPr>
              <w:rFonts w:eastAsiaTheme="minorEastAsia"/>
            </w:rPr>
            <w:fldChar w:fldCharType="end"/>
          </w:r>
          <w:r>
            <w:rPr>
              <w:rFonts w:eastAsiaTheme="minorEastAsia"/>
            </w:rPr>
            <w:fldChar w:fldCharType="end"/>
          </w:r>
        </w:p>
        <w:p w14:paraId="6503506D">
          <w:pPr>
            <w:pStyle w:val="15"/>
            <w:spacing w:line="240" w:lineRule="auto"/>
            <w:jc w:val="center"/>
            <w:rPr>
              <w:rFonts w:eastAsiaTheme="minorEastAsia"/>
              <w:szCs w:val="22"/>
              <w14:ligatures w14:val="standardContextual"/>
            </w:rPr>
          </w:pPr>
          <w:r>
            <w:fldChar w:fldCharType="begin"/>
          </w:r>
          <w:r>
            <w:instrText xml:space="preserve"> HYPERLINK \l "_Toc139613747" </w:instrText>
          </w:r>
          <w:r>
            <w:fldChar w:fldCharType="separate"/>
          </w:r>
          <w:r>
            <w:rPr>
              <w:rStyle w:val="41"/>
              <w:rFonts w:eastAsiaTheme="minorEastAsia"/>
            </w:rPr>
            <w:t>10.4  封底及回填</w:t>
          </w:r>
          <w:r>
            <w:rPr>
              <w:rFonts w:eastAsiaTheme="minorEastAsia"/>
            </w:rPr>
            <w:tab/>
          </w:r>
          <w:r>
            <w:rPr>
              <w:rFonts w:eastAsiaTheme="minorEastAsia"/>
            </w:rPr>
            <w:fldChar w:fldCharType="begin"/>
          </w:r>
          <w:r>
            <w:rPr>
              <w:rFonts w:eastAsiaTheme="minorEastAsia"/>
            </w:rPr>
            <w:instrText xml:space="preserve"> PAGEREF _Toc139613747 \h </w:instrText>
          </w:r>
          <w:r>
            <w:rPr>
              <w:rFonts w:eastAsiaTheme="minorEastAsia"/>
            </w:rPr>
            <w:fldChar w:fldCharType="separate"/>
          </w:r>
          <w:r>
            <w:rPr>
              <w:rFonts w:eastAsiaTheme="minorEastAsia"/>
            </w:rPr>
            <w:t>52</w:t>
          </w:r>
          <w:r>
            <w:rPr>
              <w:rFonts w:eastAsiaTheme="minorEastAsia"/>
            </w:rPr>
            <w:fldChar w:fldCharType="end"/>
          </w:r>
          <w:r>
            <w:rPr>
              <w:rFonts w:eastAsiaTheme="minorEastAsia"/>
            </w:rPr>
            <w:fldChar w:fldCharType="end"/>
          </w:r>
        </w:p>
        <w:p w14:paraId="425CFDD1">
          <w:pPr>
            <w:pStyle w:val="28"/>
            <w:jc w:val="center"/>
            <w:rPr>
              <w:rFonts w:eastAsiaTheme="minorEastAsia"/>
              <w:szCs w:val="22"/>
              <w14:ligatures w14:val="standardContextual"/>
            </w:rPr>
          </w:pPr>
          <w:r>
            <w:fldChar w:fldCharType="begin"/>
          </w:r>
          <w:r>
            <w:instrText xml:space="preserve"> HYPERLINK \l "_Toc139613748" </w:instrText>
          </w:r>
          <w:r>
            <w:fldChar w:fldCharType="separate"/>
          </w:r>
          <w:r>
            <w:rPr>
              <w:rStyle w:val="41"/>
              <w:rFonts w:eastAsiaTheme="minorEastAsia"/>
            </w:rPr>
            <w:t>11  监    测</w:t>
          </w:r>
          <w:r>
            <w:rPr>
              <w:rFonts w:eastAsiaTheme="minorEastAsia"/>
            </w:rPr>
            <w:tab/>
          </w:r>
          <w:r>
            <w:rPr>
              <w:rFonts w:eastAsiaTheme="minorEastAsia"/>
            </w:rPr>
            <w:fldChar w:fldCharType="begin"/>
          </w:r>
          <w:r>
            <w:rPr>
              <w:rFonts w:eastAsiaTheme="minorEastAsia"/>
            </w:rPr>
            <w:instrText xml:space="preserve"> PAGEREF _Toc139613748 \h </w:instrText>
          </w:r>
          <w:r>
            <w:rPr>
              <w:rFonts w:eastAsiaTheme="minorEastAsia"/>
            </w:rPr>
            <w:fldChar w:fldCharType="separate"/>
          </w:r>
          <w:r>
            <w:rPr>
              <w:rFonts w:eastAsiaTheme="minorEastAsia"/>
            </w:rPr>
            <w:t>53</w:t>
          </w:r>
          <w:r>
            <w:rPr>
              <w:rFonts w:eastAsiaTheme="minorEastAsia"/>
            </w:rPr>
            <w:fldChar w:fldCharType="end"/>
          </w:r>
          <w:r>
            <w:rPr>
              <w:rFonts w:eastAsiaTheme="minorEastAsia"/>
            </w:rPr>
            <w:fldChar w:fldCharType="end"/>
          </w:r>
        </w:p>
        <w:p w14:paraId="520807FC">
          <w:pPr>
            <w:pStyle w:val="15"/>
            <w:spacing w:line="240" w:lineRule="auto"/>
            <w:jc w:val="center"/>
            <w:rPr>
              <w:rFonts w:eastAsiaTheme="minorEastAsia"/>
              <w:szCs w:val="22"/>
              <w14:ligatures w14:val="standardContextual"/>
            </w:rPr>
          </w:pPr>
          <w:r>
            <w:fldChar w:fldCharType="begin"/>
          </w:r>
          <w:r>
            <w:instrText xml:space="preserve"> HYPERLINK \l "_Toc139613749" </w:instrText>
          </w:r>
          <w:r>
            <w:fldChar w:fldCharType="separate"/>
          </w:r>
          <w:r>
            <w:rPr>
              <w:rStyle w:val="41"/>
              <w:rFonts w:eastAsiaTheme="minorEastAsia"/>
            </w:rPr>
            <w:t>11.1  一般规定</w:t>
          </w:r>
          <w:r>
            <w:rPr>
              <w:rFonts w:eastAsiaTheme="minorEastAsia"/>
            </w:rPr>
            <w:tab/>
          </w:r>
          <w:r>
            <w:rPr>
              <w:rFonts w:eastAsiaTheme="minorEastAsia"/>
            </w:rPr>
            <w:fldChar w:fldCharType="begin"/>
          </w:r>
          <w:r>
            <w:rPr>
              <w:rFonts w:eastAsiaTheme="minorEastAsia"/>
            </w:rPr>
            <w:instrText xml:space="preserve"> PAGEREF _Toc139613749 \h </w:instrText>
          </w:r>
          <w:r>
            <w:rPr>
              <w:rFonts w:eastAsiaTheme="minorEastAsia"/>
            </w:rPr>
            <w:fldChar w:fldCharType="separate"/>
          </w:r>
          <w:r>
            <w:rPr>
              <w:rFonts w:eastAsiaTheme="minorEastAsia"/>
            </w:rPr>
            <w:t>53</w:t>
          </w:r>
          <w:r>
            <w:rPr>
              <w:rFonts w:eastAsiaTheme="minorEastAsia"/>
            </w:rPr>
            <w:fldChar w:fldCharType="end"/>
          </w:r>
          <w:r>
            <w:rPr>
              <w:rFonts w:eastAsiaTheme="minorEastAsia"/>
            </w:rPr>
            <w:fldChar w:fldCharType="end"/>
          </w:r>
        </w:p>
        <w:p w14:paraId="0F45C867">
          <w:pPr>
            <w:pStyle w:val="15"/>
            <w:spacing w:line="240" w:lineRule="auto"/>
            <w:jc w:val="center"/>
            <w:rPr>
              <w:rFonts w:eastAsiaTheme="minorEastAsia"/>
              <w:szCs w:val="22"/>
              <w14:ligatures w14:val="standardContextual"/>
            </w:rPr>
          </w:pPr>
          <w:r>
            <w:fldChar w:fldCharType="begin"/>
          </w:r>
          <w:r>
            <w:instrText xml:space="preserve"> HYPERLINK \l "_Toc139613750" </w:instrText>
          </w:r>
          <w:r>
            <w:fldChar w:fldCharType="separate"/>
          </w:r>
          <w:r>
            <w:rPr>
              <w:rStyle w:val="41"/>
              <w:rFonts w:eastAsiaTheme="minorEastAsia"/>
            </w:rPr>
            <w:t>11.2  监测项目</w:t>
          </w:r>
          <w:r>
            <w:rPr>
              <w:rFonts w:eastAsiaTheme="minorEastAsia"/>
            </w:rPr>
            <w:tab/>
          </w:r>
          <w:r>
            <w:rPr>
              <w:rFonts w:eastAsiaTheme="minorEastAsia"/>
            </w:rPr>
            <w:fldChar w:fldCharType="begin"/>
          </w:r>
          <w:r>
            <w:rPr>
              <w:rFonts w:eastAsiaTheme="minorEastAsia"/>
            </w:rPr>
            <w:instrText xml:space="preserve"> PAGEREF _Toc139613750 \h </w:instrText>
          </w:r>
          <w:r>
            <w:rPr>
              <w:rFonts w:eastAsiaTheme="minorEastAsia"/>
            </w:rPr>
            <w:fldChar w:fldCharType="separate"/>
          </w:r>
          <w:r>
            <w:rPr>
              <w:rFonts w:eastAsiaTheme="minorEastAsia"/>
            </w:rPr>
            <w:t>53</w:t>
          </w:r>
          <w:r>
            <w:rPr>
              <w:rFonts w:eastAsiaTheme="minorEastAsia"/>
            </w:rPr>
            <w:fldChar w:fldCharType="end"/>
          </w:r>
          <w:r>
            <w:rPr>
              <w:rFonts w:eastAsiaTheme="minorEastAsia"/>
            </w:rPr>
            <w:fldChar w:fldCharType="end"/>
          </w:r>
        </w:p>
        <w:p w14:paraId="07159F7D">
          <w:pPr>
            <w:pStyle w:val="15"/>
            <w:spacing w:line="240" w:lineRule="auto"/>
            <w:jc w:val="center"/>
            <w:rPr>
              <w:rFonts w:eastAsiaTheme="minorEastAsia"/>
              <w:szCs w:val="22"/>
              <w14:ligatures w14:val="standardContextual"/>
            </w:rPr>
          </w:pPr>
          <w:r>
            <w:fldChar w:fldCharType="begin"/>
          </w:r>
          <w:r>
            <w:instrText xml:space="preserve"> HYPERLINK \l "_Toc139613751" </w:instrText>
          </w:r>
          <w:r>
            <w:fldChar w:fldCharType="separate"/>
          </w:r>
          <w:r>
            <w:rPr>
              <w:rStyle w:val="41"/>
              <w:rFonts w:eastAsiaTheme="minorEastAsia"/>
            </w:rPr>
            <w:t>11.3  巡视检查</w:t>
          </w:r>
          <w:r>
            <w:rPr>
              <w:rFonts w:eastAsiaTheme="minorEastAsia"/>
            </w:rPr>
            <w:tab/>
          </w:r>
          <w:r>
            <w:rPr>
              <w:rFonts w:eastAsiaTheme="minorEastAsia"/>
            </w:rPr>
            <w:fldChar w:fldCharType="begin"/>
          </w:r>
          <w:r>
            <w:rPr>
              <w:rFonts w:eastAsiaTheme="minorEastAsia"/>
            </w:rPr>
            <w:instrText xml:space="preserve"> PAGEREF _Toc139613751 \h </w:instrText>
          </w:r>
          <w:r>
            <w:rPr>
              <w:rFonts w:eastAsiaTheme="minorEastAsia"/>
            </w:rPr>
            <w:fldChar w:fldCharType="separate"/>
          </w:r>
          <w:r>
            <w:rPr>
              <w:rFonts w:eastAsiaTheme="minorEastAsia"/>
            </w:rPr>
            <w:t>53</w:t>
          </w:r>
          <w:r>
            <w:rPr>
              <w:rFonts w:eastAsiaTheme="minorEastAsia"/>
            </w:rPr>
            <w:fldChar w:fldCharType="end"/>
          </w:r>
          <w:r>
            <w:rPr>
              <w:rFonts w:eastAsiaTheme="minorEastAsia"/>
            </w:rPr>
            <w:fldChar w:fldCharType="end"/>
          </w:r>
        </w:p>
        <w:p w14:paraId="7AB58710">
          <w:pPr>
            <w:pStyle w:val="15"/>
            <w:spacing w:line="240" w:lineRule="auto"/>
            <w:jc w:val="center"/>
            <w:rPr>
              <w:rFonts w:eastAsiaTheme="minorEastAsia"/>
              <w:szCs w:val="22"/>
              <w14:ligatures w14:val="standardContextual"/>
            </w:rPr>
          </w:pPr>
          <w:r>
            <w:fldChar w:fldCharType="begin"/>
          </w:r>
          <w:r>
            <w:instrText xml:space="preserve"> HYPERLINK \l "_Toc139613752" </w:instrText>
          </w:r>
          <w:r>
            <w:fldChar w:fldCharType="separate"/>
          </w:r>
          <w:r>
            <w:rPr>
              <w:rStyle w:val="41"/>
              <w:rFonts w:eastAsiaTheme="minorEastAsia"/>
            </w:rPr>
            <w:t>11.4  监测点布置</w:t>
          </w:r>
          <w:r>
            <w:rPr>
              <w:rFonts w:eastAsiaTheme="minorEastAsia"/>
            </w:rPr>
            <w:tab/>
          </w:r>
          <w:r>
            <w:rPr>
              <w:rFonts w:eastAsiaTheme="minorEastAsia"/>
            </w:rPr>
            <w:fldChar w:fldCharType="begin"/>
          </w:r>
          <w:r>
            <w:rPr>
              <w:rFonts w:eastAsiaTheme="minorEastAsia"/>
            </w:rPr>
            <w:instrText xml:space="preserve"> PAGEREF _Toc139613752 \h </w:instrText>
          </w:r>
          <w:r>
            <w:rPr>
              <w:rFonts w:eastAsiaTheme="minorEastAsia"/>
            </w:rPr>
            <w:fldChar w:fldCharType="separate"/>
          </w:r>
          <w:r>
            <w:rPr>
              <w:rFonts w:eastAsiaTheme="minorEastAsia"/>
            </w:rPr>
            <w:t>54</w:t>
          </w:r>
          <w:r>
            <w:rPr>
              <w:rFonts w:eastAsiaTheme="minorEastAsia"/>
            </w:rPr>
            <w:fldChar w:fldCharType="end"/>
          </w:r>
          <w:r>
            <w:rPr>
              <w:rFonts w:eastAsiaTheme="minorEastAsia"/>
            </w:rPr>
            <w:fldChar w:fldCharType="end"/>
          </w:r>
        </w:p>
        <w:p w14:paraId="57132385">
          <w:pPr>
            <w:pStyle w:val="15"/>
            <w:spacing w:line="240" w:lineRule="auto"/>
            <w:jc w:val="center"/>
            <w:rPr>
              <w:rFonts w:eastAsiaTheme="minorEastAsia"/>
              <w:szCs w:val="22"/>
              <w14:ligatures w14:val="standardContextual"/>
            </w:rPr>
          </w:pPr>
          <w:r>
            <w:fldChar w:fldCharType="begin"/>
          </w:r>
          <w:r>
            <w:instrText xml:space="preserve"> HYPERLINK \l "_Toc139613753" </w:instrText>
          </w:r>
          <w:r>
            <w:fldChar w:fldCharType="separate"/>
          </w:r>
          <w:r>
            <w:rPr>
              <w:rStyle w:val="41"/>
              <w:rFonts w:eastAsiaTheme="minorEastAsia"/>
            </w:rPr>
            <w:t>11.5  监测频率</w:t>
          </w:r>
          <w:r>
            <w:rPr>
              <w:rFonts w:eastAsiaTheme="minorEastAsia"/>
            </w:rPr>
            <w:tab/>
          </w:r>
          <w:r>
            <w:rPr>
              <w:rFonts w:eastAsiaTheme="minorEastAsia"/>
            </w:rPr>
            <w:fldChar w:fldCharType="begin"/>
          </w:r>
          <w:r>
            <w:rPr>
              <w:rFonts w:eastAsiaTheme="minorEastAsia"/>
            </w:rPr>
            <w:instrText xml:space="preserve"> PAGEREF _Toc139613753 \h </w:instrText>
          </w:r>
          <w:r>
            <w:rPr>
              <w:rFonts w:eastAsiaTheme="minorEastAsia"/>
            </w:rPr>
            <w:fldChar w:fldCharType="separate"/>
          </w:r>
          <w:r>
            <w:rPr>
              <w:rFonts w:eastAsiaTheme="minorEastAsia"/>
            </w:rPr>
            <w:t>55</w:t>
          </w:r>
          <w:r>
            <w:rPr>
              <w:rFonts w:eastAsiaTheme="minorEastAsia"/>
            </w:rPr>
            <w:fldChar w:fldCharType="end"/>
          </w:r>
          <w:r>
            <w:rPr>
              <w:rFonts w:eastAsiaTheme="minorEastAsia"/>
            </w:rPr>
            <w:fldChar w:fldCharType="end"/>
          </w:r>
        </w:p>
        <w:p w14:paraId="1F139C3F">
          <w:pPr>
            <w:pStyle w:val="15"/>
            <w:spacing w:line="240" w:lineRule="auto"/>
            <w:jc w:val="center"/>
            <w:rPr>
              <w:rFonts w:eastAsiaTheme="minorEastAsia"/>
              <w:szCs w:val="22"/>
              <w14:ligatures w14:val="standardContextual"/>
            </w:rPr>
          </w:pPr>
          <w:r>
            <w:fldChar w:fldCharType="begin"/>
          </w:r>
          <w:r>
            <w:instrText xml:space="preserve"> HYPERLINK \l "_Toc139613754" </w:instrText>
          </w:r>
          <w:r>
            <w:fldChar w:fldCharType="separate"/>
          </w:r>
          <w:r>
            <w:rPr>
              <w:rStyle w:val="41"/>
              <w:rFonts w:eastAsiaTheme="minorEastAsia"/>
            </w:rPr>
            <w:t>11.6  监测预警值</w:t>
          </w:r>
          <w:r>
            <w:rPr>
              <w:rFonts w:eastAsiaTheme="minorEastAsia"/>
            </w:rPr>
            <w:tab/>
          </w:r>
          <w:r>
            <w:rPr>
              <w:rFonts w:eastAsiaTheme="minorEastAsia"/>
            </w:rPr>
            <w:fldChar w:fldCharType="begin"/>
          </w:r>
          <w:r>
            <w:rPr>
              <w:rFonts w:eastAsiaTheme="minorEastAsia"/>
            </w:rPr>
            <w:instrText xml:space="preserve"> PAGEREF _Toc139613754 \h </w:instrText>
          </w:r>
          <w:r>
            <w:rPr>
              <w:rFonts w:eastAsiaTheme="minorEastAsia"/>
            </w:rPr>
            <w:fldChar w:fldCharType="separate"/>
          </w:r>
          <w:r>
            <w:rPr>
              <w:rFonts w:eastAsiaTheme="minorEastAsia"/>
            </w:rPr>
            <w:t>56</w:t>
          </w:r>
          <w:r>
            <w:rPr>
              <w:rFonts w:eastAsiaTheme="minorEastAsia"/>
            </w:rPr>
            <w:fldChar w:fldCharType="end"/>
          </w:r>
          <w:r>
            <w:rPr>
              <w:rFonts w:eastAsiaTheme="minorEastAsia"/>
            </w:rPr>
            <w:fldChar w:fldCharType="end"/>
          </w:r>
        </w:p>
        <w:p w14:paraId="21F9C837">
          <w:pPr>
            <w:pStyle w:val="15"/>
            <w:spacing w:line="240" w:lineRule="auto"/>
            <w:jc w:val="center"/>
            <w:rPr>
              <w:rFonts w:eastAsiaTheme="minorEastAsia"/>
              <w:szCs w:val="22"/>
              <w14:ligatures w14:val="standardContextual"/>
            </w:rPr>
          </w:pPr>
          <w:r>
            <w:fldChar w:fldCharType="begin"/>
          </w:r>
          <w:r>
            <w:instrText xml:space="preserve"> HYPERLINK \l "_Toc139613755" </w:instrText>
          </w:r>
          <w:r>
            <w:fldChar w:fldCharType="separate"/>
          </w:r>
          <w:r>
            <w:rPr>
              <w:rStyle w:val="41"/>
              <w:rFonts w:eastAsiaTheme="minorEastAsia"/>
            </w:rPr>
            <w:t>11.7  监测成果</w:t>
          </w:r>
          <w:r>
            <w:rPr>
              <w:rFonts w:eastAsiaTheme="minorEastAsia"/>
            </w:rPr>
            <w:tab/>
          </w:r>
          <w:r>
            <w:rPr>
              <w:rFonts w:eastAsiaTheme="minorEastAsia"/>
            </w:rPr>
            <w:fldChar w:fldCharType="begin"/>
          </w:r>
          <w:r>
            <w:rPr>
              <w:rFonts w:eastAsiaTheme="minorEastAsia"/>
            </w:rPr>
            <w:instrText xml:space="preserve"> PAGEREF _Toc139613755 \h </w:instrText>
          </w:r>
          <w:r>
            <w:rPr>
              <w:rFonts w:eastAsiaTheme="minorEastAsia"/>
            </w:rPr>
            <w:fldChar w:fldCharType="separate"/>
          </w:r>
          <w:r>
            <w:rPr>
              <w:rFonts w:eastAsiaTheme="minorEastAsia"/>
            </w:rPr>
            <w:t>57</w:t>
          </w:r>
          <w:r>
            <w:rPr>
              <w:rFonts w:eastAsiaTheme="minorEastAsia"/>
            </w:rPr>
            <w:fldChar w:fldCharType="end"/>
          </w:r>
          <w:r>
            <w:rPr>
              <w:rFonts w:eastAsiaTheme="minorEastAsia"/>
            </w:rPr>
            <w:fldChar w:fldCharType="end"/>
          </w:r>
        </w:p>
        <w:p w14:paraId="4FE50513">
          <w:pPr>
            <w:pStyle w:val="28"/>
            <w:jc w:val="center"/>
            <w:rPr>
              <w:rFonts w:eastAsiaTheme="minorEastAsia"/>
              <w:szCs w:val="22"/>
              <w14:ligatures w14:val="standardContextual"/>
            </w:rPr>
          </w:pPr>
          <w:r>
            <w:fldChar w:fldCharType="begin"/>
          </w:r>
          <w:r>
            <w:instrText xml:space="preserve"> HYPERLINK \l "_Toc139613756" </w:instrText>
          </w:r>
          <w:r>
            <w:fldChar w:fldCharType="separate"/>
          </w:r>
          <w:r>
            <w:rPr>
              <w:rStyle w:val="41"/>
              <w:rFonts w:eastAsiaTheme="minorEastAsia"/>
            </w:rPr>
            <w:t>12 碳排放量计算</w:t>
          </w:r>
          <w:r>
            <w:rPr>
              <w:rFonts w:eastAsiaTheme="minorEastAsia"/>
            </w:rPr>
            <w:tab/>
          </w:r>
          <w:r>
            <w:rPr>
              <w:rFonts w:eastAsiaTheme="minorEastAsia"/>
            </w:rPr>
            <w:fldChar w:fldCharType="begin"/>
          </w:r>
          <w:r>
            <w:rPr>
              <w:rFonts w:eastAsiaTheme="minorEastAsia"/>
            </w:rPr>
            <w:instrText xml:space="preserve"> PAGEREF _Toc139613756 \h </w:instrText>
          </w:r>
          <w:r>
            <w:rPr>
              <w:rFonts w:eastAsiaTheme="minorEastAsia"/>
            </w:rPr>
            <w:fldChar w:fldCharType="separate"/>
          </w:r>
          <w:r>
            <w:rPr>
              <w:rFonts w:eastAsiaTheme="minorEastAsia"/>
            </w:rPr>
            <w:t>59</w:t>
          </w:r>
          <w:r>
            <w:rPr>
              <w:rFonts w:eastAsiaTheme="minorEastAsia"/>
            </w:rPr>
            <w:fldChar w:fldCharType="end"/>
          </w:r>
          <w:r>
            <w:rPr>
              <w:rFonts w:eastAsiaTheme="minorEastAsia"/>
            </w:rPr>
            <w:fldChar w:fldCharType="end"/>
          </w:r>
        </w:p>
        <w:p w14:paraId="69C92115">
          <w:pPr>
            <w:pStyle w:val="15"/>
            <w:spacing w:line="240" w:lineRule="auto"/>
            <w:jc w:val="center"/>
            <w:rPr>
              <w:rFonts w:eastAsiaTheme="minorEastAsia"/>
              <w:szCs w:val="22"/>
              <w14:ligatures w14:val="standardContextual"/>
            </w:rPr>
          </w:pPr>
          <w:r>
            <w:fldChar w:fldCharType="begin"/>
          </w:r>
          <w:r>
            <w:instrText xml:space="preserve"> HYPERLINK \l "_Toc139613757" </w:instrText>
          </w:r>
          <w:r>
            <w:fldChar w:fldCharType="separate"/>
          </w:r>
          <w:r>
            <w:rPr>
              <w:rStyle w:val="41"/>
              <w:rFonts w:eastAsiaTheme="minorEastAsia"/>
            </w:rPr>
            <w:t>12.1 一般规定</w:t>
          </w:r>
          <w:r>
            <w:rPr>
              <w:rFonts w:eastAsiaTheme="minorEastAsia"/>
            </w:rPr>
            <w:tab/>
          </w:r>
          <w:r>
            <w:rPr>
              <w:rFonts w:eastAsiaTheme="minorEastAsia"/>
            </w:rPr>
            <w:fldChar w:fldCharType="begin"/>
          </w:r>
          <w:r>
            <w:rPr>
              <w:rFonts w:eastAsiaTheme="minorEastAsia"/>
            </w:rPr>
            <w:instrText xml:space="preserve"> PAGEREF _Toc139613757 \h </w:instrText>
          </w:r>
          <w:r>
            <w:rPr>
              <w:rFonts w:eastAsiaTheme="minorEastAsia"/>
            </w:rPr>
            <w:fldChar w:fldCharType="separate"/>
          </w:r>
          <w:r>
            <w:rPr>
              <w:rFonts w:eastAsiaTheme="minorEastAsia"/>
            </w:rPr>
            <w:t>59</w:t>
          </w:r>
          <w:r>
            <w:rPr>
              <w:rFonts w:eastAsiaTheme="minorEastAsia"/>
            </w:rPr>
            <w:fldChar w:fldCharType="end"/>
          </w:r>
          <w:r>
            <w:rPr>
              <w:rFonts w:eastAsiaTheme="minorEastAsia"/>
            </w:rPr>
            <w:fldChar w:fldCharType="end"/>
          </w:r>
        </w:p>
        <w:p w14:paraId="05307DB0">
          <w:pPr>
            <w:pStyle w:val="15"/>
            <w:spacing w:line="240" w:lineRule="auto"/>
            <w:jc w:val="center"/>
            <w:rPr>
              <w:rFonts w:eastAsiaTheme="minorEastAsia"/>
              <w:szCs w:val="22"/>
              <w14:ligatures w14:val="standardContextual"/>
            </w:rPr>
          </w:pPr>
          <w:r>
            <w:fldChar w:fldCharType="begin"/>
          </w:r>
          <w:r>
            <w:instrText xml:space="preserve"> HYPERLINK \l "_Toc139613758" </w:instrText>
          </w:r>
          <w:r>
            <w:fldChar w:fldCharType="separate"/>
          </w:r>
          <w:r>
            <w:rPr>
              <w:rStyle w:val="41"/>
              <w:rFonts w:eastAsiaTheme="minorEastAsia"/>
            </w:rPr>
            <w:t>12.2 碳排放量计算方法</w:t>
          </w:r>
          <w:r>
            <w:rPr>
              <w:rFonts w:eastAsiaTheme="minorEastAsia"/>
            </w:rPr>
            <w:tab/>
          </w:r>
          <w:r>
            <w:rPr>
              <w:rFonts w:eastAsiaTheme="minorEastAsia"/>
            </w:rPr>
            <w:fldChar w:fldCharType="begin"/>
          </w:r>
          <w:r>
            <w:rPr>
              <w:rFonts w:eastAsiaTheme="minorEastAsia"/>
            </w:rPr>
            <w:instrText xml:space="preserve"> PAGEREF _Toc139613758 \h </w:instrText>
          </w:r>
          <w:r>
            <w:rPr>
              <w:rFonts w:eastAsiaTheme="minorEastAsia"/>
            </w:rPr>
            <w:fldChar w:fldCharType="separate"/>
          </w:r>
          <w:r>
            <w:rPr>
              <w:rFonts w:eastAsiaTheme="minorEastAsia"/>
            </w:rPr>
            <w:t>59</w:t>
          </w:r>
          <w:r>
            <w:rPr>
              <w:rFonts w:eastAsiaTheme="minorEastAsia"/>
            </w:rPr>
            <w:fldChar w:fldCharType="end"/>
          </w:r>
          <w:r>
            <w:rPr>
              <w:rFonts w:eastAsiaTheme="minorEastAsia"/>
            </w:rPr>
            <w:fldChar w:fldCharType="end"/>
          </w:r>
        </w:p>
        <w:p w14:paraId="5784FA34">
          <w:pPr>
            <w:pStyle w:val="28"/>
            <w:jc w:val="center"/>
            <w:rPr>
              <w:rFonts w:eastAsiaTheme="minorEastAsia"/>
              <w:szCs w:val="22"/>
              <w14:ligatures w14:val="standardContextual"/>
            </w:rPr>
          </w:pPr>
          <w:r>
            <w:fldChar w:fldCharType="begin"/>
          </w:r>
          <w:r>
            <w:instrText xml:space="preserve"> HYPERLINK \l "_Toc139613759" </w:instrText>
          </w:r>
          <w:r>
            <w:fldChar w:fldCharType="separate"/>
          </w:r>
          <w:r>
            <w:rPr>
              <w:rStyle w:val="41"/>
              <w:rFonts w:eastAsiaTheme="minorEastAsia"/>
            </w:rPr>
            <w:t>附录A  基坑支护设计文件内容</w:t>
          </w:r>
          <w:r>
            <w:rPr>
              <w:rFonts w:eastAsiaTheme="minorEastAsia"/>
            </w:rPr>
            <w:tab/>
          </w:r>
          <w:r>
            <w:rPr>
              <w:rFonts w:eastAsiaTheme="minorEastAsia"/>
            </w:rPr>
            <w:fldChar w:fldCharType="begin"/>
          </w:r>
          <w:r>
            <w:rPr>
              <w:rFonts w:eastAsiaTheme="minorEastAsia"/>
            </w:rPr>
            <w:instrText xml:space="preserve"> PAGEREF _Toc139613759 \h </w:instrText>
          </w:r>
          <w:r>
            <w:rPr>
              <w:rFonts w:eastAsiaTheme="minorEastAsia"/>
            </w:rPr>
            <w:fldChar w:fldCharType="separate"/>
          </w:r>
          <w:r>
            <w:rPr>
              <w:rFonts w:eastAsiaTheme="minorEastAsia"/>
            </w:rPr>
            <w:t>60</w:t>
          </w:r>
          <w:r>
            <w:rPr>
              <w:rFonts w:eastAsiaTheme="minorEastAsia"/>
            </w:rPr>
            <w:fldChar w:fldCharType="end"/>
          </w:r>
          <w:r>
            <w:rPr>
              <w:rFonts w:eastAsiaTheme="minorEastAsia"/>
            </w:rPr>
            <w:fldChar w:fldCharType="end"/>
          </w:r>
        </w:p>
        <w:p w14:paraId="1ECA53BC">
          <w:pPr>
            <w:pStyle w:val="28"/>
            <w:jc w:val="center"/>
            <w:rPr>
              <w:rFonts w:eastAsiaTheme="minorEastAsia"/>
              <w:szCs w:val="22"/>
              <w14:ligatures w14:val="standardContextual"/>
            </w:rPr>
          </w:pPr>
          <w:r>
            <w:fldChar w:fldCharType="begin"/>
          </w:r>
          <w:r>
            <w:instrText xml:space="preserve"> HYPERLINK \l "_Toc139613760" </w:instrText>
          </w:r>
          <w:r>
            <w:fldChar w:fldCharType="separate"/>
          </w:r>
          <w:r>
            <w:rPr>
              <w:rStyle w:val="41"/>
              <w:rFonts w:eastAsiaTheme="minorEastAsia"/>
            </w:rPr>
            <w:t>附录B  渗透稳定性验算</w:t>
          </w:r>
          <w:r>
            <w:rPr>
              <w:rFonts w:eastAsiaTheme="minorEastAsia"/>
            </w:rPr>
            <w:tab/>
          </w:r>
          <w:r>
            <w:rPr>
              <w:rFonts w:eastAsiaTheme="minorEastAsia"/>
            </w:rPr>
            <w:fldChar w:fldCharType="begin"/>
          </w:r>
          <w:r>
            <w:rPr>
              <w:rFonts w:eastAsiaTheme="minorEastAsia"/>
            </w:rPr>
            <w:instrText xml:space="preserve"> PAGEREF _Toc139613760 \h </w:instrText>
          </w:r>
          <w:r>
            <w:rPr>
              <w:rFonts w:eastAsiaTheme="minorEastAsia"/>
            </w:rPr>
            <w:fldChar w:fldCharType="separate"/>
          </w:r>
          <w:r>
            <w:rPr>
              <w:rFonts w:eastAsiaTheme="minorEastAsia"/>
            </w:rPr>
            <w:t>63</w:t>
          </w:r>
          <w:r>
            <w:rPr>
              <w:rFonts w:eastAsiaTheme="minorEastAsia"/>
            </w:rPr>
            <w:fldChar w:fldCharType="end"/>
          </w:r>
          <w:r>
            <w:rPr>
              <w:rFonts w:eastAsiaTheme="minorEastAsia"/>
            </w:rPr>
            <w:fldChar w:fldCharType="end"/>
          </w:r>
        </w:p>
        <w:p w14:paraId="148E4BB5">
          <w:pPr>
            <w:pStyle w:val="28"/>
            <w:jc w:val="center"/>
            <w:rPr>
              <w:rFonts w:eastAsiaTheme="minorEastAsia"/>
              <w:szCs w:val="22"/>
              <w14:ligatures w14:val="standardContextual"/>
            </w:rPr>
          </w:pPr>
          <w:r>
            <w:fldChar w:fldCharType="begin"/>
          </w:r>
          <w:r>
            <w:instrText xml:space="preserve"> HYPERLINK \l "_Toc139613761" </w:instrText>
          </w:r>
          <w:r>
            <w:fldChar w:fldCharType="separate"/>
          </w:r>
          <w:r>
            <w:rPr>
              <w:rStyle w:val="41"/>
              <w:rFonts w:eastAsiaTheme="minorEastAsia"/>
            </w:rPr>
            <w:t>附录C  锚杆钢腰梁按简支梁考虑时选型参考表</w:t>
          </w:r>
          <w:r>
            <w:rPr>
              <w:rFonts w:eastAsiaTheme="minorEastAsia"/>
            </w:rPr>
            <w:tab/>
          </w:r>
          <w:r>
            <w:rPr>
              <w:rFonts w:eastAsiaTheme="minorEastAsia"/>
            </w:rPr>
            <w:fldChar w:fldCharType="begin"/>
          </w:r>
          <w:r>
            <w:rPr>
              <w:rFonts w:eastAsiaTheme="minorEastAsia"/>
            </w:rPr>
            <w:instrText xml:space="preserve"> PAGEREF _Toc139613761 \h </w:instrText>
          </w:r>
          <w:r>
            <w:rPr>
              <w:rFonts w:eastAsiaTheme="minorEastAsia"/>
            </w:rPr>
            <w:fldChar w:fldCharType="separate"/>
          </w:r>
          <w:r>
            <w:rPr>
              <w:rFonts w:eastAsiaTheme="minorEastAsia"/>
            </w:rPr>
            <w:t>65</w:t>
          </w:r>
          <w:r>
            <w:rPr>
              <w:rFonts w:eastAsiaTheme="minorEastAsia"/>
            </w:rPr>
            <w:fldChar w:fldCharType="end"/>
          </w:r>
          <w:r>
            <w:rPr>
              <w:rFonts w:eastAsiaTheme="minorEastAsia"/>
            </w:rPr>
            <w:fldChar w:fldCharType="end"/>
          </w:r>
        </w:p>
        <w:p w14:paraId="5CC2BF0D">
          <w:pPr>
            <w:pStyle w:val="28"/>
            <w:jc w:val="center"/>
            <w:rPr>
              <w:rFonts w:eastAsiaTheme="minorEastAsia"/>
              <w:szCs w:val="22"/>
              <w14:ligatures w14:val="standardContextual"/>
            </w:rPr>
          </w:pPr>
          <w:r>
            <w:fldChar w:fldCharType="begin"/>
          </w:r>
          <w:r>
            <w:instrText xml:space="preserve"> HYPERLINK \l "_Toc139613762" </w:instrText>
          </w:r>
          <w:r>
            <w:fldChar w:fldCharType="separate"/>
          </w:r>
          <w:r>
            <w:rPr>
              <w:rStyle w:val="41"/>
              <w:rFonts w:eastAsiaTheme="minorEastAsia"/>
            </w:rPr>
            <w:t>附录D  单位工程量碳排放量</w:t>
          </w:r>
          <w:r>
            <w:rPr>
              <w:rFonts w:eastAsiaTheme="minorEastAsia"/>
            </w:rPr>
            <w:tab/>
          </w:r>
          <w:r>
            <w:rPr>
              <w:rFonts w:eastAsiaTheme="minorEastAsia"/>
            </w:rPr>
            <w:fldChar w:fldCharType="begin"/>
          </w:r>
          <w:r>
            <w:rPr>
              <w:rFonts w:eastAsiaTheme="minorEastAsia"/>
            </w:rPr>
            <w:instrText xml:space="preserve"> PAGEREF _Toc139613762 \h </w:instrText>
          </w:r>
          <w:r>
            <w:rPr>
              <w:rFonts w:eastAsiaTheme="minorEastAsia"/>
            </w:rPr>
            <w:fldChar w:fldCharType="separate"/>
          </w:r>
          <w:r>
            <w:rPr>
              <w:rFonts w:eastAsiaTheme="minorEastAsia"/>
            </w:rPr>
            <w:t>66</w:t>
          </w:r>
          <w:r>
            <w:rPr>
              <w:rFonts w:eastAsiaTheme="minorEastAsia"/>
            </w:rPr>
            <w:fldChar w:fldCharType="end"/>
          </w:r>
          <w:r>
            <w:rPr>
              <w:rFonts w:eastAsiaTheme="minorEastAsia"/>
            </w:rPr>
            <w:fldChar w:fldCharType="end"/>
          </w:r>
        </w:p>
        <w:p w14:paraId="43800AD4">
          <w:pPr>
            <w:pStyle w:val="28"/>
            <w:jc w:val="center"/>
            <w:rPr>
              <w:rFonts w:eastAsiaTheme="minorEastAsia"/>
              <w:szCs w:val="22"/>
              <w14:ligatures w14:val="standardContextual"/>
            </w:rPr>
          </w:pPr>
          <w:r>
            <w:fldChar w:fldCharType="begin"/>
          </w:r>
          <w:r>
            <w:instrText xml:space="preserve"> HYPERLINK \l "_Toc139613785" </w:instrText>
          </w:r>
          <w:r>
            <w:fldChar w:fldCharType="separate"/>
          </w:r>
          <w:r>
            <w:rPr>
              <w:rStyle w:val="41"/>
              <w:rFonts w:eastAsiaTheme="minorEastAsia"/>
            </w:rPr>
            <w:t>附录E  碳排放因子</w:t>
          </w:r>
          <w:r>
            <w:rPr>
              <w:rFonts w:eastAsiaTheme="minorEastAsia"/>
            </w:rPr>
            <w:tab/>
          </w:r>
          <w:r>
            <w:rPr>
              <w:rFonts w:eastAsiaTheme="minorEastAsia"/>
            </w:rPr>
            <w:fldChar w:fldCharType="begin"/>
          </w:r>
          <w:r>
            <w:rPr>
              <w:rFonts w:eastAsiaTheme="minorEastAsia"/>
            </w:rPr>
            <w:instrText xml:space="preserve"> PAGEREF _Toc139613785 \h </w:instrText>
          </w:r>
          <w:r>
            <w:rPr>
              <w:rFonts w:eastAsiaTheme="minorEastAsia"/>
            </w:rPr>
            <w:fldChar w:fldCharType="separate"/>
          </w:r>
          <w:r>
            <w:rPr>
              <w:rFonts w:eastAsiaTheme="minorEastAsia"/>
            </w:rPr>
            <w:t>76</w:t>
          </w:r>
          <w:r>
            <w:rPr>
              <w:rFonts w:eastAsiaTheme="minorEastAsia"/>
            </w:rPr>
            <w:fldChar w:fldCharType="end"/>
          </w:r>
          <w:r>
            <w:rPr>
              <w:rFonts w:eastAsiaTheme="minorEastAsia"/>
            </w:rPr>
            <w:fldChar w:fldCharType="end"/>
          </w:r>
        </w:p>
        <w:p w14:paraId="69B1353C">
          <w:pPr>
            <w:pStyle w:val="28"/>
            <w:jc w:val="center"/>
            <w:rPr>
              <w:rFonts w:eastAsiaTheme="minorEastAsia"/>
              <w:szCs w:val="22"/>
              <w14:ligatures w14:val="standardContextual"/>
            </w:rPr>
          </w:pPr>
          <w:r>
            <w:fldChar w:fldCharType="begin"/>
          </w:r>
          <w:r>
            <w:instrText xml:space="preserve"> HYPERLINK \l "_Toc139613786" </w:instrText>
          </w:r>
          <w:r>
            <w:fldChar w:fldCharType="separate"/>
          </w:r>
          <w:r>
            <w:rPr>
              <w:rStyle w:val="41"/>
              <w:rFonts w:eastAsiaTheme="minorEastAsia"/>
            </w:rPr>
            <w:t>本规程用词说明</w:t>
          </w:r>
          <w:r>
            <w:rPr>
              <w:rFonts w:eastAsiaTheme="minorEastAsia"/>
            </w:rPr>
            <w:tab/>
          </w:r>
          <w:r>
            <w:rPr>
              <w:rFonts w:eastAsiaTheme="minorEastAsia"/>
            </w:rPr>
            <w:fldChar w:fldCharType="begin"/>
          </w:r>
          <w:r>
            <w:rPr>
              <w:rFonts w:eastAsiaTheme="minorEastAsia"/>
            </w:rPr>
            <w:instrText xml:space="preserve"> PAGEREF _Toc139613786 \h </w:instrText>
          </w:r>
          <w:r>
            <w:rPr>
              <w:rFonts w:eastAsiaTheme="minorEastAsia"/>
            </w:rPr>
            <w:fldChar w:fldCharType="separate"/>
          </w:r>
          <w:r>
            <w:rPr>
              <w:rFonts w:eastAsiaTheme="minorEastAsia"/>
            </w:rPr>
            <w:t>78</w:t>
          </w:r>
          <w:r>
            <w:rPr>
              <w:rFonts w:eastAsiaTheme="minorEastAsia"/>
            </w:rPr>
            <w:fldChar w:fldCharType="end"/>
          </w:r>
          <w:r>
            <w:rPr>
              <w:rFonts w:eastAsiaTheme="minorEastAsia"/>
            </w:rPr>
            <w:fldChar w:fldCharType="end"/>
          </w:r>
        </w:p>
        <w:p w14:paraId="0697C898">
          <w:pPr>
            <w:pStyle w:val="28"/>
            <w:jc w:val="center"/>
            <w:rPr>
              <w:rFonts w:eastAsiaTheme="minorEastAsia"/>
              <w:szCs w:val="22"/>
              <w14:ligatures w14:val="standardContextual"/>
            </w:rPr>
          </w:pPr>
          <w:r>
            <w:fldChar w:fldCharType="begin"/>
          </w:r>
          <w:r>
            <w:instrText xml:space="preserve"> HYPERLINK \l "_Toc139613787" </w:instrText>
          </w:r>
          <w:r>
            <w:fldChar w:fldCharType="separate"/>
          </w:r>
          <w:r>
            <w:rPr>
              <w:rStyle w:val="41"/>
              <w:rFonts w:eastAsiaTheme="minorEastAsia"/>
            </w:rPr>
            <w:t>引用标准名录</w:t>
          </w:r>
          <w:r>
            <w:rPr>
              <w:rFonts w:eastAsiaTheme="minorEastAsia"/>
            </w:rPr>
            <w:tab/>
          </w:r>
          <w:r>
            <w:rPr>
              <w:rFonts w:eastAsiaTheme="minorEastAsia"/>
            </w:rPr>
            <w:fldChar w:fldCharType="begin"/>
          </w:r>
          <w:r>
            <w:rPr>
              <w:rFonts w:eastAsiaTheme="minorEastAsia"/>
            </w:rPr>
            <w:instrText xml:space="preserve"> PAGEREF _Toc139613787 \h </w:instrText>
          </w:r>
          <w:r>
            <w:rPr>
              <w:rFonts w:eastAsiaTheme="minorEastAsia"/>
            </w:rPr>
            <w:fldChar w:fldCharType="separate"/>
          </w:r>
          <w:r>
            <w:rPr>
              <w:rFonts w:eastAsiaTheme="minorEastAsia"/>
            </w:rPr>
            <w:t>79</w:t>
          </w:r>
          <w:r>
            <w:rPr>
              <w:rFonts w:eastAsiaTheme="minorEastAsia"/>
            </w:rPr>
            <w:fldChar w:fldCharType="end"/>
          </w:r>
          <w:r>
            <w:rPr>
              <w:rFonts w:eastAsiaTheme="minorEastAsia"/>
            </w:rPr>
            <w:fldChar w:fldCharType="end"/>
          </w:r>
        </w:p>
        <w:p w14:paraId="601B6B65">
          <w:pPr>
            <w:pStyle w:val="23"/>
            <w:spacing w:line="240" w:lineRule="auto"/>
            <w:jc w:val="center"/>
            <w:rPr>
              <w:rFonts w:eastAsiaTheme="minorEastAsia"/>
              <w:szCs w:val="22"/>
              <w14:ligatures w14:val="standardContextual"/>
            </w:rPr>
          </w:pPr>
          <w:r>
            <w:rPr>
              <w:rFonts w:hint="eastAsia"/>
            </w:rPr>
            <w:t>附：</w:t>
          </w:r>
          <w:r>
            <w:fldChar w:fldCharType="begin"/>
          </w:r>
          <w:r>
            <w:instrText xml:space="preserve"> HYPERLINK \l "_Toc139613788" </w:instrText>
          </w:r>
          <w:r>
            <w:fldChar w:fldCharType="separate"/>
          </w:r>
          <w:r>
            <w:rPr>
              <w:rStyle w:val="41"/>
              <w:rFonts w:eastAsiaTheme="minorEastAsia"/>
              <w:kern w:val="0"/>
            </w:rPr>
            <w:t>条文说明</w:t>
          </w:r>
          <w:r>
            <w:rPr>
              <w:rFonts w:eastAsiaTheme="minorEastAsia"/>
            </w:rPr>
            <w:tab/>
          </w:r>
          <w:r>
            <w:rPr>
              <w:rFonts w:eastAsiaTheme="minorEastAsia"/>
            </w:rPr>
            <w:fldChar w:fldCharType="begin"/>
          </w:r>
          <w:r>
            <w:rPr>
              <w:rFonts w:eastAsiaTheme="minorEastAsia"/>
            </w:rPr>
            <w:instrText xml:space="preserve"> PAGEREF _Toc139613788 \h </w:instrText>
          </w:r>
          <w:r>
            <w:rPr>
              <w:rFonts w:eastAsiaTheme="minorEastAsia"/>
            </w:rPr>
            <w:fldChar w:fldCharType="separate"/>
          </w:r>
          <w:r>
            <w:rPr>
              <w:rFonts w:eastAsiaTheme="minorEastAsia"/>
            </w:rPr>
            <w:t>80</w:t>
          </w:r>
          <w:r>
            <w:rPr>
              <w:rFonts w:eastAsiaTheme="minorEastAsia"/>
            </w:rPr>
            <w:fldChar w:fldCharType="end"/>
          </w:r>
          <w:r>
            <w:rPr>
              <w:rFonts w:eastAsiaTheme="minorEastAsia"/>
            </w:rPr>
            <w:fldChar w:fldCharType="end"/>
          </w:r>
        </w:p>
        <w:p w14:paraId="7F136BFB">
          <w:pPr>
            <w:jc w:val="center"/>
            <w:rPr>
              <w:highlight w:val="yellow"/>
            </w:rPr>
          </w:pPr>
          <w:r>
            <w:rPr>
              <w:rFonts w:eastAsiaTheme="minorEastAsia"/>
              <w:b/>
              <w:bCs/>
              <w:highlight w:val="yellow"/>
              <w:lang w:val="zh-CN"/>
            </w:rPr>
            <w:fldChar w:fldCharType="end"/>
          </w:r>
        </w:p>
      </w:sdtContent>
    </w:sdt>
    <w:p w14:paraId="0003EC60">
      <w:pPr>
        <w:pStyle w:val="19"/>
        <w:adjustRightInd w:val="0"/>
        <w:snapToGrid w:val="0"/>
        <w:spacing w:after="0" w:line="288" w:lineRule="auto"/>
        <w:ind w:left="0" w:leftChars="0"/>
        <w:rPr>
          <w:rFonts w:ascii="仿宋_GB2312" w:hAnsi="宋体" w:eastAsia="仿宋_GB2312"/>
          <w:sz w:val="28"/>
          <w:szCs w:val="28"/>
          <w:highlight w:val="yellow"/>
        </w:rPr>
      </w:pPr>
    </w:p>
    <w:p w14:paraId="7AABD077">
      <w:pPr>
        <w:pStyle w:val="19"/>
        <w:adjustRightInd w:val="0"/>
        <w:snapToGrid w:val="0"/>
        <w:spacing w:after="0" w:line="288" w:lineRule="auto"/>
        <w:ind w:left="0" w:leftChars="0"/>
        <w:rPr>
          <w:rFonts w:ascii="仿宋_GB2312" w:hAnsi="宋体" w:eastAsia="仿宋_GB2312"/>
          <w:sz w:val="28"/>
          <w:szCs w:val="28"/>
          <w:highlight w:val="yellow"/>
        </w:rPr>
      </w:pPr>
    </w:p>
    <w:p w14:paraId="4E8C0C78">
      <w:pPr>
        <w:pStyle w:val="19"/>
        <w:adjustRightInd w:val="0"/>
        <w:snapToGrid w:val="0"/>
        <w:spacing w:after="0" w:line="288" w:lineRule="auto"/>
        <w:ind w:left="0" w:leftChars="0"/>
        <w:rPr>
          <w:rFonts w:ascii="仿宋_GB2312" w:hAnsi="宋体" w:eastAsia="仿宋_GB2312"/>
          <w:sz w:val="28"/>
          <w:szCs w:val="28"/>
          <w:highlight w:val="yellow"/>
        </w:rPr>
      </w:pPr>
    </w:p>
    <w:p w14:paraId="724ED53D">
      <w:pPr>
        <w:pStyle w:val="19"/>
        <w:adjustRightInd w:val="0"/>
        <w:snapToGrid w:val="0"/>
        <w:spacing w:after="0" w:line="288" w:lineRule="auto"/>
        <w:ind w:left="0" w:leftChars="0"/>
        <w:rPr>
          <w:rFonts w:ascii="仿宋_GB2312" w:hAnsi="宋体" w:eastAsia="仿宋_GB2312"/>
          <w:sz w:val="28"/>
          <w:szCs w:val="28"/>
          <w:highlight w:val="yellow"/>
        </w:rPr>
      </w:pPr>
    </w:p>
    <w:p w14:paraId="61C43465">
      <w:pPr>
        <w:pStyle w:val="19"/>
        <w:adjustRightInd w:val="0"/>
        <w:snapToGrid w:val="0"/>
        <w:spacing w:after="0" w:line="288" w:lineRule="auto"/>
        <w:ind w:left="0" w:leftChars="0"/>
        <w:rPr>
          <w:rFonts w:ascii="仿宋_GB2312" w:hAnsi="宋体" w:eastAsia="仿宋_GB2312"/>
          <w:sz w:val="28"/>
          <w:szCs w:val="28"/>
          <w:highlight w:val="yellow"/>
        </w:rPr>
      </w:pPr>
    </w:p>
    <w:p w14:paraId="0FBE066B">
      <w:pPr>
        <w:pStyle w:val="19"/>
        <w:adjustRightInd w:val="0"/>
        <w:snapToGrid w:val="0"/>
        <w:spacing w:after="0" w:line="288" w:lineRule="auto"/>
        <w:ind w:left="0" w:leftChars="0"/>
        <w:rPr>
          <w:rFonts w:ascii="仿宋_GB2312" w:hAnsi="宋体" w:eastAsia="仿宋_GB2312"/>
          <w:sz w:val="28"/>
          <w:szCs w:val="28"/>
          <w:highlight w:val="yellow"/>
        </w:rPr>
      </w:pPr>
    </w:p>
    <w:p w14:paraId="4A6E7776">
      <w:pPr>
        <w:pStyle w:val="19"/>
        <w:adjustRightInd w:val="0"/>
        <w:snapToGrid w:val="0"/>
        <w:spacing w:after="0" w:line="288" w:lineRule="auto"/>
        <w:ind w:left="0" w:leftChars="0"/>
        <w:rPr>
          <w:rFonts w:ascii="仿宋_GB2312" w:hAnsi="宋体" w:eastAsia="仿宋_GB2312"/>
          <w:sz w:val="28"/>
          <w:szCs w:val="28"/>
          <w:highlight w:val="yellow"/>
        </w:rPr>
      </w:pPr>
    </w:p>
    <w:p w14:paraId="3DAA03EA">
      <w:pPr>
        <w:pStyle w:val="19"/>
        <w:adjustRightInd w:val="0"/>
        <w:snapToGrid w:val="0"/>
        <w:spacing w:after="0" w:line="288" w:lineRule="auto"/>
        <w:ind w:left="0" w:leftChars="0"/>
        <w:rPr>
          <w:rFonts w:ascii="仿宋_GB2312" w:hAnsi="宋体" w:eastAsia="仿宋_GB2312"/>
          <w:sz w:val="28"/>
          <w:szCs w:val="28"/>
          <w:highlight w:val="yellow"/>
        </w:rPr>
      </w:pPr>
    </w:p>
    <w:p w14:paraId="2E58601C">
      <w:pPr>
        <w:pStyle w:val="19"/>
        <w:adjustRightInd w:val="0"/>
        <w:snapToGrid w:val="0"/>
        <w:spacing w:after="0" w:line="288" w:lineRule="auto"/>
        <w:ind w:left="0" w:leftChars="0"/>
        <w:rPr>
          <w:rFonts w:ascii="仿宋_GB2312" w:hAnsi="宋体" w:eastAsia="仿宋_GB2312"/>
          <w:sz w:val="28"/>
          <w:szCs w:val="28"/>
          <w:highlight w:val="yellow"/>
        </w:rPr>
      </w:pPr>
    </w:p>
    <w:p w14:paraId="1302DBF9">
      <w:pPr>
        <w:pStyle w:val="19"/>
        <w:adjustRightInd w:val="0"/>
        <w:snapToGrid w:val="0"/>
        <w:spacing w:after="0" w:line="288" w:lineRule="auto"/>
        <w:ind w:left="0" w:leftChars="0"/>
        <w:rPr>
          <w:rFonts w:ascii="仿宋_GB2312" w:hAnsi="宋体" w:eastAsia="仿宋_GB2312"/>
          <w:sz w:val="28"/>
          <w:szCs w:val="28"/>
          <w:highlight w:val="yellow"/>
        </w:rPr>
      </w:pPr>
    </w:p>
    <w:p w14:paraId="65EE34E2">
      <w:pPr>
        <w:pStyle w:val="19"/>
        <w:adjustRightInd w:val="0"/>
        <w:snapToGrid w:val="0"/>
        <w:spacing w:after="0" w:line="288" w:lineRule="auto"/>
        <w:ind w:left="0" w:leftChars="0"/>
        <w:rPr>
          <w:rFonts w:ascii="仿宋_GB2312" w:hAnsi="宋体" w:eastAsia="仿宋_GB2312"/>
          <w:sz w:val="28"/>
          <w:szCs w:val="28"/>
          <w:highlight w:val="yellow"/>
        </w:rPr>
      </w:pPr>
    </w:p>
    <w:p w14:paraId="0F07C90A">
      <w:pPr>
        <w:pStyle w:val="19"/>
        <w:adjustRightInd w:val="0"/>
        <w:snapToGrid w:val="0"/>
        <w:spacing w:after="0" w:line="288" w:lineRule="auto"/>
        <w:ind w:left="0" w:leftChars="0"/>
        <w:rPr>
          <w:rFonts w:ascii="仿宋_GB2312" w:hAnsi="宋体" w:eastAsia="仿宋_GB2312"/>
          <w:sz w:val="28"/>
          <w:szCs w:val="28"/>
          <w:highlight w:val="yellow"/>
        </w:rPr>
      </w:pPr>
    </w:p>
    <w:p w14:paraId="3E69645E">
      <w:pPr>
        <w:pStyle w:val="19"/>
        <w:adjustRightInd w:val="0"/>
        <w:snapToGrid w:val="0"/>
        <w:spacing w:after="0" w:line="288" w:lineRule="auto"/>
        <w:ind w:left="0" w:leftChars="0"/>
        <w:rPr>
          <w:rFonts w:ascii="仿宋_GB2312" w:hAnsi="宋体" w:eastAsia="仿宋_GB2312"/>
          <w:sz w:val="28"/>
          <w:szCs w:val="28"/>
          <w:highlight w:val="yellow"/>
        </w:rPr>
      </w:pPr>
    </w:p>
    <w:p w14:paraId="56B4952A">
      <w:pPr>
        <w:pStyle w:val="19"/>
        <w:adjustRightInd w:val="0"/>
        <w:snapToGrid w:val="0"/>
        <w:spacing w:after="0" w:line="288" w:lineRule="auto"/>
        <w:ind w:left="0" w:leftChars="0"/>
        <w:rPr>
          <w:rFonts w:ascii="仿宋_GB2312" w:hAnsi="宋体" w:eastAsia="仿宋_GB2312"/>
          <w:sz w:val="28"/>
          <w:szCs w:val="28"/>
          <w:highlight w:val="yellow"/>
        </w:rPr>
      </w:pPr>
    </w:p>
    <w:p w14:paraId="030D6F1C">
      <w:pPr>
        <w:pStyle w:val="19"/>
        <w:adjustRightInd w:val="0"/>
        <w:snapToGrid w:val="0"/>
        <w:spacing w:after="0" w:line="288" w:lineRule="auto"/>
        <w:ind w:left="0" w:leftChars="0"/>
        <w:rPr>
          <w:rFonts w:ascii="仿宋_GB2312" w:hAnsi="宋体" w:eastAsia="仿宋_GB2312"/>
          <w:sz w:val="28"/>
          <w:szCs w:val="28"/>
          <w:highlight w:val="yellow"/>
        </w:rPr>
      </w:pPr>
    </w:p>
    <w:p w14:paraId="3A68E529">
      <w:pPr>
        <w:pStyle w:val="19"/>
        <w:adjustRightInd w:val="0"/>
        <w:snapToGrid w:val="0"/>
        <w:spacing w:after="0" w:line="288" w:lineRule="auto"/>
        <w:ind w:left="0" w:leftChars="0"/>
        <w:rPr>
          <w:rFonts w:ascii="仿宋_GB2312" w:hAnsi="宋体" w:eastAsia="仿宋_GB2312"/>
          <w:sz w:val="28"/>
          <w:szCs w:val="28"/>
          <w:highlight w:val="yellow"/>
        </w:rPr>
      </w:pPr>
    </w:p>
    <w:p w14:paraId="428EA6E4">
      <w:pPr>
        <w:widowControl/>
        <w:jc w:val="left"/>
        <w:rPr>
          <w:rFonts w:ascii="仿宋_GB2312" w:hAnsi="宋体" w:eastAsia="仿宋_GB2312"/>
          <w:sz w:val="28"/>
          <w:szCs w:val="28"/>
        </w:rPr>
      </w:pPr>
      <w:r>
        <w:rPr>
          <w:rFonts w:ascii="仿宋_GB2312" w:hAnsi="宋体" w:eastAsia="仿宋_GB2312"/>
          <w:sz w:val="28"/>
          <w:szCs w:val="28"/>
        </w:rPr>
        <w:br w:type="page"/>
      </w:r>
    </w:p>
    <w:p w14:paraId="0B449294">
      <w:pPr>
        <w:pStyle w:val="19"/>
        <w:adjustRightInd w:val="0"/>
        <w:snapToGrid w:val="0"/>
        <w:spacing w:after="0" w:line="288" w:lineRule="auto"/>
        <w:ind w:left="0" w:leftChars="0"/>
        <w:rPr>
          <w:sz w:val="20"/>
          <w:szCs w:val="20"/>
          <w:highlight w:val="yellow"/>
        </w:rPr>
      </w:pPr>
    </w:p>
    <w:p w14:paraId="2DC9099F">
      <w:pPr>
        <w:pStyle w:val="19"/>
        <w:adjustRightInd w:val="0"/>
        <w:snapToGrid w:val="0"/>
        <w:spacing w:after="0" w:line="288" w:lineRule="auto"/>
        <w:ind w:left="0" w:leftChars="0"/>
        <w:jc w:val="center"/>
        <w:rPr>
          <w:b/>
          <w:bCs/>
          <w:sz w:val="28"/>
          <w:szCs w:val="28"/>
        </w:rPr>
      </w:pPr>
      <w:r>
        <w:rPr>
          <w:b/>
          <w:bCs/>
          <w:sz w:val="28"/>
          <w:szCs w:val="28"/>
        </w:rPr>
        <w:t>Contents</w:t>
      </w:r>
    </w:p>
    <w:p w14:paraId="0C3A8FB4">
      <w:pPr>
        <w:pStyle w:val="23"/>
        <w:spacing w:line="240" w:lineRule="auto"/>
        <w:jc w:val="center"/>
        <w:rPr>
          <w:szCs w:val="22"/>
        </w:rPr>
      </w:pPr>
      <w:r>
        <w:fldChar w:fldCharType="begin"/>
      </w:r>
      <w:r>
        <w:instrText xml:space="preserve"> HYPERLINK \l "_Toc131060491" </w:instrText>
      </w:r>
      <w:r>
        <w:fldChar w:fldCharType="separate"/>
      </w:r>
      <w:r>
        <w:rPr>
          <w:rStyle w:val="41"/>
          <w:color w:val="auto"/>
          <w:u w:val="none"/>
        </w:rPr>
        <w:t xml:space="preserve">1  </w:t>
      </w:r>
      <w:r>
        <w:rPr>
          <w:rStyle w:val="41"/>
          <w:color w:val="auto"/>
          <w:kern w:val="0"/>
          <w:u w:val="none"/>
        </w:rPr>
        <w:t>General provisions</w:t>
      </w:r>
      <w:r>
        <w:tab/>
      </w:r>
      <w:r>
        <w:fldChar w:fldCharType="end"/>
      </w:r>
      <w:r>
        <w:t>1</w:t>
      </w:r>
    </w:p>
    <w:p w14:paraId="271EB895">
      <w:pPr>
        <w:pStyle w:val="28"/>
        <w:jc w:val="center"/>
        <w:rPr>
          <w:szCs w:val="22"/>
        </w:rPr>
      </w:pPr>
      <w:r>
        <w:fldChar w:fldCharType="begin"/>
      </w:r>
      <w:r>
        <w:instrText xml:space="preserve"> HYPERLINK \l "_Toc131060492" </w:instrText>
      </w:r>
      <w:r>
        <w:fldChar w:fldCharType="separate"/>
      </w:r>
      <w:r>
        <w:rPr>
          <w:rStyle w:val="41"/>
          <w:color w:val="auto"/>
          <w:u w:val="none"/>
        </w:rPr>
        <w:t>2  Terms and symbols</w:t>
      </w:r>
      <w:r>
        <w:tab/>
      </w:r>
      <w:r>
        <w:t>2</w:t>
      </w:r>
      <w:r>
        <w:fldChar w:fldCharType="end"/>
      </w:r>
    </w:p>
    <w:p w14:paraId="619EDCDA">
      <w:pPr>
        <w:pStyle w:val="15"/>
        <w:spacing w:line="240" w:lineRule="auto"/>
        <w:jc w:val="center"/>
        <w:rPr>
          <w:szCs w:val="22"/>
        </w:rPr>
      </w:pPr>
      <w:r>
        <w:fldChar w:fldCharType="begin"/>
      </w:r>
      <w:r>
        <w:instrText xml:space="preserve"> HYPERLINK \l "_Toc131060493" </w:instrText>
      </w:r>
      <w:r>
        <w:fldChar w:fldCharType="separate"/>
      </w:r>
      <w:r>
        <w:rPr>
          <w:rStyle w:val="41"/>
          <w:color w:val="auto"/>
          <w:u w:val="none"/>
        </w:rPr>
        <w:t>2.1  Terms</w:t>
      </w:r>
      <w:r>
        <w:tab/>
      </w:r>
      <w:r>
        <w:t>2</w:t>
      </w:r>
      <w:r>
        <w:fldChar w:fldCharType="end"/>
      </w:r>
    </w:p>
    <w:p w14:paraId="69E2C24D">
      <w:pPr>
        <w:pStyle w:val="15"/>
        <w:spacing w:line="240" w:lineRule="auto"/>
        <w:jc w:val="center"/>
        <w:rPr>
          <w:szCs w:val="22"/>
        </w:rPr>
      </w:pPr>
      <w:r>
        <w:fldChar w:fldCharType="begin"/>
      </w:r>
      <w:r>
        <w:instrText xml:space="preserve"> HYPERLINK \l "_Toc131060494" </w:instrText>
      </w:r>
      <w:r>
        <w:fldChar w:fldCharType="separate"/>
      </w:r>
      <w:r>
        <w:rPr>
          <w:rStyle w:val="41"/>
          <w:color w:val="auto"/>
          <w:u w:val="none"/>
        </w:rPr>
        <w:t>2.2  Symbols</w:t>
      </w:r>
      <w:r>
        <w:tab/>
      </w:r>
      <w:r>
        <w:t>3</w:t>
      </w:r>
      <w:r>
        <w:fldChar w:fldCharType="end"/>
      </w:r>
    </w:p>
    <w:p w14:paraId="3981DBCE">
      <w:pPr>
        <w:pStyle w:val="28"/>
        <w:jc w:val="center"/>
        <w:rPr>
          <w:szCs w:val="22"/>
        </w:rPr>
      </w:pPr>
      <w:r>
        <w:fldChar w:fldCharType="begin"/>
      </w:r>
      <w:r>
        <w:instrText xml:space="preserve"> HYPERLINK \l "_Toc131060495" </w:instrText>
      </w:r>
      <w:r>
        <w:fldChar w:fldCharType="separate"/>
      </w:r>
      <w:r>
        <w:rPr>
          <w:rStyle w:val="41"/>
          <w:color w:val="auto"/>
          <w:u w:val="none"/>
        </w:rPr>
        <w:t>3  Basic requierments</w:t>
      </w:r>
      <w:r>
        <w:tab/>
      </w:r>
      <w:r>
        <w:t>5</w:t>
      </w:r>
      <w:r>
        <w:fldChar w:fldCharType="end"/>
      </w:r>
    </w:p>
    <w:p w14:paraId="4028ACCE">
      <w:pPr>
        <w:pStyle w:val="15"/>
        <w:spacing w:line="240" w:lineRule="auto"/>
        <w:jc w:val="center"/>
        <w:rPr>
          <w:szCs w:val="22"/>
        </w:rPr>
      </w:pPr>
      <w:r>
        <w:fldChar w:fldCharType="begin"/>
      </w:r>
      <w:r>
        <w:instrText xml:space="preserve"> HYPERLINK \l "_Toc131060496" </w:instrText>
      </w:r>
      <w:r>
        <w:fldChar w:fldCharType="separate"/>
      </w:r>
      <w:r>
        <w:rPr>
          <w:rStyle w:val="41"/>
          <w:color w:val="auto"/>
          <w:u w:val="none"/>
        </w:rPr>
        <w:t>3.1  Principles of design</w:t>
      </w:r>
      <w:r>
        <w:tab/>
      </w:r>
      <w:r>
        <w:t>5</w:t>
      </w:r>
      <w:r>
        <w:fldChar w:fldCharType="end"/>
      </w:r>
    </w:p>
    <w:p w14:paraId="5A236401">
      <w:pPr>
        <w:pStyle w:val="15"/>
        <w:spacing w:line="240" w:lineRule="auto"/>
        <w:jc w:val="center"/>
        <w:rPr>
          <w:szCs w:val="22"/>
        </w:rPr>
      </w:pPr>
      <w:r>
        <w:fldChar w:fldCharType="begin"/>
      </w:r>
      <w:r>
        <w:instrText xml:space="preserve"> HYPERLINK \l "_Toc131060497" </w:instrText>
      </w:r>
      <w:r>
        <w:fldChar w:fldCharType="separate"/>
      </w:r>
      <w:r>
        <w:rPr>
          <w:rStyle w:val="41"/>
          <w:color w:val="auto"/>
          <w:u w:val="none"/>
        </w:rPr>
        <w:t>3.2  Choice of structural types</w:t>
      </w:r>
      <w:r>
        <w:tab/>
      </w:r>
      <w:r>
        <w:t>7</w:t>
      </w:r>
      <w:r>
        <w:fldChar w:fldCharType="end"/>
      </w:r>
    </w:p>
    <w:p w14:paraId="4EDBB923">
      <w:pPr>
        <w:pStyle w:val="15"/>
        <w:spacing w:line="240" w:lineRule="auto"/>
        <w:jc w:val="center"/>
        <w:rPr>
          <w:szCs w:val="22"/>
        </w:rPr>
      </w:pPr>
      <w:r>
        <w:fldChar w:fldCharType="begin"/>
      </w:r>
      <w:r>
        <w:instrText xml:space="preserve"> HYPERLINK \l "_Toc131060498" </w:instrText>
      </w:r>
      <w:r>
        <w:fldChar w:fldCharType="separate"/>
      </w:r>
      <w:r>
        <w:rPr>
          <w:rStyle w:val="41"/>
          <w:color w:val="auto"/>
          <w:u w:val="none"/>
        </w:rPr>
        <w:t>3.3  Horizontal load</w:t>
      </w:r>
      <w:r>
        <w:tab/>
      </w:r>
      <w:r>
        <w:t>8</w:t>
      </w:r>
      <w:r>
        <w:fldChar w:fldCharType="end"/>
      </w:r>
    </w:p>
    <w:p w14:paraId="4E7CEA5E">
      <w:pPr>
        <w:pStyle w:val="15"/>
        <w:spacing w:line="240" w:lineRule="auto"/>
        <w:jc w:val="center"/>
        <w:rPr>
          <w:szCs w:val="22"/>
        </w:rPr>
      </w:pPr>
      <w:r>
        <w:fldChar w:fldCharType="begin"/>
      </w:r>
      <w:r>
        <w:instrText xml:space="preserve"> HYPERLINK \l "_Toc131060499" </w:instrText>
      </w:r>
      <w:r>
        <w:fldChar w:fldCharType="separate"/>
      </w:r>
      <w:r>
        <w:rPr>
          <w:rStyle w:val="41"/>
          <w:color w:val="auto"/>
          <w:u w:val="none"/>
        </w:rPr>
        <w:t>3.4  Testing of quality</w:t>
      </w:r>
      <w:r>
        <w:tab/>
      </w:r>
      <w:r>
        <w:t>11</w:t>
      </w:r>
      <w:r>
        <w:fldChar w:fldCharType="end"/>
      </w:r>
    </w:p>
    <w:p w14:paraId="603270E2">
      <w:pPr>
        <w:pStyle w:val="28"/>
        <w:jc w:val="center"/>
        <w:rPr>
          <w:szCs w:val="22"/>
        </w:rPr>
      </w:pPr>
      <w:r>
        <w:fldChar w:fldCharType="begin"/>
      </w:r>
      <w:r>
        <w:instrText xml:space="preserve"> HYPERLINK \l "_Toc131060500" </w:instrText>
      </w:r>
      <w:r>
        <w:fldChar w:fldCharType="separate"/>
      </w:r>
      <w:r>
        <w:rPr>
          <w:rStyle w:val="41"/>
          <w:color w:val="auto"/>
          <w:u w:val="none"/>
        </w:rPr>
        <w:t xml:space="preserve">4  </w:t>
      </w:r>
      <w:r>
        <w:rPr>
          <w:sz w:val="22"/>
        </w:rPr>
        <w:t>Investigation of construction site and its surroundings</w:t>
      </w:r>
      <w:r>
        <w:tab/>
      </w:r>
      <w:r>
        <w:t>13</w:t>
      </w:r>
      <w:r>
        <w:fldChar w:fldCharType="end"/>
      </w:r>
    </w:p>
    <w:p w14:paraId="192D5C81">
      <w:pPr>
        <w:pStyle w:val="15"/>
        <w:spacing w:line="240" w:lineRule="auto"/>
        <w:jc w:val="center"/>
        <w:rPr>
          <w:szCs w:val="22"/>
        </w:rPr>
      </w:pPr>
      <w:r>
        <w:fldChar w:fldCharType="begin"/>
      </w:r>
      <w:r>
        <w:instrText xml:space="preserve"> HYPERLINK \l "_Toc131060501" </w:instrText>
      </w:r>
      <w:r>
        <w:fldChar w:fldCharType="separate"/>
      </w:r>
      <w:r>
        <w:rPr>
          <w:rStyle w:val="41"/>
          <w:color w:val="auto"/>
          <w:u w:val="none"/>
        </w:rPr>
        <w:t>4.1  General requierments</w:t>
      </w:r>
      <w:r>
        <w:tab/>
      </w:r>
      <w:r>
        <w:t>13</w:t>
      </w:r>
      <w:r>
        <w:fldChar w:fldCharType="end"/>
      </w:r>
    </w:p>
    <w:p w14:paraId="63200D9F">
      <w:pPr>
        <w:pStyle w:val="15"/>
        <w:spacing w:line="240" w:lineRule="auto"/>
        <w:jc w:val="center"/>
        <w:rPr>
          <w:szCs w:val="22"/>
        </w:rPr>
      </w:pPr>
      <w:r>
        <w:fldChar w:fldCharType="begin"/>
      </w:r>
      <w:r>
        <w:instrText xml:space="preserve"> HYPERLINK \l "_Toc131060502" </w:instrText>
      </w:r>
      <w:r>
        <w:fldChar w:fldCharType="separate"/>
      </w:r>
      <w:r>
        <w:rPr>
          <w:rStyle w:val="41"/>
          <w:color w:val="auto"/>
          <w:u w:val="none"/>
        </w:rPr>
        <w:t>4.2  Investigation</w:t>
      </w:r>
      <w:r>
        <w:tab/>
      </w:r>
      <w:r>
        <w:t>13</w:t>
      </w:r>
      <w:r>
        <w:fldChar w:fldCharType="end"/>
      </w:r>
    </w:p>
    <w:p w14:paraId="6D696F13">
      <w:pPr>
        <w:pStyle w:val="15"/>
        <w:spacing w:line="240" w:lineRule="auto"/>
        <w:jc w:val="center"/>
        <w:rPr>
          <w:szCs w:val="22"/>
        </w:rPr>
      </w:pPr>
      <w:r>
        <w:fldChar w:fldCharType="begin"/>
      </w:r>
      <w:r>
        <w:instrText xml:space="preserve"> HYPERLINK \l "_Toc131060503" </w:instrText>
      </w:r>
      <w:r>
        <w:fldChar w:fldCharType="separate"/>
      </w:r>
      <w:r>
        <w:rPr>
          <w:rStyle w:val="41"/>
          <w:color w:val="auto"/>
          <w:u w:val="none"/>
        </w:rPr>
        <w:t xml:space="preserve">4.3  </w:t>
      </w:r>
      <w:r>
        <w:rPr>
          <w:rStyle w:val="41"/>
          <w:rFonts w:hint="eastAsia"/>
          <w:color w:val="auto"/>
          <w:u w:val="none"/>
        </w:rPr>
        <w:t>I</w:t>
      </w:r>
      <w:r>
        <w:rPr>
          <w:rStyle w:val="41"/>
          <w:color w:val="auto"/>
          <w:u w:val="none"/>
        </w:rPr>
        <w:t>nvestigation of surroundings</w:t>
      </w:r>
      <w:r>
        <w:tab/>
      </w:r>
      <w:r>
        <w:t>14</w:t>
      </w:r>
      <w:r>
        <w:fldChar w:fldCharType="end"/>
      </w:r>
    </w:p>
    <w:p w14:paraId="10E9E7A1">
      <w:pPr>
        <w:pStyle w:val="28"/>
        <w:jc w:val="center"/>
        <w:rPr>
          <w:szCs w:val="22"/>
        </w:rPr>
      </w:pPr>
      <w:r>
        <w:fldChar w:fldCharType="begin"/>
      </w:r>
      <w:r>
        <w:instrText xml:space="preserve"> HYPERLINK \l "_Toc131060522" </w:instrText>
      </w:r>
      <w:r>
        <w:fldChar w:fldCharType="separate"/>
      </w:r>
      <w:r>
        <w:rPr>
          <w:rStyle w:val="41"/>
          <w:color w:val="auto"/>
          <w:u w:val="none"/>
        </w:rPr>
        <w:t>5  Groundwater control</w:t>
      </w:r>
      <w:r>
        <w:tab/>
      </w:r>
      <w:r>
        <w:t>15</w:t>
      </w:r>
      <w:r>
        <w:fldChar w:fldCharType="end"/>
      </w:r>
    </w:p>
    <w:p w14:paraId="27153591">
      <w:pPr>
        <w:pStyle w:val="15"/>
        <w:spacing w:line="240" w:lineRule="auto"/>
        <w:jc w:val="center"/>
        <w:rPr>
          <w:szCs w:val="22"/>
        </w:rPr>
      </w:pPr>
      <w:r>
        <w:fldChar w:fldCharType="begin"/>
      </w:r>
      <w:r>
        <w:instrText xml:space="preserve"> HYPERLINK \l "_Toc131060523" </w:instrText>
      </w:r>
      <w:r>
        <w:fldChar w:fldCharType="separate"/>
      </w:r>
      <w:r>
        <w:rPr>
          <w:rStyle w:val="41"/>
          <w:color w:val="auto"/>
          <w:u w:val="none"/>
        </w:rPr>
        <w:t>5.1  General requierments</w:t>
      </w:r>
      <w:r>
        <w:tab/>
      </w:r>
      <w:r>
        <w:t>15</w:t>
      </w:r>
      <w:r>
        <w:fldChar w:fldCharType="end"/>
      </w:r>
    </w:p>
    <w:p w14:paraId="224BBDBF">
      <w:pPr>
        <w:pStyle w:val="15"/>
        <w:spacing w:line="240" w:lineRule="auto"/>
        <w:jc w:val="center"/>
        <w:rPr>
          <w:szCs w:val="22"/>
        </w:rPr>
      </w:pPr>
      <w:r>
        <w:fldChar w:fldCharType="begin"/>
      </w:r>
      <w:r>
        <w:instrText xml:space="preserve"> HYPERLINK \l "_Toc131060524" </w:instrText>
      </w:r>
      <w:r>
        <w:fldChar w:fldCharType="separate"/>
      </w:r>
      <w:r>
        <w:rPr>
          <w:rStyle w:val="41"/>
          <w:color w:val="auto"/>
          <w:u w:val="none"/>
        </w:rPr>
        <w:t xml:space="preserve">5.2  </w:t>
      </w:r>
      <w:r>
        <w:rPr>
          <w:sz w:val="22"/>
        </w:rPr>
        <w:t>Seepage cut-off</w:t>
      </w:r>
      <w:r>
        <w:tab/>
      </w:r>
      <w:r>
        <w:t>16</w:t>
      </w:r>
      <w:r>
        <w:fldChar w:fldCharType="end"/>
      </w:r>
    </w:p>
    <w:p w14:paraId="37BB802E">
      <w:pPr>
        <w:pStyle w:val="15"/>
        <w:spacing w:line="240" w:lineRule="auto"/>
        <w:jc w:val="center"/>
        <w:rPr>
          <w:szCs w:val="22"/>
        </w:rPr>
      </w:pPr>
      <w:r>
        <w:fldChar w:fldCharType="begin"/>
      </w:r>
      <w:r>
        <w:instrText xml:space="preserve"> HYPERLINK \l "_Toc131060525" </w:instrText>
      </w:r>
      <w:r>
        <w:fldChar w:fldCharType="separate"/>
      </w:r>
      <w:r>
        <w:rPr>
          <w:rStyle w:val="41"/>
          <w:color w:val="auto"/>
          <w:u w:val="none"/>
        </w:rPr>
        <w:t>5.3  Dewatering</w:t>
      </w:r>
      <w:r>
        <w:tab/>
      </w:r>
      <w:r>
        <w:t>16</w:t>
      </w:r>
      <w:r>
        <w:fldChar w:fldCharType="end"/>
      </w:r>
    </w:p>
    <w:p w14:paraId="72E55564">
      <w:pPr>
        <w:pStyle w:val="15"/>
        <w:spacing w:line="240" w:lineRule="auto"/>
        <w:jc w:val="center"/>
        <w:rPr>
          <w:szCs w:val="22"/>
        </w:rPr>
      </w:pPr>
      <w:r>
        <w:fldChar w:fldCharType="begin"/>
      </w:r>
      <w:r>
        <w:instrText xml:space="preserve"> HYPERLINK \l "_Toc131060526" </w:instrText>
      </w:r>
      <w:r>
        <w:fldChar w:fldCharType="separate"/>
      </w:r>
      <w:r>
        <w:rPr>
          <w:rStyle w:val="41"/>
          <w:color w:val="auto"/>
          <w:u w:val="none"/>
        </w:rPr>
        <w:t xml:space="preserve">5.4  </w:t>
      </w:r>
      <w:r>
        <w:rPr>
          <w:sz w:val="22"/>
        </w:rPr>
        <w:t>Open pumping</w:t>
      </w:r>
      <w:r>
        <w:tab/>
      </w:r>
      <w:r>
        <w:t>21</w:t>
      </w:r>
      <w:r>
        <w:fldChar w:fldCharType="end"/>
      </w:r>
    </w:p>
    <w:p w14:paraId="312E387B">
      <w:pPr>
        <w:pStyle w:val="15"/>
        <w:spacing w:line="240" w:lineRule="auto"/>
        <w:jc w:val="center"/>
        <w:rPr>
          <w:szCs w:val="22"/>
        </w:rPr>
      </w:pPr>
      <w:r>
        <w:fldChar w:fldCharType="begin"/>
      </w:r>
      <w:r>
        <w:instrText xml:space="preserve"> HYPERLINK \l "_Toc131060527" </w:instrText>
      </w:r>
      <w:r>
        <w:fldChar w:fldCharType="separate"/>
      </w:r>
      <w:r>
        <w:rPr>
          <w:rStyle w:val="41"/>
          <w:color w:val="auto"/>
          <w:u w:val="none"/>
        </w:rPr>
        <w:t>5.5  Rechaerge</w:t>
      </w:r>
      <w:r>
        <w:tab/>
      </w:r>
      <w:r>
        <w:t>21</w:t>
      </w:r>
      <w:r>
        <w:fldChar w:fldCharType="end"/>
      </w:r>
    </w:p>
    <w:p w14:paraId="3362F633">
      <w:pPr>
        <w:pStyle w:val="28"/>
        <w:jc w:val="center"/>
        <w:rPr>
          <w:szCs w:val="22"/>
        </w:rPr>
      </w:pPr>
      <w:r>
        <w:fldChar w:fldCharType="begin"/>
      </w:r>
      <w:r>
        <w:instrText xml:space="preserve"> HYPERLINK \l "_Toc131060504" </w:instrText>
      </w:r>
      <w:r>
        <w:fldChar w:fldCharType="separate"/>
      </w:r>
      <w:r>
        <w:rPr>
          <w:rStyle w:val="41"/>
          <w:color w:val="auto"/>
          <w:u w:val="none"/>
        </w:rPr>
        <w:t>6  Sloping</w:t>
      </w:r>
      <w:r>
        <w:tab/>
      </w:r>
      <w:r>
        <w:t>22</w:t>
      </w:r>
      <w:r>
        <w:fldChar w:fldCharType="end"/>
      </w:r>
    </w:p>
    <w:p w14:paraId="06A3B787">
      <w:pPr>
        <w:pStyle w:val="15"/>
        <w:spacing w:line="240" w:lineRule="auto"/>
        <w:jc w:val="center"/>
        <w:rPr>
          <w:szCs w:val="22"/>
        </w:rPr>
      </w:pPr>
      <w:r>
        <w:fldChar w:fldCharType="begin"/>
      </w:r>
      <w:r>
        <w:instrText xml:space="preserve"> HYPERLINK \l "_Toc131060505" </w:instrText>
      </w:r>
      <w:r>
        <w:fldChar w:fldCharType="separate"/>
      </w:r>
      <w:r>
        <w:rPr>
          <w:rStyle w:val="41"/>
          <w:color w:val="auto"/>
          <w:u w:val="none"/>
        </w:rPr>
        <w:t>6.1  Design of sloping</w:t>
      </w:r>
      <w:r>
        <w:tab/>
      </w:r>
      <w:r>
        <w:t>22</w:t>
      </w:r>
      <w:r>
        <w:fldChar w:fldCharType="end"/>
      </w:r>
    </w:p>
    <w:p w14:paraId="06D2B4B6">
      <w:pPr>
        <w:pStyle w:val="15"/>
        <w:spacing w:line="240" w:lineRule="auto"/>
        <w:jc w:val="center"/>
        <w:rPr>
          <w:szCs w:val="22"/>
        </w:rPr>
      </w:pPr>
      <w:r>
        <w:fldChar w:fldCharType="begin"/>
      </w:r>
      <w:r>
        <w:instrText xml:space="preserve"> HYPERLINK \l "_Toc131060506" </w:instrText>
      </w:r>
      <w:r>
        <w:fldChar w:fldCharType="separate"/>
      </w:r>
      <w:r>
        <w:rPr>
          <w:rStyle w:val="41"/>
          <w:color w:val="auto"/>
          <w:u w:val="none"/>
        </w:rPr>
        <w:t>6.2  Construction of sloping</w:t>
      </w:r>
      <w:r>
        <w:tab/>
      </w:r>
      <w:r>
        <w:t>22</w:t>
      </w:r>
      <w:r>
        <w:fldChar w:fldCharType="end"/>
      </w:r>
    </w:p>
    <w:p w14:paraId="2EEF3248">
      <w:pPr>
        <w:pStyle w:val="28"/>
        <w:jc w:val="center"/>
        <w:rPr>
          <w:szCs w:val="22"/>
        </w:rPr>
      </w:pPr>
      <w:r>
        <w:fldChar w:fldCharType="begin"/>
      </w:r>
      <w:r>
        <w:instrText xml:space="preserve"> HYPERLINK \l "_Toc131060507" </w:instrText>
      </w:r>
      <w:r>
        <w:fldChar w:fldCharType="separate"/>
      </w:r>
      <w:r>
        <w:rPr>
          <w:rStyle w:val="41"/>
          <w:color w:val="auto"/>
          <w:u w:val="none"/>
        </w:rPr>
        <w:t>7  Retaining structures</w:t>
      </w:r>
      <w:r>
        <w:tab/>
      </w:r>
      <w:r>
        <w:t>23</w:t>
      </w:r>
      <w:r>
        <w:fldChar w:fldCharType="end"/>
      </w:r>
    </w:p>
    <w:p w14:paraId="5AC129D3">
      <w:pPr>
        <w:pStyle w:val="15"/>
        <w:spacing w:line="240" w:lineRule="auto"/>
        <w:jc w:val="center"/>
        <w:rPr>
          <w:szCs w:val="22"/>
        </w:rPr>
      </w:pPr>
      <w:r>
        <w:fldChar w:fldCharType="begin"/>
      </w:r>
      <w:r>
        <w:instrText xml:space="preserve"> HYPERLINK \l "_Toc131060508" </w:instrText>
      </w:r>
      <w:r>
        <w:fldChar w:fldCharType="separate"/>
      </w:r>
      <w:r>
        <w:rPr>
          <w:rStyle w:val="41"/>
          <w:color w:val="auto"/>
          <w:u w:val="none"/>
        </w:rPr>
        <w:t>7.1  General requierments</w:t>
      </w:r>
      <w:r>
        <w:tab/>
      </w:r>
      <w:r>
        <w:t>23</w:t>
      </w:r>
      <w:r>
        <w:fldChar w:fldCharType="end"/>
      </w:r>
    </w:p>
    <w:p w14:paraId="263DDAE7">
      <w:pPr>
        <w:pStyle w:val="15"/>
        <w:spacing w:line="240" w:lineRule="auto"/>
        <w:jc w:val="center"/>
        <w:rPr>
          <w:szCs w:val="22"/>
        </w:rPr>
      </w:pPr>
      <w:r>
        <w:fldChar w:fldCharType="begin"/>
      </w:r>
      <w:r>
        <w:instrText xml:space="preserve"> HYPERLINK \l "_Toc131060509" </w:instrText>
      </w:r>
      <w:r>
        <w:fldChar w:fldCharType="separate"/>
      </w:r>
      <w:r>
        <w:rPr>
          <w:rStyle w:val="41"/>
          <w:color w:val="auto"/>
          <w:u w:val="none"/>
        </w:rPr>
        <w:t>7.2  Structural analysis</w:t>
      </w:r>
      <w:r>
        <w:tab/>
      </w:r>
      <w:r>
        <w:t>23</w:t>
      </w:r>
      <w:r>
        <w:fldChar w:fldCharType="end"/>
      </w:r>
    </w:p>
    <w:p w14:paraId="49691C17">
      <w:pPr>
        <w:pStyle w:val="15"/>
        <w:spacing w:line="240" w:lineRule="auto"/>
        <w:jc w:val="center"/>
        <w:rPr>
          <w:szCs w:val="22"/>
        </w:rPr>
      </w:pPr>
      <w:r>
        <w:fldChar w:fldCharType="begin"/>
      </w:r>
      <w:r>
        <w:instrText xml:space="preserve"> HYPERLINK \l "_Toc131060510" </w:instrText>
      </w:r>
      <w:r>
        <w:fldChar w:fldCharType="separate"/>
      </w:r>
      <w:r>
        <w:rPr>
          <w:rStyle w:val="41"/>
          <w:color w:val="auto"/>
          <w:u w:val="none"/>
        </w:rPr>
        <w:t>7.3  Excavations stabilitys analysis</w:t>
      </w:r>
      <w:r>
        <w:tab/>
      </w:r>
      <w:r>
        <w:t>23</w:t>
      </w:r>
      <w:r>
        <w:fldChar w:fldCharType="end"/>
      </w:r>
    </w:p>
    <w:p w14:paraId="5F9E8113">
      <w:pPr>
        <w:pStyle w:val="15"/>
        <w:spacing w:line="240" w:lineRule="auto"/>
        <w:jc w:val="center"/>
        <w:rPr>
          <w:szCs w:val="22"/>
        </w:rPr>
      </w:pPr>
      <w:r>
        <w:fldChar w:fldCharType="begin"/>
      </w:r>
      <w:r>
        <w:instrText xml:space="preserve"> HYPERLINK \l "_Toc131060511" </w:instrText>
      </w:r>
      <w:r>
        <w:fldChar w:fldCharType="separate"/>
      </w:r>
      <w:r>
        <w:rPr>
          <w:rStyle w:val="41"/>
          <w:color w:val="auto"/>
          <w:u w:val="none"/>
        </w:rPr>
        <w:t>7.4  Design of double-row-piles wall</w:t>
      </w:r>
      <w:r>
        <w:tab/>
      </w:r>
      <w:r>
        <w:t>26</w:t>
      </w:r>
      <w:r>
        <w:fldChar w:fldCharType="end"/>
      </w:r>
    </w:p>
    <w:p w14:paraId="09951E59">
      <w:pPr>
        <w:pStyle w:val="15"/>
        <w:spacing w:line="240" w:lineRule="auto"/>
        <w:jc w:val="center"/>
        <w:rPr>
          <w:szCs w:val="22"/>
        </w:rPr>
      </w:pPr>
      <w:r>
        <w:fldChar w:fldCharType="begin"/>
      </w:r>
      <w:r>
        <w:instrText xml:space="preserve"> HYPERLINK \l "_Toc131060512" </w:instrText>
      </w:r>
      <w:r>
        <w:fldChar w:fldCharType="separate"/>
      </w:r>
      <w:r>
        <w:rPr>
          <w:rStyle w:val="41"/>
          <w:color w:val="auto"/>
          <w:u w:val="none"/>
        </w:rPr>
        <w:t xml:space="preserve">7.5  </w:t>
      </w:r>
      <w:r>
        <w:rPr>
          <w:sz w:val="22"/>
        </w:rPr>
        <w:t>Sectional bearing capacity checking</w:t>
      </w:r>
      <w:r>
        <w:tab/>
      </w:r>
      <w:r>
        <w:t>28</w:t>
      </w:r>
      <w:r>
        <w:fldChar w:fldCharType="end"/>
      </w:r>
    </w:p>
    <w:p w14:paraId="1951B66E">
      <w:pPr>
        <w:pStyle w:val="15"/>
        <w:spacing w:line="240" w:lineRule="auto"/>
        <w:jc w:val="center"/>
        <w:rPr>
          <w:szCs w:val="22"/>
        </w:rPr>
      </w:pPr>
      <w:r>
        <w:fldChar w:fldCharType="begin"/>
      </w:r>
      <w:r>
        <w:instrText xml:space="preserve"> HYPERLINK \l "_Toc131060513" </w:instrText>
      </w:r>
      <w:r>
        <w:fldChar w:fldCharType="separate"/>
      </w:r>
      <w:r>
        <w:rPr>
          <w:rStyle w:val="41"/>
          <w:color w:val="auto"/>
          <w:u w:val="none"/>
        </w:rPr>
        <w:t>7.6  Anchor calculation</w:t>
      </w:r>
      <w:r>
        <w:tab/>
      </w:r>
      <w:r>
        <w:t>28</w:t>
      </w:r>
      <w:r>
        <w:fldChar w:fldCharType="end"/>
      </w:r>
    </w:p>
    <w:p w14:paraId="5CFC91AE">
      <w:pPr>
        <w:pStyle w:val="15"/>
        <w:spacing w:line="240" w:lineRule="auto"/>
        <w:jc w:val="center"/>
        <w:rPr>
          <w:szCs w:val="22"/>
        </w:rPr>
      </w:pPr>
      <w:r>
        <w:fldChar w:fldCharType="begin"/>
      </w:r>
      <w:r>
        <w:instrText xml:space="preserve"> HYPERLINK \l "_Toc131060514" </w:instrText>
      </w:r>
      <w:r>
        <w:fldChar w:fldCharType="separate"/>
      </w:r>
      <w:r>
        <w:rPr>
          <w:rStyle w:val="41"/>
          <w:color w:val="auto"/>
          <w:u w:val="none"/>
        </w:rPr>
        <w:t>7.7  Structural detail</w:t>
      </w:r>
      <w:r>
        <w:tab/>
      </w:r>
      <w:r>
        <w:t>30</w:t>
      </w:r>
      <w:r>
        <w:fldChar w:fldCharType="end"/>
      </w:r>
    </w:p>
    <w:p w14:paraId="48B9385F">
      <w:pPr>
        <w:pStyle w:val="15"/>
        <w:spacing w:line="240" w:lineRule="auto"/>
        <w:jc w:val="center"/>
        <w:rPr>
          <w:szCs w:val="22"/>
        </w:rPr>
      </w:pPr>
      <w:r>
        <w:fldChar w:fldCharType="begin"/>
      </w:r>
      <w:r>
        <w:instrText xml:space="preserve"> HYPERLINK \l "_Toc131060515" </w:instrText>
      </w:r>
      <w:r>
        <w:fldChar w:fldCharType="separate"/>
      </w:r>
      <w:r>
        <w:rPr>
          <w:rStyle w:val="41"/>
          <w:color w:val="auto"/>
          <w:u w:val="none"/>
        </w:rPr>
        <w:t>7.8  Consturction</w:t>
      </w:r>
      <w:r>
        <w:tab/>
      </w:r>
      <w:r>
        <w:t>33</w:t>
      </w:r>
      <w:r>
        <w:fldChar w:fldCharType="end"/>
      </w:r>
    </w:p>
    <w:p w14:paraId="1D338FD1">
      <w:pPr>
        <w:pStyle w:val="15"/>
        <w:spacing w:line="240" w:lineRule="auto"/>
        <w:jc w:val="center"/>
        <w:rPr>
          <w:szCs w:val="22"/>
        </w:rPr>
      </w:pPr>
      <w:r>
        <w:fldChar w:fldCharType="begin"/>
      </w:r>
      <w:r>
        <w:instrText xml:space="preserve"> HYPERLINK \l "_Toc131060516" </w:instrText>
      </w:r>
      <w:r>
        <w:fldChar w:fldCharType="separate"/>
      </w:r>
      <w:r>
        <w:rPr>
          <w:rStyle w:val="41"/>
          <w:color w:val="auto"/>
          <w:u w:val="none"/>
        </w:rPr>
        <w:t>7.9  Testing of quality</w:t>
      </w:r>
      <w:r>
        <w:tab/>
      </w:r>
      <w:r>
        <w:t>35</w:t>
      </w:r>
      <w:r>
        <w:fldChar w:fldCharType="end"/>
      </w:r>
    </w:p>
    <w:p w14:paraId="4C2F5568">
      <w:pPr>
        <w:pStyle w:val="28"/>
        <w:jc w:val="center"/>
        <w:rPr>
          <w:szCs w:val="22"/>
        </w:rPr>
      </w:pPr>
      <w:r>
        <w:fldChar w:fldCharType="begin"/>
      </w:r>
      <w:r>
        <w:instrText xml:space="preserve"> HYPERLINK \l "_Toc131060517" </w:instrText>
      </w:r>
      <w:r>
        <w:fldChar w:fldCharType="separate"/>
      </w:r>
      <w:r>
        <w:rPr>
          <w:rStyle w:val="41"/>
          <w:color w:val="auto"/>
          <w:u w:val="none"/>
        </w:rPr>
        <w:t>8  Soil nailing wall</w:t>
      </w:r>
      <w:r>
        <w:tab/>
      </w:r>
      <w:r>
        <w:t>37</w:t>
      </w:r>
      <w:r>
        <w:fldChar w:fldCharType="end"/>
      </w:r>
    </w:p>
    <w:p w14:paraId="73BC08BC">
      <w:pPr>
        <w:pStyle w:val="15"/>
        <w:spacing w:line="240" w:lineRule="auto"/>
        <w:jc w:val="center"/>
        <w:rPr>
          <w:szCs w:val="22"/>
        </w:rPr>
      </w:pPr>
      <w:r>
        <w:fldChar w:fldCharType="begin"/>
      </w:r>
      <w:r>
        <w:instrText xml:space="preserve"> HYPERLINK \l "_Toc131060518" </w:instrText>
      </w:r>
      <w:r>
        <w:fldChar w:fldCharType="separate"/>
      </w:r>
      <w:r>
        <w:rPr>
          <w:rStyle w:val="41"/>
          <w:color w:val="auto"/>
          <w:u w:val="none"/>
        </w:rPr>
        <w:t>8.1  General requierments</w:t>
      </w:r>
      <w:r>
        <w:tab/>
      </w:r>
      <w:r>
        <w:t>37</w:t>
      </w:r>
      <w:r>
        <w:fldChar w:fldCharType="end"/>
      </w:r>
    </w:p>
    <w:p w14:paraId="5B7EE77B">
      <w:pPr>
        <w:pStyle w:val="15"/>
        <w:spacing w:line="240" w:lineRule="auto"/>
        <w:jc w:val="center"/>
        <w:rPr>
          <w:szCs w:val="22"/>
        </w:rPr>
      </w:pPr>
      <w:r>
        <w:fldChar w:fldCharType="begin"/>
      </w:r>
      <w:r>
        <w:instrText xml:space="preserve"> HYPERLINK \l "_Toc131060519" </w:instrText>
      </w:r>
      <w:r>
        <w:fldChar w:fldCharType="separate"/>
      </w:r>
      <w:r>
        <w:rPr>
          <w:rStyle w:val="41"/>
          <w:color w:val="auto"/>
          <w:u w:val="none"/>
        </w:rPr>
        <w:t>8.2  Design</w:t>
      </w:r>
      <w:r>
        <w:tab/>
      </w:r>
      <w:r>
        <w:t>37</w:t>
      </w:r>
      <w:r>
        <w:fldChar w:fldCharType="end"/>
      </w:r>
    </w:p>
    <w:p w14:paraId="175B6BBF">
      <w:pPr>
        <w:pStyle w:val="15"/>
        <w:spacing w:line="240" w:lineRule="auto"/>
        <w:jc w:val="center"/>
        <w:rPr>
          <w:szCs w:val="22"/>
        </w:rPr>
      </w:pPr>
      <w:r>
        <w:fldChar w:fldCharType="begin"/>
      </w:r>
      <w:r>
        <w:instrText xml:space="preserve"> HYPERLINK \l "_Toc131060520" </w:instrText>
      </w:r>
      <w:r>
        <w:fldChar w:fldCharType="separate"/>
      </w:r>
      <w:r>
        <w:rPr>
          <w:rStyle w:val="41"/>
          <w:color w:val="auto"/>
          <w:u w:val="none"/>
        </w:rPr>
        <w:t>8.3  Consturction</w:t>
      </w:r>
      <w:r>
        <w:tab/>
      </w:r>
      <w:r>
        <w:t>42</w:t>
      </w:r>
      <w:r>
        <w:fldChar w:fldCharType="end"/>
      </w:r>
    </w:p>
    <w:p w14:paraId="6746314D">
      <w:pPr>
        <w:pStyle w:val="15"/>
        <w:spacing w:line="240" w:lineRule="auto"/>
        <w:jc w:val="center"/>
        <w:rPr>
          <w:szCs w:val="22"/>
        </w:rPr>
      </w:pPr>
      <w:r>
        <w:fldChar w:fldCharType="begin"/>
      </w:r>
      <w:r>
        <w:instrText xml:space="preserve"> HYPERLINK \l "_Toc131060521" </w:instrText>
      </w:r>
      <w:r>
        <w:fldChar w:fldCharType="separate"/>
      </w:r>
      <w:r>
        <w:rPr>
          <w:rStyle w:val="41"/>
          <w:color w:val="auto"/>
          <w:u w:val="none"/>
        </w:rPr>
        <w:t>8.4  Testing of quality</w:t>
      </w:r>
      <w:r>
        <w:tab/>
      </w:r>
      <w:r>
        <w:t>44</w:t>
      </w:r>
      <w:r>
        <w:fldChar w:fldCharType="end"/>
      </w:r>
    </w:p>
    <w:p w14:paraId="3591F7F8">
      <w:pPr>
        <w:pStyle w:val="28"/>
        <w:jc w:val="center"/>
        <w:rPr>
          <w:szCs w:val="22"/>
        </w:rPr>
      </w:pPr>
      <w:r>
        <w:fldChar w:fldCharType="begin"/>
      </w:r>
      <w:r>
        <w:instrText xml:space="preserve"> HYPERLINK \l "_Toc131060528" </w:instrText>
      </w:r>
      <w:r>
        <w:fldChar w:fldCharType="separate"/>
      </w:r>
      <w:r>
        <w:rPr>
          <w:rStyle w:val="41"/>
          <w:color w:val="auto"/>
          <w:u w:val="none"/>
        </w:rPr>
        <w:t xml:space="preserve">9  </w:t>
      </w:r>
      <w:r>
        <w:rPr>
          <w:rStyle w:val="41"/>
          <w:rFonts w:hint="eastAsia"/>
          <w:color w:val="auto"/>
          <w:u w:val="none"/>
        </w:rPr>
        <w:t>S</w:t>
      </w:r>
      <w:r>
        <w:rPr>
          <w:rStyle w:val="41"/>
          <w:color w:val="auto"/>
          <w:u w:val="none"/>
        </w:rPr>
        <w:t>eismic design</w:t>
      </w:r>
      <w:r>
        <w:tab/>
      </w:r>
      <w:r>
        <w:t>46</w:t>
      </w:r>
      <w:r>
        <w:fldChar w:fldCharType="end"/>
      </w:r>
    </w:p>
    <w:p w14:paraId="7B100B28">
      <w:pPr>
        <w:pStyle w:val="15"/>
        <w:spacing w:line="240" w:lineRule="auto"/>
        <w:jc w:val="center"/>
        <w:rPr>
          <w:szCs w:val="22"/>
        </w:rPr>
      </w:pPr>
      <w:r>
        <w:fldChar w:fldCharType="begin"/>
      </w:r>
      <w:r>
        <w:instrText xml:space="preserve"> HYPERLINK \l "_Toc131060529" </w:instrText>
      </w:r>
      <w:r>
        <w:fldChar w:fldCharType="separate"/>
      </w:r>
      <w:r>
        <w:rPr>
          <w:rStyle w:val="41"/>
          <w:color w:val="auto"/>
          <w:u w:val="none"/>
        </w:rPr>
        <w:t>9.1  General requierments</w:t>
      </w:r>
      <w:r>
        <w:tab/>
      </w:r>
      <w:r>
        <w:t>46</w:t>
      </w:r>
      <w:r>
        <w:fldChar w:fldCharType="end"/>
      </w:r>
    </w:p>
    <w:p w14:paraId="7CD038AC">
      <w:pPr>
        <w:pStyle w:val="15"/>
        <w:spacing w:line="240" w:lineRule="auto"/>
        <w:jc w:val="center"/>
        <w:rPr>
          <w:szCs w:val="22"/>
        </w:rPr>
      </w:pPr>
      <w:r>
        <w:fldChar w:fldCharType="begin"/>
      </w:r>
      <w:r>
        <w:instrText xml:space="preserve"> HYPERLINK \l "_Toc131060530" </w:instrText>
      </w:r>
      <w:r>
        <w:fldChar w:fldCharType="separate"/>
      </w:r>
      <w:r>
        <w:rPr>
          <w:rStyle w:val="41"/>
          <w:color w:val="auto"/>
          <w:u w:val="none"/>
        </w:rPr>
        <w:t xml:space="preserve">9.2  </w:t>
      </w:r>
      <w:r>
        <w:rPr>
          <w:rStyle w:val="41"/>
          <w:rFonts w:hint="eastAsia"/>
          <w:color w:val="auto"/>
          <w:u w:val="none"/>
        </w:rPr>
        <w:t>S</w:t>
      </w:r>
      <w:r>
        <w:rPr>
          <w:rStyle w:val="41"/>
          <w:color w:val="auto"/>
          <w:u w:val="none"/>
        </w:rPr>
        <w:t xml:space="preserve">eimic </w:t>
      </w:r>
      <w:r>
        <w:rPr>
          <w:rStyle w:val="41"/>
          <w:rFonts w:hint="eastAsia"/>
          <w:color w:val="auto"/>
          <w:u w:val="none"/>
        </w:rPr>
        <w:t>check</w:t>
      </w:r>
      <w:r>
        <w:tab/>
      </w:r>
      <w:r>
        <w:t>46</w:t>
      </w:r>
      <w:r>
        <w:fldChar w:fldCharType="end"/>
      </w:r>
    </w:p>
    <w:p w14:paraId="2E6E8D66">
      <w:pPr>
        <w:pStyle w:val="15"/>
        <w:spacing w:line="240" w:lineRule="auto"/>
        <w:jc w:val="center"/>
        <w:rPr>
          <w:szCs w:val="22"/>
        </w:rPr>
      </w:pPr>
      <w:r>
        <w:fldChar w:fldCharType="begin"/>
      </w:r>
      <w:r>
        <w:instrText xml:space="preserve"> HYPERLINK \l "_Toc131060531" </w:instrText>
      </w:r>
      <w:r>
        <w:fldChar w:fldCharType="separate"/>
      </w:r>
      <w:r>
        <w:rPr>
          <w:rStyle w:val="41"/>
          <w:color w:val="auto"/>
          <w:u w:val="none"/>
        </w:rPr>
        <w:t xml:space="preserve">9.3  </w:t>
      </w:r>
      <w:r>
        <w:rPr>
          <w:rStyle w:val="41"/>
          <w:rFonts w:hint="eastAsia"/>
          <w:color w:val="auto"/>
          <w:u w:val="none"/>
        </w:rPr>
        <w:t>D</w:t>
      </w:r>
      <w:r>
        <w:rPr>
          <w:rStyle w:val="41"/>
          <w:color w:val="auto"/>
          <w:u w:val="none"/>
        </w:rPr>
        <w:t>etails of seismic design</w:t>
      </w:r>
      <w:r>
        <w:tab/>
      </w:r>
      <w:r>
        <w:t>50</w:t>
      </w:r>
      <w:r>
        <w:fldChar w:fldCharType="end"/>
      </w:r>
    </w:p>
    <w:p w14:paraId="0C0C2E52">
      <w:pPr>
        <w:pStyle w:val="28"/>
        <w:jc w:val="center"/>
        <w:rPr>
          <w:szCs w:val="22"/>
        </w:rPr>
      </w:pPr>
      <w:r>
        <w:fldChar w:fldCharType="begin"/>
      </w:r>
      <w:r>
        <w:instrText xml:space="preserve"> HYPERLINK \l "_Toc131060532" </w:instrText>
      </w:r>
      <w:r>
        <w:fldChar w:fldCharType="separate"/>
      </w:r>
      <w:r>
        <w:rPr>
          <w:rStyle w:val="41"/>
          <w:color w:val="auto"/>
          <w:u w:val="none"/>
        </w:rPr>
        <w:t xml:space="preserve">10  Excavation </w:t>
      </w:r>
      <w:r>
        <w:rPr>
          <w:rStyle w:val="41"/>
          <w:rFonts w:hint="eastAsia"/>
          <w:color w:val="auto"/>
          <w:u w:val="none"/>
        </w:rPr>
        <w:t>and</w:t>
      </w:r>
      <w:r>
        <w:rPr>
          <w:rStyle w:val="41"/>
          <w:color w:val="auto"/>
          <w:u w:val="none"/>
        </w:rPr>
        <w:t xml:space="preserve"> </w:t>
      </w:r>
      <w:r>
        <w:rPr>
          <w:rStyle w:val="41"/>
          <w:rFonts w:hint="eastAsia"/>
          <w:color w:val="auto"/>
          <w:u w:val="none"/>
        </w:rPr>
        <w:t>backfill</w:t>
      </w:r>
      <w:r>
        <w:tab/>
      </w:r>
      <w:r>
        <w:t>52</w:t>
      </w:r>
      <w:r>
        <w:fldChar w:fldCharType="end"/>
      </w:r>
    </w:p>
    <w:p w14:paraId="56BFC8F5">
      <w:pPr>
        <w:pStyle w:val="15"/>
        <w:spacing w:line="240" w:lineRule="auto"/>
        <w:jc w:val="center"/>
        <w:rPr>
          <w:szCs w:val="22"/>
        </w:rPr>
      </w:pPr>
      <w:r>
        <w:fldChar w:fldCharType="begin"/>
      </w:r>
      <w:r>
        <w:instrText xml:space="preserve"> HYPERLINK \l "_Toc131060533" </w:instrText>
      </w:r>
      <w:r>
        <w:fldChar w:fldCharType="separate"/>
      </w:r>
      <w:r>
        <w:rPr>
          <w:rStyle w:val="41"/>
          <w:color w:val="auto"/>
          <w:u w:val="none"/>
        </w:rPr>
        <w:t>10.1  General requierments</w:t>
      </w:r>
      <w:r>
        <w:tab/>
      </w:r>
      <w:r>
        <w:t>52</w:t>
      </w:r>
      <w:r>
        <w:fldChar w:fldCharType="end"/>
      </w:r>
    </w:p>
    <w:p w14:paraId="396EF8F9">
      <w:pPr>
        <w:pStyle w:val="15"/>
        <w:spacing w:line="240" w:lineRule="auto"/>
        <w:jc w:val="center"/>
        <w:rPr>
          <w:szCs w:val="22"/>
        </w:rPr>
      </w:pPr>
      <w:r>
        <w:fldChar w:fldCharType="begin"/>
      </w:r>
      <w:r>
        <w:instrText xml:space="preserve"> HYPERLINK \l "_Toc131060534" </w:instrText>
      </w:r>
      <w:r>
        <w:fldChar w:fldCharType="separate"/>
      </w:r>
      <w:r>
        <w:rPr>
          <w:rStyle w:val="41"/>
          <w:color w:val="auto"/>
          <w:u w:val="none"/>
        </w:rPr>
        <w:t xml:space="preserve">10.2  </w:t>
      </w:r>
      <w:r>
        <w:rPr>
          <w:sz w:val="22"/>
        </w:rPr>
        <w:t>Excavating</w:t>
      </w:r>
      <w:r>
        <w:tab/>
      </w:r>
      <w:r>
        <w:t>52</w:t>
      </w:r>
      <w:r>
        <w:fldChar w:fldCharType="end"/>
      </w:r>
    </w:p>
    <w:p w14:paraId="2A834038">
      <w:pPr>
        <w:pStyle w:val="15"/>
        <w:spacing w:line="240" w:lineRule="auto"/>
        <w:jc w:val="center"/>
        <w:rPr>
          <w:szCs w:val="22"/>
        </w:rPr>
      </w:pPr>
      <w:r>
        <w:fldChar w:fldCharType="begin"/>
      </w:r>
      <w:r>
        <w:instrText xml:space="preserve"> HYPERLINK \l "_Toc131060535" </w:instrText>
      </w:r>
      <w:r>
        <w:fldChar w:fldCharType="separate"/>
      </w:r>
      <w:r>
        <w:rPr>
          <w:rStyle w:val="41"/>
          <w:color w:val="auto"/>
          <w:u w:val="none"/>
        </w:rPr>
        <w:t>10.3  Groundwater control</w:t>
      </w:r>
      <w:r>
        <w:tab/>
      </w:r>
      <w:r>
        <w:t>52</w:t>
      </w:r>
      <w:r>
        <w:fldChar w:fldCharType="end"/>
      </w:r>
    </w:p>
    <w:p w14:paraId="56878327">
      <w:pPr>
        <w:pStyle w:val="15"/>
        <w:spacing w:line="240" w:lineRule="auto"/>
        <w:jc w:val="center"/>
        <w:rPr>
          <w:szCs w:val="22"/>
        </w:rPr>
      </w:pPr>
      <w:r>
        <w:fldChar w:fldCharType="begin"/>
      </w:r>
      <w:r>
        <w:instrText xml:space="preserve"> HYPERLINK \l "_Toc131060536" </w:instrText>
      </w:r>
      <w:r>
        <w:fldChar w:fldCharType="separate"/>
      </w:r>
      <w:r>
        <w:rPr>
          <w:rStyle w:val="41"/>
          <w:color w:val="auto"/>
          <w:u w:val="none"/>
        </w:rPr>
        <w:t>10.4  Seal off and backfill</w:t>
      </w:r>
      <w:r>
        <w:tab/>
      </w:r>
      <w:r>
        <w:t>52</w:t>
      </w:r>
      <w:r>
        <w:fldChar w:fldCharType="end"/>
      </w:r>
    </w:p>
    <w:p w14:paraId="504A8F3C">
      <w:pPr>
        <w:pStyle w:val="28"/>
        <w:jc w:val="center"/>
        <w:rPr>
          <w:szCs w:val="22"/>
        </w:rPr>
      </w:pPr>
      <w:r>
        <w:fldChar w:fldCharType="begin"/>
      </w:r>
      <w:r>
        <w:instrText xml:space="preserve"> HYPERLINK \l "_Toc131060537" </w:instrText>
      </w:r>
      <w:r>
        <w:fldChar w:fldCharType="separate"/>
      </w:r>
      <w:r>
        <w:rPr>
          <w:rStyle w:val="41"/>
          <w:color w:val="auto"/>
          <w:u w:val="none"/>
        </w:rPr>
        <w:t>11  Monitoring</w:t>
      </w:r>
      <w:r>
        <w:tab/>
      </w:r>
      <w:r>
        <w:t>53</w:t>
      </w:r>
      <w:r>
        <w:fldChar w:fldCharType="end"/>
      </w:r>
    </w:p>
    <w:p w14:paraId="39C965A5">
      <w:pPr>
        <w:pStyle w:val="15"/>
        <w:spacing w:line="240" w:lineRule="auto"/>
        <w:jc w:val="center"/>
        <w:rPr>
          <w:szCs w:val="22"/>
        </w:rPr>
      </w:pPr>
      <w:r>
        <w:fldChar w:fldCharType="begin"/>
      </w:r>
      <w:r>
        <w:instrText xml:space="preserve"> HYPERLINK \l "_Toc131060538" </w:instrText>
      </w:r>
      <w:r>
        <w:fldChar w:fldCharType="separate"/>
      </w:r>
      <w:r>
        <w:rPr>
          <w:rStyle w:val="41"/>
          <w:color w:val="auto"/>
          <w:u w:val="none"/>
        </w:rPr>
        <w:t>11.1  General requierments</w:t>
      </w:r>
      <w:r>
        <w:tab/>
      </w:r>
      <w:r>
        <w:t>53</w:t>
      </w:r>
      <w:r>
        <w:fldChar w:fldCharType="end"/>
      </w:r>
    </w:p>
    <w:p w14:paraId="4827491E">
      <w:pPr>
        <w:pStyle w:val="15"/>
        <w:spacing w:line="240" w:lineRule="auto"/>
        <w:jc w:val="center"/>
        <w:rPr>
          <w:szCs w:val="22"/>
        </w:rPr>
      </w:pPr>
      <w:r>
        <w:fldChar w:fldCharType="begin"/>
      </w:r>
      <w:r>
        <w:instrText xml:space="preserve"> HYPERLINK \l "_Toc131060539" </w:instrText>
      </w:r>
      <w:r>
        <w:fldChar w:fldCharType="separate"/>
      </w:r>
      <w:r>
        <w:rPr>
          <w:rStyle w:val="41"/>
          <w:color w:val="auto"/>
          <w:u w:val="none"/>
        </w:rPr>
        <w:t>11.2  Monitoring items</w:t>
      </w:r>
      <w:r>
        <w:tab/>
      </w:r>
      <w:r>
        <w:t>53</w:t>
      </w:r>
      <w:r>
        <w:fldChar w:fldCharType="end"/>
      </w:r>
    </w:p>
    <w:p w14:paraId="19C8A47B">
      <w:pPr>
        <w:pStyle w:val="15"/>
        <w:spacing w:line="240" w:lineRule="auto"/>
        <w:jc w:val="center"/>
        <w:rPr>
          <w:szCs w:val="22"/>
        </w:rPr>
      </w:pPr>
      <w:r>
        <w:fldChar w:fldCharType="begin"/>
      </w:r>
      <w:r>
        <w:instrText xml:space="preserve"> HYPERLINK \l "_Toc131060540" </w:instrText>
      </w:r>
      <w:r>
        <w:fldChar w:fldCharType="separate"/>
      </w:r>
      <w:r>
        <w:rPr>
          <w:rStyle w:val="41"/>
          <w:color w:val="auto"/>
          <w:u w:val="none"/>
        </w:rPr>
        <w:t>11.3  Inspectin and examination</w:t>
      </w:r>
      <w:r>
        <w:tab/>
      </w:r>
      <w:r>
        <w:t>53</w:t>
      </w:r>
      <w:r>
        <w:fldChar w:fldCharType="end"/>
      </w:r>
    </w:p>
    <w:p w14:paraId="77CA9DE4">
      <w:pPr>
        <w:pStyle w:val="15"/>
        <w:spacing w:line="240" w:lineRule="auto"/>
        <w:jc w:val="center"/>
        <w:rPr>
          <w:szCs w:val="22"/>
        </w:rPr>
      </w:pPr>
      <w:r>
        <w:fldChar w:fldCharType="begin"/>
      </w:r>
      <w:r>
        <w:instrText xml:space="preserve"> HYPERLINK \l "_Toc131060541" </w:instrText>
      </w:r>
      <w:r>
        <w:fldChar w:fldCharType="separate"/>
      </w:r>
      <w:r>
        <w:rPr>
          <w:rStyle w:val="41"/>
          <w:color w:val="auto"/>
          <w:u w:val="none"/>
        </w:rPr>
        <w:t>11.4  Arrangement of monitoring point</w:t>
      </w:r>
      <w:r>
        <w:tab/>
      </w:r>
      <w:r>
        <w:t>54</w:t>
      </w:r>
      <w:r>
        <w:fldChar w:fldCharType="end"/>
      </w:r>
    </w:p>
    <w:p w14:paraId="5B4F3E32">
      <w:pPr>
        <w:pStyle w:val="15"/>
        <w:spacing w:line="240" w:lineRule="auto"/>
        <w:jc w:val="center"/>
        <w:rPr>
          <w:szCs w:val="22"/>
        </w:rPr>
      </w:pPr>
      <w:r>
        <w:fldChar w:fldCharType="begin"/>
      </w:r>
      <w:r>
        <w:instrText xml:space="preserve"> HYPERLINK \l "_Toc131060542" </w:instrText>
      </w:r>
      <w:r>
        <w:fldChar w:fldCharType="separate"/>
      </w:r>
      <w:r>
        <w:rPr>
          <w:rStyle w:val="41"/>
          <w:color w:val="auto"/>
          <w:u w:val="none"/>
        </w:rPr>
        <w:t>11.5  Frequency of monitoring</w:t>
      </w:r>
      <w:r>
        <w:tab/>
      </w:r>
      <w:r>
        <w:t>55</w:t>
      </w:r>
      <w:r>
        <w:fldChar w:fldCharType="end"/>
      </w:r>
    </w:p>
    <w:p w14:paraId="519937D0">
      <w:pPr>
        <w:pStyle w:val="15"/>
        <w:spacing w:line="240" w:lineRule="auto"/>
        <w:jc w:val="center"/>
        <w:rPr>
          <w:szCs w:val="22"/>
        </w:rPr>
      </w:pPr>
      <w:r>
        <w:fldChar w:fldCharType="begin"/>
      </w:r>
      <w:r>
        <w:instrText xml:space="preserve"> HYPERLINK \l "_Toc131060543" </w:instrText>
      </w:r>
      <w:r>
        <w:fldChar w:fldCharType="separate"/>
      </w:r>
      <w:r>
        <w:rPr>
          <w:rStyle w:val="41"/>
          <w:color w:val="auto"/>
          <w:u w:val="none"/>
        </w:rPr>
        <w:t>11.6  Alarming on monitoring</w:t>
      </w:r>
      <w:r>
        <w:tab/>
      </w:r>
      <w:r>
        <w:t>56</w:t>
      </w:r>
      <w:r>
        <w:fldChar w:fldCharType="end"/>
      </w:r>
    </w:p>
    <w:p w14:paraId="336FF587">
      <w:pPr>
        <w:pStyle w:val="15"/>
        <w:spacing w:line="240" w:lineRule="auto"/>
        <w:jc w:val="center"/>
      </w:pPr>
      <w:r>
        <w:fldChar w:fldCharType="begin"/>
      </w:r>
      <w:r>
        <w:instrText xml:space="preserve"> HYPERLINK \l "_Toc131060544" </w:instrText>
      </w:r>
      <w:r>
        <w:fldChar w:fldCharType="separate"/>
      </w:r>
      <w:r>
        <w:rPr>
          <w:rStyle w:val="41"/>
          <w:color w:val="auto"/>
          <w:u w:val="none"/>
        </w:rPr>
        <w:t>11.7  Result of monitoring</w:t>
      </w:r>
      <w:r>
        <w:tab/>
      </w:r>
      <w:r>
        <w:t>57</w:t>
      </w:r>
      <w:r>
        <w:fldChar w:fldCharType="end"/>
      </w:r>
    </w:p>
    <w:p w14:paraId="6BC939A0">
      <w:pPr>
        <w:pStyle w:val="28"/>
        <w:jc w:val="center"/>
        <w:rPr>
          <w:szCs w:val="22"/>
        </w:rPr>
      </w:pPr>
      <w:r>
        <w:fldChar w:fldCharType="begin"/>
      </w:r>
      <w:r>
        <w:instrText xml:space="preserve"> HYPERLINK \l "_Toc131060545" </w:instrText>
      </w:r>
      <w:r>
        <w:fldChar w:fldCharType="separate"/>
      </w:r>
      <w:r>
        <w:rPr>
          <w:rStyle w:val="41"/>
          <w:color w:val="auto"/>
          <w:u w:val="none"/>
        </w:rPr>
        <w:t xml:space="preserve">12  </w:t>
      </w:r>
      <w:r>
        <w:rPr>
          <w:rStyle w:val="41"/>
          <w:rFonts w:hint="eastAsia"/>
          <w:color w:val="auto"/>
          <w:u w:val="none"/>
        </w:rPr>
        <w:t>C</w:t>
      </w:r>
      <w:r>
        <w:rPr>
          <w:rStyle w:val="41"/>
          <w:color w:val="auto"/>
          <w:u w:val="none"/>
        </w:rPr>
        <w:t>arbon emission calculation</w:t>
      </w:r>
      <w:r>
        <w:tab/>
      </w:r>
      <w:r>
        <w:t>59</w:t>
      </w:r>
      <w:r>
        <w:fldChar w:fldCharType="end"/>
      </w:r>
    </w:p>
    <w:p w14:paraId="3EC44829">
      <w:pPr>
        <w:pStyle w:val="15"/>
        <w:spacing w:line="240" w:lineRule="auto"/>
        <w:jc w:val="center"/>
        <w:rPr>
          <w:szCs w:val="22"/>
        </w:rPr>
      </w:pPr>
      <w:r>
        <w:fldChar w:fldCharType="begin"/>
      </w:r>
      <w:r>
        <w:instrText xml:space="preserve"> HYPERLINK \l "_Toc131060546" </w:instrText>
      </w:r>
      <w:r>
        <w:fldChar w:fldCharType="separate"/>
      </w:r>
      <w:r>
        <w:rPr>
          <w:rStyle w:val="41"/>
          <w:color w:val="auto"/>
          <w:u w:val="none"/>
        </w:rPr>
        <w:t>12.1  General requierments</w:t>
      </w:r>
      <w:r>
        <w:tab/>
      </w:r>
      <w:r>
        <w:t>59</w:t>
      </w:r>
      <w:r>
        <w:fldChar w:fldCharType="end"/>
      </w:r>
    </w:p>
    <w:p w14:paraId="6A0F1395">
      <w:pPr>
        <w:pStyle w:val="15"/>
        <w:spacing w:line="240" w:lineRule="auto"/>
        <w:jc w:val="center"/>
      </w:pPr>
      <w:r>
        <w:fldChar w:fldCharType="begin"/>
      </w:r>
      <w:r>
        <w:instrText xml:space="preserve"> HYPERLINK \l "_Toc131060547" </w:instrText>
      </w:r>
      <w:r>
        <w:fldChar w:fldCharType="separate"/>
      </w:r>
      <w:r>
        <w:rPr>
          <w:rStyle w:val="41"/>
          <w:color w:val="auto"/>
          <w:u w:val="none"/>
        </w:rPr>
        <w:t>12.2  Excavation engineering</w:t>
      </w:r>
      <w:r>
        <w:rPr>
          <w:rStyle w:val="41"/>
          <w:rFonts w:hint="eastAsia"/>
          <w:color w:val="auto"/>
          <w:u w:val="none"/>
        </w:rPr>
        <w:t xml:space="preserve"> </w:t>
      </w:r>
      <w:r>
        <w:rPr>
          <w:rStyle w:val="41"/>
          <w:color w:val="auto"/>
          <w:u w:val="none"/>
        </w:rPr>
        <w:t>carbon emission calculation</w:t>
      </w:r>
      <w:r>
        <w:rPr>
          <w:rStyle w:val="41"/>
          <w:color w:val="auto"/>
          <w:u w:val="none"/>
        </w:rPr>
        <w:tab/>
      </w:r>
      <w:r>
        <w:rPr>
          <w:rStyle w:val="41"/>
          <w:color w:val="auto"/>
          <w:u w:val="none"/>
        </w:rPr>
        <w:t>59</w:t>
      </w:r>
      <w:r>
        <w:rPr>
          <w:rStyle w:val="41"/>
          <w:color w:val="auto"/>
          <w:u w:val="none"/>
        </w:rPr>
        <w:fldChar w:fldCharType="end"/>
      </w:r>
    </w:p>
    <w:p w14:paraId="2EEF5C29">
      <w:pPr>
        <w:pStyle w:val="28"/>
        <w:jc w:val="center"/>
      </w:pPr>
      <w:r>
        <w:fldChar w:fldCharType="begin"/>
      </w:r>
      <w:r>
        <w:instrText xml:space="preserve"> HYPERLINK \l "_Toc131060569" </w:instrText>
      </w:r>
      <w:r>
        <w:fldChar w:fldCharType="separate"/>
      </w:r>
      <w:r>
        <w:t xml:space="preserve"> </w:t>
      </w:r>
      <w:r>
        <w:rPr>
          <w:rFonts w:hint="eastAsia"/>
        </w:rPr>
        <w:t xml:space="preserve">    </w:t>
      </w:r>
      <w:r>
        <w:rPr>
          <w:rStyle w:val="41"/>
          <w:color w:val="auto"/>
          <w:u w:val="none"/>
        </w:rPr>
        <w:t>Appendix A  Contents of design documents on foundation</w:t>
      </w:r>
      <w:r>
        <w:rPr>
          <w:rStyle w:val="41"/>
          <w:rFonts w:hint="eastAsia"/>
          <w:color w:val="auto"/>
          <w:u w:val="none"/>
        </w:rPr>
        <w:t xml:space="preserve"> </w:t>
      </w:r>
      <w:r>
        <w:rPr>
          <w:rStyle w:val="41"/>
          <w:color w:val="auto"/>
          <w:u w:val="none"/>
        </w:rPr>
        <w:t>excavations</w:t>
      </w:r>
      <w:r>
        <w:tab/>
      </w:r>
      <w:r>
        <w:t>60</w:t>
      </w:r>
      <w:r>
        <w:fldChar w:fldCharType="end"/>
      </w:r>
    </w:p>
    <w:p w14:paraId="4EE4B10F">
      <w:pPr>
        <w:pStyle w:val="28"/>
        <w:jc w:val="center"/>
      </w:pPr>
      <w:r>
        <w:rPr>
          <w:rFonts w:hint="eastAsia"/>
        </w:rPr>
        <w:t xml:space="preserve">    </w:t>
      </w:r>
      <w:r>
        <w:fldChar w:fldCharType="begin"/>
      </w:r>
      <w:r>
        <w:instrText xml:space="preserve"> HYPERLINK \l "_Toc131060573" </w:instrText>
      </w:r>
      <w:r>
        <w:fldChar w:fldCharType="separate"/>
      </w:r>
      <w:r>
        <w:t xml:space="preserve"> </w:t>
      </w:r>
      <w:r>
        <w:rPr>
          <w:rStyle w:val="41"/>
          <w:color w:val="auto"/>
          <w:u w:val="none"/>
        </w:rPr>
        <w:t>Appendix B  Calculation on seepage stability</w:t>
      </w:r>
      <w:r>
        <w:tab/>
      </w:r>
      <w:r>
        <w:t>63</w:t>
      </w:r>
      <w:r>
        <w:fldChar w:fldCharType="end"/>
      </w:r>
    </w:p>
    <w:p w14:paraId="7AC0C26D">
      <w:pPr>
        <w:pStyle w:val="28"/>
        <w:jc w:val="center"/>
        <w:rPr>
          <w:sz w:val="22"/>
        </w:rPr>
      </w:pPr>
      <w:r>
        <w:rPr>
          <w:rFonts w:hint="eastAsia"/>
        </w:rPr>
        <w:t xml:space="preserve"> </w:t>
      </w:r>
      <w:r>
        <w:fldChar w:fldCharType="begin"/>
      </w:r>
      <w:r>
        <w:instrText xml:space="preserve"> HYPERLINK \l "_Toc131060572" </w:instrText>
      </w:r>
      <w:r>
        <w:fldChar w:fldCharType="separate"/>
      </w:r>
      <w:r>
        <w:t xml:space="preserve"> </w:t>
      </w:r>
      <w:r>
        <w:rPr>
          <w:rStyle w:val="41"/>
          <w:color w:val="auto"/>
          <w:u w:val="none"/>
        </w:rPr>
        <w:t xml:space="preserve">Appendix C  </w:t>
      </w:r>
      <w:r>
        <w:rPr>
          <w:sz w:val="22"/>
        </w:rPr>
        <w:t>Reference form for selection of anchored steel waling considered as simply</w:t>
      </w:r>
    </w:p>
    <w:p w14:paraId="4A4ED5EE">
      <w:pPr>
        <w:pStyle w:val="28"/>
        <w:ind w:left="440" w:hanging="440"/>
        <w:jc w:val="center"/>
        <w:rPr>
          <w:szCs w:val="22"/>
        </w:rPr>
      </w:pPr>
      <w:r>
        <w:rPr>
          <w:sz w:val="22"/>
        </w:rPr>
        <w:t xml:space="preserve"> supported beam</w:t>
      </w:r>
      <w:r>
        <w:tab/>
      </w:r>
      <w:r>
        <w:t>65</w:t>
      </w:r>
      <w:r>
        <w:fldChar w:fldCharType="end"/>
      </w:r>
    </w:p>
    <w:p w14:paraId="7D1F9403">
      <w:pPr>
        <w:pStyle w:val="28"/>
        <w:ind w:left="0" w:firstLine="0" w:firstLineChars="0"/>
        <w:jc w:val="center"/>
      </w:pPr>
      <w:r>
        <w:rPr>
          <w:rStyle w:val="41"/>
          <w:color w:val="auto"/>
          <w:u w:val="none"/>
        </w:rPr>
        <w:t xml:space="preserve"> </w:t>
      </w:r>
      <w:r>
        <w:rPr>
          <w:rStyle w:val="41"/>
          <w:rFonts w:hint="eastAsia"/>
          <w:color w:val="auto"/>
          <w:u w:val="none"/>
        </w:rPr>
        <w:t xml:space="preserve"> </w:t>
      </w:r>
      <w:r>
        <w:rPr>
          <w:rStyle w:val="41"/>
          <w:color w:val="auto"/>
          <w:u w:val="none"/>
        </w:rPr>
        <w:t xml:space="preserve">   Appendix D  </w:t>
      </w:r>
      <w:r>
        <w:rPr>
          <w:sz w:val="22"/>
        </w:rPr>
        <w:t>Carbon emissions per unit of engineering quantity</w:t>
      </w:r>
      <w:r>
        <w:tab/>
      </w:r>
      <w:r>
        <w:t>66</w:t>
      </w:r>
    </w:p>
    <w:p w14:paraId="5A344E8D">
      <w:pPr>
        <w:pStyle w:val="28"/>
        <w:jc w:val="center"/>
        <w:rPr>
          <w:szCs w:val="22"/>
        </w:rPr>
      </w:pPr>
      <w:r>
        <w:fldChar w:fldCharType="begin"/>
      </w:r>
      <w:r>
        <w:instrText xml:space="preserve"> HYPERLINK \l "_Toc131060571" </w:instrText>
      </w:r>
      <w:r>
        <w:fldChar w:fldCharType="separate"/>
      </w:r>
      <w:r>
        <w:t xml:space="preserve"> </w:t>
      </w:r>
      <w:r>
        <w:rPr>
          <w:rFonts w:hint="eastAsia"/>
        </w:rPr>
        <w:t xml:space="preserve">    </w:t>
      </w:r>
      <w:r>
        <w:rPr>
          <w:rStyle w:val="41"/>
          <w:color w:val="auto"/>
          <w:u w:val="none"/>
        </w:rPr>
        <w:t>Appendix E  Carbon emission factor</w:t>
      </w:r>
      <w:r>
        <w:tab/>
      </w:r>
      <w:r>
        <w:t>76</w:t>
      </w:r>
      <w:r>
        <w:fldChar w:fldCharType="end"/>
      </w:r>
    </w:p>
    <w:p w14:paraId="1941DA14">
      <w:pPr>
        <w:pStyle w:val="28"/>
        <w:jc w:val="center"/>
        <w:rPr>
          <w:szCs w:val="22"/>
        </w:rPr>
      </w:pPr>
      <w:r>
        <w:fldChar w:fldCharType="begin"/>
      </w:r>
      <w:r>
        <w:instrText xml:space="preserve"> HYPERLINK \l "_Toc131060574" </w:instrText>
      </w:r>
      <w:r>
        <w:fldChar w:fldCharType="separate"/>
      </w:r>
      <w:r>
        <w:rPr>
          <w:sz w:val="20"/>
          <w:szCs w:val="20"/>
        </w:rPr>
        <w:t>Explanation of wording in this s</w:t>
      </w:r>
      <w:r>
        <w:rPr>
          <w:rFonts w:hint="eastAsia"/>
          <w:sz w:val="20"/>
          <w:szCs w:val="20"/>
        </w:rPr>
        <w:t>tandard</w:t>
      </w:r>
      <w:r>
        <w:tab/>
      </w:r>
      <w:r>
        <w:t>78</w:t>
      </w:r>
      <w:r>
        <w:fldChar w:fldCharType="end"/>
      </w:r>
    </w:p>
    <w:p w14:paraId="4CEF7E6B">
      <w:pPr>
        <w:pStyle w:val="28"/>
        <w:jc w:val="center"/>
        <w:rPr>
          <w:szCs w:val="22"/>
        </w:rPr>
      </w:pPr>
      <w:r>
        <w:rPr>
          <w:rStyle w:val="41"/>
          <w:color w:val="auto"/>
          <w:u w:val="none"/>
        </w:rPr>
        <w:t xml:space="preserve">List of quoted standards </w:t>
      </w:r>
      <w:r>
        <w:fldChar w:fldCharType="begin"/>
      </w:r>
      <w:r>
        <w:instrText xml:space="preserve"> HYPERLINK \l "_Toc131060575" </w:instrText>
      </w:r>
      <w:r>
        <w:fldChar w:fldCharType="separate"/>
      </w:r>
      <w:r>
        <w:tab/>
      </w:r>
      <w:r>
        <w:t>79</w:t>
      </w:r>
      <w:r>
        <w:fldChar w:fldCharType="end"/>
      </w:r>
    </w:p>
    <w:p w14:paraId="7F4412E5">
      <w:pPr>
        <w:pStyle w:val="23"/>
        <w:jc w:val="center"/>
        <w:rPr>
          <w:szCs w:val="22"/>
        </w:rPr>
      </w:pPr>
      <w:r>
        <w:fldChar w:fldCharType="begin"/>
      </w:r>
      <w:r>
        <w:instrText xml:space="preserve"> HYPERLINK \l "_Toc131060577" </w:instrText>
      </w:r>
      <w:r>
        <w:fldChar w:fldCharType="separate"/>
      </w:r>
      <w:r>
        <w:rPr>
          <w:rStyle w:val="41"/>
          <w:rFonts w:hint="eastAsia"/>
          <w:color w:val="auto"/>
          <w:kern w:val="0"/>
          <w:u w:val="none"/>
        </w:rPr>
        <w:t>Addition：Explanation of provisions</w:t>
      </w:r>
      <w:r>
        <w:tab/>
      </w:r>
      <w:r>
        <w:t>80</w:t>
      </w:r>
      <w:r>
        <w:fldChar w:fldCharType="end"/>
      </w:r>
    </w:p>
    <w:p w14:paraId="61C8B3F0">
      <w:pPr>
        <w:widowControl/>
        <w:jc w:val="left"/>
        <w:rPr>
          <w:rFonts w:eastAsia="黑体"/>
          <w:b/>
          <w:bCs/>
          <w:sz w:val="26"/>
          <w:szCs w:val="26"/>
        </w:rPr>
      </w:pPr>
      <w:r>
        <w:rPr>
          <w:rFonts w:eastAsia="黑体"/>
          <w:sz w:val="26"/>
          <w:szCs w:val="26"/>
        </w:rPr>
        <w:br w:type="page"/>
      </w:r>
    </w:p>
    <w:p w14:paraId="569BDC6A">
      <w:pPr>
        <w:pStyle w:val="32"/>
        <w:snapToGrid w:val="0"/>
        <w:spacing w:before="120" w:beforeLines="50" w:after="240" w:afterLines="100" w:line="288" w:lineRule="auto"/>
        <w:rPr>
          <w:rFonts w:ascii="Times New Roman" w:hAnsi="Times New Roman" w:eastAsia="黑体" w:cs="Times New Roman"/>
          <w:sz w:val="26"/>
          <w:szCs w:val="26"/>
          <w:highlight w:val="yellow"/>
        </w:rPr>
        <w:sectPr>
          <w:headerReference r:id="rId3" w:type="default"/>
          <w:footerReference r:id="rId5" w:type="default"/>
          <w:headerReference r:id="rId4" w:type="even"/>
          <w:footerReference r:id="rId6" w:type="even"/>
          <w:pgSz w:w="11906" w:h="16838"/>
          <w:pgMar w:top="1361" w:right="1021" w:bottom="1134" w:left="1021" w:header="1021" w:footer="964" w:gutter="0"/>
          <w:cols w:space="425" w:num="1"/>
          <w:docGrid w:linePitch="312" w:charSpace="0"/>
        </w:sectPr>
      </w:pPr>
    </w:p>
    <w:p w14:paraId="6E2AF264">
      <w:pPr>
        <w:pStyle w:val="5"/>
        <w:keepNext w:val="0"/>
        <w:keepLines w:val="0"/>
        <w:adjustRightInd w:val="0"/>
        <w:snapToGrid w:val="0"/>
        <w:spacing w:before="156" w:beforeLines="50" w:after="312" w:afterLines="100" w:line="288" w:lineRule="auto"/>
        <w:jc w:val="center"/>
        <w:rPr>
          <w:rFonts w:ascii="Times New Roman" w:hAnsi="Times New Roman"/>
          <w:sz w:val="26"/>
          <w:szCs w:val="26"/>
        </w:rPr>
      </w:pPr>
      <w:bookmarkStart w:id="8" w:name="_Toc139613702"/>
      <w:r>
        <w:rPr>
          <w:rFonts w:ascii="Times New Roman" w:hAnsi="Times New Roman"/>
          <w:sz w:val="26"/>
          <w:szCs w:val="26"/>
        </w:rPr>
        <w:t>1  总</w:t>
      </w:r>
      <w:r>
        <w:rPr>
          <w:rFonts w:hint="eastAsia" w:ascii="Times New Roman" w:hAnsi="Times New Roman"/>
          <w:sz w:val="26"/>
          <w:szCs w:val="26"/>
        </w:rPr>
        <w:t xml:space="preserve">    </w:t>
      </w:r>
      <w:r>
        <w:rPr>
          <w:rFonts w:ascii="Times New Roman" w:hAnsi="Times New Roman"/>
          <w:sz w:val="26"/>
          <w:szCs w:val="26"/>
        </w:rPr>
        <w:t>则</w:t>
      </w:r>
      <w:bookmarkEnd w:id="7"/>
      <w:bookmarkEnd w:id="8"/>
      <w:r>
        <w:rPr>
          <w:rFonts w:hint="eastAsia" w:ascii="Times New Roman" w:hAnsi="Times New Roman"/>
          <w:sz w:val="26"/>
          <w:szCs w:val="26"/>
        </w:rPr>
        <w:t xml:space="preserve"> </w:t>
      </w:r>
    </w:p>
    <w:p w14:paraId="617D4EBF">
      <w:pPr>
        <w:adjustRightInd w:val="0"/>
        <w:snapToGrid w:val="0"/>
        <w:spacing w:line="288" w:lineRule="auto"/>
        <w:rPr>
          <w:rFonts w:ascii="宋体" w:hAnsi="宋体"/>
          <w:sz w:val="20"/>
          <w:szCs w:val="20"/>
        </w:rPr>
      </w:pPr>
      <w:r>
        <w:rPr>
          <w:b/>
          <w:sz w:val="20"/>
          <w:szCs w:val="20"/>
        </w:rPr>
        <w:t>1.0.1</w:t>
      </w:r>
      <w:r>
        <w:rPr>
          <w:rFonts w:hint="eastAsia" w:ascii="宋体" w:hAnsi="宋体"/>
          <w:bCs/>
          <w:sz w:val="20"/>
          <w:szCs w:val="20"/>
        </w:rPr>
        <w:t xml:space="preserve">  </w:t>
      </w:r>
      <w:r>
        <w:rPr>
          <w:rFonts w:hint="eastAsia" w:ascii="宋体" w:hAnsi="宋体"/>
          <w:sz w:val="20"/>
          <w:szCs w:val="20"/>
        </w:rPr>
        <w:t>为了规范北京市行政区域内建筑基坑支护的勘察、设计、施工和监测工作，做到安全适用、技术先进、经济合理、低碳环保，制定本规程。</w:t>
      </w:r>
    </w:p>
    <w:p w14:paraId="398B46C7">
      <w:pPr>
        <w:adjustRightInd w:val="0"/>
        <w:snapToGrid w:val="0"/>
        <w:spacing w:line="288" w:lineRule="auto"/>
        <w:rPr>
          <w:rFonts w:ascii="宋体" w:hAnsi="宋体"/>
          <w:sz w:val="20"/>
          <w:szCs w:val="20"/>
        </w:rPr>
      </w:pPr>
      <w:r>
        <w:rPr>
          <w:b/>
          <w:sz w:val="20"/>
          <w:szCs w:val="20"/>
        </w:rPr>
        <w:t>1.0.2</w:t>
      </w:r>
      <w:r>
        <w:rPr>
          <w:rFonts w:hint="eastAsia" w:ascii="宋体" w:hAnsi="宋体"/>
          <w:bCs/>
          <w:sz w:val="20"/>
          <w:szCs w:val="20"/>
        </w:rPr>
        <w:t xml:space="preserve">  </w:t>
      </w:r>
      <w:r>
        <w:rPr>
          <w:rFonts w:hint="eastAsia" w:ascii="宋体" w:hAnsi="宋体"/>
          <w:sz w:val="20"/>
          <w:szCs w:val="20"/>
        </w:rPr>
        <w:t>本规程适用于北京市行政区域内建筑基坑支护的勘察、设计、施工和监测。</w:t>
      </w:r>
    </w:p>
    <w:p w14:paraId="3D063B49">
      <w:pPr>
        <w:adjustRightInd w:val="0"/>
        <w:snapToGrid w:val="0"/>
        <w:spacing w:line="288" w:lineRule="auto"/>
        <w:rPr>
          <w:rFonts w:ascii="宋体" w:hAnsi="宋体"/>
          <w:sz w:val="20"/>
          <w:szCs w:val="20"/>
        </w:rPr>
      </w:pPr>
      <w:r>
        <w:rPr>
          <w:b/>
          <w:sz w:val="20"/>
          <w:szCs w:val="20"/>
        </w:rPr>
        <w:t>1.0.3</w:t>
      </w:r>
      <w:r>
        <w:rPr>
          <w:rFonts w:hint="eastAsia" w:ascii="宋体" w:hAnsi="宋体"/>
          <w:bCs/>
          <w:sz w:val="20"/>
          <w:szCs w:val="20"/>
        </w:rPr>
        <w:t xml:space="preserve">  </w:t>
      </w:r>
      <w:r>
        <w:rPr>
          <w:rFonts w:hint="eastAsia" w:ascii="宋体" w:hAnsi="宋体"/>
          <w:sz w:val="20"/>
          <w:szCs w:val="20"/>
        </w:rPr>
        <w:t>建筑基坑支护设计应综合考虑场地工程地质与水文地质条件、基坑开挖深度、降排水条件、基础类型、周边环境对基坑侧壁变形控制的要求、基坑周边荷载、施工季节及施工条件、支护结构使用期限等因素，做到因地制宜、因时制宜。</w:t>
      </w:r>
    </w:p>
    <w:p w14:paraId="05CFE383">
      <w:pPr>
        <w:adjustRightInd w:val="0"/>
        <w:snapToGrid w:val="0"/>
        <w:spacing w:line="288" w:lineRule="auto"/>
        <w:rPr>
          <w:rFonts w:ascii="宋体" w:hAnsi="宋体"/>
          <w:bCs/>
          <w:sz w:val="20"/>
          <w:szCs w:val="20"/>
        </w:rPr>
      </w:pPr>
      <w:r>
        <w:rPr>
          <w:b/>
          <w:sz w:val="20"/>
          <w:szCs w:val="20"/>
        </w:rPr>
        <w:t xml:space="preserve">1.0.4 </w:t>
      </w:r>
      <w:r>
        <w:rPr>
          <w:rFonts w:hint="eastAsia" w:ascii="宋体" w:hAnsi="宋体"/>
          <w:bCs/>
          <w:sz w:val="20"/>
          <w:szCs w:val="20"/>
        </w:rPr>
        <w:t xml:space="preserve"> </w:t>
      </w:r>
      <w:r>
        <w:rPr>
          <w:rFonts w:hint="eastAsia" w:ascii="宋体" w:hAnsi="宋体"/>
          <w:sz w:val="20"/>
          <w:szCs w:val="20"/>
        </w:rPr>
        <w:t>建筑基坑支护除应符合本规程的规定外，尚应符合国家及北京市现行有关标准的规定。</w:t>
      </w:r>
    </w:p>
    <w:p w14:paraId="7A79A79D">
      <w:pPr>
        <w:pStyle w:val="5"/>
        <w:keepNext w:val="0"/>
        <w:keepLines w:val="0"/>
        <w:adjustRightInd w:val="0"/>
        <w:snapToGrid w:val="0"/>
        <w:spacing w:before="156" w:beforeLines="50" w:after="312" w:afterLines="100" w:line="288" w:lineRule="auto"/>
        <w:jc w:val="center"/>
        <w:rPr>
          <w:rFonts w:ascii="Times New Roman" w:hAnsi="Times New Roman"/>
          <w:b w:val="0"/>
          <w:sz w:val="26"/>
          <w:szCs w:val="26"/>
        </w:rPr>
      </w:pPr>
      <w:r>
        <w:rPr>
          <w:rFonts w:ascii="Times New Roman" w:hAnsi="Times New Roman"/>
          <w:b w:val="0"/>
          <w:bCs w:val="0"/>
          <w:sz w:val="26"/>
          <w:szCs w:val="26"/>
        </w:rPr>
        <w:br w:type="page"/>
      </w:r>
      <w:bookmarkStart w:id="9" w:name="_Toc139613703"/>
      <w:bookmarkStart w:id="10" w:name="_Toc409425789"/>
      <w:bookmarkStart w:id="11" w:name="_Toc468104691"/>
      <w:r>
        <w:rPr>
          <w:rFonts w:ascii="Times New Roman" w:hAnsi="Times New Roman"/>
          <w:sz w:val="26"/>
          <w:szCs w:val="26"/>
        </w:rPr>
        <w:t>2</w:t>
      </w:r>
      <w:r>
        <w:rPr>
          <w:rFonts w:ascii="Times New Roman" w:hAnsi="Times New Roman"/>
          <w:b w:val="0"/>
          <w:sz w:val="26"/>
          <w:szCs w:val="26"/>
        </w:rPr>
        <w:t xml:space="preserve">  术语和符号</w:t>
      </w:r>
      <w:bookmarkEnd w:id="9"/>
    </w:p>
    <w:p w14:paraId="14E51D4F">
      <w:pPr>
        <w:pStyle w:val="7"/>
        <w:keepNext w:val="0"/>
        <w:keepLines w:val="0"/>
        <w:adjustRightInd w:val="0"/>
        <w:snapToGrid w:val="0"/>
        <w:spacing w:before="312" w:beforeLines="100" w:after="312" w:afterLines="100" w:line="288" w:lineRule="auto"/>
        <w:jc w:val="center"/>
        <w:rPr>
          <w:rFonts w:eastAsia="黑体"/>
          <w:b w:val="0"/>
          <w:sz w:val="20"/>
          <w:szCs w:val="20"/>
        </w:rPr>
      </w:pPr>
      <w:bookmarkStart w:id="12" w:name="_Toc139613704"/>
      <w:r>
        <w:rPr>
          <w:rFonts w:eastAsia="黑体"/>
          <w:sz w:val="20"/>
          <w:szCs w:val="20"/>
        </w:rPr>
        <w:t>2.1</w:t>
      </w:r>
      <w:r>
        <w:rPr>
          <w:rFonts w:hint="eastAsia" w:eastAsia="黑体"/>
          <w:sz w:val="20"/>
          <w:szCs w:val="20"/>
        </w:rPr>
        <w:t xml:space="preserve">  </w:t>
      </w:r>
      <w:r>
        <w:rPr>
          <w:rFonts w:eastAsia="黑体"/>
          <w:b w:val="0"/>
          <w:sz w:val="20"/>
          <w:szCs w:val="20"/>
        </w:rPr>
        <w:t>术</w:t>
      </w:r>
      <w:r>
        <w:rPr>
          <w:rFonts w:hint="eastAsia" w:eastAsia="黑体"/>
          <w:b w:val="0"/>
          <w:sz w:val="20"/>
          <w:szCs w:val="20"/>
        </w:rPr>
        <w:t xml:space="preserve">    </w:t>
      </w:r>
      <w:r>
        <w:rPr>
          <w:rFonts w:eastAsia="黑体"/>
          <w:b w:val="0"/>
          <w:sz w:val="20"/>
          <w:szCs w:val="20"/>
        </w:rPr>
        <w:t>语</w:t>
      </w:r>
      <w:bookmarkEnd w:id="12"/>
    </w:p>
    <w:p w14:paraId="089A624D">
      <w:pPr>
        <w:adjustRightInd w:val="0"/>
        <w:snapToGrid w:val="0"/>
        <w:spacing w:line="288" w:lineRule="auto"/>
        <w:rPr>
          <w:rFonts w:ascii="宋体" w:hAnsi="宋体"/>
          <w:sz w:val="20"/>
          <w:szCs w:val="20"/>
        </w:rPr>
      </w:pPr>
      <w:r>
        <w:rPr>
          <w:b/>
          <w:sz w:val="20"/>
          <w:szCs w:val="20"/>
        </w:rPr>
        <w:t>2.1.</w:t>
      </w:r>
      <w:r>
        <w:rPr>
          <w:rFonts w:hint="eastAsia"/>
          <w:b/>
          <w:sz w:val="20"/>
          <w:szCs w:val="20"/>
        </w:rPr>
        <w:t>1</w:t>
      </w:r>
      <w:r>
        <w:rPr>
          <w:rFonts w:hint="eastAsia"/>
          <w:b/>
          <w:bCs/>
          <w:kern w:val="0"/>
          <w:sz w:val="20"/>
          <w:szCs w:val="20"/>
        </w:rPr>
        <w:t xml:space="preserve">  </w:t>
      </w:r>
      <w:r>
        <w:rPr>
          <w:rFonts w:hint="eastAsia" w:ascii="宋体" w:hAnsi="宋体"/>
          <w:sz w:val="20"/>
          <w:szCs w:val="20"/>
        </w:rPr>
        <w:t xml:space="preserve">建筑基坑  </w:t>
      </w:r>
      <w:r>
        <w:rPr>
          <w:sz w:val="20"/>
          <w:szCs w:val="20"/>
        </w:rPr>
        <w:t>building foundation excavations</w:t>
      </w:r>
    </w:p>
    <w:p w14:paraId="62DFF8F0">
      <w:pPr>
        <w:adjustRightInd w:val="0"/>
        <w:snapToGrid w:val="0"/>
        <w:spacing w:line="288" w:lineRule="auto"/>
        <w:ind w:firstLine="400" w:firstLineChars="200"/>
        <w:rPr>
          <w:rFonts w:ascii="宋体" w:hAnsi="宋体"/>
          <w:sz w:val="20"/>
          <w:szCs w:val="20"/>
        </w:rPr>
      </w:pPr>
      <w:r>
        <w:rPr>
          <w:rFonts w:hint="eastAsia" w:ascii="宋体" w:hAnsi="宋体"/>
          <w:sz w:val="20"/>
          <w:szCs w:val="20"/>
        </w:rPr>
        <w:t>为进行建筑物（包括构筑物）地下部分的施工所开挖的地面以下空间。</w:t>
      </w:r>
    </w:p>
    <w:p w14:paraId="70798459">
      <w:pPr>
        <w:adjustRightInd w:val="0"/>
        <w:snapToGrid w:val="0"/>
        <w:spacing w:line="288" w:lineRule="auto"/>
        <w:rPr>
          <w:sz w:val="20"/>
          <w:szCs w:val="20"/>
        </w:rPr>
      </w:pPr>
      <w:r>
        <w:rPr>
          <w:b/>
          <w:sz w:val="20"/>
          <w:szCs w:val="20"/>
        </w:rPr>
        <w:t>2.1.2</w:t>
      </w:r>
      <w:r>
        <w:rPr>
          <w:rFonts w:ascii="宋体" w:hAnsi="宋体"/>
          <w:bCs/>
          <w:sz w:val="20"/>
          <w:szCs w:val="20"/>
        </w:rPr>
        <w:t xml:space="preserve">  </w:t>
      </w:r>
      <w:r>
        <w:rPr>
          <w:rFonts w:hint="eastAsia" w:ascii="宋体" w:hAnsi="宋体"/>
          <w:sz w:val="20"/>
          <w:szCs w:val="20"/>
        </w:rPr>
        <w:t xml:space="preserve">基坑支护  </w:t>
      </w:r>
      <w:r>
        <w:rPr>
          <w:sz w:val="20"/>
          <w:szCs w:val="20"/>
        </w:rPr>
        <w:t>retaining and protecting for foundation excavation</w:t>
      </w:r>
      <w:r>
        <w:rPr>
          <w:rFonts w:hint="eastAsia"/>
          <w:sz w:val="20"/>
          <w:szCs w:val="20"/>
        </w:rPr>
        <w:t>s</w:t>
      </w:r>
    </w:p>
    <w:p w14:paraId="4A0169C3">
      <w:pPr>
        <w:adjustRightInd w:val="0"/>
        <w:snapToGrid w:val="0"/>
        <w:spacing w:line="288" w:lineRule="auto"/>
        <w:ind w:firstLine="400" w:firstLineChars="200"/>
        <w:rPr>
          <w:rFonts w:ascii="宋体" w:hAnsi="宋体"/>
          <w:sz w:val="20"/>
          <w:szCs w:val="20"/>
        </w:rPr>
      </w:pPr>
      <w:r>
        <w:rPr>
          <w:rFonts w:hint="eastAsia" w:ascii="宋体" w:hAnsi="宋体"/>
          <w:sz w:val="20"/>
          <w:szCs w:val="20"/>
        </w:rPr>
        <w:t>为保证地下结构施工及基坑周边环境的安全，对基坑侧壁及周边环境采用的支挡、加固与保护措施。</w:t>
      </w:r>
    </w:p>
    <w:p w14:paraId="76A534FD">
      <w:pPr>
        <w:adjustRightInd w:val="0"/>
        <w:snapToGrid w:val="0"/>
        <w:spacing w:line="288" w:lineRule="auto"/>
        <w:rPr>
          <w:rFonts w:ascii="宋体" w:hAnsi="宋体"/>
          <w:sz w:val="20"/>
          <w:szCs w:val="20"/>
        </w:rPr>
      </w:pPr>
      <w:r>
        <w:rPr>
          <w:b/>
          <w:sz w:val="20"/>
          <w:szCs w:val="20"/>
        </w:rPr>
        <w:t xml:space="preserve">2.1.3  </w:t>
      </w:r>
      <w:r>
        <w:rPr>
          <w:rFonts w:hint="eastAsia" w:ascii="宋体" w:hAnsi="宋体"/>
          <w:sz w:val="20"/>
          <w:szCs w:val="20"/>
        </w:rPr>
        <w:t>基坑工程   excavation engineering</w:t>
      </w:r>
    </w:p>
    <w:p w14:paraId="7DA1953D">
      <w:pPr>
        <w:adjustRightInd w:val="0"/>
        <w:snapToGrid w:val="0"/>
        <w:spacing w:line="288" w:lineRule="auto"/>
        <w:ind w:firstLine="400" w:firstLineChars="200"/>
        <w:rPr>
          <w:rFonts w:ascii="宋体" w:hAnsi="宋体"/>
          <w:sz w:val="20"/>
          <w:szCs w:val="20"/>
        </w:rPr>
      </w:pPr>
      <w:r>
        <w:rPr>
          <w:rFonts w:hint="eastAsia" w:ascii="宋体" w:hAnsi="宋体"/>
          <w:sz w:val="20"/>
          <w:szCs w:val="20"/>
        </w:rPr>
        <w:t>为保证地面向下开挖形成的地下空间的安全稳定而实施的支挡、地下水控制、土方开挖、检测、监测等工程措施的总称。</w:t>
      </w:r>
    </w:p>
    <w:p w14:paraId="6B22E2DF">
      <w:pPr>
        <w:adjustRightInd w:val="0"/>
        <w:snapToGrid w:val="0"/>
        <w:spacing w:line="288" w:lineRule="auto"/>
        <w:rPr>
          <w:rFonts w:ascii="宋体" w:hAnsi="宋体"/>
          <w:sz w:val="20"/>
          <w:szCs w:val="20"/>
        </w:rPr>
      </w:pPr>
      <w:r>
        <w:rPr>
          <w:b/>
          <w:sz w:val="20"/>
          <w:szCs w:val="20"/>
        </w:rPr>
        <w:t>2.1.4</w:t>
      </w:r>
      <w:r>
        <w:rPr>
          <w:b/>
          <w:bCs/>
          <w:sz w:val="20"/>
          <w:szCs w:val="20"/>
        </w:rPr>
        <w:t xml:space="preserve"> </w:t>
      </w:r>
      <w:r>
        <w:rPr>
          <w:rFonts w:ascii="宋体" w:hAnsi="宋体"/>
          <w:bCs/>
          <w:sz w:val="20"/>
          <w:szCs w:val="20"/>
        </w:rPr>
        <w:t xml:space="preserve"> </w:t>
      </w:r>
      <w:r>
        <w:rPr>
          <w:rFonts w:hint="eastAsia" w:ascii="宋体" w:hAnsi="宋体"/>
          <w:sz w:val="20"/>
          <w:szCs w:val="20"/>
        </w:rPr>
        <w:t xml:space="preserve">基坑周边环境  </w:t>
      </w:r>
      <w:r>
        <w:rPr>
          <w:sz w:val="20"/>
          <w:szCs w:val="20"/>
        </w:rPr>
        <w:t>surroundings around foundation excavations</w:t>
      </w:r>
    </w:p>
    <w:p w14:paraId="13ECA056">
      <w:pPr>
        <w:pStyle w:val="19"/>
        <w:adjustRightInd w:val="0"/>
        <w:snapToGrid w:val="0"/>
        <w:spacing w:after="0" w:line="288" w:lineRule="auto"/>
        <w:ind w:left="0" w:leftChars="0" w:firstLine="400" w:firstLineChars="200"/>
        <w:rPr>
          <w:rFonts w:ascii="宋体" w:hAnsi="宋体"/>
          <w:sz w:val="20"/>
          <w:szCs w:val="20"/>
        </w:rPr>
      </w:pPr>
      <w:r>
        <w:rPr>
          <w:rFonts w:hint="eastAsia" w:ascii="宋体" w:hAnsi="宋体"/>
          <w:sz w:val="20"/>
          <w:szCs w:val="20"/>
        </w:rPr>
        <w:t>基坑开挖影响范围内既有建（构）筑物、道路、地下设施、地下管线、岩土体、地下水体及基坑周边临时堆载等的统称。</w:t>
      </w:r>
    </w:p>
    <w:p w14:paraId="6CAE92CC">
      <w:pPr>
        <w:adjustRightInd w:val="0"/>
        <w:snapToGrid w:val="0"/>
        <w:spacing w:line="288" w:lineRule="auto"/>
        <w:rPr>
          <w:rFonts w:ascii="宋体" w:hAnsi="宋体"/>
          <w:sz w:val="20"/>
          <w:szCs w:val="20"/>
        </w:rPr>
      </w:pPr>
      <w:r>
        <w:rPr>
          <w:b/>
          <w:sz w:val="20"/>
          <w:szCs w:val="20"/>
        </w:rPr>
        <w:t>2.1.5</w:t>
      </w:r>
      <w:r>
        <w:rPr>
          <w:rFonts w:ascii="宋体" w:hAnsi="宋体"/>
          <w:bCs/>
          <w:sz w:val="20"/>
          <w:szCs w:val="20"/>
        </w:rPr>
        <w:t xml:space="preserve">  </w:t>
      </w:r>
      <w:r>
        <w:rPr>
          <w:rFonts w:hint="eastAsia" w:ascii="宋体" w:hAnsi="宋体"/>
          <w:sz w:val="20"/>
          <w:szCs w:val="20"/>
        </w:rPr>
        <w:t xml:space="preserve">排桩  </w:t>
      </w:r>
      <w:r>
        <w:rPr>
          <w:sz w:val="20"/>
          <w:szCs w:val="20"/>
        </w:rPr>
        <w:t>soldier piles</w:t>
      </w:r>
    </w:p>
    <w:p w14:paraId="1B32FE82">
      <w:pPr>
        <w:adjustRightInd w:val="0"/>
        <w:snapToGrid w:val="0"/>
        <w:spacing w:line="288" w:lineRule="auto"/>
        <w:ind w:firstLine="400" w:firstLineChars="200"/>
        <w:rPr>
          <w:rFonts w:ascii="宋体" w:hAnsi="宋体"/>
          <w:sz w:val="20"/>
          <w:szCs w:val="20"/>
        </w:rPr>
      </w:pPr>
      <w:r>
        <w:rPr>
          <w:rFonts w:hint="eastAsia" w:ascii="宋体" w:hAnsi="宋体"/>
          <w:sz w:val="20"/>
          <w:szCs w:val="20"/>
        </w:rPr>
        <w:t>以某种桩型按队列式布置组成的基坑支护结构。</w:t>
      </w:r>
    </w:p>
    <w:p w14:paraId="18F806E0">
      <w:pPr>
        <w:adjustRightInd w:val="0"/>
        <w:snapToGrid w:val="0"/>
        <w:spacing w:line="288" w:lineRule="auto"/>
        <w:rPr>
          <w:rFonts w:ascii="宋体" w:hAnsi="宋体"/>
          <w:sz w:val="20"/>
          <w:szCs w:val="20"/>
        </w:rPr>
      </w:pPr>
      <w:r>
        <w:rPr>
          <w:b/>
          <w:sz w:val="20"/>
          <w:szCs w:val="20"/>
        </w:rPr>
        <w:t>2.1.6</w:t>
      </w:r>
      <w:r>
        <w:rPr>
          <w:rFonts w:ascii="宋体" w:hAnsi="宋体"/>
          <w:sz w:val="20"/>
          <w:szCs w:val="20"/>
        </w:rPr>
        <w:t xml:space="preserve">  </w:t>
      </w:r>
      <w:r>
        <w:rPr>
          <w:rFonts w:hint="eastAsia" w:ascii="宋体" w:hAnsi="宋体"/>
          <w:sz w:val="20"/>
          <w:szCs w:val="20"/>
        </w:rPr>
        <w:t xml:space="preserve">地下连续墙  </w:t>
      </w:r>
      <w:r>
        <w:rPr>
          <w:sz w:val="20"/>
          <w:szCs w:val="20"/>
        </w:rPr>
        <w:t>diaphragm wall</w:t>
      </w:r>
    </w:p>
    <w:p w14:paraId="3BAC9007">
      <w:pPr>
        <w:adjustRightInd w:val="0"/>
        <w:snapToGrid w:val="0"/>
        <w:spacing w:line="288" w:lineRule="auto"/>
        <w:ind w:firstLine="400" w:firstLineChars="200"/>
        <w:rPr>
          <w:rFonts w:ascii="宋体" w:hAnsi="宋体"/>
          <w:sz w:val="20"/>
          <w:szCs w:val="20"/>
        </w:rPr>
      </w:pPr>
      <w:r>
        <w:rPr>
          <w:rFonts w:hint="eastAsia" w:ascii="宋体" w:hAnsi="宋体"/>
          <w:sz w:val="20"/>
          <w:szCs w:val="20"/>
        </w:rPr>
        <w:t>用机械施工方法成槽，并形成的钢筋混凝土地下连续墙体。</w:t>
      </w:r>
    </w:p>
    <w:p w14:paraId="125BD5A7">
      <w:pPr>
        <w:adjustRightInd w:val="0"/>
        <w:snapToGrid w:val="0"/>
        <w:spacing w:line="288" w:lineRule="auto"/>
        <w:rPr>
          <w:rFonts w:ascii="宋体" w:hAnsi="宋体"/>
          <w:sz w:val="20"/>
          <w:szCs w:val="20"/>
        </w:rPr>
      </w:pPr>
      <w:r>
        <w:rPr>
          <w:b/>
          <w:sz w:val="20"/>
          <w:szCs w:val="20"/>
        </w:rPr>
        <w:t>2.1.7</w:t>
      </w:r>
      <w:r>
        <w:rPr>
          <w:rFonts w:ascii="宋体" w:hAnsi="宋体"/>
          <w:b/>
          <w:bCs/>
          <w:sz w:val="20"/>
          <w:szCs w:val="20"/>
        </w:rPr>
        <w:t xml:space="preserve"> </w:t>
      </w:r>
      <w:r>
        <w:rPr>
          <w:rFonts w:ascii="宋体" w:hAnsi="宋体"/>
          <w:bCs/>
          <w:sz w:val="20"/>
          <w:szCs w:val="20"/>
        </w:rPr>
        <w:t xml:space="preserve"> </w:t>
      </w:r>
      <w:r>
        <w:rPr>
          <w:rFonts w:hint="eastAsia" w:ascii="宋体" w:hAnsi="宋体"/>
          <w:sz w:val="20"/>
          <w:szCs w:val="20"/>
        </w:rPr>
        <w:t xml:space="preserve">土钉墙  </w:t>
      </w:r>
      <w:r>
        <w:rPr>
          <w:sz w:val="20"/>
          <w:szCs w:val="20"/>
        </w:rPr>
        <w:t>soil nail</w:t>
      </w:r>
      <w:r>
        <w:rPr>
          <w:rFonts w:hint="eastAsia"/>
          <w:sz w:val="20"/>
          <w:szCs w:val="20"/>
        </w:rPr>
        <w:t>ing</w:t>
      </w:r>
      <w:r>
        <w:rPr>
          <w:sz w:val="20"/>
          <w:szCs w:val="20"/>
        </w:rPr>
        <w:t xml:space="preserve"> </w:t>
      </w:r>
      <w:r>
        <w:rPr>
          <w:rFonts w:hint="eastAsia"/>
          <w:sz w:val="20"/>
          <w:szCs w:val="20"/>
        </w:rPr>
        <w:t>wall</w:t>
      </w:r>
    </w:p>
    <w:p w14:paraId="30B02C95">
      <w:pPr>
        <w:adjustRightInd w:val="0"/>
        <w:snapToGrid w:val="0"/>
        <w:spacing w:line="288" w:lineRule="auto"/>
        <w:ind w:firstLine="400" w:firstLineChars="200"/>
        <w:rPr>
          <w:rFonts w:ascii="宋体" w:hAnsi="宋体"/>
          <w:sz w:val="20"/>
          <w:szCs w:val="20"/>
        </w:rPr>
      </w:pPr>
      <w:r>
        <w:rPr>
          <w:rFonts w:hint="eastAsia" w:ascii="宋体" w:hAnsi="宋体"/>
          <w:sz w:val="20"/>
          <w:szCs w:val="20"/>
        </w:rPr>
        <w:t>采用土钉加固的基坑侧壁土体与喷射混凝土面层等组成的支护结构。</w:t>
      </w:r>
    </w:p>
    <w:p w14:paraId="6A09CB03">
      <w:pPr>
        <w:adjustRightInd w:val="0"/>
        <w:snapToGrid w:val="0"/>
        <w:spacing w:line="288" w:lineRule="auto"/>
        <w:rPr>
          <w:rFonts w:ascii="宋体" w:hAnsi="宋体"/>
          <w:sz w:val="20"/>
          <w:szCs w:val="20"/>
        </w:rPr>
      </w:pPr>
      <w:r>
        <w:rPr>
          <w:b/>
          <w:sz w:val="20"/>
          <w:szCs w:val="20"/>
        </w:rPr>
        <w:t>2.1.8</w:t>
      </w:r>
      <w:r>
        <w:rPr>
          <w:b/>
          <w:bCs/>
          <w:sz w:val="20"/>
          <w:szCs w:val="20"/>
        </w:rPr>
        <w:t xml:space="preserve"> </w:t>
      </w:r>
      <w:r>
        <w:rPr>
          <w:rFonts w:ascii="宋体" w:hAnsi="宋体"/>
          <w:bCs/>
          <w:sz w:val="20"/>
          <w:szCs w:val="20"/>
        </w:rPr>
        <w:t xml:space="preserve"> </w:t>
      </w:r>
      <w:r>
        <w:rPr>
          <w:rFonts w:hint="eastAsia" w:ascii="宋体" w:hAnsi="宋体"/>
          <w:sz w:val="20"/>
          <w:szCs w:val="20"/>
        </w:rPr>
        <w:t xml:space="preserve">土层锚杆  </w:t>
      </w:r>
      <w:r>
        <w:rPr>
          <w:sz w:val="20"/>
          <w:szCs w:val="20"/>
        </w:rPr>
        <w:t>soil anchor</w:t>
      </w:r>
    </w:p>
    <w:p w14:paraId="66EAAA33">
      <w:pPr>
        <w:adjustRightInd w:val="0"/>
        <w:snapToGrid w:val="0"/>
        <w:spacing w:line="288" w:lineRule="auto"/>
        <w:ind w:firstLine="400" w:firstLineChars="200"/>
        <w:rPr>
          <w:rFonts w:ascii="宋体" w:hAnsi="宋体"/>
          <w:sz w:val="20"/>
          <w:szCs w:val="20"/>
        </w:rPr>
      </w:pPr>
      <w:r>
        <w:rPr>
          <w:rFonts w:hint="eastAsia" w:ascii="宋体" w:hAnsi="宋体"/>
          <w:sz w:val="20"/>
          <w:szCs w:val="20"/>
        </w:rPr>
        <w:t>设置于土层中由锚固段和自由段组成的抗拔构件。</w:t>
      </w:r>
    </w:p>
    <w:p w14:paraId="0F44BE62">
      <w:pPr>
        <w:adjustRightInd w:val="0"/>
        <w:snapToGrid w:val="0"/>
        <w:spacing w:line="288" w:lineRule="auto"/>
        <w:rPr>
          <w:rFonts w:ascii="宋体" w:hAnsi="宋体"/>
          <w:sz w:val="20"/>
          <w:szCs w:val="20"/>
        </w:rPr>
      </w:pPr>
      <w:r>
        <w:rPr>
          <w:b/>
          <w:sz w:val="20"/>
          <w:szCs w:val="20"/>
        </w:rPr>
        <w:t>2.1.9</w:t>
      </w:r>
      <w:r>
        <w:rPr>
          <w:b/>
          <w:bCs/>
          <w:sz w:val="20"/>
          <w:szCs w:val="20"/>
        </w:rPr>
        <w:t xml:space="preserve"> </w:t>
      </w:r>
      <w:r>
        <w:rPr>
          <w:rFonts w:ascii="宋体" w:hAnsi="宋体"/>
          <w:bCs/>
          <w:sz w:val="20"/>
          <w:szCs w:val="20"/>
        </w:rPr>
        <w:t xml:space="preserve"> </w:t>
      </w:r>
      <w:r>
        <w:rPr>
          <w:rFonts w:hint="eastAsia" w:ascii="宋体" w:hAnsi="宋体"/>
          <w:sz w:val="20"/>
          <w:szCs w:val="20"/>
        </w:rPr>
        <w:t xml:space="preserve">冠梁  </w:t>
      </w:r>
      <w:r>
        <w:rPr>
          <w:sz w:val="20"/>
          <w:szCs w:val="20"/>
        </w:rPr>
        <w:t>cap</w:t>
      </w:r>
      <w:r>
        <w:rPr>
          <w:rFonts w:hint="eastAsia"/>
          <w:sz w:val="20"/>
          <w:szCs w:val="20"/>
        </w:rPr>
        <w:t>ping</w:t>
      </w:r>
      <w:r>
        <w:rPr>
          <w:sz w:val="20"/>
          <w:szCs w:val="20"/>
        </w:rPr>
        <w:t xml:space="preserve"> beam</w:t>
      </w:r>
    </w:p>
    <w:p w14:paraId="36845995">
      <w:pPr>
        <w:adjustRightInd w:val="0"/>
        <w:snapToGrid w:val="0"/>
        <w:spacing w:line="288" w:lineRule="auto"/>
        <w:ind w:firstLine="400" w:firstLineChars="200"/>
        <w:rPr>
          <w:rFonts w:ascii="宋体" w:hAnsi="宋体"/>
          <w:sz w:val="20"/>
          <w:szCs w:val="20"/>
        </w:rPr>
      </w:pPr>
      <w:r>
        <w:rPr>
          <w:rFonts w:hint="eastAsia" w:ascii="宋体" w:hAnsi="宋体"/>
          <w:sz w:val="20"/>
          <w:szCs w:val="20"/>
        </w:rPr>
        <w:t>设置在挡土构件顶部的将挡土构件连为整体的钢筋混凝土梁或型钢梁。</w:t>
      </w:r>
    </w:p>
    <w:p w14:paraId="164BF4D7">
      <w:pPr>
        <w:adjustRightInd w:val="0"/>
        <w:snapToGrid w:val="0"/>
        <w:spacing w:line="288" w:lineRule="auto"/>
        <w:rPr>
          <w:rFonts w:ascii="宋体" w:hAnsi="宋体"/>
          <w:sz w:val="20"/>
          <w:szCs w:val="20"/>
        </w:rPr>
      </w:pPr>
      <w:r>
        <w:rPr>
          <w:b/>
          <w:sz w:val="20"/>
          <w:szCs w:val="20"/>
        </w:rPr>
        <w:t>2.1.10</w:t>
      </w:r>
      <w:r>
        <w:rPr>
          <w:rFonts w:ascii="宋体" w:hAnsi="宋体"/>
          <w:sz w:val="20"/>
          <w:szCs w:val="20"/>
        </w:rPr>
        <w:t xml:space="preserve">  </w:t>
      </w:r>
      <w:r>
        <w:rPr>
          <w:rFonts w:hint="eastAsia" w:ascii="宋体" w:hAnsi="宋体"/>
          <w:sz w:val="20"/>
          <w:szCs w:val="20"/>
        </w:rPr>
        <w:t xml:space="preserve">腰梁  </w:t>
      </w:r>
      <w:r>
        <w:rPr>
          <w:rFonts w:hint="eastAsia"/>
          <w:sz w:val="20"/>
          <w:szCs w:val="20"/>
        </w:rPr>
        <w:t>waling</w:t>
      </w:r>
    </w:p>
    <w:p w14:paraId="7717C4A2">
      <w:pPr>
        <w:adjustRightInd w:val="0"/>
        <w:snapToGrid w:val="0"/>
        <w:spacing w:line="288" w:lineRule="auto"/>
        <w:ind w:firstLine="400" w:firstLineChars="200"/>
        <w:rPr>
          <w:rFonts w:ascii="宋体" w:hAnsi="宋体"/>
          <w:sz w:val="20"/>
          <w:szCs w:val="20"/>
        </w:rPr>
      </w:pPr>
      <w:r>
        <w:rPr>
          <w:rFonts w:hint="eastAsia" w:ascii="宋体" w:hAnsi="宋体"/>
          <w:sz w:val="20"/>
          <w:szCs w:val="20"/>
        </w:rPr>
        <w:t>设置在挡土构件侧面传递锚杆拉力或内支撑轴力的钢筋混凝土梁或型钢梁。</w:t>
      </w:r>
    </w:p>
    <w:p w14:paraId="5E979A32">
      <w:pPr>
        <w:adjustRightInd w:val="0"/>
        <w:snapToGrid w:val="0"/>
        <w:spacing w:line="288" w:lineRule="auto"/>
        <w:rPr>
          <w:rFonts w:ascii="宋体" w:hAnsi="宋体"/>
          <w:sz w:val="20"/>
          <w:szCs w:val="20"/>
        </w:rPr>
      </w:pPr>
      <w:r>
        <w:rPr>
          <w:b/>
          <w:sz w:val="20"/>
          <w:szCs w:val="20"/>
        </w:rPr>
        <w:t>2.1.11</w:t>
      </w:r>
      <w:r>
        <w:rPr>
          <w:rFonts w:ascii="宋体" w:hAnsi="宋体"/>
          <w:sz w:val="20"/>
          <w:szCs w:val="20"/>
        </w:rPr>
        <w:t xml:space="preserve">  </w:t>
      </w:r>
      <w:r>
        <w:rPr>
          <w:rFonts w:hint="eastAsia" w:ascii="宋体" w:hAnsi="宋体"/>
          <w:sz w:val="20"/>
          <w:szCs w:val="20"/>
        </w:rPr>
        <w:t xml:space="preserve">支点  </w:t>
      </w:r>
      <w:r>
        <w:rPr>
          <w:sz w:val="20"/>
          <w:szCs w:val="20"/>
        </w:rPr>
        <w:t>fulcrum</w:t>
      </w:r>
    </w:p>
    <w:p w14:paraId="4607D551">
      <w:pPr>
        <w:adjustRightInd w:val="0"/>
        <w:snapToGrid w:val="0"/>
        <w:spacing w:line="288" w:lineRule="auto"/>
        <w:ind w:firstLine="400" w:firstLineChars="200"/>
        <w:rPr>
          <w:rFonts w:ascii="宋体" w:hAnsi="宋体"/>
          <w:sz w:val="20"/>
          <w:szCs w:val="20"/>
        </w:rPr>
      </w:pPr>
      <w:r>
        <w:rPr>
          <w:rFonts w:hint="eastAsia" w:ascii="宋体" w:hAnsi="宋体"/>
          <w:sz w:val="20"/>
          <w:szCs w:val="20"/>
        </w:rPr>
        <w:t>锚杆或支撑体系对支护结构的水平约束点。</w:t>
      </w:r>
    </w:p>
    <w:p w14:paraId="0651A5FB">
      <w:pPr>
        <w:adjustRightInd w:val="0"/>
        <w:snapToGrid w:val="0"/>
        <w:spacing w:line="288" w:lineRule="auto"/>
        <w:rPr>
          <w:rFonts w:ascii="宋体" w:hAnsi="宋体"/>
          <w:sz w:val="20"/>
          <w:szCs w:val="20"/>
        </w:rPr>
      </w:pPr>
      <w:r>
        <w:rPr>
          <w:b/>
          <w:sz w:val="20"/>
          <w:szCs w:val="20"/>
        </w:rPr>
        <w:t>2.1.12</w:t>
      </w:r>
      <w:r>
        <w:rPr>
          <w:rFonts w:ascii="宋体" w:hAnsi="宋体"/>
          <w:bCs/>
          <w:sz w:val="20"/>
          <w:szCs w:val="20"/>
        </w:rPr>
        <w:t xml:space="preserve"> </w:t>
      </w:r>
      <w:r>
        <w:rPr>
          <w:rFonts w:ascii="宋体" w:hAnsi="宋体"/>
          <w:sz w:val="20"/>
          <w:szCs w:val="20"/>
        </w:rPr>
        <w:t xml:space="preserve"> </w:t>
      </w:r>
      <w:r>
        <w:rPr>
          <w:rFonts w:hint="eastAsia" w:ascii="宋体" w:hAnsi="宋体"/>
          <w:sz w:val="20"/>
          <w:szCs w:val="20"/>
        </w:rPr>
        <w:t xml:space="preserve">嵌固深度  </w:t>
      </w:r>
      <w:r>
        <w:rPr>
          <w:sz w:val="20"/>
          <w:szCs w:val="20"/>
        </w:rPr>
        <w:t>embedded depth</w:t>
      </w:r>
    </w:p>
    <w:p w14:paraId="07CCDAB2">
      <w:pPr>
        <w:adjustRightInd w:val="0"/>
        <w:snapToGrid w:val="0"/>
        <w:spacing w:line="288" w:lineRule="auto"/>
        <w:ind w:firstLine="400" w:firstLineChars="200"/>
        <w:rPr>
          <w:rFonts w:ascii="宋体" w:hAnsi="宋体"/>
          <w:sz w:val="20"/>
          <w:szCs w:val="20"/>
        </w:rPr>
      </w:pPr>
      <w:r>
        <w:rPr>
          <w:rFonts w:hint="eastAsia" w:ascii="宋体" w:hAnsi="宋体"/>
          <w:sz w:val="20"/>
          <w:szCs w:val="20"/>
        </w:rPr>
        <w:t xml:space="preserve">挡土构件在基坑开挖底面以下的配筋段的长度。 </w:t>
      </w:r>
    </w:p>
    <w:p w14:paraId="390DF910">
      <w:pPr>
        <w:adjustRightInd w:val="0"/>
        <w:snapToGrid w:val="0"/>
        <w:spacing w:line="288" w:lineRule="auto"/>
        <w:rPr>
          <w:bCs/>
          <w:sz w:val="20"/>
          <w:szCs w:val="20"/>
        </w:rPr>
      </w:pPr>
      <w:r>
        <w:rPr>
          <w:rFonts w:hint="eastAsia"/>
          <w:b/>
          <w:sz w:val="20"/>
          <w:szCs w:val="20"/>
        </w:rPr>
        <w:t>2</w:t>
      </w:r>
      <w:r>
        <w:rPr>
          <w:b/>
          <w:sz w:val="20"/>
          <w:szCs w:val="20"/>
        </w:rPr>
        <w:t xml:space="preserve">.1.13  </w:t>
      </w:r>
      <w:r>
        <w:rPr>
          <w:rFonts w:hint="eastAsia"/>
          <w:bCs/>
          <w:sz w:val="20"/>
          <w:szCs w:val="20"/>
        </w:rPr>
        <w:t>劲芯水泥土搅拌墙soil</w:t>
      </w:r>
      <w:r>
        <w:rPr>
          <w:bCs/>
          <w:sz w:val="20"/>
          <w:szCs w:val="20"/>
        </w:rPr>
        <w:t xml:space="preserve"> </w:t>
      </w:r>
      <w:r>
        <w:rPr>
          <w:rFonts w:hint="eastAsia"/>
          <w:bCs/>
          <w:sz w:val="20"/>
          <w:szCs w:val="20"/>
        </w:rPr>
        <w:t>mixed</w:t>
      </w:r>
      <w:r>
        <w:rPr>
          <w:bCs/>
          <w:sz w:val="20"/>
          <w:szCs w:val="20"/>
        </w:rPr>
        <w:t xml:space="preserve"> </w:t>
      </w:r>
      <w:r>
        <w:rPr>
          <w:rFonts w:hint="eastAsia"/>
          <w:bCs/>
          <w:sz w:val="20"/>
          <w:szCs w:val="20"/>
        </w:rPr>
        <w:t>wall</w:t>
      </w:r>
    </w:p>
    <w:p w14:paraId="5D144E82">
      <w:pPr>
        <w:adjustRightInd w:val="0"/>
        <w:snapToGrid w:val="0"/>
        <w:spacing w:line="288" w:lineRule="auto"/>
        <w:ind w:firstLine="420"/>
        <w:rPr>
          <w:bCs/>
          <w:sz w:val="20"/>
          <w:szCs w:val="20"/>
        </w:rPr>
      </w:pPr>
      <w:r>
        <w:rPr>
          <w:rFonts w:hint="eastAsia"/>
          <w:bCs/>
          <w:sz w:val="20"/>
          <w:szCs w:val="20"/>
        </w:rPr>
        <w:t>通过搅拌切割形成的连续墙体内插入型钢、预制桩等芯体后形成的复合挡土隔水结构。</w:t>
      </w:r>
    </w:p>
    <w:p w14:paraId="492BDBE3">
      <w:pPr>
        <w:adjustRightInd w:val="0"/>
        <w:snapToGrid w:val="0"/>
        <w:spacing w:line="288" w:lineRule="auto"/>
        <w:rPr>
          <w:rFonts w:ascii="宋体" w:hAnsi="宋体"/>
          <w:sz w:val="20"/>
          <w:szCs w:val="20"/>
        </w:rPr>
      </w:pPr>
      <w:r>
        <w:rPr>
          <w:b/>
          <w:sz w:val="20"/>
          <w:szCs w:val="20"/>
        </w:rPr>
        <w:t>2.1.14</w:t>
      </w:r>
      <w:r>
        <w:rPr>
          <w:rFonts w:ascii="宋体" w:hAnsi="宋体"/>
          <w:sz w:val="20"/>
          <w:szCs w:val="20"/>
        </w:rPr>
        <w:t xml:space="preserve">  </w:t>
      </w:r>
      <w:r>
        <w:rPr>
          <w:rFonts w:hint="eastAsia" w:ascii="宋体" w:hAnsi="宋体"/>
          <w:sz w:val="20"/>
          <w:szCs w:val="20"/>
        </w:rPr>
        <w:t xml:space="preserve">地下水控制  </w:t>
      </w:r>
      <w:r>
        <w:rPr>
          <w:sz w:val="20"/>
          <w:szCs w:val="20"/>
        </w:rPr>
        <w:t>groundwater control</w:t>
      </w:r>
    </w:p>
    <w:p w14:paraId="56497A29">
      <w:pPr>
        <w:adjustRightInd w:val="0"/>
        <w:snapToGrid w:val="0"/>
        <w:spacing w:line="288" w:lineRule="auto"/>
        <w:ind w:firstLine="400" w:firstLineChars="200"/>
        <w:rPr>
          <w:rFonts w:ascii="宋体" w:hAnsi="宋体"/>
          <w:sz w:val="20"/>
          <w:szCs w:val="20"/>
        </w:rPr>
      </w:pPr>
      <w:r>
        <w:rPr>
          <w:rFonts w:hint="eastAsia" w:ascii="宋体" w:hAnsi="宋体"/>
          <w:sz w:val="20"/>
          <w:szCs w:val="20"/>
        </w:rPr>
        <w:t>为保证支护结构、基坑开挖、地下结构的正常施工及基坑周边环境安全而采取的排水、降水、隔水或回灌措施。</w:t>
      </w:r>
    </w:p>
    <w:p w14:paraId="167620C3">
      <w:pPr>
        <w:adjustRightInd w:val="0"/>
        <w:snapToGrid w:val="0"/>
        <w:spacing w:line="288" w:lineRule="auto"/>
        <w:rPr>
          <w:rFonts w:ascii="宋体" w:hAnsi="宋体"/>
          <w:sz w:val="20"/>
          <w:szCs w:val="20"/>
        </w:rPr>
      </w:pPr>
      <w:r>
        <w:rPr>
          <w:b/>
          <w:sz w:val="20"/>
          <w:szCs w:val="20"/>
        </w:rPr>
        <w:t>2.1.15</w:t>
      </w:r>
      <w:r>
        <w:rPr>
          <w:rFonts w:ascii="宋体" w:hAnsi="宋体"/>
          <w:sz w:val="20"/>
          <w:szCs w:val="20"/>
        </w:rPr>
        <w:t xml:space="preserve">  </w:t>
      </w:r>
      <w:r>
        <w:rPr>
          <w:rFonts w:hint="eastAsia" w:ascii="宋体" w:hAnsi="宋体"/>
          <w:sz w:val="20"/>
          <w:szCs w:val="20"/>
        </w:rPr>
        <w:t xml:space="preserve">隔水帷幕  </w:t>
      </w:r>
      <w:r>
        <w:rPr>
          <w:sz w:val="20"/>
          <w:szCs w:val="20"/>
        </w:rPr>
        <w:t>curtain for cutting off</w:t>
      </w:r>
      <w:r>
        <w:rPr>
          <w:rFonts w:hint="eastAsia"/>
          <w:sz w:val="20"/>
          <w:szCs w:val="20"/>
        </w:rPr>
        <w:t xml:space="preserve"> </w:t>
      </w:r>
      <w:r>
        <w:rPr>
          <w:sz w:val="20"/>
          <w:szCs w:val="20"/>
        </w:rPr>
        <w:t>water</w:t>
      </w:r>
    </w:p>
    <w:p w14:paraId="0B6FBDC6">
      <w:pPr>
        <w:adjustRightInd w:val="0"/>
        <w:snapToGrid w:val="0"/>
        <w:spacing w:line="288" w:lineRule="auto"/>
        <w:ind w:firstLine="400" w:firstLineChars="200"/>
        <w:rPr>
          <w:rFonts w:ascii="宋体" w:hAnsi="宋体"/>
          <w:sz w:val="20"/>
          <w:szCs w:val="20"/>
        </w:rPr>
      </w:pPr>
      <w:r>
        <w:rPr>
          <w:rFonts w:hint="eastAsia" w:ascii="宋体" w:hAnsi="宋体"/>
          <w:sz w:val="20"/>
          <w:szCs w:val="20"/>
        </w:rPr>
        <w:t>用于阻隔或减少地下水流入基坑侧壁及基坑底而采用的连续截水体。</w:t>
      </w:r>
    </w:p>
    <w:p w14:paraId="13B5DDD4">
      <w:pPr>
        <w:adjustRightInd w:val="0"/>
        <w:snapToGrid w:val="0"/>
        <w:spacing w:line="288" w:lineRule="auto"/>
        <w:rPr>
          <w:sz w:val="20"/>
          <w:szCs w:val="20"/>
        </w:rPr>
      </w:pPr>
      <w:r>
        <w:rPr>
          <w:b/>
          <w:sz w:val="20"/>
          <w:szCs w:val="20"/>
        </w:rPr>
        <w:t>2.1.16</w:t>
      </w:r>
      <w:r>
        <w:rPr>
          <w:sz w:val="20"/>
          <w:szCs w:val="20"/>
        </w:rPr>
        <w:t xml:space="preserve">  </w:t>
      </w:r>
      <w:r>
        <w:rPr>
          <w:rFonts w:hint="eastAsia"/>
          <w:sz w:val="20"/>
          <w:szCs w:val="20"/>
        </w:rPr>
        <w:t xml:space="preserve">抗震设防烈度 </w:t>
      </w:r>
      <w:r>
        <w:rPr>
          <w:sz w:val="20"/>
          <w:szCs w:val="20"/>
        </w:rPr>
        <w:t xml:space="preserve"> </w:t>
      </w:r>
      <w:r>
        <w:rPr>
          <w:rFonts w:hint="eastAsia"/>
          <w:sz w:val="20"/>
          <w:szCs w:val="20"/>
        </w:rPr>
        <w:t>seismic</w:t>
      </w:r>
      <w:r>
        <w:rPr>
          <w:sz w:val="20"/>
          <w:szCs w:val="20"/>
        </w:rPr>
        <w:t xml:space="preserve"> precautionary intensity</w:t>
      </w:r>
    </w:p>
    <w:p w14:paraId="77A34E32">
      <w:pPr>
        <w:adjustRightInd w:val="0"/>
        <w:snapToGrid w:val="0"/>
        <w:spacing w:line="288" w:lineRule="auto"/>
        <w:rPr>
          <w:sz w:val="20"/>
          <w:szCs w:val="20"/>
        </w:rPr>
      </w:pPr>
      <w:r>
        <w:rPr>
          <w:rFonts w:hint="eastAsia"/>
          <w:sz w:val="20"/>
          <w:szCs w:val="20"/>
        </w:rPr>
        <w:t xml:space="preserve"> </w:t>
      </w:r>
      <w:r>
        <w:rPr>
          <w:sz w:val="20"/>
          <w:szCs w:val="20"/>
        </w:rPr>
        <w:t xml:space="preserve">   </w:t>
      </w:r>
      <w:r>
        <w:rPr>
          <w:rFonts w:hint="eastAsia"/>
          <w:sz w:val="20"/>
          <w:szCs w:val="20"/>
        </w:rPr>
        <w:t>按国家规定的权限批准作为一个地区抗震设防依据的地震烈度。一般情况，取5</w:t>
      </w:r>
      <w:r>
        <w:rPr>
          <w:sz w:val="20"/>
          <w:szCs w:val="20"/>
        </w:rPr>
        <w:t>0</w:t>
      </w:r>
      <w:r>
        <w:rPr>
          <w:rFonts w:hint="eastAsia"/>
          <w:sz w:val="20"/>
          <w:szCs w:val="20"/>
        </w:rPr>
        <w:t>年内超越概率1</w:t>
      </w:r>
      <w:r>
        <w:rPr>
          <w:sz w:val="20"/>
          <w:szCs w:val="20"/>
        </w:rPr>
        <w:t>0</w:t>
      </w:r>
      <w:r>
        <w:rPr>
          <w:rFonts w:hint="eastAsia"/>
          <w:sz w:val="20"/>
          <w:szCs w:val="20"/>
        </w:rPr>
        <w:t>%的地震烈度。</w:t>
      </w:r>
    </w:p>
    <w:p w14:paraId="52567E4F">
      <w:pPr>
        <w:adjustRightInd w:val="0"/>
        <w:snapToGrid w:val="0"/>
        <w:spacing w:line="288" w:lineRule="auto"/>
        <w:rPr>
          <w:sz w:val="20"/>
          <w:szCs w:val="20"/>
        </w:rPr>
      </w:pPr>
      <w:r>
        <w:rPr>
          <w:b/>
          <w:sz w:val="20"/>
          <w:szCs w:val="20"/>
        </w:rPr>
        <w:t>2.1.17</w:t>
      </w:r>
      <w:r>
        <w:rPr>
          <w:sz w:val="20"/>
          <w:szCs w:val="20"/>
        </w:rPr>
        <w:t xml:space="preserve">  </w:t>
      </w:r>
      <w:r>
        <w:rPr>
          <w:rFonts w:hint="eastAsia"/>
          <w:sz w:val="20"/>
          <w:szCs w:val="20"/>
        </w:rPr>
        <w:t xml:space="preserve">抗震构造措施 </w:t>
      </w:r>
      <w:r>
        <w:rPr>
          <w:sz w:val="20"/>
          <w:szCs w:val="20"/>
        </w:rPr>
        <w:t xml:space="preserve"> details of seismic design</w:t>
      </w:r>
    </w:p>
    <w:p w14:paraId="122891FE">
      <w:pPr>
        <w:adjustRightInd w:val="0"/>
        <w:snapToGrid w:val="0"/>
        <w:spacing w:line="288" w:lineRule="auto"/>
        <w:ind w:firstLine="405"/>
        <w:rPr>
          <w:sz w:val="20"/>
          <w:szCs w:val="20"/>
        </w:rPr>
      </w:pPr>
      <w:r>
        <w:rPr>
          <w:rFonts w:hint="eastAsia"/>
          <w:sz w:val="20"/>
          <w:szCs w:val="20"/>
        </w:rPr>
        <w:t>除根据地震荷载和承载力计算进行抗震验算以外的对支护结构必须采取的各种细部构造要求。</w:t>
      </w:r>
    </w:p>
    <w:p w14:paraId="726EA41A">
      <w:pPr>
        <w:adjustRightInd w:val="0"/>
        <w:snapToGrid w:val="0"/>
        <w:spacing w:line="288" w:lineRule="auto"/>
        <w:rPr>
          <w:bCs/>
          <w:sz w:val="20"/>
          <w:szCs w:val="20"/>
        </w:rPr>
      </w:pPr>
      <w:r>
        <w:rPr>
          <w:rFonts w:hint="eastAsia"/>
          <w:b/>
          <w:sz w:val="20"/>
          <w:szCs w:val="20"/>
        </w:rPr>
        <w:t>2</w:t>
      </w:r>
      <w:r>
        <w:rPr>
          <w:b/>
          <w:sz w:val="20"/>
          <w:szCs w:val="20"/>
        </w:rPr>
        <w:t xml:space="preserve">.1.18  </w:t>
      </w:r>
      <w:r>
        <w:rPr>
          <w:bCs/>
          <w:sz w:val="20"/>
          <w:szCs w:val="20"/>
        </w:rPr>
        <w:t>基坑工程碳排放量 foundation pit engineering carbon emission</w:t>
      </w:r>
    </w:p>
    <w:p w14:paraId="4BF97B3C">
      <w:pPr>
        <w:adjustRightInd w:val="0"/>
        <w:snapToGrid w:val="0"/>
        <w:spacing w:line="288" w:lineRule="auto"/>
        <w:ind w:firstLine="420"/>
        <w:rPr>
          <w:bCs/>
          <w:sz w:val="20"/>
          <w:szCs w:val="20"/>
        </w:rPr>
      </w:pPr>
      <w:r>
        <w:rPr>
          <w:bCs/>
          <w:sz w:val="20"/>
          <w:szCs w:val="20"/>
        </w:rPr>
        <w:t>基坑工程在建材生产阶段、</w:t>
      </w:r>
      <w:r>
        <w:rPr>
          <w:rFonts w:hint="eastAsia"/>
          <w:bCs/>
          <w:sz w:val="20"/>
          <w:szCs w:val="20"/>
        </w:rPr>
        <w:t>运输阶段、施工</w:t>
      </w:r>
      <w:r>
        <w:rPr>
          <w:bCs/>
          <w:sz w:val="20"/>
          <w:szCs w:val="20"/>
        </w:rPr>
        <w:t>阶段、</w:t>
      </w:r>
      <w:r>
        <w:rPr>
          <w:rFonts w:hint="eastAsia"/>
          <w:bCs/>
          <w:sz w:val="20"/>
          <w:szCs w:val="20"/>
        </w:rPr>
        <w:t>使用阶段和拆除阶段</w:t>
      </w:r>
      <w:r>
        <w:rPr>
          <w:bCs/>
          <w:sz w:val="20"/>
          <w:szCs w:val="20"/>
        </w:rPr>
        <w:t>产生的温室气体排放的总和，以二氧化碳当量表示。</w:t>
      </w:r>
    </w:p>
    <w:p w14:paraId="3DC63401">
      <w:pPr>
        <w:adjustRightInd w:val="0"/>
        <w:snapToGrid w:val="0"/>
        <w:spacing w:line="288" w:lineRule="auto"/>
        <w:rPr>
          <w:sz w:val="20"/>
          <w:szCs w:val="20"/>
        </w:rPr>
      </w:pPr>
      <w:r>
        <w:rPr>
          <w:b/>
          <w:sz w:val="20"/>
          <w:szCs w:val="20"/>
        </w:rPr>
        <w:t>2.1.19</w:t>
      </w:r>
      <w:r>
        <w:rPr>
          <w:sz w:val="20"/>
          <w:szCs w:val="20"/>
        </w:rPr>
        <w:t xml:space="preserve">  基坑工程碳排放因子carbon emission factors of </w:t>
      </w:r>
      <w:r>
        <w:rPr>
          <w:rFonts w:hint="eastAsia"/>
          <w:sz w:val="20"/>
          <w:szCs w:val="20"/>
        </w:rPr>
        <w:t>pit</w:t>
      </w:r>
      <w:r>
        <w:rPr>
          <w:sz w:val="20"/>
          <w:szCs w:val="20"/>
        </w:rPr>
        <w:t xml:space="preserve"> construction</w:t>
      </w:r>
    </w:p>
    <w:p w14:paraId="354E62AA">
      <w:pPr>
        <w:adjustRightInd w:val="0"/>
        <w:snapToGrid w:val="0"/>
        <w:spacing w:line="288" w:lineRule="auto"/>
        <w:ind w:firstLine="400" w:firstLineChars="200"/>
        <w:rPr>
          <w:sz w:val="20"/>
          <w:szCs w:val="20"/>
        </w:rPr>
      </w:pPr>
      <w:r>
        <w:rPr>
          <w:sz w:val="20"/>
          <w:szCs w:val="20"/>
        </w:rPr>
        <w:t>根据工程预算定额，基坑工程中某一子目单位工程量的碳排放量。</w:t>
      </w:r>
    </w:p>
    <w:bookmarkEnd w:id="10"/>
    <w:bookmarkEnd w:id="11"/>
    <w:p w14:paraId="30010D53">
      <w:pPr>
        <w:pStyle w:val="7"/>
        <w:keepNext w:val="0"/>
        <w:keepLines w:val="0"/>
        <w:adjustRightInd w:val="0"/>
        <w:snapToGrid w:val="0"/>
        <w:spacing w:before="312" w:beforeLines="100" w:after="312" w:afterLines="100" w:line="288" w:lineRule="auto"/>
        <w:jc w:val="center"/>
        <w:rPr>
          <w:rFonts w:eastAsia="黑体"/>
          <w:b w:val="0"/>
          <w:sz w:val="20"/>
          <w:szCs w:val="20"/>
        </w:rPr>
      </w:pPr>
      <w:bookmarkStart w:id="13" w:name="_Toc468104693"/>
      <w:bookmarkStart w:id="14" w:name="_Toc139613705"/>
      <w:bookmarkStart w:id="15" w:name="_Toc409425791"/>
      <w:r>
        <w:rPr>
          <w:rFonts w:eastAsia="黑体"/>
          <w:sz w:val="20"/>
          <w:szCs w:val="20"/>
        </w:rPr>
        <w:t>2.</w:t>
      </w:r>
      <w:r>
        <w:rPr>
          <w:rFonts w:hint="eastAsia" w:eastAsia="黑体"/>
          <w:sz w:val="20"/>
          <w:szCs w:val="20"/>
        </w:rPr>
        <w:t xml:space="preserve">2  </w:t>
      </w:r>
      <w:r>
        <w:rPr>
          <w:rFonts w:eastAsia="黑体"/>
          <w:b w:val="0"/>
          <w:sz w:val="20"/>
          <w:szCs w:val="20"/>
        </w:rPr>
        <w:t>符</w:t>
      </w:r>
      <w:r>
        <w:rPr>
          <w:rFonts w:hint="eastAsia" w:eastAsia="黑体"/>
          <w:b w:val="0"/>
          <w:sz w:val="20"/>
          <w:szCs w:val="20"/>
        </w:rPr>
        <w:t xml:space="preserve">    </w:t>
      </w:r>
      <w:r>
        <w:rPr>
          <w:rFonts w:eastAsia="黑体"/>
          <w:b w:val="0"/>
          <w:sz w:val="20"/>
          <w:szCs w:val="20"/>
        </w:rPr>
        <w:t>号</w:t>
      </w:r>
      <w:bookmarkEnd w:id="13"/>
      <w:bookmarkEnd w:id="14"/>
      <w:bookmarkEnd w:id="15"/>
    </w:p>
    <w:p w14:paraId="1EC781BB">
      <w:pPr>
        <w:adjustRightInd w:val="0"/>
        <w:snapToGrid w:val="0"/>
        <w:spacing w:line="288" w:lineRule="auto"/>
        <w:rPr>
          <w:rFonts w:ascii="宋体" w:hAnsi="宋体"/>
          <w:sz w:val="20"/>
          <w:szCs w:val="20"/>
        </w:rPr>
      </w:pPr>
      <w:r>
        <w:rPr>
          <w:b/>
          <w:sz w:val="20"/>
          <w:szCs w:val="20"/>
        </w:rPr>
        <w:t>2.2.1</w:t>
      </w:r>
      <w:r>
        <w:rPr>
          <w:b/>
          <w:bCs/>
          <w:sz w:val="20"/>
          <w:szCs w:val="20"/>
        </w:rPr>
        <w:t xml:space="preserve"> </w:t>
      </w:r>
      <w:r>
        <w:rPr>
          <w:rFonts w:ascii="宋体" w:hAnsi="宋体"/>
          <w:sz w:val="20"/>
          <w:szCs w:val="20"/>
        </w:rPr>
        <w:t xml:space="preserve"> </w:t>
      </w:r>
      <w:r>
        <w:rPr>
          <w:rFonts w:hint="eastAsia" w:ascii="宋体" w:hAnsi="宋体"/>
          <w:sz w:val="20"/>
          <w:szCs w:val="20"/>
        </w:rPr>
        <w:t>抗力和材料性能</w:t>
      </w:r>
    </w:p>
    <w:p w14:paraId="4F3EF142">
      <w:pPr>
        <w:adjustRightInd w:val="0"/>
        <w:snapToGrid w:val="0"/>
        <w:spacing w:line="288" w:lineRule="auto"/>
        <w:ind w:firstLine="400" w:firstLineChars="200"/>
        <w:rPr>
          <w:rFonts w:ascii="宋体" w:hAnsi="宋体"/>
          <w:sz w:val="20"/>
          <w:szCs w:val="20"/>
        </w:rPr>
      </w:pPr>
      <w:r>
        <w:rPr>
          <w:i/>
          <w:sz w:val="20"/>
          <w:szCs w:val="20"/>
        </w:rPr>
        <w:t>c</w:t>
      </w:r>
      <w:r>
        <w:rPr>
          <w:rFonts w:hint="eastAsia"/>
          <w:i/>
          <w:sz w:val="20"/>
          <w:szCs w:val="20"/>
        </w:rPr>
        <w:t xml:space="preserve"> </w:t>
      </w:r>
      <w:r>
        <w:rPr>
          <w:iCs/>
        </w:rPr>
        <w:t>——</w:t>
      </w:r>
      <w:r>
        <w:rPr>
          <w:rFonts w:hint="eastAsia" w:ascii="宋体" w:hAnsi="宋体"/>
          <w:sz w:val="20"/>
          <w:szCs w:val="20"/>
        </w:rPr>
        <w:t>土的粘聚力；</w:t>
      </w:r>
    </w:p>
    <w:p w14:paraId="5C777B56">
      <w:pPr>
        <w:adjustRightInd w:val="0"/>
        <w:snapToGrid w:val="0"/>
        <w:spacing w:line="288" w:lineRule="auto"/>
        <w:ind w:firstLine="384" w:firstLineChars="192"/>
        <w:rPr>
          <w:rFonts w:ascii="宋体" w:hAnsi="宋体"/>
          <w:sz w:val="20"/>
          <w:szCs w:val="20"/>
        </w:rPr>
      </w:pPr>
      <w:r>
        <w:rPr>
          <w:i/>
          <w:sz w:val="20"/>
          <w:szCs w:val="20"/>
        </w:rPr>
        <w:t>φ</w:t>
      </w:r>
      <w:r>
        <w:rPr>
          <w:rFonts w:hint="eastAsia"/>
          <w:i/>
          <w:sz w:val="20"/>
          <w:szCs w:val="20"/>
        </w:rPr>
        <w:t xml:space="preserve"> </w:t>
      </w:r>
      <w:r>
        <w:rPr>
          <w:iCs/>
        </w:rPr>
        <w:t>——</w:t>
      </w:r>
      <w:r>
        <w:rPr>
          <w:rFonts w:hint="eastAsia" w:ascii="宋体" w:hAnsi="宋体"/>
          <w:sz w:val="20"/>
          <w:szCs w:val="20"/>
        </w:rPr>
        <w:t>土的内摩擦角</w:t>
      </w:r>
      <w:r>
        <w:rPr>
          <w:rFonts w:ascii="宋体" w:hAnsi="宋体"/>
          <w:sz w:val="20"/>
          <w:szCs w:val="20"/>
        </w:rPr>
        <w:softHyphen/>
      </w:r>
      <w:r>
        <w:rPr>
          <w:rFonts w:hint="eastAsia" w:ascii="宋体" w:hAnsi="宋体"/>
          <w:sz w:val="20"/>
          <w:szCs w:val="20"/>
        </w:rPr>
        <w:t>；</w:t>
      </w:r>
    </w:p>
    <w:p w14:paraId="54C0E120">
      <w:pPr>
        <w:adjustRightInd w:val="0"/>
        <w:snapToGrid w:val="0"/>
        <w:spacing w:line="288" w:lineRule="auto"/>
        <w:ind w:firstLine="14" w:firstLineChars="7"/>
        <w:rPr>
          <w:rFonts w:ascii="宋体" w:hAnsi="宋体"/>
          <w:sz w:val="20"/>
          <w:szCs w:val="20"/>
        </w:rPr>
      </w:pPr>
      <w:r>
        <w:rPr>
          <w:i/>
          <w:sz w:val="20"/>
          <w:szCs w:val="20"/>
        </w:rPr>
        <w:t>f</w:t>
      </w:r>
      <w:r>
        <w:rPr>
          <w:sz w:val="20"/>
          <w:szCs w:val="20"/>
          <w:vertAlign w:val="subscript"/>
        </w:rPr>
        <w:t>y</w:t>
      </w:r>
      <w:r>
        <w:rPr>
          <w:rFonts w:hAnsi="宋体"/>
          <w:sz w:val="20"/>
          <w:szCs w:val="20"/>
        </w:rPr>
        <w:t>、</w:t>
      </w:r>
      <w:r>
        <w:rPr>
          <w:i/>
          <w:sz w:val="20"/>
          <w:szCs w:val="20"/>
        </w:rPr>
        <w:t>f</w:t>
      </w:r>
      <w:r>
        <w:rPr>
          <w:sz w:val="20"/>
          <w:szCs w:val="20"/>
          <w:vertAlign w:val="subscript"/>
        </w:rPr>
        <w:t>py</w:t>
      </w:r>
      <w:r>
        <w:rPr>
          <w:iCs/>
        </w:rPr>
        <w:t>——</w:t>
      </w:r>
      <w:r>
        <w:rPr>
          <w:rFonts w:hint="eastAsia" w:ascii="宋体" w:hAnsi="宋体"/>
          <w:sz w:val="20"/>
          <w:szCs w:val="20"/>
        </w:rPr>
        <w:t>普通钢筋、预应力钢筋抗拉强度设计值；</w:t>
      </w:r>
    </w:p>
    <w:p w14:paraId="396190E5">
      <w:pPr>
        <w:adjustRightInd w:val="0"/>
        <w:snapToGrid w:val="0"/>
        <w:spacing w:line="288" w:lineRule="auto"/>
        <w:ind w:firstLine="336" w:firstLineChars="168"/>
        <w:rPr>
          <w:rFonts w:ascii="宋体" w:hAnsi="宋体"/>
          <w:sz w:val="20"/>
          <w:szCs w:val="20"/>
        </w:rPr>
      </w:pPr>
      <w:r>
        <w:rPr>
          <w:i/>
          <w:sz w:val="20"/>
          <w:szCs w:val="20"/>
        </w:rPr>
        <w:t>f</w:t>
      </w:r>
      <w:r>
        <w:rPr>
          <w:sz w:val="20"/>
          <w:szCs w:val="20"/>
          <w:vertAlign w:val="subscript"/>
        </w:rPr>
        <w:t>yk</w:t>
      </w:r>
      <w:r>
        <w:rPr>
          <w:iCs/>
        </w:rPr>
        <w:t>——</w:t>
      </w:r>
      <w:r>
        <w:rPr>
          <w:rFonts w:hint="eastAsia" w:ascii="宋体" w:hAnsi="宋体"/>
          <w:sz w:val="20"/>
          <w:szCs w:val="20"/>
        </w:rPr>
        <w:t>普通钢筋抗拉强度标准值；</w:t>
      </w:r>
    </w:p>
    <w:p w14:paraId="00B1290B">
      <w:pPr>
        <w:adjustRightInd w:val="0"/>
        <w:snapToGrid w:val="0"/>
        <w:spacing w:line="288" w:lineRule="auto"/>
        <w:ind w:firstLine="336" w:firstLineChars="168"/>
        <w:rPr>
          <w:rFonts w:ascii="宋体" w:hAnsi="宋体"/>
          <w:sz w:val="20"/>
          <w:szCs w:val="20"/>
        </w:rPr>
      </w:pPr>
      <w:r>
        <w:rPr>
          <w:i/>
          <w:sz w:val="20"/>
          <w:szCs w:val="20"/>
        </w:rPr>
        <w:t>f</w:t>
      </w:r>
      <w:r>
        <w:rPr>
          <w:sz w:val="20"/>
          <w:szCs w:val="20"/>
          <w:vertAlign w:val="subscript"/>
        </w:rPr>
        <w:t xml:space="preserve">k </w:t>
      </w:r>
      <w:r>
        <w:rPr>
          <w:iCs/>
        </w:rPr>
        <w:t>——</w:t>
      </w:r>
      <w:r>
        <w:rPr>
          <w:rFonts w:hint="eastAsia" w:ascii="宋体" w:hAnsi="宋体"/>
          <w:sz w:val="20"/>
          <w:szCs w:val="20"/>
        </w:rPr>
        <w:t>支撑轴力标准值；</w:t>
      </w:r>
    </w:p>
    <w:p w14:paraId="66D19BD9">
      <w:pPr>
        <w:adjustRightInd w:val="0"/>
        <w:snapToGrid w:val="0"/>
        <w:spacing w:line="288" w:lineRule="auto"/>
        <w:ind w:firstLine="434" w:firstLineChars="217"/>
        <w:rPr>
          <w:rFonts w:ascii="宋体" w:hAnsi="宋体"/>
          <w:sz w:val="20"/>
          <w:szCs w:val="20"/>
        </w:rPr>
      </w:pPr>
      <w:r>
        <w:rPr>
          <w:i/>
          <w:sz w:val="20"/>
          <w:szCs w:val="20"/>
        </w:rPr>
        <w:t>k</w:t>
      </w:r>
      <w:r>
        <w:rPr>
          <w:iCs/>
        </w:rPr>
        <w:t>——</w:t>
      </w:r>
      <w:r>
        <w:rPr>
          <w:rFonts w:hint="eastAsia" w:ascii="宋体" w:hAnsi="宋体"/>
          <w:sz w:val="20"/>
          <w:szCs w:val="20"/>
        </w:rPr>
        <w:t>土的渗透系数；</w:t>
      </w:r>
    </w:p>
    <w:p w14:paraId="46653DE1">
      <w:pPr>
        <w:adjustRightInd w:val="0"/>
        <w:snapToGrid w:val="0"/>
        <w:spacing w:line="288" w:lineRule="auto"/>
        <w:ind w:firstLine="284" w:firstLineChars="142"/>
        <w:rPr>
          <w:rFonts w:ascii="宋体" w:hAnsi="宋体"/>
          <w:sz w:val="20"/>
          <w:szCs w:val="20"/>
        </w:rPr>
      </w:pPr>
      <w:r>
        <w:rPr>
          <w:i/>
          <w:sz w:val="20"/>
          <w:szCs w:val="20"/>
        </w:rPr>
        <w:t>K</w:t>
      </w:r>
      <w:r>
        <w:rPr>
          <w:sz w:val="20"/>
          <w:szCs w:val="20"/>
          <w:vertAlign w:val="subscript"/>
        </w:rPr>
        <w:t>a</w:t>
      </w:r>
      <w:r>
        <w:rPr>
          <w:i/>
          <w:iCs/>
          <w:sz w:val="20"/>
          <w:szCs w:val="20"/>
          <w:vertAlign w:val="subscript"/>
        </w:rPr>
        <w:t>i</w:t>
      </w:r>
      <w:r>
        <w:rPr>
          <w:iCs/>
        </w:rPr>
        <w:t>——</w:t>
      </w:r>
      <w:r>
        <w:rPr>
          <w:rFonts w:hint="eastAsia" w:ascii="宋体" w:hAnsi="宋体"/>
          <w:sz w:val="20"/>
          <w:szCs w:val="20"/>
        </w:rPr>
        <w:t>第</w:t>
      </w:r>
      <w:r>
        <w:rPr>
          <w:i/>
          <w:iCs/>
          <w:sz w:val="20"/>
          <w:szCs w:val="20"/>
        </w:rPr>
        <w:t>i</w:t>
      </w:r>
      <w:r>
        <w:rPr>
          <w:rFonts w:hint="eastAsia" w:ascii="宋体" w:hAnsi="宋体"/>
          <w:sz w:val="20"/>
          <w:szCs w:val="20"/>
        </w:rPr>
        <w:t>层土的主动土压力系数；</w:t>
      </w:r>
    </w:p>
    <w:p w14:paraId="470877B0">
      <w:pPr>
        <w:adjustRightInd w:val="0"/>
        <w:snapToGrid w:val="0"/>
        <w:spacing w:line="288" w:lineRule="auto"/>
        <w:ind w:firstLine="294" w:firstLineChars="147"/>
        <w:rPr>
          <w:rFonts w:ascii="宋体" w:hAnsi="宋体"/>
          <w:sz w:val="20"/>
          <w:szCs w:val="20"/>
        </w:rPr>
      </w:pPr>
      <w:r>
        <w:rPr>
          <w:i/>
          <w:sz w:val="20"/>
          <w:szCs w:val="20"/>
        </w:rPr>
        <w:t>K</w:t>
      </w:r>
      <w:r>
        <w:rPr>
          <w:sz w:val="20"/>
          <w:szCs w:val="20"/>
          <w:vertAlign w:val="subscript"/>
        </w:rPr>
        <w:t>p</w:t>
      </w:r>
      <w:r>
        <w:rPr>
          <w:i/>
          <w:iCs/>
          <w:sz w:val="20"/>
          <w:szCs w:val="20"/>
          <w:vertAlign w:val="subscript"/>
        </w:rPr>
        <w:t>i</w:t>
      </w:r>
      <w:r>
        <w:rPr>
          <w:iCs/>
        </w:rPr>
        <w:t>——</w:t>
      </w:r>
      <w:r>
        <w:rPr>
          <w:rFonts w:hint="eastAsia" w:ascii="宋体" w:hAnsi="宋体"/>
          <w:sz w:val="20"/>
          <w:szCs w:val="20"/>
        </w:rPr>
        <w:t>第</w:t>
      </w:r>
      <w:r>
        <w:rPr>
          <w:i/>
          <w:iCs/>
          <w:sz w:val="20"/>
          <w:szCs w:val="20"/>
        </w:rPr>
        <w:t>i</w:t>
      </w:r>
      <w:r>
        <w:rPr>
          <w:rFonts w:hint="eastAsia" w:ascii="宋体" w:hAnsi="宋体"/>
          <w:sz w:val="20"/>
          <w:szCs w:val="20"/>
        </w:rPr>
        <w:t>层土的被动土压力系数；</w:t>
      </w:r>
    </w:p>
    <w:p w14:paraId="0B8994D0">
      <w:pPr>
        <w:adjustRightInd w:val="0"/>
        <w:snapToGrid w:val="0"/>
        <w:spacing w:line="288" w:lineRule="auto"/>
        <w:ind w:firstLine="434" w:firstLineChars="217"/>
        <w:rPr>
          <w:rFonts w:ascii="宋体" w:hAnsi="宋体"/>
          <w:sz w:val="20"/>
          <w:szCs w:val="20"/>
        </w:rPr>
      </w:pPr>
      <w:r>
        <w:rPr>
          <w:i/>
          <w:sz w:val="20"/>
          <w:szCs w:val="20"/>
        </w:rPr>
        <w:t>q</w:t>
      </w:r>
      <w:r>
        <w:rPr>
          <w:iCs/>
        </w:rPr>
        <w:t>——</w:t>
      </w:r>
      <w:r>
        <w:rPr>
          <w:rFonts w:hint="eastAsia" w:ascii="宋体" w:hAnsi="宋体"/>
          <w:sz w:val="20"/>
          <w:szCs w:val="20"/>
        </w:rPr>
        <w:t>单井出水量；</w:t>
      </w:r>
    </w:p>
    <w:p w14:paraId="088C9E6F">
      <w:pPr>
        <w:adjustRightInd w:val="0"/>
        <w:snapToGrid w:val="0"/>
        <w:spacing w:line="288" w:lineRule="auto"/>
        <w:ind w:firstLine="336" w:firstLineChars="168"/>
        <w:rPr>
          <w:rFonts w:ascii="宋体" w:hAnsi="宋体"/>
          <w:sz w:val="20"/>
          <w:szCs w:val="20"/>
        </w:rPr>
      </w:pPr>
      <w:r>
        <w:rPr>
          <w:i/>
          <w:sz w:val="20"/>
          <w:szCs w:val="20"/>
        </w:rPr>
        <w:t>R</w:t>
      </w:r>
      <w:r>
        <w:rPr>
          <w:sz w:val="20"/>
          <w:szCs w:val="20"/>
          <w:vertAlign w:val="subscript"/>
        </w:rPr>
        <w:t>k</w:t>
      </w:r>
      <w:r>
        <w:rPr>
          <w:iCs/>
        </w:rPr>
        <w:t>——</w:t>
      </w:r>
      <w:r>
        <w:rPr>
          <w:rFonts w:hint="eastAsia" w:ascii="宋体" w:hAnsi="宋体"/>
          <w:iCs/>
          <w:sz w:val="20"/>
          <w:szCs w:val="20"/>
        </w:rPr>
        <w:t>土钉或锚杆的极限抗拔承载力标准值</w:t>
      </w:r>
      <w:r>
        <w:rPr>
          <w:rFonts w:hint="eastAsia" w:ascii="宋体" w:hAnsi="宋体"/>
          <w:sz w:val="20"/>
          <w:szCs w:val="20"/>
        </w:rPr>
        <w:t>；</w:t>
      </w:r>
    </w:p>
    <w:p w14:paraId="65513B4B">
      <w:pPr>
        <w:adjustRightInd w:val="0"/>
        <w:snapToGrid w:val="0"/>
        <w:spacing w:line="288" w:lineRule="auto"/>
        <w:ind w:firstLine="308" w:firstLineChars="154"/>
        <w:rPr>
          <w:rFonts w:ascii="宋体" w:hAnsi="宋体"/>
          <w:sz w:val="20"/>
          <w:szCs w:val="20"/>
        </w:rPr>
      </w:pPr>
      <w:r>
        <w:rPr>
          <w:i/>
          <w:sz w:val="20"/>
          <w:szCs w:val="20"/>
        </w:rPr>
        <w:t>q</w:t>
      </w:r>
      <w:r>
        <w:rPr>
          <w:sz w:val="20"/>
          <w:szCs w:val="20"/>
          <w:vertAlign w:val="subscript"/>
        </w:rPr>
        <w:t>sk</w:t>
      </w:r>
      <w:r>
        <w:rPr>
          <w:iCs/>
        </w:rPr>
        <w:t>——</w:t>
      </w:r>
      <w:r>
        <w:rPr>
          <w:rFonts w:hint="eastAsia" w:ascii="宋体" w:hAnsi="宋体"/>
          <w:sz w:val="20"/>
          <w:szCs w:val="20"/>
        </w:rPr>
        <w:t>锚固体与土层之间的极限粘结强度标准值；</w:t>
      </w:r>
    </w:p>
    <w:p w14:paraId="0E63D596">
      <w:pPr>
        <w:adjustRightInd w:val="0"/>
        <w:snapToGrid w:val="0"/>
        <w:spacing w:line="288" w:lineRule="auto"/>
        <w:ind w:firstLine="294" w:firstLineChars="147"/>
        <w:rPr>
          <w:rFonts w:ascii="宋体" w:hAnsi="宋体"/>
          <w:iCs/>
          <w:sz w:val="20"/>
          <w:szCs w:val="20"/>
        </w:rPr>
      </w:pPr>
      <w:r>
        <w:rPr>
          <w:i/>
          <w:iCs/>
          <w:sz w:val="20"/>
          <w:szCs w:val="20"/>
        </w:rPr>
        <w:t>М</w:t>
      </w:r>
      <w:r>
        <w:rPr>
          <w:sz w:val="20"/>
          <w:szCs w:val="20"/>
          <w:vertAlign w:val="subscript"/>
        </w:rPr>
        <w:t>R</w:t>
      </w:r>
      <w:r>
        <w:rPr>
          <w:iCs/>
        </w:rPr>
        <w:t>——</w:t>
      </w:r>
      <w:r>
        <w:rPr>
          <w:rFonts w:hint="eastAsia" w:ascii="宋体" w:hAnsi="宋体"/>
          <w:sz w:val="20"/>
          <w:szCs w:val="20"/>
        </w:rPr>
        <w:t>抗滑力矩标准值；</w:t>
      </w:r>
      <w:r>
        <w:rPr>
          <w:rFonts w:ascii="宋体" w:hAnsi="宋体"/>
          <w:iCs/>
          <w:sz w:val="20"/>
          <w:szCs w:val="20"/>
        </w:rPr>
        <w:t xml:space="preserve"> </w:t>
      </w:r>
    </w:p>
    <w:p w14:paraId="0EDC0B72">
      <w:pPr>
        <w:adjustRightInd w:val="0"/>
        <w:snapToGrid w:val="0"/>
        <w:spacing w:line="288" w:lineRule="auto"/>
        <w:ind w:firstLine="448" w:firstLineChars="224"/>
        <w:rPr>
          <w:rFonts w:ascii="宋体" w:hAnsi="宋体"/>
          <w:sz w:val="20"/>
          <w:szCs w:val="20"/>
        </w:rPr>
      </w:pPr>
      <w:r>
        <w:rPr>
          <w:i/>
          <w:sz w:val="20"/>
          <w:szCs w:val="20"/>
        </w:rPr>
        <w:t>γ</w:t>
      </w:r>
      <w:r>
        <w:rPr>
          <w:iCs/>
        </w:rPr>
        <w:t>——</w:t>
      </w:r>
      <w:r>
        <w:rPr>
          <w:rFonts w:hint="eastAsia" w:ascii="宋体" w:hAnsi="宋体"/>
          <w:sz w:val="20"/>
          <w:szCs w:val="20"/>
        </w:rPr>
        <w:t>土的重度；</w:t>
      </w:r>
    </w:p>
    <w:p w14:paraId="43CB70C9">
      <w:pPr>
        <w:adjustRightInd w:val="0"/>
        <w:snapToGrid w:val="0"/>
        <w:spacing w:line="288" w:lineRule="auto"/>
        <w:ind w:firstLine="392" w:firstLineChars="196"/>
        <w:rPr>
          <w:rFonts w:ascii="宋体" w:hAnsi="宋体"/>
          <w:sz w:val="20"/>
          <w:szCs w:val="20"/>
        </w:rPr>
      </w:pPr>
      <w:r>
        <w:rPr>
          <w:i/>
          <w:sz w:val="20"/>
          <w:szCs w:val="20"/>
        </w:rPr>
        <w:t>γ</w:t>
      </w:r>
      <w:r>
        <w:rPr>
          <w:sz w:val="20"/>
          <w:szCs w:val="20"/>
          <w:vertAlign w:val="subscript"/>
        </w:rPr>
        <w:t>w</w:t>
      </w:r>
      <w:r>
        <w:rPr>
          <w:iCs/>
        </w:rPr>
        <w:t>——</w:t>
      </w:r>
      <w:r>
        <w:rPr>
          <w:rFonts w:hint="eastAsia" w:ascii="宋体" w:hAnsi="宋体"/>
          <w:sz w:val="20"/>
          <w:szCs w:val="20"/>
        </w:rPr>
        <w:t>地下水重度。</w:t>
      </w:r>
    </w:p>
    <w:p w14:paraId="5A216169">
      <w:pPr>
        <w:adjustRightInd w:val="0"/>
        <w:snapToGrid w:val="0"/>
        <w:spacing w:line="288" w:lineRule="auto"/>
        <w:rPr>
          <w:rFonts w:ascii="宋体" w:hAnsi="宋体"/>
          <w:sz w:val="20"/>
          <w:szCs w:val="20"/>
        </w:rPr>
      </w:pPr>
      <w:r>
        <w:rPr>
          <w:b/>
          <w:sz w:val="20"/>
          <w:szCs w:val="20"/>
        </w:rPr>
        <w:t>2.2.2</w:t>
      </w:r>
      <w:r>
        <w:rPr>
          <w:b/>
          <w:bCs/>
          <w:sz w:val="20"/>
          <w:szCs w:val="20"/>
        </w:rPr>
        <w:t xml:space="preserve"> </w:t>
      </w:r>
      <w:r>
        <w:rPr>
          <w:rFonts w:ascii="宋体" w:hAnsi="宋体"/>
          <w:bCs/>
          <w:sz w:val="20"/>
          <w:szCs w:val="20"/>
        </w:rPr>
        <w:t xml:space="preserve"> </w:t>
      </w:r>
      <w:r>
        <w:rPr>
          <w:rFonts w:hint="eastAsia" w:ascii="宋体" w:hAnsi="宋体"/>
          <w:sz w:val="20"/>
          <w:szCs w:val="20"/>
        </w:rPr>
        <w:t>作用和作用效应</w:t>
      </w:r>
    </w:p>
    <w:p w14:paraId="03DA406E">
      <w:pPr>
        <w:adjustRightInd w:val="0"/>
        <w:snapToGrid w:val="0"/>
        <w:spacing w:line="288" w:lineRule="auto"/>
        <w:ind w:firstLine="242" w:firstLineChars="121"/>
        <w:rPr>
          <w:rFonts w:ascii="宋体" w:hAnsi="宋体"/>
          <w:sz w:val="20"/>
          <w:szCs w:val="20"/>
        </w:rPr>
      </w:pPr>
      <w:r>
        <w:rPr>
          <w:i/>
          <w:sz w:val="20"/>
          <w:szCs w:val="20"/>
        </w:rPr>
        <w:t>p</w:t>
      </w:r>
      <w:r>
        <w:rPr>
          <w:sz w:val="20"/>
          <w:szCs w:val="20"/>
          <w:vertAlign w:val="subscript"/>
        </w:rPr>
        <w:t>ak</w:t>
      </w:r>
      <w:r>
        <w:rPr>
          <w:iCs/>
        </w:rPr>
        <w:t>——</w:t>
      </w:r>
      <w:r>
        <w:rPr>
          <w:rFonts w:hint="eastAsia" w:ascii="宋体" w:hAnsi="宋体"/>
          <w:sz w:val="20"/>
          <w:szCs w:val="20"/>
        </w:rPr>
        <w:t>主动土压力标准值；</w:t>
      </w:r>
    </w:p>
    <w:p w14:paraId="6FFA0E73">
      <w:pPr>
        <w:adjustRightInd w:val="0"/>
        <w:snapToGrid w:val="0"/>
        <w:spacing w:line="288" w:lineRule="auto"/>
        <w:ind w:firstLine="242" w:firstLineChars="121"/>
        <w:rPr>
          <w:rFonts w:ascii="宋体" w:hAnsi="宋体"/>
          <w:sz w:val="20"/>
          <w:szCs w:val="20"/>
        </w:rPr>
      </w:pPr>
      <w:r>
        <w:rPr>
          <w:i/>
          <w:sz w:val="20"/>
          <w:szCs w:val="20"/>
        </w:rPr>
        <w:t>p</w:t>
      </w:r>
      <w:r>
        <w:rPr>
          <w:i/>
          <w:sz w:val="20"/>
          <w:szCs w:val="20"/>
          <w:vertAlign w:val="subscript"/>
        </w:rPr>
        <w:t>p</w:t>
      </w:r>
      <w:r>
        <w:rPr>
          <w:sz w:val="20"/>
          <w:szCs w:val="20"/>
          <w:vertAlign w:val="subscript"/>
        </w:rPr>
        <w:t>k</w:t>
      </w:r>
      <w:r>
        <w:rPr>
          <w:iCs/>
        </w:rPr>
        <w:t>——</w:t>
      </w:r>
      <w:r>
        <w:rPr>
          <w:rFonts w:hint="eastAsia" w:ascii="宋体" w:hAnsi="宋体"/>
          <w:sz w:val="20"/>
          <w:szCs w:val="20"/>
        </w:rPr>
        <w:t>被动土压力标准值；</w:t>
      </w:r>
    </w:p>
    <w:p w14:paraId="7ED63286">
      <w:pPr>
        <w:adjustRightInd w:val="0"/>
        <w:snapToGrid w:val="0"/>
        <w:spacing w:line="288" w:lineRule="auto"/>
        <w:ind w:firstLine="378" w:firstLineChars="189"/>
        <w:rPr>
          <w:rFonts w:ascii="宋体" w:hAnsi="宋体"/>
          <w:sz w:val="20"/>
          <w:szCs w:val="20"/>
        </w:rPr>
      </w:pPr>
      <w:r>
        <w:rPr>
          <w:i/>
          <w:sz w:val="20"/>
          <w:szCs w:val="20"/>
        </w:rPr>
        <w:t>u</w:t>
      </w:r>
      <w:r>
        <w:rPr>
          <w:iCs/>
        </w:rPr>
        <w:t>——</w:t>
      </w:r>
      <w:r>
        <w:rPr>
          <w:rFonts w:hint="eastAsia" w:ascii="宋体" w:hAnsi="宋体"/>
          <w:sz w:val="20"/>
          <w:szCs w:val="20"/>
        </w:rPr>
        <w:t>孔隙水压力；</w:t>
      </w:r>
    </w:p>
    <w:p w14:paraId="55689EC9">
      <w:pPr>
        <w:adjustRightInd w:val="0"/>
        <w:snapToGrid w:val="0"/>
        <w:spacing w:line="288" w:lineRule="auto"/>
        <w:ind w:firstLine="300" w:firstLineChars="150"/>
        <w:rPr>
          <w:rFonts w:ascii="宋体" w:hAnsi="宋体"/>
          <w:sz w:val="20"/>
          <w:szCs w:val="20"/>
        </w:rPr>
      </w:pPr>
      <w:r>
        <w:rPr>
          <w:i/>
          <w:iCs/>
          <w:sz w:val="20"/>
          <w:szCs w:val="20"/>
        </w:rPr>
        <w:t>q</w:t>
      </w:r>
      <w:r>
        <w:rPr>
          <w:sz w:val="20"/>
          <w:szCs w:val="20"/>
          <w:vertAlign w:val="subscript"/>
        </w:rPr>
        <w:t>0</w:t>
      </w:r>
      <w:r>
        <w:rPr>
          <w:rFonts w:hint="eastAsia"/>
          <w:sz w:val="20"/>
          <w:szCs w:val="20"/>
          <w:vertAlign w:val="subscript"/>
        </w:rPr>
        <w:t xml:space="preserve"> </w:t>
      </w:r>
      <w:r>
        <w:rPr>
          <w:iCs/>
        </w:rPr>
        <w:t>——</w:t>
      </w:r>
      <w:r>
        <w:rPr>
          <w:rFonts w:hint="eastAsia" w:ascii="宋体" w:hAnsi="宋体"/>
          <w:sz w:val="20"/>
          <w:szCs w:val="20"/>
        </w:rPr>
        <w:t>均布附加荷载标准值；</w:t>
      </w:r>
    </w:p>
    <w:p w14:paraId="3F4DF056">
      <w:pPr>
        <w:adjustRightInd w:val="0"/>
        <w:snapToGrid w:val="0"/>
        <w:spacing w:line="288" w:lineRule="auto"/>
        <w:ind w:firstLine="300" w:firstLineChars="150"/>
        <w:rPr>
          <w:rFonts w:ascii="宋体" w:hAnsi="宋体"/>
          <w:sz w:val="20"/>
          <w:szCs w:val="20"/>
        </w:rPr>
      </w:pPr>
      <w:r>
        <w:rPr>
          <w:i/>
          <w:iCs/>
          <w:sz w:val="20"/>
          <w:szCs w:val="20"/>
        </w:rPr>
        <w:t>p</w:t>
      </w:r>
      <w:r>
        <w:rPr>
          <w:iCs/>
          <w:sz w:val="20"/>
          <w:szCs w:val="20"/>
          <w:vertAlign w:val="subscript"/>
        </w:rPr>
        <w:t>0</w:t>
      </w:r>
      <w:r>
        <w:rPr>
          <w:rFonts w:hint="eastAsia"/>
          <w:iCs/>
          <w:sz w:val="20"/>
          <w:szCs w:val="20"/>
          <w:vertAlign w:val="subscript"/>
        </w:rPr>
        <w:t xml:space="preserve"> </w:t>
      </w:r>
      <w:r>
        <w:rPr>
          <w:iCs/>
        </w:rPr>
        <w:t>——</w:t>
      </w:r>
      <w:r>
        <w:rPr>
          <w:rFonts w:hint="eastAsia" w:ascii="宋体" w:hAnsi="宋体"/>
          <w:bCs/>
          <w:sz w:val="20"/>
          <w:szCs w:val="20"/>
        </w:rPr>
        <w:t>基础底面附加压力</w:t>
      </w:r>
      <w:r>
        <w:rPr>
          <w:rFonts w:hint="eastAsia" w:ascii="宋体" w:hAnsi="宋体"/>
          <w:sz w:val="20"/>
          <w:szCs w:val="20"/>
        </w:rPr>
        <w:t>标准值；</w:t>
      </w:r>
    </w:p>
    <w:p w14:paraId="156D0A6F">
      <w:pPr>
        <w:adjustRightInd w:val="0"/>
        <w:snapToGrid w:val="0"/>
        <w:spacing w:line="288" w:lineRule="auto"/>
        <w:ind w:firstLine="200" w:firstLineChars="100"/>
        <w:rPr>
          <w:rFonts w:ascii="宋体" w:hAnsi="宋体"/>
          <w:sz w:val="20"/>
          <w:szCs w:val="20"/>
        </w:rPr>
      </w:pPr>
      <w:r>
        <w:rPr>
          <w:i/>
          <w:iCs/>
          <w:sz w:val="20"/>
          <w:szCs w:val="20"/>
        </w:rPr>
        <w:t>М</w:t>
      </w:r>
      <w:r>
        <w:rPr>
          <w:sz w:val="20"/>
          <w:szCs w:val="20"/>
          <w:vertAlign w:val="subscript"/>
        </w:rPr>
        <w:t>S</w:t>
      </w:r>
      <w:r>
        <w:rPr>
          <w:rFonts w:hint="eastAsia" w:ascii="宋体" w:hAnsi="宋体"/>
          <w:sz w:val="20"/>
          <w:szCs w:val="20"/>
          <w:vertAlign w:val="subscript"/>
        </w:rPr>
        <w:t xml:space="preserve"> </w:t>
      </w:r>
      <w:r>
        <w:rPr>
          <w:iCs/>
        </w:rPr>
        <w:t>——</w:t>
      </w:r>
      <w:r>
        <w:rPr>
          <w:rFonts w:hint="eastAsia" w:ascii="宋体" w:hAnsi="宋体"/>
          <w:sz w:val="20"/>
          <w:szCs w:val="20"/>
        </w:rPr>
        <w:t>滑动力矩标准值；</w:t>
      </w:r>
    </w:p>
    <w:p w14:paraId="4CCAA146">
      <w:pPr>
        <w:adjustRightInd w:val="0"/>
        <w:snapToGrid w:val="0"/>
        <w:spacing w:line="288" w:lineRule="auto"/>
        <w:ind w:firstLine="300" w:firstLineChars="150"/>
        <w:rPr>
          <w:rFonts w:ascii="宋体" w:hAnsi="宋体"/>
          <w:sz w:val="20"/>
          <w:szCs w:val="20"/>
        </w:rPr>
      </w:pPr>
      <w:r>
        <w:rPr>
          <w:i/>
          <w:sz w:val="20"/>
          <w:szCs w:val="20"/>
        </w:rPr>
        <w:t>M</w:t>
      </w:r>
      <w:r>
        <w:rPr>
          <w:iCs/>
        </w:rPr>
        <w:t>——</w:t>
      </w:r>
      <w:r>
        <w:rPr>
          <w:rFonts w:hint="eastAsia" w:ascii="宋体" w:hAnsi="宋体"/>
          <w:sz w:val="20"/>
          <w:szCs w:val="20"/>
        </w:rPr>
        <w:t>弯矩设计值；</w:t>
      </w:r>
    </w:p>
    <w:p w14:paraId="41D9E130">
      <w:pPr>
        <w:adjustRightInd w:val="0"/>
        <w:snapToGrid w:val="0"/>
        <w:spacing w:line="288" w:lineRule="auto"/>
        <w:ind w:firstLine="242" w:firstLineChars="121"/>
        <w:rPr>
          <w:rFonts w:ascii="宋体" w:hAnsi="宋体"/>
          <w:sz w:val="20"/>
          <w:szCs w:val="20"/>
        </w:rPr>
      </w:pPr>
      <w:r>
        <w:rPr>
          <w:i/>
          <w:iCs/>
          <w:sz w:val="20"/>
          <w:szCs w:val="20"/>
        </w:rPr>
        <w:t>M</w:t>
      </w:r>
      <w:r>
        <w:rPr>
          <w:sz w:val="20"/>
          <w:szCs w:val="20"/>
          <w:vertAlign w:val="subscript"/>
        </w:rPr>
        <w:t>k</w:t>
      </w:r>
      <w:r>
        <w:rPr>
          <w:iCs/>
        </w:rPr>
        <w:t>——</w:t>
      </w:r>
      <w:r>
        <w:rPr>
          <w:rFonts w:hint="eastAsia" w:ascii="宋体" w:hAnsi="宋体"/>
          <w:sz w:val="20"/>
          <w:szCs w:val="20"/>
        </w:rPr>
        <w:t>弯矩标准值；</w:t>
      </w:r>
    </w:p>
    <w:p w14:paraId="1A595BC0">
      <w:pPr>
        <w:adjustRightInd w:val="0"/>
        <w:snapToGrid w:val="0"/>
        <w:spacing w:line="288" w:lineRule="auto"/>
        <w:ind w:firstLine="322" w:firstLineChars="161"/>
        <w:rPr>
          <w:rFonts w:ascii="宋体" w:hAnsi="宋体"/>
          <w:sz w:val="20"/>
          <w:szCs w:val="20"/>
        </w:rPr>
      </w:pPr>
      <w:r>
        <w:rPr>
          <w:i/>
          <w:sz w:val="20"/>
          <w:szCs w:val="20"/>
        </w:rPr>
        <w:t>N</w:t>
      </w:r>
      <w:r>
        <w:rPr>
          <w:rFonts w:hint="eastAsia"/>
          <w:i/>
          <w:sz w:val="20"/>
          <w:szCs w:val="20"/>
        </w:rPr>
        <w:t xml:space="preserve"> </w:t>
      </w:r>
      <w:r>
        <w:rPr>
          <w:iCs/>
        </w:rPr>
        <w:t>——</w:t>
      </w:r>
      <w:r>
        <w:rPr>
          <w:rFonts w:hint="eastAsia" w:ascii="宋体" w:hAnsi="宋体"/>
          <w:sz w:val="20"/>
          <w:szCs w:val="20"/>
        </w:rPr>
        <w:t>轴向拉力或压力设计值；</w:t>
      </w:r>
    </w:p>
    <w:p w14:paraId="5E6C6154">
      <w:pPr>
        <w:adjustRightInd w:val="0"/>
        <w:snapToGrid w:val="0"/>
        <w:spacing w:line="288" w:lineRule="auto"/>
        <w:ind w:firstLine="300" w:firstLineChars="150"/>
        <w:rPr>
          <w:rFonts w:ascii="宋体" w:hAnsi="宋体"/>
          <w:sz w:val="20"/>
          <w:szCs w:val="20"/>
        </w:rPr>
      </w:pPr>
      <w:r>
        <w:rPr>
          <w:i/>
          <w:iCs/>
          <w:sz w:val="20"/>
          <w:szCs w:val="20"/>
        </w:rPr>
        <w:t>N</w:t>
      </w:r>
      <w:r>
        <w:rPr>
          <w:sz w:val="20"/>
          <w:szCs w:val="20"/>
          <w:vertAlign w:val="subscript"/>
        </w:rPr>
        <w:t>k</w:t>
      </w:r>
      <w:r>
        <w:rPr>
          <w:iCs/>
        </w:rPr>
        <w:t>——</w:t>
      </w:r>
      <w:r>
        <w:rPr>
          <w:rFonts w:hint="eastAsia" w:ascii="宋体" w:hAnsi="宋体"/>
          <w:sz w:val="20"/>
          <w:szCs w:val="20"/>
        </w:rPr>
        <w:t>轴向拉力或压力标准值；</w:t>
      </w:r>
    </w:p>
    <w:p w14:paraId="502A7D0F">
      <w:pPr>
        <w:adjustRightInd w:val="0"/>
        <w:snapToGrid w:val="0"/>
        <w:spacing w:line="288" w:lineRule="auto"/>
        <w:ind w:firstLine="364" w:firstLineChars="182"/>
        <w:rPr>
          <w:rFonts w:ascii="宋体" w:hAnsi="宋体"/>
          <w:sz w:val="20"/>
          <w:szCs w:val="20"/>
        </w:rPr>
      </w:pPr>
      <w:r>
        <w:rPr>
          <w:i/>
          <w:sz w:val="20"/>
          <w:szCs w:val="20"/>
        </w:rPr>
        <w:t>V</w:t>
      </w:r>
      <w:r>
        <w:rPr>
          <w:iCs/>
        </w:rPr>
        <w:t>——</w:t>
      </w:r>
      <w:r>
        <w:rPr>
          <w:rFonts w:hint="eastAsia" w:ascii="宋体" w:hAnsi="宋体"/>
          <w:sz w:val="20"/>
          <w:szCs w:val="20"/>
        </w:rPr>
        <w:t>剪力设计值；</w:t>
      </w:r>
    </w:p>
    <w:p w14:paraId="349ABB9E">
      <w:pPr>
        <w:adjustRightInd w:val="0"/>
        <w:snapToGrid w:val="0"/>
        <w:spacing w:line="288" w:lineRule="auto"/>
        <w:ind w:firstLine="300" w:firstLineChars="150"/>
        <w:rPr>
          <w:rFonts w:ascii="宋体" w:hAnsi="宋体"/>
          <w:sz w:val="20"/>
          <w:szCs w:val="20"/>
        </w:rPr>
      </w:pPr>
      <w:r>
        <w:rPr>
          <w:i/>
          <w:iCs/>
          <w:sz w:val="20"/>
          <w:szCs w:val="20"/>
        </w:rPr>
        <w:t>V</w:t>
      </w:r>
      <w:r>
        <w:rPr>
          <w:sz w:val="20"/>
          <w:szCs w:val="20"/>
          <w:vertAlign w:val="subscript"/>
        </w:rPr>
        <w:t>k</w:t>
      </w:r>
      <w:r>
        <w:rPr>
          <w:iCs/>
        </w:rPr>
        <w:t>——</w:t>
      </w:r>
      <w:r>
        <w:rPr>
          <w:rFonts w:hint="eastAsia" w:ascii="宋体" w:hAnsi="宋体"/>
          <w:sz w:val="20"/>
          <w:szCs w:val="20"/>
        </w:rPr>
        <w:t>剪力标准值；</w:t>
      </w:r>
    </w:p>
    <w:p w14:paraId="3B6644FC">
      <w:pPr>
        <w:adjustRightInd w:val="0"/>
        <w:snapToGrid w:val="0"/>
        <w:spacing w:line="288" w:lineRule="auto"/>
        <w:ind w:firstLine="300" w:firstLineChars="150"/>
        <w:rPr>
          <w:rFonts w:ascii="宋体" w:hAnsi="宋体"/>
          <w:sz w:val="20"/>
          <w:szCs w:val="20"/>
        </w:rPr>
      </w:pPr>
      <w:r>
        <w:rPr>
          <w:i/>
          <w:iCs/>
          <w:sz w:val="20"/>
          <w:szCs w:val="20"/>
        </w:rPr>
        <w:t>Q</w:t>
      </w:r>
      <w:r>
        <w:rPr>
          <w:rFonts w:hint="eastAsia"/>
          <w:i/>
          <w:iCs/>
          <w:sz w:val="20"/>
          <w:szCs w:val="20"/>
        </w:rPr>
        <w:t xml:space="preserve"> </w:t>
      </w:r>
      <w:r>
        <w:rPr>
          <w:iCs/>
        </w:rPr>
        <w:t>——</w:t>
      </w:r>
      <w:r>
        <w:rPr>
          <w:rFonts w:hint="eastAsia" w:ascii="宋体" w:hAnsi="宋体"/>
          <w:sz w:val="20"/>
          <w:szCs w:val="20"/>
        </w:rPr>
        <w:t>流量。</w:t>
      </w:r>
    </w:p>
    <w:p w14:paraId="52C9D5A0">
      <w:pPr>
        <w:adjustRightInd w:val="0"/>
        <w:snapToGrid w:val="0"/>
        <w:spacing w:line="288" w:lineRule="auto"/>
        <w:rPr>
          <w:rFonts w:ascii="宋体" w:hAnsi="宋体"/>
          <w:sz w:val="20"/>
          <w:szCs w:val="20"/>
        </w:rPr>
      </w:pPr>
      <w:r>
        <w:rPr>
          <w:b/>
          <w:sz w:val="20"/>
          <w:szCs w:val="20"/>
        </w:rPr>
        <w:t>2.2.3</w:t>
      </w:r>
      <w:r>
        <w:rPr>
          <w:rFonts w:ascii="宋体" w:hAnsi="宋体"/>
          <w:bCs/>
          <w:sz w:val="20"/>
          <w:szCs w:val="20"/>
        </w:rPr>
        <w:t xml:space="preserve">  </w:t>
      </w:r>
      <w:r>
        <w:rPr>
          <w:rFonts w:hint="eastAsia" w:ascii="宋体" w:hAnsi="宋体"/>
          <w:sz w:val="20"/>
          <w:szCs w:val="20"/>
        </w:rPr>
        <w:t>几何参数</w:t>
      </w:r>
    </w:p>
    <w:p w14:paraId="54D1BD7D">
      <w:pPr>
        <w:adjustRightInd w:val="0"/>
        <w:snapToGrid w:val="0"/>
        <w:spacing w:line="288" w:lineRule="auto"/>
        <w:ind w:firstLine="378" w:firstLineChars="189"/>
        <w:rPr>
          <w:rFonts w:ascii="宋体" w:hAnsi="宋体"/>
          <w:sz w:val="20"/>
          <w:szCs w:val="20"/>
        </w:rPr>
      </w:pPr>
      <w:r>
        <w:rPr>
          <w:i/>
          <w:sz w:val="20"/>
          <w:szCs w:val="20"/>
        </w:rPr>
        <w:t>A</w:t>
      </w:r>
      <w:r>
        <w:rPr>
          <w:iCs/>
        </w:rPr>
        <w:t>——</w:t>
      </w:r>
      <w:r>
        <w:rPr>
          <w:rFonts w:hint="eastAsia" w:ascii="宋体" w:hAnsi="宋体"/>
          <w:sz w:val="20"/>
          <w:szCs w:val="20"/>
        </w:rPr>
        <w:t>截面面积；</w:t>
      </w:r>
    </w:p>
    <w:p w14:paraId="7419BC32">
      <w:pPr>
        <w:adjustRightInd w:val="0"/>
        <w:snapToGrid w:val="0"/>
        <w:spacing w:line="288" w:lineRule="auto"/>
        <w:ind w:firstLine="400" w:firstLineChars="200"/>
        <w:rPr>
          <w:rFonts w:ascii="宋体" w:hAnsi="宋体"/>
          <w:sz w:val="20"/>
          <w:szCs w:val="20"/>
        </w:rPr>
      </w:pPr>
      <w:r>
        <w:rPr>
          <w:i/>
          <w:sz w:val="20"/>
          <w:szCs w:val="20"/>
        </w:rPr>
        <w:t>b</w:t>
      </w:r>
      <w:r>
        <w:rPr>
          <w:iCs/>
        </w:rPr>
        <w:t>——</w:t>
      </w:r>
      <w:r>
        <w:rPr>
          <w:rFonts w:hint="eastAsia" w:ascii="宋体" w:hAnsi="宋体"/>
          <w:bCs/>
          <w:sz w:val="20"/>
          <w:szCs w:val="20"/>
        </w:rPr>
        <w:t>截面宽度</w:t>
      </w:r>
      <w:r>
        <w:rPr>
          <w:rFonts w:hint="eastAsia" w:ascii="宋体" w:hAnsi="宋体"/>
          <w:sz w:val="20"/>
          <w:szCs w:val="20"/>
        </w:rPr>
        <w:t>；</w:t>
      </w:r>
    </w:p>
    <w:p w14:paraId="0FCCF858">
      <w:pPr>
        <w:adjustRightInd w:val="0"/>
        <w:snapToGrid w:val="0"/>
        <w:spacing w:line="288" w:lineRule="auto"/>
        <w:ind w:firstLine="400" w:firstLineChars="200"/>
        <w:rPr>
          <w:rFonts w:ascii="宋体" w:hAnsi="宋体"/>
          <w:sz w:val="20"/>
          <w:szCs w:val="20"/>
        </w:rPr>
      </w:pPr>
      <w:r>
        <w:rPr>
          <w:i/>
          <w:sz w:val="20"/>
          <w:szCs w:val="20"/>
        </w:rPr>
        <w:t>d</w:t>
      </w:r>
      <w:r>
        <w:rPr>
          <w:iCs/>
        </w:rPr>
        <w:t>——</w:t>
      </w:r>
      <w:r>
        <w:rPr>
          <w:rFonts w:hint="eastAsia" w:ascii="宋体" w:hAnsi="宋体"/>
          <w:bCs/>
          <w:sz w:val="20"/>
          <w:szCs w:val="20"/>
        </w:rPr>
        <w:t>桩、</w:t>
      </w:r>
      <w:r>
        <w:rPr>
          <w:rFonts w:hint="eastAsia" w:ascii="宋体" w:hAnsi="宋体"/>
          <w:sz w:val="20"/>
          <w:szCs w:val="20"/>
        </w:rPr>
        <w:t>锚杆、土钉的直径或</w:t>
      </w:r>
      <w:r>
        <w:rPr>
          <w:rFonts w:hint="eastAsia" w:ascii="宋体" w:hAnsi="宋体"/>
          <w:bCs/>
          <w:sz w:val="20"/>
          <w:szCs w:val="20"/>
        </w:rPr>
        <w:t>基础埋置深度</w:t>
      </w:r>
      <w:r>
        <w:rPr>
          <w:rFonts w:hint="eastAsia" w:ascii="宋体" w:hAnsi="宋体"/>
          <w:sz w:val="20"/>
          <w:szCs w:val="20"/>
        </w:rPr>
        <w:t>；</w:t>
      </w:r>
    </w:p>
    <w:p w14:paraId="4AF2D959">
      <w:pPr>
        <w:adjustRightInd w:val="0"/>
        <w:snapToGrid w:val="0"/>
        <w:spacing w:line="288" w:lineRule="auto"/>
        <w:ind w:firstLine="400" w:firstLineChars="200"/>
        <w:rPr>
          <w:rFonts w:ascii="宋体" w:hAnsi="宋体"/>
          <w:sz w:val="20"/>
          <w:szCs w:val="20"/>
        </w:rPr>
      </w:pPr>
      <w:r>
        <w:rPr>
          <w:i/>
          <w:sz w:val="20"/>
          <w:szCs w:val="20"/>
        </w:rPr>
        <w:t>h</w:t>
      </w:r>
      <w:r>
        <w:rPr>
          <w:iCs/>
        </w:rPr>
        <w:t>——</w:t>
      </w:r>
      <w:r>
        <w:rPr>
          <w:rFonts w:hint="eastAsia" w:ascii="宋体" w:hAnsi="宋体"/>
          <w:sz w:val="20"/>
          <w:szCs w:val="20"/>
        </w:rPr>
        <w:t>基坑深度或截面高度；</w:t>
      </w:r>
    </w:p>
    <w:p w14:paraId="32BED56D">
      <w:pPr>
        <w:adjustRightInd w:val="0"/>
        <w:snapToGrid w:val="0"/>
        <w:spacing w:line="288" w:lineRule="auto"/>
        <w:ind w:firstLine="342" w:firstLineChars="171"/>
        <w:rPr>
          <w:rFonts w:ascii="宋体" w:hAnsi="宋体"/>
          <w:sz w:val="20"/>
          <w:szCs w:val="20"/>
        </w:rPr>
      </w:pPr>
      <w:r>
        <w:rPr>
          <w:i/>
          <w:sz w:val="20"/>
          <w:szCs w:val="20"/>
        </w:rPr>
        <w:t>H</w:t>
      </w:r>
      <w:r>
        <w:rPr>
          <w:rFonts w:hint="eastAsia"/>
          <w:i/>
          <w:sz w:val="20"/>
          <w:szCs w:val="20"/>
        </w:rPr>
        <w:t xml:space="preserve"> </w:t>
      </w:r>
      <w:r>
        <w:rPr>
          <w:iCs/>
        </w:rPr>
        <w:t>——</w:t>
      </w:r>
      <w:r>
        <w:rPr>
          <w:rFonts w:hint="eastAsia" w:ascii="宋体" w:hAnsi="宋体"/>
          <w:sz w:val="20"/>
          <w:szCs w:val="20"/>
        </w:rPr>
        <w:t>潜水含水层厚度或承压水头高于含水层顶板的高度；</w:t>
      </w:r>
    </w:p>
    <w:p w14:paraId="1236B09B">
      <w:pPr>
        <w:adjustRightInd w:val="0"/>
        <w:snapToGrid w:val="0"/>
        <w:spacing w:line="288" w:lineRule="auto"/>
        <w:ind w:firstLine="405" w:firstLineChars="203"/>
        <w:rPr>
          <w:rFonts w:ascii="宋体" w:hAnsi="宋体"/>
          <w:sz w:val="20"/>
          <w:szCs w:val="20"/>
        </w:rPr>
      </w:pPr>
      <w:r>
        <w:rPr>
          <w:i/>
          <w:sz w:val="20"/>
          <w:szCs w:val="20"/>
        </w:rPr>
        <w:t>l</w:t>
      </w:r>
      <w:r>
        <w:rPr>
          <w:rFonts w:hint="eastAsia"/>
          <w:i/>
          <w:sz w:val="20"/>
          <w:szCs w:val="20"/>
        </w:rPr>
        <w:t xml:space="preserve"> </w:t>
      </w:r>
      <w:r>
        <w:rPr>
          <w:iCs/>
        </w:rPr>
        <w:t>——</w:t>
      </w:r>
      <w:r>
        <w:rPr>
          <w:rFonts w:hint="eastAsia" w:ascii="宋体" w:hAnsi="宋体"/>
          <w:sz w:val="20"/>
          <w:szCs w:val="20"/>
        </w:rPr>
        <w:t>长度；</w:t>
      </w:r>
    </w:p>
    <w:p w14:paraId="66C8B5FC">
      <w:pPr>
        <w:adjustRightInd w:val="0"/>
        <w:snapToGrid w:val="0"/>
        <w:spacing w:line="288" w:lineRule="auto"/>
        <w:ind w:firstLine="392" w:firstLineChars="196"/>
        <w:rPr>
          <w:rFonts w:ascii="宋体" w:hAnsi="宋体"/>
          <w:sz w:val="20"/>
          <w:szCs w:val="20"/>
        </w:rPr>
      </w:pPr>
      <w:r>
        <w:rPr>
          <w:i/>
          <w:sz w:val="20"/>
          <w:szCs w:val="20"/>
        </w:rPr>
        <w:t>l</w:t>
      </w:r>
      <w:r>
        <w:rPr>
          <w:sz w:val="20"/>
          <w:szCs w:val="20"/>
          <w:vertAlign w:val="subscript"/>
        </w:rPr>
        <w:t>d</w:t>
      </w:r>
      <w:r>
        <w:rPr>
          <w:iCs/>
        </w:rPr>
        <w:t>——</w:t>
      </w:r>
      <w:r>
        <w:rPr>
          <w:rFonts w:hint="eastAsia" w:ascii="宋体" w:hAnsi="宋体"/>
          <w:sz w:val="20"/>
          <w:szCs w:val="20"/>
        </w:rPr>
        <w:t>挡土构件的嵌固深度；</w:t>
      </w:r>
    </w:p>
    <w:p w14:paraId="020BB887">
      <w:pPr>
        <w:adjustRightInd w:val="0"/>
        <w:snapToGrid w:val="0"/>
        <w:spacing w:line="288" w:lineRule="auto"/>
        <w:ind w:firstLine="378" w:firstLineChars="189"/>
        <w:rPr>
          <w:rFonts w:ascii="宋体" w:hAnsi="宋体"/>
          <w:sz w:val="20"/>
          <w:szCs w:val="20"/>
        </w:rPr>
      </w:pPr>
      <w:r>
        <w:rPr>
          <w:i/>
          <w:sz w:val="20"/>
          <w:szCs w:val="20"/>
        </w:rPr>
        <w:t>l</w:t>
      </w:r>
      <w:r>
        <w:rPr>
          <w:sz w:val="20"/>
          <w:szCs w:val="20"/>
          <w:vertAlign w:val="subscript"/>
        </w:rPr>
        <w:t>f</w:t>
      </w:r>
      <w:r>
        <w:rPr>
          <w:rFonts w:hint="eastAsia" w:ascii="宋体" w:hAnsi="宋体"/>
          <w:sz w:val="20"/>
          <w:szCs w:val="20"/>
          <w:vertAlign w:val="subscript"/>
        </w:rPr>
        <w:t xml:space="preserve"> </w:t>
      </w:r>
      <w:r>
        <w:rPr>
          <w:iCs/>
        </w:rPr>
        <w:t>——</w:t>
      </w:r>
      <w:r>
        <w:rPr>
          <w:rFonts w:hint="eastAsia" w:ascii="宋体" w:hAnsi="宋体"/>
          <w:sz w:val="20"/>
          <w:szCs w:val="20"/>
        </w:rPr>
        <w:t>锚杆非锚固段长度；</w:t>
      </w:r>
    </w:p>
    <w:p w14:paraId="3D3B9754">
      <w:pPr>
        <w:adjustRightInd w:val="0"/>
        <w:snapToGrid w:val="0"/>
        <w:spacing w:line="288" w:lineRule="auto"/>
        <w:ind w:firstLine="378" w:firstLineChars="189"/>
        <w:rPr>
          <w:rFonts w:ascii="宋体" w:hAnsi="宋体"/>
          <w:sz w:val="20"/>
          <w:szCs w:val="20"/>
        </w:rPr>
      </w:pPr>
      <w:r>
        <w:rPr>
          <w:i/>
          <w:sz w:val="20"/>
          <w:szCs w:val="20"/>
        </w:rPr>
        <w:t>s</w:t>
      </w:r>
      <w:r>
        <w:rPr>
          <w:sz w:val="20"/>
          <w:szCs w:val="20"/>
          <w:vertAlign w:val="subscript"/>
        </w:rPr>
        <w:t>x</w:t>
      </w:r>
      <w:r>
        <w:rPr>
          <w:iCs/>
        </w:rPr>
        <w:t>——</w:t>
      </w:r>
      <w:r>
        <w:rPr>
          <w:rFonts w:hint="eastAsia" w:ascii="宋体" w:hAnsi="宋体"/>
          <w:sz w:val="20"/>
          <w:szCs w:val="20"/>
        </w:rPr>
        <w:t>锚杆的水平间距；</w:t>
      </w:r>
    </w:p>
    <w:p w14:paraId="0872B1DE">
      <w:pPr>
        <w:adjustRightInd w:val="0"/>
        <w:snapToGrid w:val="0"/>
        <w:spacing w:line="288" w:lineRule="auto"/>
        <w:ind w:firstLine="364" w:firstLineChars="182"/>
        <w:rPr>
          <w:rFonts w:ascii="宋体" w:hAnsi="宋体"/>
          <w:sz w:val="20"/>
          <w:szCs w:val="20"/>
        </w:rPr>
      </w:pPr>
      <w:r>
        <w:rPr>
          <w:i/>
          <w:sz w:val="20"/>
          <w:szCs w:val="20"/>
        </w:rPr>
        <w:t>α</w:t>
      </w:r>
      <w:r>
        <w:rPr>
          <w:rFonts w:hint="eastAsia"/>
          <w:i/>
          <w:sz w:val="20"/>
          <w:szCs w:val="20"/>
        </w:rPr>
        <w:t xml:space="preserve"> </w:t>
      </w:r>
      <w:r>
        <w:rPr>
          <w:iCs/>
        </w:rPr>
        <w:t>——</w:t>
      </w:r>
      <w:r>
        <w:rPr>
          <w:rFonts w:hint="eastAsia" w:ascii="宋体" w:hAnsi="宋体"/>
          <w:iCs/>
          <w:sz w:val="20"/>
          <w:szCs w:val="20"/>
        </w:rPr>
        <w:t>土钉或锚杆轴线与水平面的夹角；</w:t>
      </w:r>
    </w:p>
    <w:p w14:paraId="2E43C176">
      <w:pPr>
        <w:adjustRightInd w:val="0"/>
        <w:snapToGrid w:val="0"/>
        <w:spacing w:line="288" w:lineRule="auto"/>
        <w:ind w:firstLine="378" w:firstLineChars="189"/>
        <w:rPr>
          <w:rFonts w:ascii="宋体" w:hAnsi="宋体"/>
          <w:iCs/>
          <w:sz w:val="20"/>
          <w:szCs w:val="20"/>
        </w:rPr>
      </w:pPr>
      <w:r>
        <w:rPr>
          <w:i/>
          <w:sz w:val="20"/>
          <w:szCs w:val="20"/>
        </w:rPr>
        <w:t>β</w:t>
      </w:r>
      <w:r>
        <w:rPr>
          <w:rFonts w:hint="eastAsia"/>
          <w:i/>
          <w:sz w:val="20"/>
          <w:szCs w:val="20"/>
        </w:rPr>
        <w:t xml:space="preserve"> </w:t>
      </w:r>
      <w:r>
        <w:rPr>
          <w:iCs/>
        </w:rPr>
        <w:t>——</w:t>
      </w:r>
      <w:r>
        <w:rPr>
          <w:rFonts w:hint="eastAsia" w:ascii="宋体" w:hAnsi="宋体"/>
          <w:sz w:val="20"/>
          <w:szCs w:val="20"/>
        </w:rPr>
        <w:t>土钉墙坡面与水平面的夹角；</w:t>
      </w:r>
    </w:p>
    <w:p w14:paraId="689E0CCD">
      <w:pPr>
        <w:adjustRightInd w:val="0"/>
        <w:snapToGrid w:val="0"/>
        <w:spacing w:line="288" w:lineRule="auto"/>
        <w:ind w:firstLine="405" w:firstLineChars="203"/>
        <w:rPr>
          <w:rFonts w:ascii="宋体" w:hAnsi="宋体"/>
          <w:sz w:val="20"/>
          <w:szCs w:val="20"/>
        </w:rPr>
      </w:pPr>
      <w:r>
        <w:rPr>
          <w:i/>
          <w:sz w:val="20"/>
          <w:szCs w:val="20"/>
        </w:rPr>
        <w:t>R</w:t>
      </w:r>
      <w:r>
        <w:rPr>
          <w:iCs/>
        </w:rPr>
        <w:t>——</w:t>
      </w:r>
      <w:r>
        <w:rPr>
          <w:rFonts w:hint="eastAsia" w:ascii="宋体" w:hAnsi="宋体"/>
          <w:sz w:val="20"/>
          <w:szCs w:val="20"/>
        </w:rPr>
        <w:t>影响半径。</w:t>
      </w:r>
    </w:p>
    <w:p w14:paraId="66098671">
      <w:pPr>
        <w:adjustRightInd w:val="0"/>
        <w:snapToGrid w:val="0"/>
        <w:spacing w:line="288" w:lineRule="auto"/>
        <w:rPr>
          <w:rFonts w:ascii="宋体" w:hAnsi="宋体"/>
          <w:sz w:val="20"/>
          <w:szCs w:val="20"/>
        </w:rPr>
      </w:pPr>
      <w:r>
        <w:rPr>
          <w:b/>
          <w:sz w:val="20"/>
          <w:szCs w:val="20"/>
        </w:rPr>
        <w:t xml:space="preserve">2.2.4 </w:t>
      </w:r>
      <w:r>
        <w:rPr>
          <w:rFonts w:ascii="宋体" w:hAnsi="宋体"/>
          <w:sz w:val="20"/>
          <w:szCs w:val="20"/>
        </w:rPr>
        <w:t xml:space="preserve"> </w:t>
      </w:r>
      <w:r>
        <w:rPr>
          <w:rFonts w:hint="eastAsia" w:ascii="宋体" w:hAnsi="宋体"/>
          <w:sz w:val="20"/>
          <w:szCs w:val="20"/>
        </w:rPr>
        <w:t>计算系数</w:t>
      </w:r>
    </w:p>
    <w:p w14:paraId="7E8EC59E">
      <w:pPr>
        <w:adjustRightInd w:val="0"/>
        <w:snapToGrid w:val="0"/>
        <w:spacing w:line="288" w:lineRule="auto"/>
        <w:ind w:firstLine="426" w:firstLineChars="213"/>
        <w:rPr>
          <w:rFonts w:ascii="宋体" w:hAnsi="宋体"/>
          <w:sz w:val="20"/>
          <w:szCs w:val="20"/>
        </w:rPr>
      </w:pPr>
      <w:r>
        <w:rPr>
          <w:i/>
          <w:iCs/>
          <w:sz w:val="20"/>
          <w:szCs w:val="20"/>
        </w:rPr>
        <w:t>α</w:t>
      </w:r>
      <w:r>
        <w:rPr>
          <w:rFonts w:hint="eastAsia"/>
          <w:i/>
          <w:iCs/>
          <w:sz w:val="20"/>
          <w:szCs w:val="20"/>
        </w:rPr>
        <w:t xml:space="preserve"> </w:t>
      </w:r>
      <w:r>
        <w:rPr>
          <w:iCs/>
        </w:rPr>
        <w:t>——</w:t>
      </w:r>
      <w:r>
        <w:rPr>
          <w:rFonts w:hint="eastAsia" w:ascii="宋体" w:hAnsi="宋体"/>
          <w:iCs/>
          <w:sz w:val="20"/>
          <w:szCs w:val="20"/>
        </w:rPr>
        <w:t>相对距离比；</w:t>
      </w:r>
    </w:p>
    <w:p w14:paraId="1CBE1938">
      <w:pPr>
        <w:adjustRightInd w:val="0"/>
        <w:snapToGrid w:val="0"/>
        <w:spacing w:line="288" w:lineRule="auto"/>
        <w:ind w:firstLine="400" w:firstLineChars="200"/>
        <w:rPr>
          <w:rFonts w:ascii="宋体" w:hAnsi="宋体"/>
          <w:sz w:val="20"/>
          <w:szCs w:val="20"/>
        </w:rPr>
      </w:pPr>
      <w:r>
        <w:rPr>
          <w:i/>
          <w:iCs/>
          <w:sz w:val="20"/>
          <w:szCs w:val="20"/>
        </w:rPr>
        <w:t>γ</w:t>
      </w:r>
      <w:r>
        <w:rPr>
          <w:sz w:val="20"/>
          <w:szCs w:val="20"/>
          <w:vertAlign w:val="subscript"/>
        </w:rPr>
        <w:t>o</w:t>
      </w:r>
      <w:r>
        <w:rPr>
          <w:rFonts w:hint="eastAsia"/>
          <w:sz w:val="20"/>
          <w:szCs w:val="20"/>
          <w:vertAlign w:val="subscript"/>
        </w:rPr>
        <w:t xml:space="preserve"> </w:t>
      </w:r>
      <w:r>
        <w:rPr>
          <w:iCs/>
        </w:rPr>
        <w:t>——</w:t>
      </w:r>
      <w:r>
        <w:rPr>
          <w:rFonts w:hint="eastAsia" w:ascii="宋体" w:hAnsi="宋体"/>
          <w:sz w:val="20"/>
          <w:szCs w:val="20"/>
        </w:rPr>
        <w:t>支护结构重要性系数；</w:t>
      </w:r>
    </w:p>
    <w:p w14:paraId="735B1EC6">
      <w:pPr>
        <w:adjustRightInd w:val="0"/>
        <w:snapToGrid w:val="0"/>
        <w:spacing w:line="288" w:lineRule="auto"/>
        <w:ind w:firstLine="400" w:firstLineChars="200"/>
        <w:rPr>
          <w:rFonts w:ascii="宋体" w:hAnsi="宋体"/>
          <w:iCs/>
          <w:sz w:val="20"/>
          <w:szCs w:val="20"/>
        </w:rPr>
      </w:pPr>
      <w:r>
        <w:rPr>
          <w:i/>
          <w:sz w:val="20"/>
          <w:szCs w:val="20"/>
        </w:rPr>
        <w:t>K</w:t>
      </w:r>
      <w:r>
        <w:rPr>
          <w:sz w:val="20"/>
          <w:szCs w:val="20"/>
          <w:vertAlign w:val="subscript"/>
        </w:rPr>
        <w:t>t</w:t>
      </w:r>
      <w:r>
        <w:rPr>
          <w:iCs/>
        </w:rPr>
        <w:t>——</w:t>
      </w:r>
      <w:r>
        <w:rPr>
          <w:rFonts w:hint="eastAsia" w:ascii="宋体" w:hAnsi="宋体"/>
          <w:iCs/>
          <w:sz w:val="20"/>
          <w:szCs w:val="20"/>
        </w:rPr>
        <w:t>土钉或锚杆抗拔安全系数；</w:t>
      </w:r>
    </w:p>
    <w:p w14:paraId="405DFCDB">
      <w:pPr>
        <w:adjustRightInd w:val="0"/>
        <w:snapToGrid w:val="0"/>
        <w:spacing w:line="288" w:lineRule="auto"/>
        <w:ind w:firstLine="392" w:firstLineChars="196"/>
        <w:rPr>
          <w:rFonts w:ascii="宋体" w:hAnsi="宋体"/>
          <w:sz w:val="20"/>
          <w:szCs w:val="20"/>
        </w:rPr>
      </w:pPr>
      <w:r>
        <w:rPr>
          <w:i/>
          <w:sz w:val="20"/>
          <w:szCs w:val="20"/>
        </w:rPr>
        <w:t>K</w:t>
      </w:r>
      <w:r>
        <w:rPr>
          <w:sz w:val="20"/>
          <w:szCs w:val="20"/>
          <w:vertAlign w:val="subscript"/>
        </w:rPr>
        <w:t>e</w:t>
      </w:r>
      <w:r>
        <w:rPr>
          <w:iCs/>
        </w:rPr>
        <w:t>——</w:t>
      </w:r>
      <w:r>
        <w:rPr>
          <w:rFonts w:hint="eastAsia" w:ascii="宋体" w:hAnsi="宋体"/>
          <w:sz w:val="20"/>
          <w:szCs w:val="20"/>
        </w:rPr>
        <w:t>嵌固稳定安全系数；</w:t>
      </w:r>
    </w:p>
    <w:p w14:paraId="5A793D5F">
      <w:pPr>
        <w:adjustRightInd w:val="0"/>
        <w:snapToGrid w:val="0"/>
        <w:spacing w:line="288" w:lineRule="auto"/>
        <w:ind w:firstLine="392" w:firstLineChars="196"/>
        <w:rPr>
          <w:rFonts w:ascii="宋体" w:hAnsi="宋体"/>
          <w:sz w:val="20"/>
          <w:szCs w:val="20"/>
        </w:rPr>
      </w:pPr>
      <w:r>
        <w:rPr>
          <w:i/>
          <w:sz w:val="20"/>
          <w:szCs w:val="20"/>
        </w:rPr>
        <w:t>K</w:t>
      </w:r>
      <w:r>
        <w:rPr>
          <w:sz w:val="20"/>
          <w:szCs w:val="20"/>
          <w:vertAlign w:val="subscript"/>
        </w:rPr>
        <w:t>s</w:t>
      </w:r>
      <w:r>
        <w:rPr>
          <w:iCs/>
        </w:rPr>
        <w:t>——</w:t>
      </w:r>
      <w:r>
        <w:rPr>
          <w:rFonts w:hint="eastAsia" w:ascii="宋体" w:hAnsi="宋体"/>
          <w:sz w:val="20"/>
          <w:szCs w:val="20"/>
        </w:rPr>
        <w:t>圆弧滑动稳定安全系数；</w:t>
      </w:r>
    </w:p>
    <w:p w14:paraId="1B879E90">
      <w:pPr>
        <w:adjustRightInd w:val="0"/>
        <w:snapToGrid w:val="0"/>
        <w:spacing w:line="288" w:lineRule="auto"/>
        <w:ind w:firstLine="242" w:firstLineChars="121"/>
        <w:rPr>
          <w:rFonts w:ascii="宋体" w:hAnsi="宋体"/>
          <w:sz w:val="20"/>
          <w:szCs w:val="20"/>
        </w:rPr>
      </w:pPr>
      <w:r>
        <w:rPr>
          <w:i/>
          <w:sz w:val="20"/>
          <w:szCs w:val="20"/>
        </w:rPr>
        <w:t>K</w:t>
      </w:r>
      <w:r>
        <w:rPr>
          <w:sz w:val="20"/>
          <w:szCs w:val="20"/>
          <w:vertAlign w:val="subscript"/>
        </w:rPr>
        <w:t xml:space="preserve"> se1</w:t>
      </w:r>
      <w:r>
        <w:rPr>
          <w:iCs/>
        </w:rPr>
        <w:t>——</w:t>
      </w:r>
      <w:r>
        <w:rPr>
          <w:rFonts w:hint="eastAsia" w:ascii="宋体" w:hAnsi="宋体"/>
          <w:sz w:val="20"/>
          <w:szCs w:val="20"/>
        </w:rPr>
        <w:t>突涌稳定性安全系数；</w:t>
      </w:r>
    </w:p>
    <w:p w14:paraId="176BDD17">
      <w:pPr>
        <w:adjustRightInd w:val="0"/>
        <w:snapToGrid w:val="0"/>
        <w:spacing w:line="288" w:lineRule="auto"/>
        <w:ind w:firstLine="242" w:firstLineChars="121"/>
        <w:rPr>
          <w:rFonts w:ascii="宋体" w:hAnsi="宋体"/>
          <w:sz w:val="20"/>
          <w:szCs w:val="20"/>
        </w:rPr>
      </w:pPr>
      <w:r>
        <w:rPr>
          <w:i/>
          <w:sz w:val="20"/>
          <w:szCs w:val="20"/>
        </w:rPr>
        <w:t>K</w:t>
      </w:r>
      <w:r>
        <w:rPr>
          <w:sz w:val="20"/>
          <w:szCs w:val="20"/>
          <w:vertAlign w:val="subscript"/>
        </w:rPr>
        <w:t xml:space="preserve">se2 </w:t>
      </w:r>
      <w:r>
        <w:rPr>
          <w:iCs/>
        </w:rPr>
        <w:t>——</w:t>
      </w:r>
      <w:r>
        <w:rPr>
          <w:rFonts w:hint="eastAsia" w:ascii="宋体" w:hAnsi="宋体"/>
          <w:sz w:val="20"/>
          <w:szCs w:val="20"/>
        </w:rPr>
        <w:t>流土稳定性安全系数；</w:t>
      </w:r>
    </w:p>
    <w:p w14:paraId="2629C9BA">
      <w:pPr>
        <w:adjustRightInd w:val="0"/>
        <w:snapToGrid w:val="0"/>
        <w:spacing w:line="288" w:lineRule="auto"/>
        <w:ind w:firstLine="426" w:firstLineChars="213"/>
        <w:rPr>
          <w:rFonts w:ascii="宋体" w:hAnsi="宋体"/>
          <w:iCs/>
          <w:sz w:val="20"/>
          <w:szCs w:val="20"/>
        </w:rPr>
      </w:pPr>
      <w:r>
        <w:rPr>
          <w:i/>
          <w:sz w:val="20"/>
          <w:szCs w:val="20"/>
        </w:rPr>
        <w:t>η</w:t>
      </w:r>
      <w:r>
        <w:rPr>
          <w:rFonts w:hint="eastAsia"/>
          <w:i/>
          <w:sz w:val="20"/>
          <w:szCs w:val="20"/>
        </w:rPr>
        <w:t xml:space="preserve"> </w:t>
      </w:r>
      <w:r>
        <w:rPr>
          <w:iCs/>
        </w:rPr>
        <w:t>——</w:t>
      </w:r>
      <w:r>
        <w:rPr>
          <w:rFonts w:hint="eastAsia" w:ascii="宋体" w:hAnsi="宋体"/>
          <w:sz w:val="20"/>
          <w:szCs w:val="20"/>
        </w:rPr>
        <w:t>弯矩折减系数；</w:t>
      </w:r>
    </w:p>
    <w:p w14:paraId="1661E2BC">
      <w:pPr>
        <w:adjustRightInd w:val="0"/>
        <w:snapToGrid w:val="0"/>
        <w:spacing w:line="288" w:lineRule="auto"/>
        <w:ind w:firstLine="400" w:firstLineChars="200"/>
        <w:rPr>
          <w:rFonts w:ascii="宋体" w:hAnsi="宋体"/>
          <w:sz w:val="20"/>
          <w:szCs w:val="20"/>
        </w:rPr>
      </w:pPr>
      <w:r>
        <w:rPr>
          <w:i/>
          <w:sz w:val="20"/>
          <w:szCs w:val="20"/>
        </w:rPr>
        <w:t>η</w:t>
      </w:r>
      <w:r>
        <w:rPr>
          <w:sz w:val="20"/>
          <w:szCs w:val="20"/>
          <w:vertAlign w:val="subscript"/>
        </w:rPr>
        <w:t>j</w:t>
      </w:r>
      <w:r>
        <w:rPr>
          <w:rFonts w:hint="eastAsia" w:ascii="宋体" w:hAnsi="宋体"/>
          <w:sz w:val="20"/>
          <w:szCs w:val="20"/>
          <w:vertAlign w:val="subscript"/>
        </w:rPr>
        <w:t xml:space="preserve"> </w:t>
      </w:r>
      <w:r>
        <w:rPr>
          <w:iCs/>
        </w:rPr>
        <w:t>——</w:t>
      </w:r>
      <w:r>
        <w:rPr>
          <w:rFonts w:hint="eastAsia" w:ascii="宋体" w:hAnsi="宋体"/>
          <w:sz w:val="20"/>
          <w:szCs w:val="20"/>
        </w:rPr>
        <w:t>土钉轴向拉力调整系数。</w:t>
      </w:r>
    </w:p>
    <w:p w14:paraId="7B141627">
      <w:pPr>
        <w:adjustRightInd w:val="0"/>
        <w:snapToGrid w:val="0"/>
        <w:spacing w:line="288" w:lineRule="auto"/>
        <w:ind w:firstLine="426" w:firstLineChars="213"/>
        <w:rPr>
          <w:i/>
          <w:sz w:val="20"/>
          <w:szCs w:val="20"/>
        </w:rPr>
      </w:pPr>
      <w:r>
        <w:rPr>
          <w:rFonts w:hint="eastAsia"/>
          <w:i/>
          <w:sz w:val="20"/>
          <w:szCs w:val="20"/>
        </w:rPr>
        <w:t>Cui</w:t>
      </w:r>
      <w:r>
        <w:rPr>
          <w:i/>
          <w:sz w:val="20"/>
          <w:szCs w:val="20"/>
        </w:rPr>
        <w:t xml:space="preserve"> ——</w:t>
      </w:r>
      <w:r>
        <w:rPr>
          <w:iCs/>
          <w:sz w:val="20"/>
          <w:szCs w:val="20"/>
        </w:rPr>
        <w:t>与单位工程量对应的碳排放因子；</w:t>
      </w:r>
    </w:p>
    <w:p w14:paraId="7C08D69D">
      <w:pPr>
        <w:adjustRightInd w:val="0"/>
        <w:snapToGrid w:val="0"/>
        <w:spacing w:line="288" w:lineRule="auto"/>
        <w:ind w:firstLine="426" w:firstLineChars="213"/>
        <w:rPr>
          <w:i/>
          <w:sz w:val="20"/>
          <w:szCs w:val="20"/>
        </w:rPr>
      </w:pPr>
      <w:r>
        <w:rPr>
          <w:i/>
          <w:sz w:val="20"/>
          <w:szCs w:val="20"/>
        </w:rPr>
        <w:t>β</w:t>
      </w:r>
      <w:r>
        <w:rPr>
          <w:rFonts w:hint="eastAsia"/>
          <w:i/>
          <w:sz w:val="20"/>
          <w:szCs w:val="20"/>
        </w:rPr>
        <w:t>i</w:t>
      </w:r>
      <w:r>
        <w:rPr>
          <w:i/>
          <w:sz w:val="20"/>
          <w:szCs w:val="20"/>
        </w:rPr>
        <w:t xml:space="preserve"> ——</w:t>
      </w:r>
      <w:r>
        <w:rPr>
          <w:rFonts w:hint="eastAsia"/>
          <w:iCs/>
          <w:sz w:val="20"/>
          <w:szCs w:val="20"/>
        </w:rPr>
        <w:t>单位工程量碳排放量计算</w:t>
      </w:r>
      <w:r>
        <w:rPr>
          <w:iCs/>
          <w:sz w:val="20"/>
          <w:szCs w:val="20"/>
        </w:rPr>
        <w:t>调整系数。</w:t>
      </w:r>
      <w:r>
        <w:rPr>
          <w:rFonts w:hint="eastAsia"/>
          <w:iCs/>
          <w:sz w:val="20"/>
          <w:szCs w:val="20"/>
        </w:rPr>
        <w:t xml:space="preserve"> </w:t>
      </w:r>
    </w:p>
    <w:p w14:paraId="37C77C9B">
      <w:pPr>
        <w:pStyle w:val="5"/>
        <w:keepNext w:val="0"/>
        <w:keepLines w:val="0"/>
        <w:adjustRightInd w:val="0"/>
        <w:snapToGrid w:val="0"/>
        <w:spacing w:before="156" w:beforeLines="50" w:after="312" w:afterLines="100" w:line="288" w:lineRule="auto"/>
        <w:jc w:val="center"/>
        <w:rPr>
          <w:rFonts w:ascii="Times New Roman" w:hAnsi="Times New Roman"/>
          <w:b w:val="0"/>
          <w:sz w:val="26"/>
          <w:szCs w:val="26"/>
        </w:rPr>
      </w:pPr>
      <w:r>
        <w:rPr>
          <w:rFonts w:ascii="Times New Roman" w:hAnsi="Times New Roman"/>
          <w:b w:val="0"/>
          <w:sz w:val="26"/>
          <w:szCs w:val="26"/>
        </w:rPr>
        <w:br w:type="page"/>
      </w:r>
      <w:bookmarkStart w:id="16" w:name="_Toc468104694"/>
      <w:bookmarkStart w:id="17" w:name="_Toc139613706"/>
      <w:r>
        <w:rPr>
          <w:rFonts w:ascii="Times New Roman" w:hAnsi="Times New Roman"/>
          <w:sz w:val="26"/>
          <w:szCs w:val="26"/>
        </w:rPr>
        <w:t>3</w:t>
      </w:r>
      <w:r>
        <w:rPr>
          <w:rFonts w:ascii="Times New Roman" w:hAnsi="Times New Roman"/>
          <w:b w:val="0"/>
          <w:sz w:val="26"/>
          <w:szCs w:val="26"/>
        </w:rPr>
        <w:t xml:space="preserve">  基本规定</w:t>
      </w:r>
      <w:bookmarkEnd w:id="16"/>
      <w:bookmarkEnd w:id="17"/>
      <w:r>
        <w:rPr>
          <w:rFonts w:hint="eastAsia" w:ascii="Times New Roman" w:hAnsi="Times New Roman"/>
          <w:b w:val="0"/>
          <w:sz w:val="26"/>
          <w:szCs w:val="26"/>
        </w:rPr>
        <w:t xml:space="preserve"> </w:t>
      </w:r>
    </w:p>
    <w:p w14:paraId="0E80CF3C">
      <w:pPr>
        <w:pStyle w:val="7"/>
        <w:keepNext w:val="0"/>
        <w:keepLines w:val="0"/>
        <w:adjustRightInd w:val="0"/>
        <w:snapToGrid w:val="0"/>
        <w:spacing w:before="312" w:beforeLines="100" w:after="312" w:afterLines="100" w:line="288" w:lineRule="auto"/>
        <w:jc w:val="center"/>
        <w:rPr>
          <w:rFonts w:eastAsia="黑体"/>
          <w:b w:val="0"/>
          <w:sz w:val="20"/>
          <w:szCs w:val="20"/>
        </w:rPr>
      </w:pPr>
      <w:bookmarkStart w:id="18" w:name="_Toc139613707"/>
      <w:bookmarkStart w:id="19" w:name="_Toc468104695"/>
      <w:r>
        <w:rPr>
          <w:rFonts w:eastAsia="黑体"/>
          <w:sz w:val="20"/>
          <w:szCs w:val="20"/>
        </w:rPr>
        <w:t>3.1</w:t>
      </w:r>
      <w:r>
        <w:rPr>
          <w:rFonts w:eastAsia="黑体"/>
          <w:b w:val="0"/>
          <w:sz w:val="20"/>
          <w:szCs w:val="20"/>
        </w:rPr>
        <w:t xml:space="preserve">  设计原则</w:t>
      </w:r>
      <w:bookmarkEnd w:id="18"/>
      <w:bookmarkEnd w:id="19"/>
    </w:p>
    <w:p w14:paraId="343CD965">
      <w:pPr>
        <w:adjustRightInd w:val="0"/>
        <w:snapToGrid w:val="0"/>
        <w:spacing w:line="288" w:lineRule="auto"/>
        <w:rPr>
          <w:rFonts w:ascii="宋体" w:hAnsi="宋体"/>
          <w:sz w:val="20"/>
          <w:szCs w:val="20"/>
        </w:rPr>
      </w:pPr>
      <w:r>
        <w:rPr>
          <w:b/>
          <w:sz w:val="20"/>
          <w:szCs w:val="20"/>
        </w:rPr>
        <w:t xml:space="preserve">3.1.1 </w:t>
      </w:r>
      <w:r>
        <w:rPr>
          <w:rFonts w:ascii="宋体" w:hAnsi="宋体"/>
          <w:bCs/>
          <w:sz w:val="20"/>
          <w:szCs w:val="20"/>
        </w:rPr>
        <w:t xml:space="preserve"> </w:t>
      </w:r>
      <w:r>
        <w:rPr>
          <w:rFonts w:hint="eastAsia"/>
          <w:bCs/>
          <w:sz w:val="20"/>
          <w:szCs w:val="20"/>
        </w:rPr>
        <w:t>设计文件应明确支护结构的设计使用期限。除有特殊要求外</w:t>
      </w:r>
      <w:r>
        <w:rPr>
          <w:rFonts w:hint="eastAsia"/>
          <w:sz w:val="20"/>
          <w:szCs w:val="20"/>
        </w:rPr>
        <w:t>，本规程所列各种支护结构，均应按设计使用年限不少于一年的临时性结构进行设计。</w:t>
      </w:r>
    </w:p>
    <w:p w14:paraId="0048D0EB">
      <w:pPr>
        <w:adjustRightInd w:val="0"/>
        <w:snapToGrid w:val="0"/>
        <w:spacing w:line="288" w:lineRule="auto"/>
        <w:rPr>
          <w:rFonts w:ascii="宋体" w:hAnsi="宋体"/>
          <w:sz w:val="20"/>
          <w:szCs w:val="20"/>
        </w:rPr>
      </w:pPr>
      <w:r>
        <w:rPr>
          <w:b/>
          <w:sz w:val="20"/>
          <w:szCs w:val="20"/>
        </w:rPr>
        <w:t>3.1.2</w:t>
      </w:r>
      <w:r>
        <w:rPr>
          <w:rFonts w:ascii="宋体" w:hAnsi="宋体"/>
          <w:bCs/>
          <w:sz w:val="20"/>
          <w:szCs w:val="20"/>
        </w:rPr>
        <w:t xml:space="preserve">  </w:t>
      </w:r>
      <w:r>
        <w:rPr>
          <w:rFonts w:hint="eastAsia" w:ascii="宋体" w:hAnsi="宋体"/>
          <w:sz w:val="20"/>
          <w:szCs w:val="20"/>
        </w:rPr>
        <w:t>基坑支护结构应按承载能力极限状态和正常使用极限状态进行设计。</w:t>
      </w:r>
    </w:p>
    <w:p w14:paraId="60C857FB">
      <w:pPr>
        <w:pStyle w:val="27"/>
        <w:adjustRightInd w:val="0"/>
        <w:snapToGrid w:val="0"/>
        <w:spacing w:after="0" w:line="288" w:lineRule="auto"/>
        <w:ind w:left="0" w:leftChars="0"/>
        <w:rPr>
          <w:rFonts w:ascii="宋体" w:hAnsi="宋体"/>
          <w:bCs/>
          <w:sz w:val="20"/>
          <w:szCs w:val="20"/>
        </w:rPr>
      </w:pPr>
      <w:r>
        <w:rPr>
          <w:b/>
          <w:sz w:val="20"/>
          <w:szCs w:val="20"/>
        </w:rPr>
        <w:t>3.1.3</w:t>
      </w:r>
      <w:r>
        <w:rPr>
          <w:rFonts w:ascii="宋体" w:hAnsi="宋体"/>
          <w:bCs/>
          <w:sz w:val="20"/>
          <w:szCs w:val="20"/>
        </w:rPr>
        <w:t xml:space="preserve"> </w:t>
      </w:r>
      <w:r>
        <w:rPr>
          <w:rFonts w:hint="eastAsia" w:ascii="宋体" w:hAnsi="宋体"/>
          <w:bCs/>
          <w:sz w:val="20"/>
          <w:szCs w:val="20"/>
        </w:rPr>
        <w:t xml:space="preserve"> 当出现下列状态之一时，应判定为达到了承载能力极限状态：</w:t>
      </w:r>
    </w:p>
    <w:p w14:paraId="5D56B240">
      <w:pPr>
        <w:pStyle w:val="27"/>
        <w:adjustRightInd w:val="0"/>
        <w:snapToGrid w:val="0"/>
        <w:spacing w:after="0" w:line="288" w:lineRule="auto"/>
        <w:ind w:left="0" w:leftChars="0" w:firstLine="402" w:firstLineChars="200"/>
        <w:rPr>
          <w:rFonts w:ascii="宋体" w:hAnsi="宋体"/>
          <w:bCs/>
          <w:sz w:val="20"/>
          <w:szCs w:val="20"/>
        </w:rPr>
      </w:pPr>
      <w:r>
        <w:rPr>
          <w:rFonts w:hint="eastAsia"/>
          <w:b/>
          <w:bCs/>
          <w:sz w:val="20"/>
          <w:szCs w:val="20"/>
        </w:rPr>
        <w:t>1</w:t>
      </w:r>
      <w:r>
        <w:rPr>
          <w:rFonts w:hint="eastAsia" w:ascii="宋体" w:hAnsi="宋体"/>
          <w:bCs/>
          <w:sz w:val="20"/>
          <w:szCs w:val="20"/>
        </w:rPr>
        <w:t xml:space="preserve">  支护结构构件或连接因应力超过材料强度而破坏，或因过度变形而不适于继续承载；</w:t>
      </w:r>
    </w:p>
    <w:p w14:paraId="038CB9F8">
      <w:pPr>
        <w:pStyle w:val="27"/>
        <w:adjustRightInd w:val="0"/>
        <w:snapToGrid w:val="0"/>
        <w:spacing w:after="0" w:line="288" w:lineRule="auto"/>
        <w:ind w:left="0" w:leftChars="0" w:firstLine="402" w:firstLineChars="200"/>
        <w:rPr>
          <w:rFonts w:ascii="宋体" w:hAnsi="宋体"/>
          <w:bCs/>
          <w:sz w:val="20"/>
          <w:szCs w:val="20"/>
        </w:rPr>
      </w:pPr>
      <w:r>
        <w:rPr>
          <w:b/>
          <w:bCs/>
          <w:sz w:val="20"/>
          <w:szCs w:val="20"/>
        </w:rPr>
        <w:t>2</w:t>
      </w:r>
      <w:r>
        <w:rPr>
          <w:rFonts w:hint="eastAsia" w:ascii="宋体" w:hAnsi="宋体"/>
          <w:sz w:val="20"/>
          <w:szCs w:val="20"/>
        </w:rPr>
        <w:t xml:space="preserve"> </w:t>
      </w:r>
      <w:r>
        <w:rPr>
          <w:rFonts w:hint="eastAsia" w:ascii="宋体" w:hAnsi="宋体"/>
          <w:bCs/>
          <w:sz w:val="20"/>
          <w:szCs w:val="20"/>
        </w:rPr>
        <w:t xml:space="preserve"> 支护结构转变为机动体系，支护结构或结构构件丧失稳定；</w:t>
      </w:r>
    </w:p>
    <w:p w14:paraId="533E4605">
      <w:pPr>
        <w:pStyle w:val="27"/>
        <w:adjustRightInd w:val="0"/>
        <w:snapToGrid w:val="0"/>
        <w:spacing w:after="0" w:line="288" w:lineRule="auto"/>
        <w:ind w:left="0" w:leftChars="0" w:firstLine="402" w:firstLineChars="200"/>
        <w:rPr>
          <w:rFonts w:ascii="宋体" w:hAnsi="宋体"/>
          <w:bCs/>
          <w:sz w:val="20"/>
          <w:szCs w:val="20"/>
        </w:rPr>
      </w:pPr>
      <w:r>
        <w:rPr>
          <w:rFonts w:hint="eastAsia"/>
          <w:b/>
          <w:bCs/>
          <w:sz w:val="20"/>
          <w:szCs w:val="20"/>
        </w:rPr>
        <w:t>3</w:t>
      </w:r>
      <w:r>
        <w:rPr>
          <w:rFonts w:hint="eastAsia" w:ascii="宋体" w:hAnsi="宋体"/>
          <w:bCs/>
          <w:sz w:val="20"/>
          <w:szCs w:val="20"/>
        </w:rPr>
        <w:t xml:space="preserve">  支护体或土体因土中剪应力达到其抗剪强度而发生滑动、隆起、推移、倾覆、滑移；</w:t>
      </w:r>
    </w:p>
    <w:p w14:paraId="650EB2FF">
      <w:pPr>
        <w:pStyle w:val="27"/>
        <w:adjustRightInd w:val="0"/>
        <w:snapToGrid w:val="0"/>
        <w:spacing w:after="0" w:line="288" w:lineRule="auto"/>
        <w:ind w:left="0" w:leftChars="0" w:firstLine="402" w:firstLineChars="200"/>
        <w:rPr>
          <w:rFonts w:ascii="宋体" w:hAnsi="宋体"/>
          <w:bCs/>
          <w:sz w:val="20"/>
          <w:szCs w:val="20"/>
        </w:rPr>
      </w:pPr>
      <w:r>
        <w:rPr>
          <w:rFonts w:hint="eastAsia"/>
          <w:b/>
          <w:bCs/>
          <w:sz w:val="20"/>
          <w:szCs w:val="20"/>
        </w:rPr>
        <w:t>4</w:t>
      </w:r>
      <w:r>
        <w:rPr>
          <w:rFonts w:hint="eastAsia" w:ascii="宋体" w:hAnsi="宋体"/>
          <w:bCs/>
          <w:sz w:val="20"/>
          <w:szCs w:val="20"/>
        </w:rPr>
        <w:t xml:space="preserve">  地下水渗流引起土体渗透破坏。</w:t>
      </w:r>
    </w:p>
    <w:p w14:paraId="14F49A14">
      <w:pPr>
        <w:pStyle w:val="27"/>
        <w:adjustRightInd w:val="0"/>
        <w:snapToGrid w:val="0"/>
        <w:spacing w:after="0" w:line="288" w:lineRule="auto"/>
        <w:ind w:left="0" w:leftChars="0"/>
        <w:rPr>
          <w:rFonts w:ascii="宋体" w:hAnsi="宋体"/>
          <w:bCs/>
          <w:sz w:val="20"/>
          <w:szCs w:val="20"/>
        </w:rPr>
      </w:pPr>
      <w:r>
        <w:rPr>
          <w:b/>
          <w:sz w:val="20"/>
          <w:szCs w:val="20"/>
        </w:rPr>
        <w:t>3.1.4</w:t>
      </w:r>
      <w:r>
        <w:rPr>
          <w:rFonts w:ascii="宋体" w:hAnsi="宋体"/>
          <w:bCs/>
          <w:sz w:val="20"/>
          <w:szCs w:val="20"/>
        </w:rPr>
        <w:t xml:space="preserve"> </w:t>
      </w:r>
      <w:r>
        <w:rPr>
          <w:rFonts w:hint="eastAsia" w:ascii="宋体" w:hAnsi="宋体"/>
          <w:bCs/>
          <w:sz w:val="20"/>
          <w:szCs w:val="20"/>
        </w:rPr>
        <w:t xml:space="preserve"> 当出现下列状态时，应判定为达到了正常使用极限状态：</w:t>
      </w:r>
    </w:p>
    <w:p w14:paraId="2AE9F362">
      <w:pPr>
        <w:pStyle w:val="27"/>
        <w:adjustRightInd w:val="0"/>
        <w:snapToGrid w:val="0"/>
        <w:spacing w:after="0" w:line="288" w:lineRule="auto"/>
        <w:ind w:left="0" w:leftChars="0" w:firstLine="400" w:firstLineChars="200"/>
        <w:rPr>
          <w:rFonts w:ascii="宋体" w:hAnsi="宋体"/>
          <w:bCs/>
          <w:sz w:val="20"/>
          <w:szCs w:val="20"/>
        </w:rPr>
      </w:pPr>
      <w:r>
        <w:rPr>
          <w:rFonts w:hint="eastAsia" w:ascii="宋体" w:hAnsi="宋体"/>
          <w:bCs/>
          <w:sz w:val="20"/>
          <w:szCs w:val="20"/>
        </w:rPr>
        <w:t>支护结构的变形或地下水的状态已妨碍地下结构施工或影响基坑周边环境的正常使用功能。</w:t>
      </w:r>
    </w:p>
    <w:p w14:paraId="53D7FD35">
      <w:pPr>
        <w:adjustRightInd w:val="0"/>
        <w:snapToGrid w:val="0"/>
        <w:spacing w:line="288" w:lineRule="auto"/>
        <w:rPr>
          <w:rFonts w:ascii="宋体" w:hAnsi="宋体"/>
          <w:sz w:val="20"/>
          <w:szCs w:val="20"/>
        </w:rPr>
      </w:pPr>
      <w:r>
        <w:rPr>
          <w:b/>
          <w:sz w:val="20"/>
          <w:szCs w:val="20"/>
        </w:rPr>
        <w:t>3.1.5</w:t>
      </w:r>
      <w:r>
        <w:rPr>
          <w:rFonts w:ascii="宋体" w:hAnsi="宋体"/>
          <w:bCs/>
          <w:sz w:val="20"/>
          <w:szCs w:val="20"/>
        </w:rPr>
        <w:t xml:space="preserve">  </w:t>
      </w:r>
      <w:r>
        <w:rPr>
          <w:rFonts w:hint="eastAsia" w:ascii="宋体" w:hAnsi="宋体"/>
          <w:bCs/>
          <w:sz w:val="20"/>
          <w:szCs w:val="20"/>
        </w:rPr>
        <w:t>基坑支护设计时，应</w:t>
      </w:r>
      <w:r>
        <w:rPr>
          <w:rFonts w:hint="eastAsia" w:ascii="宋体" w:hAnsi="宋体"/>
          <w:sz w:val="20"/>
          <w:szCs w:val="20"/>
        </w:rPr>
        <w:t>根据基坑的开挖深度</w:t>
      </w:r>
      <w:r>
        <w:rPr>
          <w:i/>
          <w:iCs/>
          <w:sz w:val="20"/>
          <w:szCs w:val="20"/>
        </w:rPr>
        <w:t>h</w:t>
      </w:r>
      <w:r>
        <w:rPr>
          <w:rFonts w:hint="eastAsia" w:ascii="宋体" w:hAnsi="宋体"/>
          <w:sz w:val="20"/>
          <w:szCs w:val="20"/>
        </w:rPr>
        <w:t>、邻近建（构）筑物及管线与坑边的相对距离比</w:t>
      </w:r>
      <w:r>
        <w:rPr>
          <w:i/>
          <w:sz w:val="20"/>
          <w:szCs w:val="20"/>
        </w:rPr>
        <w:t>α</w:t>
      </w:r>
      <w:r>
        <w:rPr>
          <w:rFonts w:hint="eastAsia" w:ascii="宋体" w:hAnsi="宋体"/>
          <w:sz w:val="20"/>
          <w:szCs w:val="20"/>
        </w:rPr>
        <w:t>和工程地质、水文地质条件，按破坏后果的严重程度按表</w:t>
      </w:r>
      <w:r>
        <w:rPr>
          <w:sz w:val="20"/>
          <w:szCs w:val="20"/>
        </w:rPr>
        <w:t>3.1.5</w:t>
      </w:r>
      <w:r>
        <w:rPr>
          <w:rFonts w:hint="eastAsia" w:ascii="宋体" w:hAnsi="宋体"/>
          <w:sz w:val="20"/>
          <w:szCs w:val="20"/>
        </w:rPr>
        <w:t>划分基坑侧壁的安全等级。对同一基坑的不同部位，可采用不同的基坑侧壁安全等级。</w:t>
      </w:r>
    </w:p>
    <w:p w14:paraId="26F9B217">
      <w:pPr>
        <w:adjustRightInd w:val="0"/>
        <w:snapToGrid w:val="0"/>
        <w:spacing w:line="288" w:lineRule="auto"/>
        <w:jc w:val="center"/>
        <w:rPr>
          <w:szCs w:val="15"/>
        </w:rPr>
      </w:pPr>
      <w:r>
        <w:rPr>
          <w:rFonts w:ascii="宋体" w:hAnsi="宋体"/>
          <w:b/>
          <w:sz w:val="15"/>
          <w:szCs w:val="15"/>
        </w:rPr>
        <w:t>表</w:t>
      </w:r>
      <w:r>
        <w:rPr>
          <w:b/>
          <w:sz w:val="15"/>
          <w:szCs w:val="15"/>
        </w:rPr>
        <w:t>3.1.5</w:t>
      </w:r>
      <w:r>
        <w:rPr>
          <w:rFonts w:ascii="宋体" w:hAnsi="宋体"/>
          <w:b/>
          <w:sz w:val="15"/>
          <w:szCs w:val="15"/>
        </w:rPr>
        <w:t xml:space="preserve">  基坑侧壁安全等级划分</w:t>
      </w:r>
      <w:r>
        <w:rPr>
          <w:szCs w:val="15"/>
        </w:rPr>
        <w:t xml:space="preserve"> </w:t>
      </w:r>
    </w:p>
    <w:p w14:paraId="56E3E750">
      <w:pPr>
        <w:adjustRightInd w:val="0"/>
        <w:snapToGrid w:val="0"/>
        <w:spacing w:line="288" w:lineRule="auto"/>
        <w:jc w:val="center"/>
        <w:rPr>
          <w:rFonts w:ascii="宋体" w:hAnsi="宋体"/>
          <w:b/>
          <w:sz w:val="15"/>
          <w:szCs w:val="15"/>
        </w:rPr>
      </w:pPr>
      <w:r>
        <w:rPr>
          <w:szCs w:val="15"/>
        </w:rPr>
        <w:drawing>
          <wp:inline distT="0" distB="0" distL="0" distR="0">
            <wp:extent cx="3743960" cy="884555"/>
            <wp:effectExtent l="19050" t="0" r="889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10"/>
                    <a:srcRect/>
                    <a:stretch>
                      <a:fillRect/>
                    </a:stretch>
                  </pic:blipFill>
                  <pic:spPr>
                    <a:xfrm>
                      <a:off x="0" y="0"/>
                      <a:ext cx="3743960" cy="884706"/>
                    </a:xfrm>
                    <a:prstGeom prst="rect">
                      <a:avLst/>
                    </a:prstGeom>
                    <a:noFill/>
                    <a:ln w="9525">
                      <a:noFill/>
                      <a:miter lim="800000"/>
                      <a:headEnd/>
                      <a:tailEnd/>
                    </a:ln>
                  </pic:spPr>
                </pic:pic>
              </a:graphicData>
            </a:graphic>
          </wp:inline>
        </w:drawing>
      </w:r>
    </w:p>
    <w:p w14:paraId="33322093">
      <w:pPr>
        <w:adjustRightInd w:val="0"/>
        <w:snapToGrid w:val="0"/>
        <w:spacing w:line="288" w:lineRule="auto"/>
        <w:ind w:firstLine="300" w:firstLineChars="200"/>
        <w:rPr>
          <w:rFonts w:ascii="宋体" w:hAnsi="宋体"/>
          <w:sz w:val="15"/>
          <w:szCs w:val="15"/>
        </w:rPr>
      </w:pPr>
      <w:r>
        <w:rPr>
          <w:sz w:val="15"/>
          <w:szCs w:val="15"/>
        </w:rPr>
        <w:pict>
          <v:shape id="_x0000_s1050" o:spid="_x0000_s1050" o:spt="75" type="#_x0000_t75" style="position:absolute;left:0pt;margin-left:105pt;margin-top:5.8pt;height:21.3pt;width:20.4pt;z-index:-251653120;mso-width-relative:page;mso-height-relative:page;" o:ole="t" filled="f" o:preferrelative="t" stroked="f" coordsize="21600,21600">
            <v:path/>
            <v:fill on="f" focussize="0,0"/>
            <v:stroke on="f" joinstyle="miter"/>
            <v:imagedata r:id="rId12" o:title=""/>
            <o:lock v:ext="edit" aspectratio="t"/>
          </v:shape>
          <o:OLEObject Type="Embed" ProgID="Equation.DSMT4" ShapeID="_x0000_s1050" DrawAspect="Content" ObjectID="_1468075725" r:id="rId11">
            <o:LockedField>false</o:LockedField>
          </o:OLEObject>
        </w:pict>
      </w:r>
      <w:r>
        <w:rPr>
          <w:rFonts w:hint="eastAsia" w:ascii="宋体" w:hAnsi="宋体"/>
          <w:sz w:val="15"/>
          <w:szCs w:val="15"/>
        </w:rPr>
        <w:t xml:space="preserve">注：  </w:t>
      </w:r>
      <w:r>
        <w:rPr>
          <w:rFonts w:ascii="宋体" w:hAnsi="宋体"/>
          <w:sz w:val="15"/>
          <w:szCs w:val="15"/>
        </w:rPr>
        <w:t>1</w:t>
      </w:r>
      <w:r>
        <w:rPr>
          <w:rFonts w:hint="eastAsia" w:ascii="宋体" w:hAnsi="宋体"/>
          <w:sz w:val="15"/>
          <w:szCs w:val="15"/>
        </w:rPr>
        <w:t xml:space="preserve">  </w:t>
      </w:r>
      <w:r>
        <w:rPr>
          <w:i/>
          <w:sz w:val="15"/>
          <w:szCs w:val="15"/>
        </w:rPr>
        <w:t>h</w:t>
      </w:r>
      <w:r>
        <w:rPr>
          <w:iCs/>
          <w:sz w:val="15"/>
          <w:szCs w:val="15"/>
        </w:rPr>
        <w:t>——</w:t>
      </w:r>
      <w:r>
        <w:rPr>
          <w:rFonts w:hint="eastAsia" w:ascii="宋体" w:hAnsi="宋体"/>
          <w:sz w:val="15"/>
          <w:szCs w:val="15"/>
        </w:rPr>
        <w:t>基坑开挖深度。</w:t>
      </w:r>
    </w:p>
    <w:p w14:paraId="7BE63FFF">
      <w:pPr>
        <w:adjustRightInd w:val="0"/>
        <w:snapToGrid w:val="0"/>
        <w:spacing w:line="288" w:lineRule="auto"/>
        <w:ind w:left="951" w:leftChars="343" w:hanging="231" w:hangingChars="154"/>
        <w:rPr>
          <w:rFonts w:ascii="宋体" w:hAnsi="宋体"/>
          <w:sz w:val="15"/>
          <w:szCs w:val="15"/>
        </w:rPr>
      </w:pPr>
      <w:r>
        <w:rPr>
          <w:rFonts w:ascii="宋体" w:hAnsi="宋体"/>
          <w:sz w:val="15"/>
          <w:szCs w:val="15"/>
        </w:rPr>
        <w:t>2</w:t>
      </w:r>
      <w:r>
        <w:rPr>
          <w:rFonts w:hint="eastAsia" w:ascii="宋体" w:hAnsi="宋体"/>
          <w:sz w:val="15"/>
          <w:szCs w:val="15"/>
        </w:rPr>
        <w:t xml:space="preserve">  </w:t>
      </w:r>
      <w:r>
        <w:rPr>
          <w:i/>
          <w:sz w:val="15"/>
          <w:szCs w:val="15"/>
        </w:rPr>
        <w:t>α</w:t>
      </w:r>
      <w:r>
        <w:rPr>
          <w:iCs/>
          <w:sz w:val="15"/>
          <w:szCs w:val="15"/>
        </w:rPr>
        <w:t>——</w:t>
      </w:r>
      <w:r>
        <w:rPr>
          <w:rFonts w:hint="eastAsia" w:ascii="宋体" w:hAnsi="宋体"/>
          <w:sz w:val="15"/>
          <w:szCs w:val="15"/>
        </w:rPr>
        <w:t xml:space="preserve">相对距离比 </w:t>
      </w:r>
      <w:r>
        <w:rPr>
          <w:rFonts w:ascii="宋体" w:hAnsi="宋体"/>
          <w:sz w:val="15"/>
          <w:szCs w:val="15"/>
        </w:rPr>
        <w:t xml:space="preserve">  </w:t>
      </w:r>
      <w:r>
        <w:rPr>
          <w:rFonts w:hint="eastAsia" w:ascii="宋体" w:hAnsi="宋体"/>
          <w:sz w:val="15"/>
          <w:szCs w:val="15"/>
        </w:rPr>
        <w:t xml:space="preserve"> </w:t>
      </w:r>
      <w:r>
        <w:rPr>
          <w:rFonts w:ascii="宋体" w:hAnsi="宋体"/>
          <w:sz w:val="15"/>
          <w:szCs w:val="15"/>
        </w:rPr>
        <w:t xml:space="preserve"> </w:t>
      </w:r>
      <w:r>
        <w:rPr>
          <w:rFonts w:hint="eastAsia" w:ascii="宋体" w:hAnsi="宋体"/>
          <w:sz w:val="15"/>
          <w:szCs w:val="15"/>
        </w:rPr>
        <w:t>。</w:t>
      </w:r>
      <w:r>
        <w:rPr>
          <w:i/>
          <w:sz w:val="15"/>
          <w:szCs w:val="15"/>
        </w:rPr>
        <w:t>x</w:t>
      </w:r>
      <w:r>
        <w:rPr>
          <w:rFonts w:hint="eastAsia" w:ascii="宋体" w:hAnsi="宋体"/>
          <w:sz w:val="15"/>
          <w:szCs w:val="15"/>
        </w:rPr>
        <w:t>为管线、邻近建（构）筑物基础边缘（桩基础桩端）离坑口内壁的水平距离，</w:t>
      </w:r>
      <w:r>
        <w:rPr>
          <w:i/>
          <w:sz w:val="15"/>
          <w:szCs w:val="15"/>
        </w:rPr>
        <w:t>h</w:t>
      </w:r>
      <w:r>
        <w:rPr>
          <w:sz w:val="15"/>
          <w:szCs w:val="15"/>
          <w:vertAlign w:val="subscript"/>
        </w:rPr>
        <w:t>a</w:t>
      </w:r>
      <w:r>
        <w:rPr>
          <w:rFonts w:hint="eastAsia" w:ascii="宋体" w:hAnsi="宋体"/>
          <w:sz w:val="15"/>
          <w:szCs w:val="15"/>
        </w:rPr>
        <w:t>为基础底面距基坑底垂直距离，见图</w:t>
      </w:r>
      <w:r>
        <w:rPr>
          <w:sz w:val="15"/>
          <w:szCs w:val="15"/>
        </w:rPr>
        <w:t>3.1.5</w:t>
      </w:r>
      <w:r>
        <w:rPr>
          <w:rFonts w:hint="eastAsia" w:ascii="宋体" w:hAnsi="宋体"/>
          <w:sz w:val="15"/>
          <w:szCs w:val="15"/>
        </w:rPr>
        <w:t>。</w:t>
      </w:r>
    </w:p>
    <w:p w14:paraId="60FF884B">
      <w:pPr>
        <w:adjustRightInd w:val="0"/>
        <w:snapToGrid w:val="0"/>
        <w:spacing w:line="288" w:lineRule="auto"/>
        <w:ind w:left="951" w:leftChars="343" w:hanging="231" w:hangingChars="154"/>
        <w:rPr>
          <w:rFonts w:ascii="宋体" w:hAnsi="宋体"/>
          <w:sz w:val="15"/>
          <w:szCs w:val="15"/>
        </w:rPr>
      </w:pPr>
      <w:r>
        <w:rPr>
          <w:rFonts w:hint="eastAsia" w:ascii="宋体" w:hAnsi="宋体"/>
          <w:sz w:val="15"/>
          <w:szCs w:val="15"/>
        </w:rPr>
        <w:t>3  工程地质、水文地质条件分类：</w:t>
      </w:r>
    </w:p>
    <w:p w14:paraId="709FCCEA">
      <w:pPr>
        <w:adjustRightInd w:val="0"/>
        <w:snapToGrid w:val="0"/>
        <w:spacing w:line="288" w:lineRule="auto"/>
        <w:ind w:left="951" w:leftChars="343" w:hanging="231" w:hangingChars="154"/>
        <w:rPr>
          <w:rFonts w:ascii="宋体" w:hAnsi="宋体"/>
          <w:sz w:val="15"/>
          <w:szCs w:val="15"/>
        </w:rPr>
      </w:pPr>
      <w:r>
        <w:rPr>
          <w:rFonts w:hint="eastAsia" w:ascii="宋体" w:hAnsi="宋体"/>
          <w:sz w:val="15"/>
          <w:szCs w:val="15"/>
        </w:rPr>
        <w:t>Ⅰ 复杂 ——土质差、地下水对基坑工程有重大影响；</w:t>
      </w:r>
    </w:p>
    <w:p w14:paraId="3CB21239">
      <w:pPr>
        <w:adjustRightInd w:val="0"/>
        <w:snapToGrid w:val="0"/>
        <w:spacing w:line="288" w:lineRule="auto"/>
        <w:ind w:left="951" w:leftChars="343" w:hanging="231" w:hangingChars="154"/>
        <w:rPr>
          <w:rFonts w:ascii="宋体" w:hAnsi="宋体"/>
          <w:sz w:val="15"/>
          <w:szCs w:val="15"/>
        </w:rPr>
      </w:pPr>
      <w:r>
        <w:rPr>
          <w:rFonts w:hint="eastAsia" w:ascii="宋体" w:hAnsi="宋体"/>
          <w:sz w:val="15"/>
          <w:szCs w:val="15"/>
        </w:rPr>
        <w:t>Ⅱ 一般——土质一般，基坑侧壁有易于流失的粉土、粉砂层，地下水对基坑工程有影响；</w:t>
      </w:r>
    </w:p>
    <w:p w14:paraId="54062EDB">
      <w:pPr>
        <w:adjustRightInd w:val="0"/>
        <w:snapToGrid w:val="0"/>
        <w:spacing w:line="288" w:lineRule="auto"/>
        <w:ind w:left="951" w:leftChars="343" w:hanging="231" w:hangingChars="154"/>
        <w:rPr>
          <w:rFonts w:ascii="宋体" w:hAnsi="宋体"/>
          <w:sz w:val="15"/>
          <w:szCs w:val="15"/>
        </w:rPr>
      </w:pPr>
      <w:r>
        <w:rPr>
          <w:rFonts w:hint="eastAsia" w:ascii="宋体" w:hAnsi="宋体"/>
          <w:sz w:val="15"/>
          <w:szCs w:val="15"/>
        </w:rPr>
        <w:t xml:space="preserve">Ⅲ 简单——土质好，且地下水对基坑工程影响轻微。 </w:t>
      </w:r>
    </w:p>
    <w:p w14:paraId="0D7F2F33">
      <w:pPr>
        <w:adjustRightInd w:val="0"/>
        <w:snapToGrid w:val="0"/>
        <w:spacing w:line="288" w:lineRule="auto"/>
        <w:ind w:left="951" w:leftChars="343" w:hanging="231" w:hangingChars="154"/>
        <w:rPr>
          <w:rFonts w:ascii="宋体" w:hAnsi="宋体"/>
          <w:sz w:val="15"/>
          <w:szCs w:val="15"/>
        </w:rPr>
      </w:pPr>
      <w:r>
        <w:rPr>
          <w:rFonts w:hint="eastAsia" w:ascii="宋体" w:hAnsi="宋体"/>
          <w:sz w:val="15"/>
          <w:szCs w:val="15"/>
        </w:rPr>
        <w:t>坑壁为多层土时可经过分析按不利情况确定工程地质、水文地质条件类别。</w:t>
      </w:r>
    </w:p>
    <w:p w14:paraId="7C458F81">
      <w:pPr>
        <w:adjustRightInd w:val="0"/>
        <w:snapToGrid w:val="0"/>
        <w:spacing w:line="288" w:lineRule="auto"/>
        <w:ind w:firstLine="720" w:firstLineChars="480"/>
        <w:rPr>
          <w:rFonts w:ascii="宋体" w:hAnsi="宋体"/>
          <w:sz w:val="15"/>
          <w:szCs w:val="15"/>
          <w:highlight w:val="yellow"/>
        </w:rPr>
      </w:pPr>
      <w:r>
        <w:rPr>
          <w:rFonts w:hint="eastAsia" w:ascii="宋体" w:hAnsi="宋体"/>
          <w:sz w:val="15"/>
          <w:szCs w:val="15"/>
        </w:rPr>
        <w:t>4  如邻近建（构）筑物为价值不高、待拆除或临时性的，管线为非重要干线</w:t>
      </w:r>
      <w:r>
        <w:rPr>
          <w:rFonts w:hint="eastAsia" w:ascii="宋体" w:hAnsi="宋体"/>
          <w:sz w:val="15"/>
          <w:szCs w:val="15"/>
          <w:highlight w:val="yellow"/>
        </w:rPr>
        <w:t>，</w:t>
      </w:r>
    </w:p>
    <w:p w14:paraId="38573910">
      <w:pPr>
        <w:adjustRightInd w:val="0"/>
        <w:snapToGrid w:val="0"/>
        <w:spacing w:line="288" w:lineRule="auto"/>
        <w:ind w:left="945" w:leftChars="450"/>
        <w:rPr>
          <w:rFonts w:ascii="宋体" w:hAnsi="宋体"/>
          <w:sz w:val="15"/>
          <w:szCs w:val="15"/>
        </w:rPr>
      </w:pPr>
      <w:r>
        <w:rPr>
          <w:rFonts w:hint="eastAsia" w:ascii="宋体" w:hAnsi="宋体"/>
          <w:sz w:val="15"/>
          <w:szCs w:val="15"/>
        </w:rPr>
        <w:t>一旦破坏没有危险且易于修复，则</w:t>
      </w:r>
      <w:r>
        <w:rPr>
          <w:i/>
          <w:sz w:val="15"/>
          <w:szCs w:val="15"/>
        </w:rPr>
        <w:t>α</w:t>
      </w:r>
      <w:r>
        <w:rPr>
          <w:rFonts w:hint="eastAsia" w:ascii="宋体" w:hAnsi="宋体"/>
          <w:sz w:val="15"/>
          <w:szCs w:val="15"/>
        </w:rPr>
        <w:t>值可增大一个范围值；当周边环境为变形特别敏感的邻近建（构）筑物或重点保护的古建筑物等有特殊要求的建（构）筑物，当基坑侧壁安全等级为二级或三级时，安全等级应提高一级；当既有基础（或桩基础桩端）埋深大于基坑深度时，应根据基础距基坑底的相对距离、基底附加应力、桩基础形式以及上部结构对变形的敏感程度等因素，综合确定</w:t>
      </w:r>
      <w:r>
        <w:rPr>
          <w:i/>
          <w:sz w:val="15"/>
          <w:szCs w:val="15"/>
        </w:rPr>
        <w:t>α</w:t>
      </w:r>
      <w:r>
        <w:rPr>
          <w:rFonts w:hint="eastAsia" w:ascii="宋体" w:hAnsi="宋体"/>
          <w:sz w:val="15"/>
          <w:szCs w:val="15"/>
        </w:rPr>
        <w:t>值及安全等级。</w:t>
      </w:r>
    </w:p>
    <w:p w14:paraId="1556EB78">
      <w:pPr>
        <w:adjustRightInd w:val="0"/>
        <w:snapToGrid w:val="0"/>
        <w:spacing w:line="288" w:lineRule="auto"/>
        <w:ind w:left="951" w:leftChars="343" w:hanging="231" w:hangingChars="154"/>
        <w:rPr>
          <w:rFonts w:ascii="宋体" w:hAnsi="宋体"/>
          <w:sz w:val="15"/>
          <w:szCs w:val="15"/>
        </w:rPr>
      </w:pPr>
      <w:r>
        <w:rPr>
          <w:rFonts w:hint="eastAsia" w:ascii="宋体" w:hAnsi="宋体"/>
          <w:sz w:val="15"/>
          <w:szCs w:val="15"/>
        </w:rPr>
        <w:t xml:space="preserve">5 </w:t>
      </w:r>
      <w:r>
        <w:rPr>
          <w:rFonts w:ascii="宋体" w:hAnsi="宋体"/>
          <w:sz w:val="15"/>
          <w:szCs w:val="15"/>
        </w:rPr>
        <w:t xml:space="preserve"> </w:t>
      </w:r>
      <w:r>
        <w:rPr>
          <w:rFonts w:hint="eastAsia" w:ascii="宋体" w:hAnsi="宋体"/>
          <w:sz w:val="15"/>
          <w:szCs w:val="15"/>
        </w:rPr>
        <w:t>当基坑支护结构作为地下建筑结构的一部分时，基坑侧壁安全等级应为一级。</w:t>
      </w:r>
    </w:p>
    <w:p w14:paraId="6642F682">
      <w:pPr>
        <w:adjustRightInd w:val="0"/>
        <w:snapToGrid w:val="0"/>
        <w:spacing w:line="288" w:lineRule="auto"/>
        <w:jc w:val="center"/>
        <w:rPr>
          <w:rFonts w:ascii="宋体" w:hAnsi="宋体" w:cs="宋体"/>
          <w:kern w:val="0"/>
          <w:sz w:val="20"/>
          <w:szCs w:val="20"/>
        </w:rPr>
      </w:pPr>
      <w:r>
        <w:rPr>
          <w:rFonts w:ascii="宋体" w:hAnsi="宋体"/>
          <w:position w:val="-26"/>
          <w:sz w:val="20"/>
          <w:szCs w:val="20"/>
        </w:rPr>
        <w:pict>
          <v:shape id="_x0000_s1047" o:spid="_x0000_s1047" o:spt="75" type="#_x0000_t75" style="position:absolute;left:0pt;margin-left:117.3pt;margin-top:93.85pt;height:23.1pt;width:28.75pt;z-index:251662336;mso-width-relative:page;mso-height-relative:page;" o:ole="t" filled="f" o:preferrelative="t" stroked="f" coordsize="21600,21600">
            <v:path/>
            <v:fill on="f" focussize="0,0"/>
            <v:stroke on="f" joinstyle="miter"/>
            <v:imagedata r:id="rId14" o:title=""/>
            <o:lock v:ext="edit" aspectratio="t"/>
          </v:shape>
          <o:OLEObject Type="Embed" ProgID="Equation.3" ShapeID="_x0000_s1047" DrawAspect="Content" ObjectID="_1468075726" r:id="rId13">
            <o:LockedField>false</o:LockedField>
          </o:OLEObject>
        </w:pict>
      </w:r>
      <w:r>
        <w:rPr>
          <w:rFonts w:ascii="宋体" w:hAnsi="宋体" w:cs="宋体"/>
          <w:kern w:val="0"/>
          <w:sz w:val="20"/>
          <w:szCs w:val="20"/>
        </w:rPr>
        <w:drawing>
          <wp:inline distT="0" distB="0" distL="0" distR="0">
            <wp:extent cx="2276475" cy="1924050"/>
            <wp:effectExtent l="0" t="0" r="0" b="0"/>
            <wp:docPr id="5498290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29027"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76475" cy="1924050"/>
                    </a:xfrm>
                    <a:prstGeom prst="rect">
                      <a:avLst/>
                    </a:prstGeom>
                    <a:noFill/>
                    <a:ln>
                      <a:noFill/>
                    </a:ln>
                  </pic:spPr>
                </pic:pic>
              </a:graphicData>
            </a:graphic>
          </wp:inline>
        </w:drawing>
      </w:r>
    </w:p>
    <w:p w14:paraId="05451E89">
      <w:pPr>
        <w:adjustRightInd w:val="0"/>
        <w:snapToGrid w:val="0"/>
        <w:spacing w:after="156" w:afterLines="50" w:line="288" w:lineRule="auto"/>
        <w:jc w:val="center"/>
        <w:rPr>
          <w:b/>
          <w:bCs/>
          <w:sz w:val="18"/>
          <w:szCs w:val="18"/>
        </w:rPr>
      </w:pPr>
      <w:r>
        <w:rPr>
          <w:rFonts w:ascii="宋体" w:hAnsi="宋体"/>
          <w:b/>
          <w:bCs/>
          <w:sz w:val="18"/>
          <w:szCs w:val="18"/>
        </w:rPr>
        <w:t>图</w:t>
      </w:r>
      <w:r>
        <w:rPr>
          <w:b/>
          <w:bCs/>
          <w:sz w:val="18"/>
          <w:szCs w:val="18"/>
        </w:rPr>
        <w:t>3.1.5</w:t>
      </w:r>
      <w:r>
        <w:rPr>
          <w:rFonts w:ascii="宋体" w:hAnsi="宋体"/>
          <w:b/>
          <w:bCs/>
          <w:sz w:val="18"/>
          <w:szCs w:val="18"/>
        </w:rPr>
        <w:t xml:space="preserve">  相邻建筑基础与基坑相对关系示意图</w:t>
      </w:r>
    </w:p>
    <w:p w14:paraId="485BEA9D">
      <w:pPr>
        <w:adjustRightInd w:val="0"/>
        <w:snapToGrid w:val="0"/>
        <w:spacing w:line="288" w:lineRule="auto"/>
        <w:rPr>
          <w:rFonts w:ascii="宋体" w:hAnsi="宋体"/>
          <w:sz w:val="20"/>
          <w:szCs w:val="20"/>
        </w:rPr>
      </w:pPr>
      <w:r>
        <w:rPr>
          <w:b/>
          <w:sz w:val="20"/>
          <w:szCs w:val="20"/>
        </w:rPr>
        <w:t>3.1.6</w:t>
      </w:r>
      <w:r>
        <w:rPr>
          <w:rFonts w:ascii="宋体" w:hAnsi="宋体"/>
          <w:bCs/>
          <w:sz w:val="20"/>
          <w:szCs w:val="20"/>
        </w:rPr>
        <w:t xml:space="preserve">  </w:t>
      </w:r>
      <w:r>
        <w:rPr>
          <w:rFonts w:hint="eastAsia" w:ascii="宋体" w:hAnsi="宋体"/>
          <w:sz w:val="20"/>
          <w:szCs w:val="20"/>
        </w:rPr>
        <w:t>支护结构设计应根据基坑侧壁安全等级确定结构重要性系数</w:t>
      </w:r>
      <w:r>
        <w:rPr>
          <w:i/>
          <w:iCs/>
          <w:sz w:val="20"/>
          <w:szCs w:val="20"/>
        </w:rPr>
        <w:t>γ</w:t>
      </w:r>
      <w:r>
        <w:rPr>
          <w:sz w:val="20"/>
          <w:szCs w:val="20"/>
          <w:vertAlign w:val="subscript"/>
        </w:rPr>
        <w:t>o</w:t>
      </w:r>
      <w:r>
        <w:rPr>
          <w:rFonts w:hint="eastAsia" w:ascii="宋体" w:hAnsi="宋体"/>
          <w:sz w:val="20"/>
          <w:szCs w:val="20"/>
        </w:rPr>
        <w:t>，安全等级为一级时取</w:t>
      </w:r>
      <w:r>
        <w:rPr>
          <w:i/>
          <w:sz w:val="20"/>
          <w:szCs w:val="20"/>
        </w:rPr>
        <w:t>γ</w:t>
      </w:r>
      <w:r>
        <w:rPr>
          <w:sz w:val="20"/>
          <w:szCs w:val="20"/>
          <w:vertAlign w:val="subscript"/>
        </w:rPr>
        <w:t>o</w:t>
      </w:r>
      <w:r>
        <w:rPr>
          <w:rFonts w:hint="eastAsia" w:ascii="宋体" w:hAnsi="宋体"/>
          <w:sz w:val="20"/>
          <w:szCs w:val="20"/>
        </w:rPr>
        <w:t>＝</w:t>
      </w:r>
      <w:r>
        <w:rPr>
          <w:sz w:val="20"/>
          <w:szCs w:val="20"/>
        </w:rPr>
        <w:t>1.1</w:t>
      </w:r>
      <w:r>
        <w:rPr>
          <w:rFonts w:hint="eastAsia" w:ascii="宋体" w:hAnsi="宋体"/>
          <w:sz w:val="20"/>
          <w:szCs w:val="20"/>
        </w:rPr>
        <w:t>；安全等级为二级时取</w:t>
      </w:r>
      <w:r>
        <w:rPr>
          <w:i/>
          <w:sz w:val="20"/>
          <w:szCs w:val="20"/>
        </w:rPr>
        <w:t>γ</w:t>
      </w:r>
      <w:r>
        <w:rPr>
          <w:sz w:val="20"/>
          <w:szCs w:val="20"/>
          <w:vertAlign w:val="subscript"/>
        </w:rPr>
        <w:t>o</w:t>
      </w:r>
      <w:r>
        <w:rPr>
          <w:rFonts w:hint="eastAsia" w:ascii="宋体" w:hAnsi="宋体"/>
          <w:sz w:val="20"/>
          <w:szCs w:val="20"/>
        </w:rPr>
        <w:t>＝</w:t>
      </w:r>
      <w:r>
        <w:rPr>
          <w:sz w:val="20"/>
          <w:szCs w:val="20"/>
        </w:rPr>
        <w:t>1.0</w:t>
      </w:r>
      <w:r>
        <w:rPr>
          <w:rFonts w:hint="eastAsia" w:ascii="宋体" w:hAnsi="宋体"/>
          <w:sz w:val="20"/>
          <w:szCs w:val="20"/>
        </w:rPr>
        <w:t>；安全等级为三级时取</w:t>
      </w:r>
      <w:r>
        <w:rPr>
          <w:i/>
          <w:sz w:val="20"/>
          <w:szCs w:val="20"/>
        </w:rPr>
        <w:t>γ</w:t>
      </w:r>
      <w:r>
        <w:rPr>
          <w:sz w:val="20"/>
          <w:szCs w:val="20"/>
          <w:vertAlign w:val="subscript"/>
        </w:rPr>
        <w:t>o</w:t>
      </w:r>
      <w:r>
        <w:rPr>
          <w:rFonts w:hint="eastAsia"/>
          <w:sz w:val="20"/>
          <w:szCs w:val="20"/>
        </w:rPr>
        <w:t>＝</w:t>
      </w:r>
      <w:r>
        <w:rPr>
          <w:sz w:val="20"/>
          <w:szCs w:val="20"/>
        </w:rPr>
        <w:t>0.9</w:t>
      </w:r>
      <w:r>
        <w:rPr>
          <w:rFonts w:hint="eastAsia" w:ascii="宋体" w:hAnsi="宋体"/>
          <w:sz w:val="20"/>
          <w:szCs w:val="20"/>
        </w:rPr>
        <w:t>。</w:t>
      </w:r>
    </w:p>
    <w:p w14:paraId="0729095A">
      <w:pPr>
        <w:adjustRightInd w:val="0"/>
        <w:snapToGrid w:val="0"/>
        <w:spacing w:line="288" w:lineRule="auto"/>
        <w:rPr>
          <w:rFonts w:ascii="宋体" w:hAnsi="宋体"/>
          <w:bCs/>
          <w:sz w:val="20"/>
          <w:szCs w:val="20"/>
        </w:rPr>
      </w:pPr>
      <w:r>
        <w:rPr>
          <w:b/>
          <w:sz w:val="20"/>
          <w:szCs w:val="20"/>
        </w:rPr>
        <w:t>3.1.7</w:t>
      </w:r>
      <w:r>
        <w:rPr>
          <w:rFonts w:ascii="宋体" w:hAnsi="宋体"/>
          <w:sz w:val="20"/>
          <w:szCs w:val="20"/>
        </w:rPr>
        <w:t xml:space="preserve"> </w:t>
      </w:r>
      <w:r>
        <w:rPr>
          <w:rFonts w:ascii="宋体" w:hAnsi="宋体"/>
          <w:bCs/>
          <w:sz w:val="20"/>
          <w:szCs w:val="20"/>
        </w:rPr>
        <w:t xml:space="preserve"> </w:t>
      </w:r>
      <w:r>
        <w:rPr>
          <w:rFonts w:hint="eastAsia" w:ascii="宋体" w:hAnsi="宋体"/>
          <w:sz w:val="20"/>
          <w:szCs w:val="20"/>
        </w:rPr>
        <w:t>支护结构变形控制应符合下列规定：</w:t>
      </w:r>
    </w:p>
    <w:p w14:paraId="27AA404D">
      <w:pPr>
        <w:pStyle w:val="12"/>
        <w:adjustRightInd w:val="0"/>
        <w:snapToGrid w:val="0"/>
        <w:spacing w:line="288" w:lineRule="auto"/>
        <w:ind w:firstLine="402" w:firstLineChars="200"/>
        <w:jc w:val="both"/>
        <w:rPr>
          <w:rFonts w:ascii="宋体" w:hAnsi="宋体"/>
          <w:bCs/>
          <w:sz w:val="20"/>
          <w:szCs w:val="20"/>
        </w:rPr>
      </w:pPr>
      <w:r>
        <w:rPr>
          <w:rFonts w:ascii="Times New Roman" w:hAnsi="Times New Roman"/>
          <w:b/>
          <w:bCs/>
          <w:kern w:val="2"/>
          <w:sz w:val="20"/>
          <w:szCs w:val="20"/>
        </w:rPr>
        <w:t>1</w:t>
      </w:r>
      <w:r>
        <w:rPr>
          <w:rFonts w:ascii="宋体" w:hAnsi="宋体"/>
          <w:bCs/>
          <w:sz w:val="20"/>
          <w:szCs w:val="20"/>
        </w:rPr>
        <w:t xml:space="preserve"> </w:t>
      </w:r>
      <w:r>
        <w:rPr>
          <w:rFonts w:ascii="宋体" w:hAnsi="宋体"/>
          <w:sz w:val="20"/>
          <w:szCs w:val="20"/>
        </w:rPr>
        <w:t xml:space="preserve"> </w:t>
      </w:r>
      <w:r>
        <w:rPr>
          <w:rFonts w:hint="eastAsia" w:ascii="宋体" w:hAnsi="宋体"/>
          <w:sz w:val="20"/>
          <w:szCs w:val="20"/>
        </w:rPr>
        <w:t>应根据周边环境的重要性、对变形的适应能力及土（岩）的性质等因素确定支护结构的水平变形控制值，最大水平变形控制值应满足正常使用要求；</w:t>
      </w:r>
    </w:p>
    <w:p w14:paraId="67657BFE">
      <w:pPr>
        <w:adjustRightInd w:val="0"/>
        <w:snapToGrid w:val="0"/>
        <w:spacing w:line="288" w:lineRule="auto"/>
        <w:ind w:firstLine="402" w:firstLineChars="200"/>
        <w:rPr>
          <w:rFonts w:ascii="宋体" w:hAnsi="宋体"/>
          <w:bCs/>
          <w:sz w:val="20"/>
          <w:szCs w:val="20"/>
        </w:rPr>
      </w:pPr>
      <w:r>
        <w:rPr>
          <w:b/>
          <w:bCs/>
          <w:sz w:val="20"/>
          <w:szCs w:val="20"/>
        </w:rPr>
        <w:t>2</w:t>
      </w:r>
      <w:r>
        <w:rPr>
          <w:rFonts w:ascii="宋体" w:hAnsi="宋体"/>
          <w:bCs/>
          <w:sz w:val="20"/>
          <w:szCs w:val="20"/>
        </w:rPr>
        <w:t xml:space="preserve">  </w:t>
      </w:r>
      <w:r>
        <w:rPr>
          <w:rFonts w:hint="eastAsia" w:ascii="宋体" w:hAnsi="宋体"/>
          <w:sz w:val="20"/>
          <w:szCs w:val="20"/>
        </w:rPr>
        <w:t>周边地面竖向变形应根据邻近建筑结构形式及使用现状进行控制；</w:t>
      </w:r>
    </w:p>
    <w:p w14:paraId="57A93DE8">
      <w:pPr>
        <w:adjustRightInd w:val="0"/>
        <w:snapToGrid w:val="0"/>
        <w:spacing w:line="288" w:lineRule="auto"/>
        <w:ind w:firstLine="402" w:firstLineChars="200"/>
        <w:rPr>
          <w:rFonts w:ascii="宋体" w:hAnsi="宋体"/>
          <w:sz w:val="20"/>
          <w:szCs w:val="20"/>
        </w:rPr>
      </w:pPr>
      <w:r>
        <w:rPr>
          <w:b/>
          <w:bCs/>
          <w:sz w:val="20"/>
          <w:szCs w:val="20"/>
        </w:rPr>
        <w:t>3</w:t>
      </w:r>
      <w:r>
        <w:rPr>
          <w:rFonts w:ascii="宋体" w:hAnsi="宋体"/>
          <w:bCs/>
          <w:sz w:val="20"/>
          <w:szCs w:val="20"/>
        </w:rPr>
        <w:t xml:space="preserve">  </w:t>
      </w:r>
      <w:r>
        <w:rPr>
          <w:rFonts w:hint="eastAsia" w:ascii="宋体" w:hAnsi="宋体"/>
          <w:sz w:val="20"/>
          <w:szCs w:val="20"/>
        </w:rPr>
        <w:t>当邻近有重要管线及地下建（构）筑物时，支护结构水平变形和竖向变形应按满足管线及地下建（构）筑物正常工作的要求控制；</w:t>
      </w:r>
    </w:p>
    <w:p w14:paraId="7C5256CB">
      <w:pPr>
        <w:adjustRightInd w:val="0"/>
        <w:snapToGrid w:val="0"/>
        <w:spacing w:line="288" w:lineRule="auto"/>
        <w:ind w:firstLine="402" w:firstLineChars="200"/>
        <w:rPr>
          <w:rFonts w:ascii="宋体" w:hAnsi="宋体"/>
          <w:bCs/>
          <w:sz w:val="20"/>
          <w:szCs w:val="20"/>
        </w:rPr>
      </w:pPr>
      <w:r>
        <w:rPr>
          <w:b/>
          <w:bCs/>
          <w:sz w:val="20"/>
          <w:szCs w:val="20"/>
        </w:rPr>
        <w:t>4</w:t>
      </w:r>
      <w:r>
        <w:rPr>
          <w:rFonts w:ascii="宋体" w:hAnsi="宋体"/>
          <w:bCs/>
          <w:sz w:val="20"/>
          <w:szCs w:val="20"/>
        </w:rPr>
        <w:t xml:space="preserve">  </w:t>
      </w:r>
      <w:r>
        <w:rPr>
          <w:rFonts w:hint="eastAsia"/>
        </w:rPr>
        <w:t>当</w:t>
      </w:r>
      <w:r>
        <w:rPr>
          <w:rFonts w:hint="eastAsia" w:ascii="宋体" w:hAnsi="宋体"/>
          <w:sz w:val="20"/>
          <w:szCs w:val="20"/>
        </w:rPr>
        <w:t xml:space="preserve">支护结构作为永久性结构时，支护结构的水平变形和竖向变形应按满足其永久使用工况的要求控制； </w:t>
      </w:r>
    </w:p>
    <w:p w14:paraId="3B904479">
      <w:pPr>
        <w:adjustRightInd w:val="0"/>
        <w:snapToGrid w:val="0"/>
        <w:spacing w:line="288" w:lineRule="auto"/>
        <w:ind w:firstLine="402" w:firstLineChars="200"/>
        <w:rPr>
          <w:rFonts w:ascii="宋体" w:hAnsi="宋体"/>
          <w:sz w:val="20"/>
          <w:szCs w:val="20"/>
        </w:rPr>
      </w:pPr>
      <w:r>
        <w:rPr>
          <w:b/>
          <w:bCs/>
          <w:sz w:val="20"/>
          <w:szCs w:val="20"/>
        </w:rPr>
        <w:t>5</w:t>
      </w:r>
      <w:r>
        <w:rPr>
          <w:rFonts w:ascii="宋体" w:hAnsi="宋体"/>
          <w:bCs/>
          <w:sz w:val="20"/>
          <w:szCs w:val="20"/>
        </w:rPr>
        <w:t xml:space="preserve">  </w:t>
      </w:r>
      <w:r>
        <w:rPr>
          <w:rFonts w:hint="eastAsia" w:ascii="宋体" w:hAnsi="宋体"/>
          <w:sz w:val="20"/>
          <w:szCs w:val="20"/>
        </w:rPr>
        <w:t>当无明确要求时，最大水平变形控制值一级基坑宜取</w:t>
      </w:r>
      <w:r>
        <w:rPr>
          <w:rFonts w:hint="eastAsia"/>
          <w:sz w:val="20"/>
          <w:szCs w:val="20"/>
        </w:rPr>
        <w:t>0.002</w:t>
      </w:r>
      <w:r>
        <w:rPr>
          <w:rFonts w:hint="eastAsia"/>
          <w:i/>
          <w:sz w:val="20"/>
          <w:szCs w:val="20"/>
        </w:rPr>
        <w:t>h</w:t>
      </w:r>
      <w:r>
        <w:rPr>
          <w:rFonts w:hint="eastAsia" w:ascii="宋体" w:hAnsi="宋体"/>
          <w:sz w:val="20"/>
          <w:szCs w:val="20"/>
        </w:rPr>
        <w:t>，二级基坑宜取</w:t>
      </w:r>
      <w:r>
        <w:rPr>
          <w:rFonts w:hint="eastAsia"/>
          <w:sz w:val="20"/>
          <w:szCs w:val="20"/>
        </w:rPr>
        <w:t>0.004</w:t>
      </w:r>
      <w:r>
        <w:rPr>
          <w:rFonts w:hint="eastAsia"/>
          <w:i/>
          <w:sz w:val="20"/>
          <w:szCs w:val="20"/>
        </w:rPr>
        <w:t>h</w:t>
      </w:r>
      <w:r>
        <w:rPr>
          <w:rFonts w:hint="eastAsia" w:ascii="宋体" w:hAnsi="宋体"/>
          <w:sz w:val="20"/>
          <w:szCs w:val="20"/>
        </w:rPr>
        <w:t>，三级基坑宜取</w:t>
      </w:r>
      <w:r>
        <w:rPr>
          <w:rFonts w:hint="eastAsia"/>
          <w:sz w:val="20"/>
          <w:szCs w:val="20"/>
        </w:rPr>
        <w:t>0.006</w:t>
      </w:r>
      <w:r>
        <w:rPr>
          <w:rFonts w:hint="eastAsia"/>
          <w:i/>
          <w:sz w:val="20"/>
          <w:szCs w:val="20"/>
        </w:rPr>
        <w:t>h</w:t>
      </w:r>
      <w:r>
        <w:rPr>
          <w:rFonts w:hint="eastAsia" w:ascii="宋体" w:hAnsi="宋体"/>
          <w:sz w:val="20"/>
          <w:szCs w:val="20"/>
        </w:rPr>
        <w:t xml:space="preserve">。 </w:t>
      </w:r>
    </w:p>
    <w:p w14:paraId="2C10AD3B">
      <w:pPr>
        <w:adjustRightInd w:val="0"/>
        <w:snapToGrid w:val="0"/>
        <w:spacing w:line="288" w:lineRule="auto"/>
        <w:rPr>
          <w:rFonts w:ascii="宋体" w:hAnsi="宋体"/>
          <w:sz w:val="20"/>
          <w:szCs w:val="20"/>
        </w:rPr>
      </w:pPr>
      <w:r>
        <w:rPr>
          <w:b/>
          <w:sz w:val="20"/>
          <w:szCs w:val="20"/>
        </w:rPr>
        <w:t>3.1.8</w:t>
      </w:r>
      <w:r>
        <w:rPr>
          <w:rFonts w:ascii="宋体" w:hAnsi="宋体"/>
          <w:bCs/>
          <w:sz w:val="20"/>
          <w:szCs w:val="20"/>
        </w:rPr>
        <w:t xml:space="preserve"> </w:t>
      </w:r>
      <w:r>
        <w:rPr>
          <w:rFonts w:hint="eastAsia" w:ascii="宋体" w:hAnsi="宋体"/>
          <w:bCs/>
          <w:sz w:val="20"/>
          <w:szCs w:val="20"/>
        </w:rPr>
        <w:t xml:space="preserve"> </w:t>
      </w:r>
      <w:r>
        <w:rPr>
          <w:rFonts w:hint="eastAsia" w:ascii="宋体" w:hAnsi="宋体"/>
          <w:sz w:val="20"/>
          <w:szCs w:val="20"/>
        </w:rPr>
        <w:t>基坑支护地下水控制方法应以对地下水资源和环境影响最小为原则确定。</w:t>
      </w:r>
    </w:p>
    <w:p w14:paraId="20485752">
      <w:pPr>
        <w:spacing w:line="288" w:lineRule="auto"/>
        <w:rPr>
          <w:sz w:val="20"/>
          <w:szCs w:val="20"/>
        </w:rPr>
      </w:pPr>
      <w:r>
        <w:rPr>
          <w:b/>
          <w:sz w:val="20"/>
          <w:szCs w:val="20"/>
        </w:rPr>
        <w:t>3.1.9</w:t>
      </w:r>
      <w:r>
        <w:rPr>
          <w:sz w:val="20"/>
          <w:szCs w:val="20"/>
        </w:rPr>
        <w:t xml:space="preserve">  基坑周边存在既有特殊设防类、重点设防类和标准设防类建筑物且符合下列情况时，应根据遭受高于本地区抗震设防烈度的罕遇地震时，以支护结构的损坏不致造成邻近建构筑物倒塌</w:t>
      </w:r>
      <w:r>
        <w:rPr>
          <w:rFonts w:hint="eastAsia"/>
          <w:sz w:val="20"/>
          <w:szCs w:val="20"/>
        </w:rPr>
        <w:t>并</w:t>
      </w:r>
      <w:r>
        <w:rPr>
          <w:sz w:val="20"/>
          <w:szCs w:val="20"/>
        </w:rPr>
        <w:t>严重危及生命为目标，通过专门论证确定是否需要进行支护结构抗震设计：</w:t>
      </w:r>
    </w:p>
    <w:p w14:paraId="68D1E9A7">
      <w:pPr>
        <w:spacing w:line="288" w:lineRule="auto"/>
        <w:ind w:firstLine="480"/>
        <w:rPr>
          <w:sz w:val="20"/>
          <w:szCs w:val="20"/>
        </w:rPr>
      </w:pPr>
      <w:r>
        <w:rPr>
          <w:b/>
          <w:bCs/>
          <w:kern w:val="0"/>
          <w:sz w:val="20"/>
          <w:szCs w:val="20"/>
        </w:rPr>
        <w:t xml:space="preserve">1  </w:t>
      </w:r>
      <w:r>
        <w:rPr>
          <w:sz w:val="20"/>
          <w:szCs w:val="20"/>
        </w:rPr>
        <w:t>建筑物为天然地基或经处理后的地基时，建筑物基础边缘至基坑边的水平距离与</w:t>
      </w:r>
      <w:r>
        <w:rPr>
          <w:rFonts w:hint="eastAsia"/>
          <w:sz w:val="20"/>
          <w:szCs w:val="20"/>
        </w:rPr>
        <w:t>建筑物</w:t>
      </w:r>
      <w:r>
        <w:rPr>
          <w:sz w:val="20"/>
          <w:szCs w:val="20"/>
        </w:rPr>
        <w:t>基底至基坑底的垂直高度的比值小于1.</w:t>
      </w:r>
      <w:r>
        <w:rPr>
          <w:rFonts w:hint="eastAsia"/>
          <w:sz w:val="20"/>
          <w:szCs w:val="20"/>
        </w:rPr>
        <w:t>0</w:t>
      </w:r>
      <w:r>
        <w:rPr>
          <w:sz w:val="20"/>
          <w:szCs w:val="20"/>
        </w:rPr>
        <w:t>；</w:t>
      </w:r>
    </w:p>
    <w:p w14:paraId="32F6D2BB">
      <w:pPr>
        <w:spacing w:line="288" w:lineRule="auto"/>
        <w:ind w:firstLine="480"/>
        <w:rPr>
          <w:sz w:val="20"/>
          <w:szCs w:val="20"/>
        </w:rPr>
      </w:pPr>
      <w:r>
        <w:rPr>
          <w:b/>
          <w:bCs/>
          <w:kern w:val="0"/>
          <w:sz w:val="20"/>
          <w:szCs w:val="20"/>
        </w:rPr>
        <w:t xml:space="preserve">2  </w:t>
      </w:r>
      <w:r>
        <w:rPr>
          <w:sz w:val="20"/>
          <w:szCs w:val="20"/>
        </w:rPr>
        <w:t>城市轨道交通隧道或站台的结构边缘至基坑边的水平距离与隧道或站台结构底至基坑底的垂直高度的比值小于</w:t>
      </w:r>
      <w:r>
        <w:rPr>
          <w:rFonts w:hint="eastAsia"/>
          <w:sz w:val="20"/>
          <w:szCs w:val="20"/>
        </w:rPr>
        <w:t>1.</w:t>
      </w:r>
      <w:r>
        <w:rPr>
          <w:sz w:val="20"/>
          <w:szCs w:val="20"/>
        </w:rPr>
        <w:t>2。</w:t>
      </w:r>
    </w:p>
    <w:p w14:paraId="5025A3E3">
      <w:pPr>
        <w:spacing w:line="288" w:lineRule="auto"/>
        <w:rPr>
          <w:rFonts w:ascii="宋体" w:hAnsi="宋体"/>
          <w:sz w:val="20"/>
          <w:szCs w:val="20"/>
        </w:rPr>
      </w:pPr>
      <w:r>
        <w:rPr>
          <w:b/>
          <w:sz w:val="20"/>
          <w:szCs w:val="20"/>
        </w:rPr>
        <w:t>3.1.10</w:t>
      </w:r>
      <w:r>
        <w:rPr>
          <w:rFonts w:eastAsia="黑体"/>
          <w:b/>
          <w:bCs/>
          <w:sz w:val="20"/>
          <w:szCs w:val="20"/>
        </w:rPr>
        <w:t xml:space="preserve">  </w:t>
      </w:r>
      <w:r>
        <w:rPr>
          <w:rFonts w:hint="eastAsia" w:ascii="宋体" w:hAnsi="宋体"/>
          <w:sz w:val="20"/>
          <w:szCs w:val="20"/>
        </w:rPr>
        <w:t>基坑工程应当进行碳排放量计算，碳排量计算结果应作为基坑工程方案选择依据，在满足安全要求的前提下应优先选择碳排量最少的方案。</w:t>
      </w:r>
    </w:p>
    <w:p w14:paraId="4B4EB304">
      <w:pPr>
        <w:adjustRightInd w:val="0"/>
        <w:snapToGrid w:val="0"/>
        <w:spacing w:line="288" w:lineRule="auto"/>
        <w:rPr>
          <w:sz w:val="20"/>
          <w:szCs w:val="20"/>
        </w:rPr>
      </w:pPr>
      <w:r>
        <w:rPr>
          <w:b/>
          <w:bCs/>
          <w:kern w:val="0"/>
          <w:sz w:val="20"/>
          <w:szCs w:val="20"/>
        </w:rPr>
        <w:t>3.1.11</w:t>
      </w:r>
      <w:r>
        <w:rPr>
          <w:sz w:val="20"/>
          <w:szCs w:val="20"/>
        </w:rPr>
        <w:t xml:space="preserve">  基坑工程设计应包括下列内容：</w:t>
      </w:r>
    </w:p>
    <w:p w14:paraId="00225EA2">
      <w:pPr>
        <w:tabs>
          <w:tab w:val="left" w:pos="672"/>
          <w:tab w:val="left" w:pos="720"/>
          <w:tab w:val="left" w:pos="1620"/>
          <w:tab w:val="left" w:pos="2160"/>
          <w:tab w:val="left" w:pos="7020"/>
        </w:tabs>
        <w:adjustRightInd w:val="0"/>
        <w:snapToGrid w:val="0"/>
        <w:spacing w:line="288" w:lineRule="auto"/>
        <w:ind w:firstLine="402" w:firstLineChars="200"/>
        <w:rPr>
          <w:sz w:val="20"/>
          <w:szCs w:val="20"/>
        </w:rPr>
      </w:pPr>
      <w:r>
        <w:rPr>
          <w:b/>
          <w:bCs/>
          <w:sz w:val="20"/>
          <w:szCs w:val="20"/>
        </w:rPr>
        <w:t>1</w:t>
      </w:r>
      <w:r>
        <w:rPr>
          <w:sz w:val="20"/>
          <w:szCs w:val="20"/>
        </w:rPr>
        <w:t xml:space="preserve">  支护结构体系的方案和技术经济比较；</w:t>
      </w:r>
    </w:p>
    <w:p w14:paraId="6326390A">
      <w:pPr>
        <w:tabs>
          <w:tab w:val="left" w:pos="672"/>
          <w:tab w:val="left" w:pos="720"/>
          <w:tab w:val="left" w:pos="1620"/>
          <w:tab w:val="left" w:pos="2160"/>
          <w:tab w:val="left" w:pos="7020"/>
        </w:tabs>
        <w:adjustRightInd w:val="0"/>
        <w:snapToGrid w:val="0"/>
        <w:spacing w:line="288" w:lineRule="auto"/>
        <w:ind w:firstLine="402" w:firstLineChars="200"/>
        <w:rPr>
          <w:sz w:val="20"/>
          <w:szCs w:val="20"/>
        </w:rPr>
      </w:pPr>
      <w:r>
        <w:rPr>
          <w:b/>
          <w:bCs/>
          <w:sz w:val="20"/>
          <w:szCs w:val="20"/>
        </w:rPr>
        <w:t>2</w:t>
      </w:r>
      <w:r>
        <w:rPr>
          <w:sz w:val="20"/>
          <w:szCs w:val="20"/>
        </w:rPr>
        <w:t xml:space="preserve">  基坑支护体系的稳定性验算；</w:t>
      </w:r>
    </w:p>
    <w:p w14:paraId="584F4B07">
      <w:pPr>
        <w:tabs>
          <w:tab w:val="left" w:pos="672"/>
          <w:tab w:val="left" w:pos="720"/>
          <w:tab w:val="left" w:pos="1620"/>
          <w:tab w:val="left" w:pos="2160"/>
          <w:tab w:val="left" w:pos="7020"/>
        </w:tabs>
        <w:adjustRightInd w:val="0"/>
        <w:snapToGrid w:val="0"/>
        <w:spacing w:line="288" w:lineRule="auto"/>
        <w:ind w:firstLine="402" w:firstLineChars="200"/>
        <w:rPr>
          <w:sz w:val="20"/>
          <w:szCs w:val="20"/>
        </w:rPr>
      </w:pPr>
      <w:r>
        <w:rPr>
          <w:b/>
          <w:bCs/>
          <w:sz w:val="20"/>
          <w:szCs w:val="20"/>
        </w:rPr>
        <w:t>3</w:t>
      </w:r>
      <w:r>
        <w:rPr>
          <w:sz w:val="20"/>
          <w:szCs w:val="20"/>
        </w:rPr>
        <w:t xml:space="preserve">  支护结构的强度、稳定和变形计算；</w:t>
      </w:r>
    </w:p>
    <w:p w14:paraId="05595804">
      <w:pPr>
        <w:tabs>
          <w:tab w:val="left" w:pos="672"/>
          <w:tab w:val="left" w:pos="720"/>
          <w:tab w:val="left" w:pos="1620"/>
          <w:tab w:val="left" w:pos="2160"/>
          <w:tab w:val="left" w:pos="7020"/>
        </w:tabs>
        <w:adjustRightInd w:val="0"/>
        <w:snapToGrid w:val="0"/>
        <w:spacing w:line="288" w:lineRule="auto"/>
        <w:ind w:firstLine="402" w:firstLineChars="200"/>
        <w:rPr>
          <w:sz w:val="20"/>
          <w:szCs w:val="20"/>
        </w:rPr>
      </w:pPr>
      <w:r>
        <w:rPr>
          <w:b/>
          <w:bCs/>
          <w:sz w:val="20"/>
          <w:szCs w:val="20"/>
        </w:rPr>
        <w:t>4</w:t>
      </w:r>
      <w:r>
        <w:rPr>
          <w:sz w:val="20"/>
          <w:szCs w:val="20"/>
        </w:rPr>
        <w:t xml:space="preserve">  地下水控制设计；</w:t>
      </w:r>
    </w:p>
    <w:p w14:paraId="15A0EF14">
      <w:pPr>
        <w:tabs>
          <w:tab w:val="left" w:pos="672"/>
          <w:tab w:val="left" w:pos="720"/>
          <w:tab w:val="left" w:pos="1620"/>
          <w:tab w:val="left" w:pos="2160"/>
          <w:tab w:val="left" w:pos="7020"/>
        </w:tabs>
        <w:adjustRightInd w:val="0"/>
        <w:snapToGrid w:val="0"/>
        <w:spacing w:line="288" w:lineRule="auto"/>
        <w:ind w:firstLine="402" w:firstLineChars="200"/>
        <w:rPr>
          <w:sz w:val="20"/>
          <w:szCs w:val="20"/>
        </w:rPr>
      </w:pPr>
      <w:r>
        <w:rPr>
          <w:b/>
          <w:bCs/>
          <w:sz w:val="20"/>
          <w:szCs w:val="20"/>
        </w:rPr>
        <w:t>5</w:t>
      </w:r>
      <w:r>
        <w:rPr>
          <w:sz w:val="20"/>
          <w:szCs w:val="20"/>
        </w:rPr>
        <w:t xml:space="preserve">  对周边环境影响的控制设计； </w:t>
      </w:r>
    </w:p>
    <w:p w14:paraId="39640ECA">
      <w:pPr>
        <w:tabs>
          <w:tab w:val="left" w:pos="672"/>
          <w:tab w:val="left" w:pos="720"/>
          <w:tab w:val="left" w:pos="1620"/>
          <w:tab w:val="left" w:pos="2160"/>
          <w:tab w:val="left" w:pos="7020"/>
        </w:tabs>
        <w:adjustRightInd w:val="0"/>
        <w:snapToGrid w:val="0"/>
        <w:spacing w:line="288" w:lineRule="auto"/>
        <w:ind w:firstLine="402" w:firstLineChars="200"/>
        <w:rPr>
          <w:sz w:val="20"/>
          <w:szCs w:val="20"/>
        </w:rPr>
      </w:pPr>
      <w:r>
        <w:rPr>
          <w:b/>
          <w:bCs/>
          <w:sz w:val="20"/>
          <w:szCs w:val="20"/>
        </w:rPr>
        <w:t>6</w:t>
      </w:r>
      <w:r>
        <w:rPr>
          <w:sz w:val="20"/>
          <w:szCs w:val="20"/>
        </w:rPr>
        <w:t xml:space="preserve">  基坑土方开挖方案；</w:t>
      </w:r>
    </w:p>
    <w:p w14:paraId="38A81429">
      <w:pPr>
        <w:tabs>
          <w:tab w:val="left" w:pos="672"/>
          <w:tab w:val="left" w:pos="720"/>
          <w:tab w:val="left" w:pos="1620"/>
          <w:tab w:val="left" w:pos="2160"/>
          <w:tab w:val="left" w:pos="7020"/>
        </w:tabs>
        <w:adjustRightInd w:val="0"/>
        <w:snapToGrid w:val="0"/>
        <w:spacing w:line="288" w:lineRule="auto"/>
        <w:ind w:firstLine="402" w:firstLineChars="200"/>
        <w:rPr>
          <w:sz w:val="20"/>
          <w:szCs w:val="20"/>
        </w:rPr>
      </w:pPr>
      <w:r>
        <w:rPr>
          <w:b/>
          <w:bCs/>
          <w:sz w:val="20"/>
          <w:szCs w:val="20"/>
        </w:rPr>
        <w:t>7</w:t>
      </w:r>
      <w:r>
        <w:rPr>
          <w:sz w:val="20"/>
          <w:szCs w:val="20"/>
        </w:rPr>
        <w:t xml:space="preserve">  基坑工程的监测要求；</w:t>
      </w:r>
    </w:p>
    <w:p w14:paraId="3D90B0A2">
      <w:pPr>
        <w:tabs>
          <w:tab w:val="left" w:pos="672"/>
          <w:tab w:val="left" w:pos="720"/>
          <w:tab w:val="left" w:pos="1620"/>
          <w:tab w:val="left" w:pos="2160"/>
          <w:tab w:val="left" w:pos="7020"/>
        </w:tabs>
        <w:adjustRightInd w:val="0"/>
        <w:snapToGrid w:val="0"/>
        <w:spacing w:line="288" w:lineRule="auto"/>
        <w:ind w:firstLine="402" w:firstLineChars="200"/>
        <w:rPr>
          <w:rFonts w:ascii="黑体" w:hAnsi="黑体" w:eastAsia="黑体"/>
          <w:sz w:val="20"/>
          <w:szCs w:val="20"/>
        </w:rPr>
      </w:pPr>
      <w:r>
        <w:rPr>
          <w:b/>
          <w:bCs/>
          <w:sz w:val="20"/>
          <w:szCs w:val="20"/>
        </w:rPr>
        <w:t>8</w:t>
      </w:r>
      <w:r>
        <w:rPr>
          <w:sz w:val="20"/>
          <w:szCs w:val="20"/>
        </w:rPr>
        <w:t xml:space="preserve">  碳排放量计算。</w:t>
      </w:r>
      <w:r>
        <w:rPr>
          <w:rFonts w:hint="eastAsia" w:ascii="黑体" w:hAnsi="黑体" w:eastAsia="黑体"/>
          <w:sz w:val="20"/>
          <w:szCs w:val="20"/>
        </w:rPr>
        <w:t xml:space="preserve"> </w:t>
      </w:r>
    </w:p>
    <w:p w14:paraId="60462B49">
      <w:pPr>
        <w:spacing w:line="288" w:lineRule="auto"/>
        <w:rPr>
          <w:rFonts w:ascii="宋体" w:hAnsi="宋体"/>
          <w:kern w:val="0"/>
          <w:sz w:val="20"/>
          <w:szCs w:val="20"/>
        </w:rPr>
      </w:pPr>
      <w:r>
        <w:rPr>
          <w:rFonts w:eastAsia="黑体"/>
          <w:b/>
          <w:bCs/>
          <w:sz w:val="20"/>
          <w:szCs w:val="20"/>
        </w:rPr>
        <w:t>3.1.12</w:t>
      </w:r>
      <w:r>
        <w:rPr>
          <w:rFonts w:hint="eastAsia" w:ascii="宋体" w:hAnsi="宋体"/>
          <w:kern w:val="0"/>
          <w:sz w:val="20"/>
          <w:szCs w:val="20"/>
        </w:rPr>
        <w:t xml:space="preserve">  基坑支护设计、施工应具备以下基本资料：</w:t>
      </w:r>
    </w:p>
    <w:p w14:paraId="5A14D305">
      <w:pPr>
        <w:spacing w:line="288" w:lineRule="auto"/>
        <w:ind w:firstLine="402" w:firstLineChars="200"/>
        <w:rPr>
          <w:kern w:val="0"/>
          <w:sz w:val="20"/>
          <w:szCs w:val="20"/>
        </w:rPr>
      </w:pPr>
      <w:r>
        <w:rPr>
          <w:rFonts w:eastAsia="黑体"/>
          <w:b/>
          <w:bCs/>
          <w:sz w:val="20"/>
          <w:szCs w:val="20"/>
        </w:rPr>
        <w:t>1</w:t>
      </w:r>
      <w:r>
        <w:rPr>
          <w:kern w:val="0"/>
          <w:sz w:val="20"/>
          <w:szCs w:val="20"/>
        </w:rPr>
        <w:t xml:space="preserve">  建筑场地及其周边地表至基坑底面下</w:t>
      </w:r>
      <w:r>
        <w:rPr>
          <w:rFonts w:hint="eastAsia"/>
          <w:kern w:val="0"/>
          <w:sz w:val="20"/>
          <w:szCs w:val="20"/>
        </w:rPr>
        <w:t>规</w:t>
      </w:r>
      <w:r>
        <w:rPr>
          <w:kern w:val="0"/>
          <w:sz w:val="20"/>
          <w:szCs w:val="20"/>
        </w:rPr>
        <w:t>定深度范围内地层结构、土（岩）的物理力学性质，地下水分布、含水层性质、渗透系数和施工期地下水位可能的变化等资料；</w:t>
      </w:r>
    </w:p>
    <w:p w14:paraId="01D96586">
      <w:pPr>
        <w:spacing w:line="288" w:lineRule="auto"/>
        <w:ind w:firstLine="402" w:firstLineChars="200"/>
        <w:rPr>
          <w:kern w:val="0"/>
          <w:sz w:val="20"/>
          <w:szCs w:val="20"/>
        </w:rPr>
      </w:pPr>
      <w:r>
        <w:rPr>
          <w:rFonts w:eastAsia="黑体"/>
          <w:b/>
          <w:bCs/>
          <w:sz w:val="20"/>
          <w:szCs w:val="20"/>
        </w:rPr>
        <w:t>2</w:t>
      </w:r>
      <w:r>
        <w:rPr>
          <w:kern w:val="0"/>
          <w:sz w:val="20"/>
          <w:szCs w:val="20"/>
        </w:rPr>
        <w:t xml:space="preserve">  标有建筑红线、施工红线的总平面图及基础结构设计图；</w:t>
      </w:r>
    </w:p>
    <w:p w14:paraId="50C4A44B">
      <w:pPr>
        <w:spacing w:line="288" w:lineRule="auto"/>
        <w:ind w:firstLine="402" w:firstLineChars="200"/>
        <w:rPr>
          <w:kern w:val="0"/>
          <w:sz w:val="20"/>
          <w:szCs w:val="20"/>
        </w:rPr>
      </w:pPr>
      <w:r>
        <w:rPr>
          <w:rFonts w:eastAsia="黑体"/>
          <w:b/>
          <w:bCs/>
          <w:sz w:val="20"/>
          <w:szCs w:val="20"/>
        </w:rPr>
        <w:t>3</w:t>
      </w:r>
      <w:r>
        <w:rPr>
          <w:kern w:val="0"/>
          <w:sz w:val="20"/>
          <w:szCs w:val="20"/>
        </w:rPr>
        <w:t xml:space="preserve">  建筑场地内及周边的地下管线、地下设施的位置、深度、结构形式、埋设时间及使用现状；</w:t>
      </w:r>
    </w:p>
    <w:p w14:paraId="05AAEFFB">
      <w:pPr>
        <w:spacing w:line="288" w:lineRule="auto"/>
        <w:ind w:firstLine="402" w:firstLineChars="200"/>
        <w:rPr>
          <w:kern w:val="0"/>
          <w:sz w:val="20"/>
          <w:szCs w:val="20"/>
        </w:rPr>
      </w:pPr>
      <w:r>
        <w:rPr>
          <w:rFonts w:eastAsia="黑体"/>
          <w:b/>
          <w:bCs/>
          <w:sz w:val="20"/>
          <w:szCs w:val="20"/>
        </w:rPr>
        <w:t>4</w:t>
      </w:r>
      <w:r>
        <w:rPr>
          <w:kern w:val="0"/>
          <w:sz w:val="20"/>
          <w:szCs w:val="20"/>
        </w:rPr>
        <w:t xml:space="preserve">  邻近已有建筑的位置、层数、高度、结构类型、完好程度、已建时间、沉降观测资料以及基础类型、埋置深度、主要尺寸、基础距基坑侧壁的净距等；</w:t>
      </w:r>
    </w:p>
    <w:p w14:paraId="7C848BCC">
      <w:pPr>
        <w:spacing w:line="288" w:lineRule="auto"/>
        <w:ind w:firstLine="402" w:firstLineChars="200"/>
        <w:rPr>
          <w:kern w:val="0"/>
          <w:sz w:val="20"/>
          <w:szCs w:val="20"/>
        </w:rPr>
      </w:pPr>
      <w:r>
        <w:rPr>
          <w:rFonts w:eastAsia="黑体"/>
          <w:b/>
          <w:bCs/>
          <w:sz w:val="20"/>
          <w:szCs w:val="20"/>
        </w:rPr>
        <w:t>5</w:t>
      </w:r>
      <w:r>
        <w:rPr>
          <w:kern w:val="0"/>
          <w:sz w:val="20"/>
          <w:szCs w:val="20"/>
        </w:rPr>
        <w:t xml:space="preserve">  基坑周围的地面排水情况，地面雨水、污水、上下水管线排入或漏（渗）入基坑的可能性及其管理控制体系资料；</w:t>
      </w:r>
    </w:p>
    <w:p w14:paraId="0C4AEECD">
      <w:pPr>
        <w:spacing w:line="288" w:lineRule="auto"/>
        <w:ind w:firstLine="402" w:firstLineChars="200"/>
        <w:rPr>
          <w:rFonts w:ascii="宋体" w:hAnsi="宋体"/>
          <w:kern w:val="0"/>
          <w:sz w:val="20"/>
          <w:szCs w:val="20"/>
        </w:rPr>
      </w:pPr>
      <w:r>
        <w:rPr>
          <w:rFonts w:eastAsia="黑体"/>
          <w:b/>
          <w:bCs/>
          <w:sz w:val="20"/>
          <w:szCs w:val="20"/>
        </w:rPr>
        <w:t>6</w:t>
      </w:r>
      <w:r>
        <w:rPr>
          <w:kern w:val="0"/>
          <w:sz w:val="20"/>
          <w:szCs w:val="20"/>
        </w:rPr>
        <w:t xml:space="preserve">  </w:t>
      </w:r>
      <w:r>
        <w:rPr>
          <w:rFonts w:hint="eastAsia" w:ascii="宋体" w:hAnsi="宋体"/>
          <w:kern w:val="0"/>
          <w:sz w:val="20"/>
          <w:szCs w:val="20"/>
        </w:rPr>
        <w:t>施工期间基坑周边的地面堆载及车辆、设备的动、静载情况等。</w:t>
      </w:r>
    </w:p>
    <w:p w14:paraId="6FED1902">
      <w:pPr>
        <w:adjustRightInd w:val="0"/>
        <w:snapToGrid w:val="0"/>
        <w:spacing w:line="288" w:lineRule="auto"/>
        <w:rPr>
          <w:rFonts w:ascii="宋体" w:hAnsi="宋体"/>
          <w:sz w:val="20"/>
          <w:szCs w:val="20"/>
        </w:rPr>
      </w:pPr>
      <w:r>
        <w:rPr>
          <w:rFonts w:eastAsia="黑体"/>
          <w:b/>
          <w:bCs/>
          <w:sz w:val="20"/>
          <w:szCs w:val="20"/>
        </w:rPr>
        <w:t>3.1.</w:t>
      </w:r>
      <w:r>
        <w:rPr>
          <w:rFonts w:hint="eastAsia" w:eastAsia="黑体"/>
          <w:b/>
          <w:bCs/>
          <w:sz w:val="20"/>
          <w:szCs w:val="20"/>
        </w:rPr>
        <w:t>1</w:t>
      </w:r>
      <w:r>
        <w:rPr>
          <w:rFonts w:eastAsia="黑体"/>
          <w:b/>
          <w:bCs/>
          <w:sz w:val="20"/>
          <w:szCs w:val="20"/>
        </w:rPr>
        <w:t>3</w:t>
      </w:r>
      <w:r>
        <w:rPr>
          <w:rFonts w:hint="eastAsia"/>
          <w:b/>
          <w:bCs/>
          <w:sz w:val="20"/>
          <w:szCs w:val="20"/>
        </w:rPr>
        <w:t xml:space="preserve"> </w:t>
      </w:r>
      <w:r>
        <w:rPr>
          <w:rFonts w:ascii="宋体" w:hAnsi="宋体"/>
          <w:sz w:val="20"/>
          <w:szCs w:val="20"/>
        </w:rPr>
        <w:t xml:space="preserve"> </w:t>
      </w:r>
      <w:r>
        <w:rPr>
          <w:rFonts w:hint="eastAsia" w:ascii="宋体" w:hAnsi="宋体"/>
          <w:sz w:val="20"/>
          <w:szCs w:val="20"/>
        </w:rPr>
        <w:t>土压力及水压力计算、土的各类稳定性验算时，土、水压力的分、合算方法及相应的土的抗剪强度指标类别应符合下列规定：</w:t>
      </w:r>
    </w:p>
    <w:p w14:paraId="6139CD88">
      <w:pPr>
        <w:adjustRightInd w:val="0"/>
        <w:snapToGrid w:val="0"/>
        <w:spacing w:line="288" w:lineRule="auto"/>
        <w:ind w:firstLine="402" w:firstLineChars="200"/>
        <w:rPr>
          <w:rFonts w:ascii="宋体" w:hAnsi="宋体"/>
          <w:sz w:val="20"/>
          <w:szCs w:val="20"/>
        </w:rPr>
      </w:pPr>
      <w:r>
        <w:rPr>
          <w:b/>
          <w:bCs/>
          <w:sz w:val="20"/>
          <w:szCs w:val="20"/>
        </w:rPr>
        <w:t>1</w:t>
      </w:r>
      <w:r>
        <w:rPr>
          <w:rFonts w:ascii="宋体" w:hAnsi="宋体"/>
          <w:sz w:val="20"/>
          <w:szCs w:val="20"/>
        </w:rPr>
        <w:t xml:space="preserve">  </w:t>
      </w:r>
      <w:r>
        <w:rPr>
          <w:rFonts w:hint="eastAsia" w:ascii="宋体" w:hAnsi="宋体"/>
          <w:sz w:val="20"/>
          <w:szCs w:val="20"/>
        </w:rPr>
        <w:t>对地下水位以上的黏性土、黏质粉土，应采用三轴固结不排水剪切试验确定的抗剪强度指标</w:t>
      </w:r>
      <w:r>
        <w:rPr>
          <w:i/>
          <w:sz w:val="20"/>
          <w:szCs w:val="20"/>
        </w:rPr>
        <w:t>c</w:t>
      </w:r>
      <w:r>
        <w:rPr>
          <w:rFonts w:ascii="宋体" w:hAnsi="宋体"/>
          <w:sz w:val="20"/>
          <w:szCs w:val="20"/>
          <w:vertAlign w:val="subscript"/>
        </w:rPr>
        <w:t>cu</w:t>
      </w:r>
      <w:r>
        <w:rPr>
          <w:rFonts w:hint="eastAsia" w:ascii="宋体" w:hAnsi="宋体"/>
          <w:sz w:val="20"/>
          <w:szCs w:val="20"/>
        </w:rPr>
        <w:t>、</w:t>
      </w:r>
      <w:r>
        <w:rPr>
          <w:i/>
          <w:sz w:val="20"/>
          <w:szCs w:val="20"/>
        </w:rPr>
        <w:t>φ</w:t>
      </w:r>
      <w:r>
        <w:rPr>
          <w:rFonts w:ascii="宋体" w:hAnsi="宋体"/>
          <w:sz w:val="20"/>
          <w:szCs w:val="20"/>
          <w:vertAlign w:val="subscript"/>
        </w:rPr>
        <w:t>cu</w:t>
      </w:r>
      <w:r>
        <w:rPr>
          <w:rFonts w:hint="eastAsia" w:ascii="宋体" w:hAnsi="宋体"/>
          <w:sz w:val="20"/>
          <w:szCs w:val="20"/>
        </w:rPr>
        <w:t>或采用直剪固结快剪试验确定的抗剪强度指标</w:t>
      </w:r>
      <w:r>
        <w:rPr>
          <w:i/>
          <w:sz w:val="20"/>
          <w:szCs w:val="20"/>
        </w:rPr>
        <w:t>c</w:t>
      </w:r>
      <w:r>
        <w:rPr>
          <w:rFonts w:ascii="宋体" w:hAnsi="宋体"/>
          <w:sz w:val="20"/>
          <w:szCs w:val="20"/>
          <w:vertAlign w:val="subscript"/>
        </w:rPr>
        <w:t>cq</w:t>
      </w:r>
      <w:r>
        <w:rPr>
          <w:rFonts w:hint="eastAsia" w:ascii="宋体" w:hAnsi="宋体"/>
          <w:sz w:val="20"/>
          <w:szCs w:val="20"/>
        </w:rPr>
        <w:t>、</w:t>
      </w:r>
      <w:r>
        <w:rPr>
          <w:i/>
          <w:sz w:val="20"/>
          <w:szCs w:val="20"/>
        </w:rPr>
        <w:t>φ</w:t>
      </w:r>
      <w:r>
        <w:rPr>
          <w:rFonts w:ascii="宋体" w:hAnsi="宋体"/>
          <w:sz w:val="20"/>
          <w:szCs w:val="20"/>
          <w:vertAlign w:val="subscript"/>
        </w:rPr>
        <w:t>cq</w:t>
      </w:r>
      <w:r>
        <w:rPr>
          <w:rFonts w:hint="eastAsia" w:ascii="宋体" w:hAnsi="宋体"/>
          <w:sz w:val="20"/>
          <w:szCs w:val="20"/>
        </w:rPr>
        <w:t>，对地下水位以上的砂质粉土、砂土、碎石土，土的抗剪强度指标应采用有效应力强度指标</w:t>
      </w:r>
      <w:r>
        <w:rPr>
          <w:sz w:val="20"/>
          <w:szCs w:val="20"/>
        </w:rPr>
        <w:t>c´</w:t>
      </w:r>
      <w:r>
        <w:rPr>
          <w:rFonts w:hint="eastAsia"/>
          <w:sz w:val="20"/>
          <w:szCs w:val="20"/>
        </w:rPr>
        <w:t>、</w:t>
      </w:r>
      <w:r>
        <w:rPr>
          <w:i/>
          <w:sz w:val="20"/>
          <w:szCs w:val="20"/>
        </w:rPr>
        <w:t>φ</w:t>
      </w:r>
      <w:r>
        <w:rPr>
          <w:sz w:val="20"/>
          <w:szCs w:val="20"/>
        </w:rPr>
        <w:t>´</w:t>
      </w:r>
      <w:r>
        <w:rPr>
          <w:rFonts w:hint="eastAsia" w:ascii="宋体" w:hAnsi="宋体"/>
          <w:sz w:val="20"/>
          <w:szCs w:val="20"/>
        </w:rPr>
        <w:t>；</w:t>
      </w:r>
    </w:p>
    <w:p w14:paraId="5D71819F">
      <w:pPr>
        <w:adjustRightInd w:val="0"/>
        <w:snapToGrid w:val="0"/>
        <w:spacing w:line="288" w:lineRule="auto"/>
        <w:ind w:firstLine="402" w:firstLineChars="200"/>
        <w:rPr>
          <w:rFonts w:ascii="宋体" w:hAnsi="宋体"/>
          <w:sz w:val="20"/>
          <w:szCs w:val="20"/>
        </w:rPr>
      </w:pPr>
      <w:r>
        <w:rPr>
          <w:b/>
          <w:bCs/>
          <w:sz w:val="20"/>
          <w:szCs w:val="20"/>
        </w:rPr>
        <w:t>2</w:t>
      </w:r>
      <w:r>
        <w:rPr>
          <w:rFonts w:ascii="宋体" w:hAnsi="宋体"/>
          <w:sz w:val="20"/>
          <w:szCs w:val="20"/>
        </w:rPr>
        <w:t xml:space="preserve">  </w:t>
      </w:r>
      <w:r>
        <w:rPr>
          <w:rFonts w:hint="eastAsia" w:ascii="宋体" w:hAnsi="宋体"/>
          <w:sz w:val="20"/>
          <w:szCs w:val="20"/>
        </w:rPr>
        <w:t>对地下水位以下的黏性土、黏质粉土，可采用土压力、水压力合算方法；其中，对正常固结和超固结土，土的抗剪强度指标应采用三轴固结不排水剪切试验确定的抗剪强度指标</w:t>
      </w:r>
      <w:r>
        <w:rPr>
          <w:i/>
          <w:sz w:val="20"/>
          <w:szCs w:val="20"/>
        </w:rPr>
        <w:t>c</w:t>
      </w:r>
      <w:r>
        <w:rPr>
          <w:rFonts w:ascii="宋体" w:hAnsi="宋体"/>
          <w:sz w:val="20"/>
          <w:szCs w:val="20"/>
          <w:vertAlign w:val="subscript"/>
        </w:rPr>
        <w:t>cu</w:t>
      </w:r>
      <w:r>
        <w:rPr>
          <w:rFonts w:hint="eastAsia" w:ascii="宋体" w:hAnsi="宋体"/>
          <w:sz w:val="20"/>
          <w:szCs w:val="20"/>
        </w:rPr>
        <w:t>、</w:t>
      </w:r>
      <w:r>
        <w:rPr>
          <w:i/>
          <w:sz w:val="20"/>
          <w:szCs w:val="20"/>
        </w:rPr>
        <w:t>φ</w:t>
      </w:r>
      <w:r>
        <w:rPr>
          <w:rFonts w:ascii="宋体" w:hAnsi="宋体"/>
          <w:sz w:val="20"/>
          <w:szCs w:val="20"/>
          <w:vertAlign w:val="subscript"/>
        </w:rPr>
        <w:t>cu</w:t>
      </w:r>
      <w:r>
        <w:rPr>
          <w:rFonts w:hint="eastAsia" w:ascii="宋体" w:hAnsi="宋体"/>
          <w:sz w:val="20"/>
          <w:szCs w:val="20"/>
        </w:rPr>
        <w:t>或采用直剪固结快剪方法确定的抗剪强度指标</w:t>
      </w:r>
      <w:r>
        <w:rPr>
          <w:i/>
          <w:sz w:val="20"/>
          <w:szCs w:val="20"/>
        </w:rPr>
        <w:t>c</w:t>
      </w:r>
      <w:r>
        <w:rPr>
          <w:rFonts w:ascii="宋体" w:hAnsi="宋体"/>
          <w:sz w:val="20"/>
          <w:szCs w:val="20"/>
          <w:vertAlign w:val="subscript"/>
        </w:rPr>
        <w:t>cq</w:t>
      </w:r>
      <w:r>
        <w:rPr>
          <w:rFonts w:hint="eastAsia" w:ascii="宋体" w:hAnsi="宋体"/>
          <w:sz w:val="20"/>
          <w:szCs w:val="20"/>
        </w:rPr>
        <w:t>、</w:t>
      </w:r>
      <w:r>
        <w:rPr>
          <w:i/>
          <w:sz w:val="20"/>
          <w:szCs w:val="20"/>
        </w:rPr>
        <w:t>φ</w:t>
      </w:r>
      <w:r>
        <w:rPr>
          <w:rFonts w:ascii="宋体" w:hAnsi="宋体"/>
          <w:sz w:val="20"/>
          <w:szCs w:val="20"/>
          <w:vertAlign w:val="subscript"/>
        </w:rPr>
        <w:t>cq</w:t>
      </w:r>
      <w:r>
        <w:rPr>
          <w:rFonts w:hint="eastAsia" w:ascii="宋体" w:hAnsi="宋体"/>
          <w:sz w:val="20"/>
          <w:szCs w:val="20"/>
        </w:rPr>
        <w:t>；对欠固结土，宜采用有效自重压力下预固结的三轴不固结不排水试验确定的抗剪强度指标</w:t>
      </w:r>
      <w:r>
        <w:rPr>
          <w:i/>
          <w:sz w:val="20"/>
          <w:szCs w:val="20"/>
        </w:rPr>
        <w:t>c</w:t>
      </w:r>
      <w:r>
        <w:rPr>
          <w:rFonts w:ascii="宋体" w:hAnsi="宋体"/>
          <w:sz w:val="20"/>
          <w:szCs w:val="20"/>
          <w:vertAlign w:val="subscript"/>
        </w:rPr>
        <w:t>uu</w:t>
      </w:r>
      <w:r>
        <w:rPr>
          <w:rFonts w:hint="eastAsia" w:ascii="宋体" w:hAnsi="宋体"/>
          <w:sz w:val="20"/>
          <w:szCs w:val="20"/>
        </w:rPr>
        <w:t>、</w:t>
      </w:r>
      <w:r>
        <w:rPr>
          <w:i/>
          <w:sz w:val="20"/>
          <w:szCs w:val="20"/>
        </w:rPr>
        <w:t>φ</w:t>
      </w:r>
      <w:r>
        <w:rPr>
          <w:rFonts w:ascii="宋体" w:hAnsi="宋体"/>
          <w:sz w:val="20"/>
          <w:szCs w:val="20"/>
          <w:vertAlign w:val="subscript"/>
        </w:rPr>
        <w:t>uu</w:t>
      </w:r>
      <w:r>
        <w:rPr>
          <w:rFonts w:hint="eastAsia" w:ascii="宋体" w:hAnsi="宋体"/>
          <w:sz w:val="20"/>
          <w:szCs w:val="20"/>
        </w:rPr>
        <w:t>；</w:t>
      </w:r>
    </w:p>
    <w:p w14:paraId="32972B7F">
      <w:pPr>
        <w:adjustRightInd w:val="0"/>
        <w:snapToGrid w:val="0"/>
        <w:spacing w:line="288" w:lineRule="auto"/>
        <w:ind w:firstLine="402" w:firstLineChars="200"/>
        <w:rPr>
          <w:rFonts w:ascii="宋体" w:hAnsi="宋体"/>
          <w:sz w:val="20"/>
          <w:szCs w:val="20"/>
        </w:rPr>
      </w:pPr>
      <w:r>
        <w:rPr>
          <w:b/>
          <w:bCs/>
          <w:sz w:val="20"/>
          <w:szCs w:val="20"/>
        </w:rPr>
        <w:t>3</w:t>
      </w:r>
      <w:r>
        <w:rPr>
          <w:rFonts w:ascii="宋体" w:hAnsi="宋体"/>
          <w:sz w:val="20"/>
          <w:szCs w:val="20"/>
        </w:rPr>
        <w:t xml:space="preserve">  </w:t>
      </w:r>
      <w:r>
        <w:rPr>
          <w:rFonts w:hint="eastAsia" w:ascii="宋体" w:hAnsi="宋体"/>
          <w:sz w:val="20"/>
          <w:szCs w:val="20"/>
        </w:rPr>
        <w:t>对地下水位以下的砂质粉土、砂土和碎石土，应采用土压力、水压力分算方法，土的抗剪强度指标应采用有效应力抗剪强度指标</w:t>
      </w:r>
      <w:r>
        <w:rPr>
          <w:i/>
          <w:sz w:val="20"/>
          <w:szCs w:val="20"/>
        </w:rPr>
        <w:t>c</w:t>
      </w:r>
      <w:r>
        <w:rPr>
          <w:rFonts w:ascii="宋体" w:hAnsi="宋体"/>
          <w:sz w:val="20"/>
          <w:szCs w:val="20"/>
        </w:rPr>
        <w:t>´</w:t>
      </w:r>
      <w:r>
        <w:rPr>
          <w:rFonts w:hint="eastAsia" w:ascii="宋体" w:hAnsi="宋体"/>
          <w:sz w:val="20"/>
          <w:szCs w:val="20"/>
        </w:rPr>
        <w:t>、</w:t>
      </w:r>
      <w:r>
        <w:rPr>
          <w:i/>
          <w:sz w:val="20"/>
          <w:szCs w:val="20"/>
        </w:rPr>
        <w:t>φ</w:t>
      </w:r>
      <w:r>
        <w:rPr>
          <w:rFonts w:ascii="宋体" w:hAnsi="宋体"/>
          <w:sz w:val="20"/>
          <w:szCs w:val="20"/>
        </w:rPr>
        <w:t>´</w:t>
      </w:r>
      <w:r>
        <w:rPr>
          <w:rFonts w:hint="eastAsia" w:ascii="宋体" w:hAnsi="宋体"/>
          <w:sz w:val="20"/>
          <w:szCs w:val="20"/>
        </w:rPr>
        <w:t>；对砂质粉土，当缺少有效应力强度指标时，也可采用三轴固结不排水抗剪强度指标</w:t>
      </w:r>
      <w:r>
        <w:rPr>
          <w:i/>
          <w:sz w:val="20"/>
          <w:szCs w:val="20"/>
        </w:rPr>
        <w:t>c</w:t>
      </w:r>
      <w:r>
        <w:rPr>
          <w:rFonts w:ascii="宋体" w:hAnsi="宋体"/>
          <w:sz w:val="20"/>
          <w:szCs w:val="20"/>
          <w:vertAlign w:val="subscript"/>
        </w:rPr>
        <w:t>cu</w:t>
      </w:r>
      <w:r>
        <w:rPr>
          <w:rFonts w:hint="eastAsia" w:ascii="宋体" w:hAnsi="宋体"/>
          <w:sz w:val="20"/>
          <w:szCs w:val="20"/>
        </w:rPr>
        <w:t>、</w:t>
      </w:r>
      <w:r>
        <w:rPr>
          <w:i/>
          <w:sz w:val="20"/>
          <w:szCs w:val="20"/>
        </w:rPr>
        <w:t>φ</w:t>
      </w:r>
      <w:r>
        <w:rPr>
          <w:rFonts w:ascii="宋体" w:hAnsi="宋体"/>
          <w:sz w:val="20"/>
          <w:szCs w:val="20"/>
          <w:vertAlign w:val="subscript"/>
        </w:rPr>
        <w:t>cu</w:t>
      </w:r>
      <w:r>
        <w:rPr>
          <w:rFonts w:hint="eastAsia" w:ascii="宋体" w:hAnsi="宋体"/>
          <w:sz w:val="20"/>
          <w:szCs w:val="20"/>
        </w:rPr>
        <w:t>或直剪固结快剪强度指标</w:t>
      </w:r>
      <w:r>
        <w:rPr>
          <w:i/>
          <w:sz w:val="20"/>
          <w:szCs w:val="20"/>
        </w:rPr>
        <w:t>c</w:t>
      </w:r>
      <w:r>
        <w:rPr>
          <w:rFonts w:ascii="宋体" w:hAnsi="宋体"/>
          <w:sz w:val="20"/>
          <w:szCs w:val="20"/>
          <w:vertAlign w:val="subscript"/>
        </w:rPr>
        <w:t>cq</w:t>
      </w:r>
      <w:r>
        <w:rPr>
          <w:rFonts w:hint="eastAsia" w:ascii="宋体" w:hAnsi="宋体"/>
          <w:sz w:val="20"/>
          <w:szCs w:val="20"/>
        </w:rPr>
        <w:t>、</w:t>
      </w:r>
      <w:r>
        <w:rPr>
          <w:i/>
          <w:sz w:val="20"/>
          <w:szCs w:val="20"/>
        </w:rPr>
        <w:t>φ</w:t>
      </w:r>
      <w:r>
        <w:rPr>
          <w:rFonts w:ascii="宋体" w:hAnsi="宋体"/>
          <w:sz w:val="20"/>
          <w:szCs w:val="20"/>
          <w:vertAlign w:val="subscript"/>
        </w:rPr>
        <w:t>cq</w:t>
      </w:r>
      <w:r>
        <w:rPr>
          <w:rFonts w:hint="eastAsia" w:ascii="宋体" w:hAnsi="宋体"/>
          <w:sz w:val="20"/>
          <w:szCs w:val="20"/>
        </w:rPr>
        <w:t>代替；对砂土和碎石土，有效应力抗剪强度指标</w:t>
      </w:r>
      <w:r>
        <w:rPr>
          <w:i/>
          <w:sz w:val="20"/>
          <w:szCs w:val="20"/>
        </w:rPr>
        <w:t>φ</w:t>
      </w:r>
      <w:r>
        <w:rPr>
          <w:rFonts w:ascii="宋体" w:hAnsi="宋体"/>
          <w:sz w:val="20"/>
          <w:szCs w:val="20"/>
        </w:rPr>
        <w:t>´</w:t>
      </w:r>
      <w:r>
        <w:rPr>
          <w:rFonts w:hint="eastAsia" w:ascii="宋体" w:hAnsi="宋体"/>
          <w:sz w:val="20"/>
          <w:szCs w:val="20"/>
        </w:rPr>
        <w:t>可根据标准贯入试验击数和水下休止角等物理力学指标取值；当采用土压力、水压力分算方法时，水压力可按静水压力计算；当存在地下水渗流时，宜按渗流理论计算水压力和土的竖向有效应力；当存在多层地下水时，应根据地下水赋存条件，分别计算与各层地下水相关的水压力；</w:t>
      </w:r>
    </w:p>
    <w:p w14:paraId="6E219B6C">
      <w:pPr>
        <w:adjustRightInd w:val="0"/>
        <w:snapToGrid w:val="0"/>
        <w:spacing w:line="288" w:lineRule="auto"/>
        <w:ind w:firstLine="402" w:firstLineChars="200"/>
        <w:rPr>
          <w:rFonts w:ascii="宋体" w:hAnsi="宋体"/>
          <w:sz w:val="20"/>
          <w:szCs w:val="20"/>
        </w:rPr>
      </w:pPr>
      <w:r>
        <w:rPr>
          <w:b/>
          <w:bCs/>
          <w:sz w:val="20"/>
          <w:szCs w:val="20"/>
        </w:rPr>
        <w:t>4</w:t>
      </w:r>
      <w:r>
        <w:rPr>
          <w:rFonts w:ascii="宋体" w:hAnsi="宋体"/>
          <w:sz w:val="20"/>
          <w:szCs w:val="20"/>
        </w:rPr>
        <w:t xml:space="preserve">  </w:t>
      </w:r>
      <w:r>
        <w:rPr>
          <w:rFonts w:hint="eastAsia"/>
        </w:rPr>
        <w:t>有工程经验时</w:t>
      </w:r>
      <w:r>
        <w:rPr>
          <w:rFonts w:hint="eastAsia" w:ascii="宋体" w:hAnsi="宋体"/>
          <w:sz w:val="20"/>
          <w:szCs w:val="20"/>
        </w:rPr>
        <w:t>，土的抗剪强度指标可根据室内或原位测试得到的其它物理力学指标，按经验方法确定。</w:t>
      </w:r>
    </w:p>
    <w:p w14:paraId="76F52C0C">
      <w:pPr>
        <w:adjustRightInd w:val="0"/>
        <w:snapToGrid w:val="0"/>
        <w:spacing w:line="288" w:lineRule="auto"/>
        <w:rPr>
          <w:rFonts w:ascii="宋体" w:hAnsi="宋体"/>
          <w:sz w:val="20"/>
          <w:szCs w:val="20"/>
        </w:rPr>
      </w:pPr>
      <w:r>
        <w:rPr>
          <w:rFonts w:eastAsia="黑体"/>
          <w:b/>
          <w:bCs/>
          <w:sz w:val="20"/>
          <w:szCs w:val="20"/>
        </w:rPr>
        <w:t>3.1.14</w:t>
      </w:r>
      <w:r>
        <w:rPr>
          <w:b/>
          <w:bCs/>
          <w:sz w:val="20"/>
          <w:szCs w:val="20"/>
        </w:rPr>
        <w:t xml:space="preserve"> </w:t>
      </w:r>
      <w:r>
        <w:rPr>
          <w:rFonts w:ascii="宋体" w:hAnsi="宋体"/>
          <w:bCs/>
          <w:sz w:val="20"/>
          <w:szCs w:val="20"/>
        </w:rPr>
        <w:t xml:space="preserve"> </w:t>
      </w:r>
      <w:r>
        <w:rPr>
          <w:rFonts w:hint="eastAsia" w:ascii="宋体" w:hAnsi="宋体"/>
          <w:sz w:val="20"/>
          <w:szCs w:val="20"/>
        </w:rPr>
        <w:t>基坑支护设计应对施工质量检测及施工过程监控提出要求。</w:t>
      </w:r>
    </w:p>
    <w:p w14:paraId="23827431">
      <w:pPr>
        <w:adjustRightInd w:val="0"/>
        <w:snapToGrid w:val="0"/>
        <w:spacing w:line="288" w:lineRule="auto"/>
        <w:rPr>
          <w:rFonts w:ascii="宋体" w:hAnsi="宋体"/>
          <w:sz w:val="20"/>
          <w:szCs w:val="20"/>
        </w:rPr>
      </w:pPr>
      <w:r>
        <w:rPr>
          <w:rFonts w:eastAsia="黑体"/>
          <w:b/>
          <w:bCs/>
          <w:sz w:val="20"/>
          <w:szCs w:val="20"/>
        </w:rPr>
        <w:t xml:space="preserve">3.1.15  </w:t>
      </w:r>
      <w:r>
        <w:rPr>
          <w:rFonts w:hint="eastAsia" w:ascii="宋体" w:hAnsi="宋体"/>
          <w:bCs/>
          <w:sz w:val="20"/>
          <w:szCs w:val="20"/>
        </w:rPr>
        <w:t>基坑支护设计</w:t>
      </w:r>
      <w:r>
        <w:rPr>
          <w:rFonts w:hint="eastAsia" w:ascii="宋体" w:hAnsi="宋体"/>
          <w:sz w:val="20"/>
          <w:szCs w:val="20"/>
        </w:rPr>
        <w:t>应选择符合支护结构实际条件的计算模型，并在确认参数的合理性、计算结果的可靠性后，方可将计算结果用于设计。</w:t>
      </w:r>
    </w:p>
    <w:p w14:paraId="553F63A1">
      <w:pPr>
        <w:adjustRightInd w:val="0"/>
        <w:snapToGrid w:val="0"/>
        <w:spacing w:line="288" w:lineRule="auto"/>
        <w:rPr>
          <w:rFonts w:ascii="宋体" w:hAnsi="宋体"/>
          <w:sz w:val="20"/>
          <w:szCs w:val="20"/>
        </w:rPr>
      </w:pPr>
      <w:r>
        <w:rPr>
          <w:rFonts w:hint="eastAsia" w:eastAsia="黑体"/>
          <w:b/>
          <w:bCs/>
          <w:sz w:val="20"/>
          <w:szCs w:val="20"/>
        </w:rPr>
        <w:t>3.</w:t>
      </w:r>
      <w:r>
        <w:rPr>
          <w:rFonts w:eastAsia="黑体"/>
          <w:b/>
          <w:bCs/>
          <w:sz w:val="20"/>
          <w:szCs w:val="20"/>
        </w:rPr>
        <w:t>1.</w:t>
      </w:r>
      <w:r>
        <w:rPr>
          <w:rFonts w:hint="eastAsia" w:eastAsia="黑体"/>
          <w:b/>
          <w:bCs/>
          <w:sz w:val="20"/>
          <w:szCs w:val="20"/>
        </w:rPr>
        <w:t>1</w:t>
      </w:r>
      <w:r>
        <w:rPr>
          <w:rFonts w:eastAsia="黑体"/>
          <w:b/>
          <w:bCs/>
          <w:sz w:val="20"/>
          <w:szCs w:val="20"/>
        </w:rPr>
        <w:t>6</w:t>
      </w:r>
      <w:r>
        <w:rPr>
          <w:rFonts w:hint="eastAsia" w:ascii="宋体" w:hAnsi="宋体"/>
          <w:bCs/>
          <w:sz w:val="20"/>
          <w:szCs w:val="20"/>
        </w:rPr>
        <w:t xml:space="preserve">  </w:t>
      </w:r>
      <w:r>
        <w:rPr>
          <w:rFonts w:hint="eastAsia" w:ascii="宋体" w:hAnsi="宋体"/>
          <w:sz w:val="20"/>
          <w:szCs w:val="20"/>
        </w:rPr>
        <w:t>基坑支护设计应提出监测技术要求，包括监测项目、监测频率、监测点布置及监测控制值和预警值等。</w:t>
      </w:r>
    </w:p>
    <w:p w14:paraId="55767F24">
      <w:pPr>
        <w:adjustRightInd w:val="0"/>
        <w:snapToGrid w:val="0"/>
        <w:spacing w:line="288" w:lineRule="auto"/>
        <w:rPr>
          <w:rFonts w:ascii="宋体" w:hAnsi="宋体"/>
          <w:sz w:val="20"/>
          <w:szCs w:val="20"/>
        </w:rPr>
      </w:pPr>
      <w:r>
        <w:rPr>
          <w:rFonts w:eastAsia="黑体"/>
          <w:b/>
          <w:bCs/>
          <w:sz w:val="20"/>
          <w:szCs w:val="20"/>
        </w:rPr>
        <w:t>3.1.17</w: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基坑支护设计文件内容应符合本规程附录</w:t>
      </w:r>
      <w:r>
        <w:rPr>
          <w:sz w:val="20"/>
          <w:szCs w:val="20"/>
        </w:rPr>
        <w:t>A</w:t>
      </w:r>
      <w:r>
        <w:rPr>
          <w:rFonts w:hint="eastAsia" w:ascii="宋体" w:hAnsi="宋体"/>
          <w:sz w:val="20"/>
          <w:szCs w:val="20"/>
        </w:rPr>
        <w:t>的要求。</w:t>
      </w:r>
    </w:p>
    <w:p w14:paraId="46E93082">
      <w:pPr>
        <w:pStyle w:val="7"/>
        <w:keepNext w:val="0"/>
        <w:keepLines w:val="0"/>
        <w:adjustRightInd w:val="0"/>
        <w:snapToGrid w:val="0"/>
        <w:spacing w:before="312" w:beforeLines="100" w:after="312" w:afterLines="100" w:line="288" w:lineRule="auto"/>
        <w:jc w:val="center"/>
        <w:rPr>
          <w:rFonts w:ascii="黑体" w:hAnsi="黑体" w:eastAsia="黑体"/>
          <w:b w:val="0"/>
          <w:bCs w:val="0"/>
          <w:sz w:val="20"/>
          <w:szCs w:val="20"/>
        </w:rPr>
      </w:pPr>
      <w:bookmarkStart w:id="20" w:name="_Toc468104697"/>
      <w:bookmarkStart w:id="21" w:name="_Toc139613708"/>
      <w:r>
        <w:rPr>
          <w:rFonts w:eastAsia="黑体"/>
          <w:sz w:val="20"/>
          <w:szCs w:val="20"/>
        </w:rPr>
        <w:t>3.2</w:t>
      </w:r>
      <w:r>
        <w:rPr>
          <w:rFonts w:ascii="黑体" w:hAnsi="黑体" w:eastAsia="黑体"/>
          <w:b w:val="0"/>
          <w:sz w:val="20"/>
          <w:szCs w:val="20"/>
        </w:rPr>
        <w:t xml:space="preserve">  </w:t>
      </w:r>
      <w:r>
        <w:rPr>
          <w:rFonts w:hint="eastAsia" w:ascii="黑体" w:hAnsi="黑体" w:eastAsia="黑体"/>
          <w:b w:val="0"/>
          <w:sz w:val="20"/>
          <w:szCs w:val="20"/>
        </w:rPr>
        <w:t>支护结构选型</w:t>
      </w:r>
      <w:bookmarkEnd w:id="20"/>
      <w:bookmarkEnd w:id="21"/>
    </w:p>
    <w:p w14:paraId="307EEDE3">
      <w:pPr>
        <w:tabs>
          <w:tab w:val="left" w:pos="1701"/>
        </w:tabs>
        <w:adjustRightInd w:val="0"/>
        <w:snapToGrid w:val="0"/>
        <w:spacing w:line="288" w:lineRule="auto"/>
        <w:rPr>
          <w:rFonts w:ascii="宋体" w:hAnsi="宋体"/>
          <w:sz w:val="20"/>
          <w:szCs w:val="20"/>
        </w:rPr>
      </w:pPr>
      <w:r>
        <w:rPr>
          <w:b/>
          <w:sz w:val="20"/>
          <w:szCs w:val="20"/>
        </w:rPr>
        <w:t>3.2.1</w:t>
      </w:r>
      <w:r>
        <w:rPr>
          <w:rFonts w:ascii="宋体" w:hAnsi="宋体"/>
          <w:bCs/>
          <w:sz w:val="20"/>
          <w:szCs w:val="20"/>
        </w:rPr>
        <w:t xml:space="preserve">  </w:t>
      </w:r>
      <w:r>
        <w:rPr>
          <w:rFonts w:hint="eastAsia" w:ascii="宋体" w:hAnsi="宋体"/>
          <w:sz w:val="20"/>
          <w:szCs w:val="20"/>
        </w:rPr>
        <w:t>支护结构应综合考虑基坑周边环境限制条件、开挖深度、工程地质与水文地质条件、</w:t>
      </w:r>
      <w:r>
        <w:rPr>
          <w:sz w:val="20"/>
          <w:szCs w:val="20"/>
        </w:rPr>
        <w:t>结构受力、变形控制要求、工程造价、碳排放量、</w:t>
      </w:r>
      <w:r>
        <w:rPr>
          <w:rFonts w:hint="eastAsia" w:ascii="宋体" w:hAnsi="宋体"/>
          <w:sz w:val="20"/>
          <w:szCs w:val="20"/>
        </w:rPr>
        <w:t>施工工艺及设备条件、周边相近条件基坑的工程经验、施工工期及施工季节等因素，按表</w:t>
      </w:r>
      <w:r>
        <w:rPr>
          <w:sz w:val="20"/>
          <w:szCs w:val="20"/>
        </w:rPr>
        <w:t>3.2.1</w:t>
      </w:r>
      <w:r>
        <w:rPr>
          <w:rFonts w:hint="eastAsia" w:ascii="宋体" w:hAnsi="宋体"/>
          <w:sz w:val="20"/>
          <w:szCs w:val="20"/>
        </w:rPr>
        <w:t>选型。</w:t>
      </w:r>
    </w:p>
    <w:p w14:paraId="0433D28A">
      <w:pPr>
        <w:adjustRightInd w:val="0"/>
        <w:snapToGrid w:val="0"/>
        <w:spacing w:before="156" w:beforeLines="50" w:line="288" w:lineRule="auto"/>
        <w:ind w:left="-13" w:leftChars="-67" w:hanging="128" w:hangingChars="71"/>
        <w:jc w:val="center"/>
        <w:rPr>
          <w:rFonts w:ascii="宋体" w:hAnsi="宋体"/>
          <w:b/>
          <w:sz w:val="18"/>
          <w:szCs w:val="18"/>
        </w:rPr>
      </w:pPr>
      <w:r>
        <w:rPr>
          <w:rFonts w:ascii="宋体" w:hAnsi="宋体"/>
          <w:b/>
          <w:sz w:val="18"/>
          <w:szCs w:val="18"/>
        </w:rPr>
        <w:t>表</w:t>
      </w:r>
      <w:r>
        <w:rPr>
          <w:b/>
          <w:sz w:val="18"/>
          <w:szCs w:val="18"/>
        </w:rPr>
        <w:t>3.2.1</w:t>
      </w:r>
      <w:r>
        <w:rPr>
          <w:rFonts w:ascii="宋体" w:hAnsi="宋体"/>
          <w:b/>
          <w:sz w:val="18"/>
          <w:szCs w:val="18"/>
        </w:rPr>
        <w:t xml:space="preserve">  各类支护结构的适用条件</w:t>
      </w:r>
    </w:p>
    <w:tbl>
      <w:tblPr>
        <w:tblStyle w:val="34"/>
        <w:tblW w:w="584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28" w:type="dxa"/>
          <w:left w:w="28" w:type="dxa"/>
          <w:bottom w:w="28" w:type="dxa"/>
          <w:right w:w="28" w:type="dxa"/>
        </w:tblCellMar>
      </w:tblPr>
      <w:tblGrid>
        <w:gridCol w:w="298"/>
        <w:gridCol w:w="962"/>
        <w:gridCol w:w="420"/>
        <w:gridCol w:w="1596"/>
        <w:gridCol w:w="1421"/>
        <w:gridCol w:w="1143"/>
      </w:tblGrid>
      <w:tr w14:paraId="6CE9F32E">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trHeight w:val="223" w:hRule="atLeast"/>
          <w:jc w:val="center"/>
        </w:trPr>
        <w:tc>
          <w:tcPr>
            <w:tcW w:w="1260" w:type="dxa"/>
            <w:gridSpan w:val="2"/>
            <w:vMerge w:val="restart"/>
            <w:vAlign w:val="center"/>
          </w:tcPr>
          <w:p w14:paraId="74FBC1AE">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结构类型</w:t>
            </w:r>
          </w:p>
        </w:tc>
        <w:tc>
          <w:tcPr>
            <w:tcW w:w="4580" w:type="dxa"/>
            <w:gridSpan w:val="4"/>
            <w:vAlign w:val="center"/>
          </w:tcPr>
          <w:p w14:paraId="40B5B5C6">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适用条件</w:t>
            </w:r>
          </w:p>
        </w:tc>
      </w:tr>
      <w:tr w14:paraId="14CD1B4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trHeight w:val="295" w:hRule="atLeast"/>
          <w:jc w:val="center"/>
        </w:trPr>
        <w:tc>
          <w:tcPr>
            <w:tcW w:w="1260" w:type="dxa"/>
            <w:gridSpan w:val="2"/>
            <w:vMerge w:val="continue"/>
            <w:vAlign w:val="center"/>
          </w:tcPr>
          <w:p w14:paraId="7D8C06F1">
            <w:pPr>
              <w:tabs>
                <w:tab w:val="left" w:pos="5220"/>
              </w:tabs>
              <w:adjustRightInd w:val="0"/>
              <w:snapToGrid w:val="0"/>
              <w:spacing w:line="264" w:lineRule="auto"/>
              <w:jc w:val="center"/>
              <w:rPr>
                <w:rFonts w:ascii="宋体" w:hAnsi="宋体"/>
                <w:sz w:val="15"/>
                <w:szCs w:val="15"/>
              </w:rPr>
            </w:pPr>
          </w:p>
        </w:tc>
        <w:tc>
          <w:tcPr>
            <w:tcW w:w="420" w:type="dxa"/>
            <w:vAlign w:val="center"/>
          </w:tcPr>
          <w:p w14:paraId="5BD45AB9">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安全等级</w:t>
            </w:r>
          </w:p>
        </w:tc>
        <w:tc>
          <w:tcPr>
            <w:tcW w:w="4160" w:type="dxa"/>
            <w:gridSpan w:val="3"/>
            <w:vAlign w:val="center"/>
          </w:tcPr>
          <w:p w14:paraId="5039AF62">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基坑深度、环境条件、土质和地下水条件</w:t>
            </w:r>
          </w:p>
        </w:tc>
      </w:tr>
      <w:tr w14:paraId="0FE72A3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298" w:type="dxa"/>
            <w:vMerge w:val="restart"/>
            <w:vAlign w:val="center"/>
          </w:tcPr>
          <w:p w14:paraId="71D54CA0">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支挡式结构</w:t>
            </w:r>
          </w:p>
        </w:tc>
        <w:tc>
          <w:tcPr>
            <w:tcW w:w="962" w:type="dxa"/>
            <w:vAlign w:val="center"/>
          </w:tcPr>
          <w:p w14:paraId="22F5AFFD">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锚拉式结构</w:t>
            </w:r>
          </w:p>
        </w:tc>
        <w:tc>
          <w:tcPr>
            <w:tcW w:w="420" w:type="dxa"/>
            <w:vMerge w:val="restart"/>
            <w:vAlign w:val="center"/>
          </w:tcPr>
          <w:p w14:paraId="49EFABD6">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一级</w:t>
            </w:r>
          </w:p>
          <w:p w14:paraId="4CE14349">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二级</w:t>
            </w:r>
          </w:p>
        </w:tc>
        <w:tc>
          <w:tcPr>
            <w:tcW w:w="1596" w:type="dxa"/>
            <w:vAlign w:val="center"/>
          </w:tcPr>
          <w:p w14:paraId="6903AA70">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适用于深基坑</w:t>
            </w:r>
          </w:p>
        </w:tc>
        <w:tc>
          <w:tcPr>
            <w:tcW w:w="2564" w:type="dxa"/>
            <w:gridSpan w:val="2"/>
            <w:vMerge w:val="restart"/>
            <w:vAlign w:val="center"/>
          </w:tcPr>
          <w:p w14:paraId="2BD66B31">
            <w:pPr>
              <w:adjustRightInd w:val="0"/>
              <w:snapToGrid w:val="0"/>
              <w:spacing w:line="264" w:lineRule="auto"/>
              <w:ind w:left="225" w:hanging="225" w:hangingChars="150"/>
              <w:rPr>
                <w:rFonts w:ascii="宋体" w:hAnsi="宋体"/>
                <w:sz w:val="15"/>
                <w:szCs w:val="15"/>
              </w:rPr>
            </w:pPr>
            <w:r>
              <w:rPr>
                <w:sz w:val="15"/>
                <w:szCs w:val="15"/>
              </w:rPr>
              <w:t>1</w:t>
            </w:r>
            <w:r>
              <w:rPr>
                <w:rFonts w:ascii="宋体" w:hAnsi="宋体"/>
                <w:sz w:val="15"/>
                <w:szCs w:val="15"/>
              </w:rPr>
              <w:t xml:space="preserve">  </w:t>
            </w:r>
            <w:r>
              <w:rPr>
                <w:rFonts w:hint="eastAsia" w:ascii="宋体" w:hAnsi="宋体"/>
                <w:sz w:val="15"/>
                <w:szCs w:val="15"/>
              </w:rPr>
              <w:t>排桩适用于地下水位以上、可降水或结合截水帷幕的基坑</w:t>
            </w:r>
          </w:p>
          <w:p w14:paraId="5910360E">
            <w:pPr>
              <w:tabs>
                <w:tab w:val="left" w:pos="5220"/>
              </w:tabs>
              <w:adjustRightInd w:val="0"/>
              <w:snapToGrid w:val="0"/>
              <w:spacing w:line="264" w:lineRule="auto"/>
              <w:ind w:left="225" w:hanging="225" w:hangingChars="150"/>
              <w:rPr>
                <w:rFonts w:ascii="宋体" w:hAnsi="宋体"/>
                <w:sz w:val="15"/>
                <w:szCs w:val="15"/>
              </w:rPr>
            </w:pPr>
            <w:r>
              <w:rPr>
                <w:sz w:val="15"/>
                <w:szCs w:val="15"/>
              </w:rPr>
              <w:t>2</w:t>
            </w:r>
            <w:r>
              <w:rPr>
                <w:rFonts w:ascii="宋体" w:hAnsi="宋体"/>
                <w:sz w:val="15"/>
                <w:szCs w:val="15"/>
              </w:rPr>
              <w:t xml:space="preserve">  </w:t>
            </w:r>
            <w:r>
              <w:rPr>
                <w:rFonts w:hint="eastAsia" w:ascii="宋体" w:hAnsi="宋体"/>
                <w:sz w:val="15"/>
                <w:szCs w:val="15"/>
              </w:rPr>
              <w:t>地下连续墙宜同时用作主体地下结构外墙，可同时用于截水</w:t>
            </w:r>
          </w:p>
          <w:p w14:paraId="2A00B933">
            <w:pPr>
              <w:tabs>
                <w:tab w:val="left" w:pos="5220"/>
              </w:tabs>
              <w:adjustRightInd w:val="0"/>
              <w:snapToGrid w:val="0"/>
              <w:spacing w:line="264" w:lineRule="auto"/>
              <w:ind w:left="225" w:hanging="225" w:hangingChars="150"/>
              <w:rPr>
                <w:rFonts w:ascii="宋体" w:hAnsi="宋体"/>
                <w:sz w:val="15"/>
                <w:szCs w:val="15"/>
              </w:rPr>
            </w:pPr>
            <w:r>
              <w:rPr>
                <w:sz w:val="15"/>
                <w:szCs w:val="15"/>
              </w:rPr>
              <w:t>3</w:t>
            </w:r>
            <w:r>
              <w:rPr>
                <w:rFonts w:ascii="宋体" w:hAnsi="宋体"/>
                <w:sz w:val="15"/>
                <w:szCs w:val="15"/>
              </w:rPr>
              <w:t xml:space="preserve">  </w:t>
            </w:r>
            <w:r>
              <w:rPr>
                <w:rFonts w:hint="eastAsia" w:ascii="宋体" w:hAnsi="宋体"/>
                <w:sz w:val="15"/>
                <w:szCs w:val="15"/>
              </w:rPr>
              <w:t>锚杆不宜用在软弱土层和含有高水头地下水的碎石土、砂土层中</w:t>
            </w:r>
          </w:p>
          <w:p w14:paraId="279ADF4E">
            <w:pPr>
              <w:tabs>
                <w:tab w:val="left" w:pos="5220"/>
              </w:tabs>
              <w:adjustRightInd w:val="0"/>
              <w:snapToGrid w:val="0"/>
              <w:spacing w:line="264" w:lineRule="auto"/>
              <w:ind w:left="225" w:hanging="225" w:hangingChars="150"/>
              <w:rPr>
                <w:rFonts w:ascii="宋体" w:hAnsi="宋体"/>
                <w:sz w:val="15"/>
                <w:szCs w:val="15"/>
              </w:rPr>
            </w:pPr>
            <w:r>
              <w:rPr>
                <w:sz w:val="15"/>
                <w:szCs w:val="15"/>
              </w:rPr>
              <w:t xml:space="preserve">4 </w:t>
            </w:r>
            <w:r>
              <w:rPr>
                <w:rFonts w:ascii="宋体" w:hAnsi="宋体"/>
                <w:sz w:val="15"/>
                <w:szCs w:val="15"/>
              </w:rPr>
              <w:t xml:space="preserve"> </w:t>
            </w:r>
            <w:r>
              <w:rPr>
                <w:rFonts w:hint="eastAsia" w:ascii="宋体" w:hAnsi="宋体"/>
                <w:sz w:val="15"/>
                <w:szCs w:val="15"/>
              </w:rPr>
              <w:t>当邻近基坑有建筑物地下室、地下构筑物等，锚杆的有效锚固长度不足时，不应采用锚杆</w:t>
            </w:r>
          </w:p>
          <w:p w14:paraId="0DF099DA">
            <w:pPr>
              <w:tabs>
                <w:tab w:val="left" w:pos="5220"/>
              </w:tabs>
              <w:adjustRightInd w:val="0"/>
              <w:snapToGrid w:val="0"/>
              <w:spacing w:line="264" w:lineRule="auto"/>
              <w:ind w:left="237" w:hanging="237" w:hangingChars="158"/>
              <w:rPr>
                <w:rFonts w:ascii="宋体" w:hAnsi="宋体"/>
                <w:sz w:val="15"/>
                <w:szCs w:val="15"/>
              </w:rPr>
            </w:pPr>
            <w:r>
              <w:rPr>
                <w:sz w:val="15"/>
                <w:szCs w:val="15"/>
              </w:rPr>
              <w:t>5</w:t>
            </w:r>
            <w:r>
              <w:rPr>
                <w:rFonts w:ascii="宋体" w:hAnsi="宋体"/>
                <w:sz w:val="15"/>
                <w:szCs w:val="15"/>
              </w:rPr>
              <w:t xml:space="preserve">  </w:t>
            </w:r>
            <w:r>
              <w:rPr>
                <w:rFonts w:hint="eastAsia" w:ascii="宋体" w:hAnsi="宋体"/>
                <w:sz w:val="15"/>
                <w:szCs w:val="15"/>
              </w:rPr>
              <w:t>当锚杆施工会造成基坑周边建（构）筑物的损害或违反城市地下空间规划等规定时，不应采用锚杆</w:t>
            </w:r>
          </w:p>
        </w:tc>
      </w:tr>
      <w:tr w14:paraId="5EB1852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298" w:type="dxa"/>
            <w:vMerge w:val="continue"/>
            <w:vAlign w:val="center"/>
          </w:tcPr>
          <w:p w14:paraId="58B39E9F">
            <w:pPr>
              <w:tabs>
                <w:tab w:val="left" w:pos="5220"/>
              </w:tabs>
              <w:adjustRightInd w:val="0"/>
              <w:snapToGrid w:val="0"/>
              <w:spacing w:line="264" w:lineRule="auto"/>
              <w:jc w:val="center"/>
              <w:rPr>
                <w:rFonts w:ascii="宋体" w:hAnsi="宋体"/>
                <w:sz w:val="15"/>
                <w:szCs w:val="15"/>
              </w:rPr>
            </w:pPr>
          </w:p>
        </w:tc>
        <w:tc>
          <w:tcPr>
            <w:tcW w:w="962" w:type="dxa"/>
            <w:vAlign w:val="center"/>
          </w:tcPr>
          <w:p w14:paraId="5CCAF88B">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支撑式结构</w:t>
            </w:r>
          </w:p>
        </w:tc>
        <w:tc>
          <w:tcPr>
            <w:tcW w:w="420" w:type="dxa"/>
            <w:vMerge w:val="continue"/>
            <w:vAlign w:val="center"/>
          </w:tcPr>
          <w:p w14:paraId="49067000">
            <w:pPr>
              <w:tabs>
                <w:tab w:val="left" w:pos="5220"/>
              </w:tabs>
              <w:adjustRightInd w:val="0"/>
              <w:snapToGrid w:val="0"/>
              <w:spacing w:line="264" w:lineRule="auto"/>
              <w:jc w:val="center"/>
              <w:rPr>
                <w:rFonts w:ascii="宋体" w:hAnsi="宋体"/>
                <w:sz w:val="15"/>
                <w:szCs w:val="15"/>
              </w:rPr>
            </w:pPr>
          </w:p>
        </w:tc>
        <w:tc>
          <w:tcPr>
            <w:tcW w:w="1596" w:type="dxa"/>
            <w:vAlign w:val="center"/>
          </w:tcPr>
          <w:p w14:paraId="5FD482D2">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适用于深基坑</w:t>
            </w:r>
          </w:p>
        </w:tc>
        <w:tc>
          <w:tcPr>
            <w:tcW w:w="2564" w:type="dxa"/>
            <w:gridSpan w:val="2"/>
            <w:vMerge w:val="continue"/>
            <w:vAlign w:val="center"/>
          </w:tcPr>
          <w:p w14:paraId="6DBDDB8F">
            <w:pPr>
              <w:tabs>
                <w:tab w:val="left" w:pos="5220"/>
              </w:tabs>
              <w:adjustRightInd w:val="0"/>
              <w:snapToGrid w:val="0"/>
              <w:spacing w:line="264" w:lineRule="auto"/>
              <w:jc w:val="center"/>
              <w:rPr>
                <w:rFonts w:ascii="宋体" w:hAnsi="宋体"/>
                <w:sz w:val="15"/>
                <w:szCs w:val="15"/>
              </w:rPr>
            </w:pPr>
          </w:p>
        </w:tc>
      </w:tr>
      <w:tr w14:paraId="1F383627">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298" w:type="dxa"/>
            <w:vMerge w:val="continue"/>
            <w:vAlign w:val="center"/>
          </w:tcPr>
          <w:p w14:paraId="046A1DA1">
            <w:pPr>
              <w:tabs>
                <w:tab w:val="left" w:pos="5220"/>
              </w:tabs>
              <w:adjustRightInd w:val="0"/>
              <w:snapToGrid w:val="0"/>
              <w:spacing w:line="264" w:lineRule="auto"/>
              <w:jc w:val="center"/>
              <w:rPr>
                <w:rFonts w:ascii="宋体" w:hAnsi="宋体"/>
                <w:sz w:val="15"/>
                <w:szCs w:val="15"/>
              </w:rPr>
            </w:pPr>
          </w:p>
        </w:tc>
        <w:tc>
          <w:tcPr>
            <w:tcW w:w="962" w:type="dxa"/>
            <w:vAlign w:val="center"/>
          </w:tcPr>
          <w:p w14:paraId="5906AD0C">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悬臂式结构</w:t>
            </w:r>
          </w:p>
        </w:tc>
        <w:tc>
          <w:tcPr>
            <w:tcW w:w="420" w:type="dxa"/>
            <w:vMerge w:val="continue"/>
            <w:vAlign w:val="center"/>
          </w:tcPr>
          <w:p w14:paraId="2C45AB9D">
            <w:pPr>
              <w:tabs>
                <w:tab w:val="left" w:pos="5220"/>
              </w:tabs>
              <w:adjustRightInd w:val="0"/>
              <w:snapToGrid w:val="0"/>
              <w:spacing w:line="264" w:lineRule="auto"/>
              <w:jc w:val="center"/>
              <w:rPr>
                <w:rFonts w:ascii="宋体" w:hAnsi="宋体"/>
                <w:sz w:val="15"/>
                <w:szCs w:val="15"/>
              </w:rPr>
            </w:pPr>
          </w:p>
        </w:tc>
        <w:tc>
          <w:tcPr>
            <w:tcW w:w="1596" w:type="dxa"/>
            <w:vAlign w:val="center"/>
          </w:tcPr>
          <w:p w14:paraId="0A84167D">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适用于浅基坑</w:t>
            </w:r>
          </w:p>
        </w:tc>
        <w:tc>
          <w:tcPr>
            <w:tcW w:w="2564" w:type="dxa"/>
            <w:gridSpan w:val="2"/>
            <w:vMerge w:val="continue"/>
            <w:vAlign w:val="center"/>
          </w:tcPr>
          <w:p w14:paraId="34806EAE">
            <w:pPr>
              <w:tabs>
                <w:tab w:val="left" w:pos="5220"/>
              </w:tabs>
              <w:adjustRightInd w:val="0"/>
              <w:snapToGrid w:val="0"/>
              <w:spacing w:line="264" w:lineRule="auto"/>
              <w:jc w:val="center"/>
              <w:rPr>
                <w:rFonts w:ascii="宋体" w:hAnsi="宋体"/>
                <w:sz w:val="15"/>
                <w:szCs w:val="15"/>
              </w:rPr>
            </w:pPr>
          </w:p>
        </w:tc>
      </w:tr>
      <w:tr w14:paraId="670DB15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298" w:type="dxa"/>
            <w:vMerge w:val="continue"/>
            <w:vAlign w:val="center"/>
          </w:tcPr>
          <w:p w14:paraId="247BDE0A">
            <w:pPr>
              <w:tabs>
                <w:tab w:val="left" w:pos="5220"/>
              </w:tabs>
              <w:adjustRightInd w:val="0"/>
              <w:snapToGrid w:val="0"/>
              <w:spacing w:line="264" w:lineRule="auto"/>
              <w:jc w:val="center"/>
              <w:rPr>
                <w:rFonts w:ascii="宋体" w:hAnsi="宋体"/>
                <w:sz w:val="15"/>
                <w:szCs w:val="15"/>
              </w:rPr>
            </w:pPr>
          </w:p>
        </w:tc>
        <w:tc>
          <w:tcPr>
            <w:tcW w:w="962" w:type="dxa"/>
            <w:vAlign w:val="center"/>
          </w:tcPr>
          <w:p w14:paraId="77FFCB15">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双排桩</w:t>
            </w:r>
          </w:p>
        </w:tc>
        <w:tc>
          <w:tcPr>
            <w:tcW w:w="420" w:type="dxa"/>
            <w:vMerge w:val="continue"/>
            <w:vAlign w:val="center"/>
          </w:tcPr>
          <w:p w14:paraId="248519E8">
            <w:pPr>
              <w:tabs>
                <w:tab w:val="left" w:pos="5220"/>
              </w:tabs>
              <w:adjustRightInd w:val="0"/>
              <w:snapToGrid w:val="0"/>
              <w:spacing w:line="264" w:lineRule="auto"/>
              <w:jc w:val="center"/>
              <w:rPr>
                <w:rFonts w:ascii="宋体" w:hAnsi="宋体"/>
                <w:sz w:val="15"/>
                <w:szCs w:val="15"/>
              </w:rPr>
            </w:pPr>
          </w:p>
        </w:tc>
        <w:tc>
          <w:tcPr>
            <w:tcW w:w="1596" w:type="dxa"/>
            <w:vAlign w:val="center"/>
          </w:tcPr>
          <w:p w14:paraId="7C8086F5">
            <w:pPr>
              <w:tabs>
                <w:tab w:val="left" w:pos="5220"/>
              </w:tabs>
              <w:adjustRightInd w:val="0"/>
              <w:snapToGrid w:val="0"/>
              <w:spacing w:line="264" w:lineRule="auto"/>
              <w:ind w:firstLine="150" w:firstLineChars="100"/>
              <w:jc w:val="left"/>
              <w:rPr>
                <w:rFonts w:ascii="宋体" w:hAnsi="宋体"/>
                <w:sz w:val="15"/>
                <w:szCs w:val="15"/>
              </w:rPr>
            </w:pPr>
            <w:r>
              <w:rPr>
                <w:rFonts w:hint="eastAsia" w:ascii="宋体" w:hAnsi="宋体"/>
                <w:sz w:val="15"/>
                <w:szCs w:val="15"/>
              </w:rPr>
              <w:t>当锚拉式、支撑式和悬臂式结构不适用时，可考虑采用双排桩</w:t>
            </w:r>
          </w:p>
        </w:tc>
        <w:tc>
          <w:tcPr>
            <w:tcW w:w="2564" w:type="dxa"/>
            <w:gridSpan w:val="2"/>
            <w:vMerge w:val="continue"/>
            <w:vAlign w:val="center"/>
          </w:tcPr>
          <w:p w14:paraId="1653F35C">
            <w:pPr>
              <w:tabs>
                <w:tab w:val="left" w:pos="5220"/>
              </w:tabs>
              <w:adjustRightInd w:val="0"/>
              <w:snapToGrid w:val="0"/>
              <w:spacing w:line="264" w:lineRule="auto"/>
              <w:jc w:val="center"/>
              <w:rPr>
                <w:rFonts w:ascii="宋体" w:hAnsi="宋体"/>
                <w:sz w:val="15"/>
                <w:szCs w:val="15"/>
              </w:rPr>
            </w:pPr>
          </w:p>
        </w:tc>
      </w:tr>
      <w:tr w14:paraId="157FC06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298" w:type="dxa"/>
            <w:vMerge w:val="continue"/>
            <w:vAlign w:val="center"/>
          </w:tcPr>
          <w:p w14:paraId="60630CCE">
            <w:pPr>
              <w:tabs>
                <w:tab w:val="left" w:pos="5220"/>
              </w:tabs>
              <w:adjustRightInd w:val="0"/>
              <w:snapToGrid w:val="0"/>
              <w:spacing w:line="264" w:lineRule="auto"/>
              <w:jc w:val="center"/>
              <w:rPr>
                <w:rFonts w:ascii="宋体" w:hAnsi="宋体"/>
                <w:sz w:val="15"/>
                <w:szCs w:val="15"/>
              </w:rPr>
            </w:pPr>
          </w:p>
        </w:tc>
        <w:tc>
          <w:tcPr>
            <w:tcW w:w="962" w:type="dxa"/>
            <w:vAlign w:val="center"/>
          </w:tcPr>
          <w:p w14:paraId="3C361050">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逆作法</w:t>
            </w:r>
          </w:p>
        </w:tc>
        <w:tc>
          <w:tcPr>
            <w:tcW w:w="420" w:type="dxa"/>
            <w:vMerge w:val="continue"/>
            <w:vAlign w:val="center"/>
          </w:tcPr>
          <w:p w14:paraId="3B680D06">
            <w:pPr>
              <w:tabs>
                <w:tab w:val="left" w:pos="5220"/>
              </w:tabs>
              <w:adjustRightInd w:val="0"/>
              <w:snapToGrid w:val="0"/>
              <w:spacing w:line="264" w:lineRule="auto"/>
              <w:jc w:val="center"/>
              <w:rPr>
                <w:rFonts w:ascii="宋体" w:hAnsi="宋体"/>
                <w:sz w:val="15"/>
                <w:szCs w:val="15"/>
              </w:rPr>
            </w:pPr>
          </w:p>
        </w:tc>
        <w:tc>
          <w:tcPr>
            <w:tcW w:w="1596" w:type="dxa"/>
            <w:vAlign w:val="center"/>
          </w:tcPr>
          <w:p w14:paraId="24305206">
            <w:pPr>
              <w:tabs>
                <w:tab w:val="left" w:pos="5220"/>
              </w:tabs>
              <w:adjustRightInd w:val="0"/>
              <w:snapToGrid w:val="0"/>
              <w:spacing w:line="264" w:lineRule="auto"/>
              <w:ind w:firstLine="150" w:firstLineChars="100"/>
              <w:jc w:val="left"/>
              <w:rPr>
                <w:rFonts w:ascii="宋体" w:hAnsi="宋体"/>
                <w:sz w:val="15"/>
                <w:szCs w:val="15"/>
              </w:rPr>
            </w:pPr>
            <w:r>
              <w:rPr>
                <w:rFonts w:hint="eastAsia" w:ascii="宋体" w:hAnsi="宋体"/>
                <w:sz w:val="15"/>
                <w:szCs w:val="15"/>
              </w:rPr>
              <w:t>适用于场地</w:t>
            </w:r>
            <w:r>
              <w:rPr>
                <w:rFonts w:ascii="宋体" w:hAnsi="宋体"/>
                <w:sz w:val="15"/>
                <w:szCs w:val="15"/>
              </w:rPr>
              <w:t>狭小且周边环境复杂</w:t>
            </w:r>
            <w:r>
              <w:rPr>
                <w:rFonts w:hint="eastAsia" w:ascii="宋体" w:hAnsi="宋体"/>
                <w:sz w:val="15"/>
                <w:szCs w:val="15"/>
              </w:rPr>
              <w:t>，</w:t>
            </w:r>
            <w:r>
              <w:rPr>
                <w:rFonts w:ascii="宋体" w:hAnsi="宋体"/>
                <w:sz w:val="15"/>
                <w:szCs w:val="15"/>
              </w:rPr>
              <w:t>常规顺作</w:t>
            </w:r>
            <w:r>
              <w:rPr>
                <w:rFonts w:hint="eastAsia" w:ascii="宋体" w:hAnsi="宋体"/>
                <w:sz w:val="15"/>
                <w:szCs w:val="15"/>
              </w:rPr>
              <w:t>实施难度大</w:t>
            </w:r>
            <w:r>
              <w:rPr>
                <w:rFonts w:ascii="宋体" w:hAnsi="宋体"/>
                <w:sz w:val="15"/>
                <w:szCs w:val="15"/>
              </w:rPr>
              <w:t>，工期及变形控制要求高且</w:t>
            </w:r>
            <w:r>
              <w:rPr>
                <w:rFonts w:hint="eastAsia" w:ascii="宋体" w:hAnsi="宋体"/>
                <w:sz w:val="15"/>
                <w:szCs w:val="15"/>
              </w:rPr>
              <w:t>需</w:t>
            </w:r>
            <w:r>
              <w:rPr>
                <w:rFonts w:ascii="宋体" w:hAnsi="宋体"/>
                <w:sz w:val="15"/>
                <w:szCs w:val="15"/>
              </w:rPr>
              <w:t>利用主体地下结构。</w:t>
            </w:r>
          </w:p>
        </w:tc>
        <w:tc>
          <w:tcPr>
            <w:tcW w:w="2564" w:type="dxa"/>
            <w:gridSpan w:val="2"/>
            <w:vMerge w:val="continue"/>
            <w:vAlign w:val="center"/>
          </w:tcPr>
          <w:p w14:paraId="76F9159B">
            <w:pPr>
              <w:tabs>
                <w:tab w:val="left" w:pos="5220"/>
              </w:tabs>
              <w:adjustRightInd w:val="0"/>
              <w:snapToGrid w:val="0"/>
              <w:spacing w:line="264" w:lineRule="auto"/>
              <w:jc w:val="center"/>
              <w:rPr>
                <w:rFonts w:ascii="宋体" w:hAnsi="宋体"/>
                <w:sz w:val="15"/>
                <w:szCs w:val="15"/>
              </w:rPr>
            </w:pPr>
          </w:p>
        </w:tc>
      </w:tr>
      <w:tr w14:paraId="7F387D18">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298" w:type="dxa"/>
            <w:vMerge w:val="restart"/>
            <w:vAlign w:val="center"/>
          </w:tcPr>
          <w:p w14:paraId="39E86162">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土钉墙</w:t>
            </w:r>
          </w:p>
        </w:tc>
        <w:tc>
          <w:tcPr>
            <w:tcW w:w="962" w:type="dxa"/>
            <w:vAlign w:val="center"/>
          </w:tcPr>
          <w:p w14:paraId="4B08696D">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单一土钉墙</w:t>
            </w:r>
          </w:p>
        </w:tc>
        <w:tc>
          <w:tcPr>
            <w:tcW w:w="420" w:type="dxa"/>
            <w:vMerge w:val="restart"/>
            <w:vAlign w:val="center"/>
          </w:tcPr>
          <w:p w14:paraId="16B9EFDD">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二级</w:t>
            </w:r>
          </w:p>
          <w:p w14:paraId="0BDC029F">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三级</w:t>
            </w:r>
          </w:p>
        </w:tc>
        <w:tc>
          <w:tcPr>
            <w:tcW w:w="3017" w:type="dxa"/>
            <w:gridSpan w:val="2"/>
            <w:vAlign w:val="center"/>
          </w:tcPr>
          <w:p w14:paraId="59783FF0">
            <w:pPr>
              <w:tabs>
                <w:tab w:val="left" w:pos="5220"/>
              </w:tabs>
              <w:adjustRightInd w:val="0"/>
              <w:snapToGrid w:val="0"/>
              <w:spacing w:line="264" w:lineRule="auto"/>
              <w:ind w:firstLine="150" w:firstLineChars="100"/>
              <w:jc w:val="left"/>
              <w:rPr>
                <w:rFonts w:ascii="宋体" w:hAnsi="宋体"/>
                <w:sz w:val="15"/>
                <w:szCs w:val="15"/>
              </w:rPr>
            </w:pPr>
            <w:r>
              <w:rPr>
                <w:rFonts w:hint="eastAsia" w:ascii="宋体" w:hAnsi="宋体"/>
                <w:sz w:val="15"/>
                <w:szCs w:val="15"/>
              </w:rPr>
              <w:t>适用于地下水位以上或可实施降水的基坑，但基坑深度不宜大于</w:t>
            </w:r>
            <w:r>
              <w:rPr>
                <w:sz w:val="15"/>
                <w:szCs w:val="15"/>
              </w:rPr>
              <w:t>10m</w:t>
            </w:r>
          </w:p>
        </w:tc>
        <w:tc>
          <w:tcPr>
            <w:tcW w:w="1143" w:type="dxa"/>
            <w:vMerge w:val="restart"/>
            <w:vAlign w:val="center"/>
          </w:tcPr>
          <w:p w14:paraId="1696081A">
            <w:pPr>
              <w:tabs>
                <w:tab w:val="left" w:pos="5220"/>
              </w:tabs>
              <w:adjustRightInd w:val="0"/>
              <w:snapToGrid w:val="0"/>
              <w:spacing w:line="264" w:lineRule="auto"/>
              <w:rPr>
                <w:rFonts w:ascii="宋体" w:hAnsi="宋体"/>
                <w:sz w:val="15"/>
                <w:szCs w:val="15"/>
              </w:rPr>
            </w:pPr>
            <w:r>
              <w:rPr>
                <w:rFonts w:hint="eastAsia" w:ascii="宋体" w:hAnsi="宋体"/>
                <w:sz w:val="15"/>
                <w:szCs w:val="15"/>
              </w:rPr>
              <w:t>当基坑潜在滑动面内有建筑物、重要地下管线时，不宜采用土钉墙</w:t>
            </w:r>
          </w:p>
        </w:tc>
      </w:tr>
      <w:tr w14:paraId="39EDDD3E">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298" w:type="dxa"/>
            <w:vMerge w:val="continue"/>
            <w:vAlign w:val="center"/>
          </w:tcPr>
          <w:p w14:paraId="1F9409C1">
            <w:pPr>
              <w:tabs>
                <w:tab w:val="left" w:pos="5220"/>
              </w:tabs>
              <w:adjustRightInd w:val="0"/>
              <w:snapToGrid w:val="0"/>
              <w:spacing w:line="264" w:lineRule="auto"/>
              <w:jc w:val="center"/>
              <w:rPr>
                <w:rFonts w:ascii="宋体" w:hAnsi="宋体"/>
                <w:sz w:val="15"/>
                <w:szCs w:val="15"/>
              </w:rPr>
            </w:pPr>
          </w:p>
        </w:tc>
        <w:tc>
          <w:tcPr>
            <w:tcW w:w="962" w:type="dxa"/>
            <w:vAlign w:val="center"/>
          </w:tcPr>
          <w:p w14:paraId="489A659E">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预应力锚杆复合土钉墙</w:t>
            </w:r>
          </w:p>
        </w:tc>
        <w:tc>
          <w:tcPr>
            <w:tcW w:w="420" w:type="dxa"/>
            <w:vMerge w:val="continue"/>
            <w:vAlign w:val="center"/>
          </w:tcPr>
          <w:p w14:paraId="142BC847">
            <w:pPr>
              <w:tabs>
                <w:tab w:val="left" w:pos="5220"/>
              </w:tabs>
              <w:adjustRightInd w:val="0"/>
              <w:snapToGrid w:val="0"/>
              <w:spacing w:line="264" w:lineRule="auto"/>
              <w:jc w:val="center"/>
              <w:rPr>
                <w:rFonts w:ascii="宋体" w:hAnsi="宋体"/>
                <w:sz w:val="15"/>
                <w:szCs w:val="15"/>
              </w:rPr>
            </w:pPr>
          </w:p>
        </w:tc>
        <w:tc>
          <w:tcPr>
            <w:tcW w:w="3017" w:type="dxa"/>
            <w:gridSpan w:val="2"/>
            <w:vAlign w:val="center"/>
          </w:tcPr>
          <w:p w14:paraId="2E92175B">
            <w:pPr>
              <w:tabs>
                <w:tab w:val="left" w:pos="5220"/>
              </w:tabs>
              <w:adjustRightInd w:val="0"/>
              <w:snapToGrid w:val="0"/>
              <w:spacing w:line="264" w:lineRule="auto"/>
              <w:ind w:firstLine="150" w:firstLineChars="100"/>
              <w:jc w:val="left"/>
              <w:rPr>
                <w:rFonts w:ascii="宋体" w:hAnsi="宋体"/>
                <w:sz w:val="15"/>
                <w:szCs w:val="15"/>
              </w:rPr>
            </w:pPr>
            <w:r>
              <w:rPr>
                <w:rFonts w:hint="eastAsia" w:ascii="宋体" w:hAnsi="宋体"/>
                <w:sz w:val="15"/>
                <w:szCs w:val="15"/>
              </w:rPr>
              <w:t>适用于地下水位以上或可实施降水的基坑，但基坑深度不宜大于</w:t>
            </w:r>
            <w:r>
              <w:rPr>
                <w:sz w:val="15"/>
                <w:szCs w:val="15"/>
              </w:rPr>
              <w:t>15m</w:t>
            </w:r>
          </w:p>
        </w:tc>
        <w:tc>
          <w:tcPr>
            <w:tcW w:w="1143" w:type="dxa"/>
            <w:vMerge w:val="continue"/>
            <w:vAlign w:val="center"/>
          </w:tcPr>
          <w:p w14:paraId="401D2932">
            <w:pPr>
              <w:tabs>
                <w:tab w:val="left" w:pos="5220"/>
              </w:tabs>
              <w:adjustRightInd w:val="0"/>
              <w:snapToGrid w:val="0"/>
              <w:spacing w:line="264" w:lineRule="auto"/>
              <w:jc w:val="center"/>
              <w:rPr>
                <w:rFonts w:ascii="宋体" w:hAnsi="宋体"/>
                <w:sz w:val="15"/>
                <w:szCs w:val="15"/>
              </w:rPr>
            </w:pPr>
          </w:p>
        </w:tc>
      </w:tr>
      <w:tr w14:paraId="4C9EEEF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298" w:type="dxa"/>
            <w:vMerge w:val="continue"/>
            <w:vAlign w:val="center"/>
          </w:tcPr>
          <w:p w14:paraId="7D831222">
            <w:pPr>
              <w:tabs>
                <w:tab w:val="left" w:pos="5220"/>
              </w:tabs>
              <w:adjustRightInd w:val="0"/>
              <w:snapToGrid w:val="0"/>
              <w:spacing w:line="264" w:lineRule="auto"/>
              <w:jc w:val="center"/>
              <w:rPr>
                <w:rFonts w:ascii="宋体" w:hAnsi="宋体"/>
                <w:sz w:val="15"/>
                <w:szCs w:val="15"/>
              </w:rPr>
            </w:pPr>
          </w:p>
        </w:tc>
        <w:tc>
          <w:tcPr>
            <w:tcW w:w="962" w:type="dxa"/>
            <w:vAlign w:val="center"/>
          </w:tcPr>
          <w:p w14:paraId="20D4E0AE">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水泥土桩垂直复合土钉墙</w:t>
            </w:r>
          </w:p>
        </w:tc>
        <w:tc>
          <w:tcPr>
            <w:tcW w:w="420" w:type="dxa"/>
            <w:vMerge w:val="continue"/>
            <w:vAlign w:val="center"/>
          </w:tcPr>
          <w:p w14:paraId="60FA378A">
            <w:pPr>
              <w:tabs>
                <w:tab w:val="left" w:pos="5220"/>
              </w:tabs>
              <w:adjustRightInd w:val="0"/>
              <w:snapToGrid w:val="0"/>
              <w:spacing w:line="264" w:lineRule="auto"/>
              <w:jc w:val="center"/>
              <w:rPr>
                <w:rFonts w:ascii="宋体" w:hAnsi="宋体"/>
                <w:sz w:val="15"/>
                <w:szCs w:val="15"/>
              </w:rPr>
            </w:pPr>
          </w:p>
        </w:tc>
        <w:tc>
          <w:tcPr>
            <w:tcW w:w="3017" w:type="dxa"/>
            <w:gridSpan w:val="2"/>
            <w:vAlign w:val="center"/>
          </w:tcPr>
          <w:p w14:paraId="51D3B121">
            <w:pPr>
              <w:tabs>
                <w:tab w:val="left" w:pos="5220"/>
              </w:tabs>
              <w:adjustRightInd w:val="0"/>
              <w:snapToGrid w:val="0"/>
              <w:spacing w:line="264" w:lineRule="auto"/>
              <w:ind w:firstLine="150" w:firstLineChars="100"/>
              <w:jc w:val="left"/>
              <w:rPr>
                <w:rFonts w:ascii="宋体" w:hAnsi="宋体"/>
                <w:sz w:val="15"/>
                <w:szCs w:val="15"/>
              </w:rPr>
            </w:pPr>
            <w:r>
              <w:rPr>
                <w:rFonts w:hint="eastAsia" w:ascii="宋体" w:hAnsi="宋体"/>
                <w:sz w:val="15"/>
                <w:szCs w:val="15"/>
              </w:rPr>
              <w:t>基坑深度不宜大于</w:t>
            </w:r>
            <w:r>
              <w:rPr>
                <w:sz w:val="15"/>
                <w:szCs w:val="15"/>
              </w:rPr>
              <w:t>1</w:t>
            </w:r>
            <w:r>
              <w:rPr>
                <w:rFonts w:hint="eastAsia"/>
                <w:sz w:val="15"/>
                <w:szCs w:val="15"/>
              </w:rPr>
              <w:t>0</w:t>
            </w:r>
            <w:r>
              <w:rPr>
                <w:sz w:val="15"/>
                <w:szCs w:val="15"/>
              </w:rPr>
              <w:t>m</w:t>
            </w:r>
            <w:r>
              <w:rPr>
                <w:rFonts w:hint="eastAsia" w:ascii="宋体" w:hAnsi="宋体"/>
                <w:sz w:val="15"/>
                <w:szCs w:val="15"/>
              </w:rPr>
              <w:t>且不宜用在含有高水头地下水的碎石土、砂土、粉土层中</w:t>
            </w:r>
          </w:p>
        </w:tc>
        <w:tc>
          <w:tcPr>
            <w:tcW w:w="1143" w:type="dxa"/>
            <w:vMerge w:val="continue"/>
            <w:vAlign w:val="center"/>
          </w:tcPr>
          <w:p w14:paraId="0DDBA6C2">
            <w:pPr>
              <w:tabs>
                <w:tab w:val="left" w:pos="5220"/>
              </w:tabs>
              <w:adjustRightInd w:val="0"/>
              <w:snapToGrid w:val="0"/>
              <w:spacing w:line="264" w:lineRule="auto"/>
              <w:jc w:val="center"/>
              <w:rPr>
                <w:rFonts w:ascii="宋体" w:hAnsi="宋体"/>
                <w:sz w:val="15"/>
                <w:szCs w:val="15"/>
              </w:rPr>
            </w:pPr>
          </w:p>
        </w:tc>
      </w:tr>
      <w:tr w14:paraId="0C900818">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298" w:type="dxa"/>
            <w:vMerge w:val="continue"/>
            <w:vAlign w:val="center"/>
          </w:tcPr>
          <w:p w14:paraId="75CAECFA">
            <w:pPr>
              <w:tabs>
                <w:tab w:val="left" w:pos="5220"/>
              </w:tabs>
              <w:adjustRightInd w:val="0"/>
              <w:snapToGrid w:val="0"/>
              <w:spacing w:line="264" w:lineRule="auto"/>
              <w:jc w:val="center"/>
              <w:rPr>
                <w:rFonts w:ascii="宋体" w:hAnsi="宋体"/>
                <w:sz w:val="15"/>
                <w:szCs w:val="15"/>
              </w:rPr>
            </w:pPr>
          </w:p>
        </w:tc>
        <w:tc>
          <w:tcPr>
            <w:tcW w:w="962" w:type="dxa"/>
            <w:vAlign w:val="center"/>
          </w:tcPr>
          <w:p w14:paraId="074EECBE">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微型桩垂直复合土钉墙</w:t>
            </w:r>
          </w:p>
        </w:tc>
        <w:tc>
          <w:tcPr>
            <w:tcW w:w="420" w:type="dxa"/>
            <w:vMerge w:val="continue"/>
            <w:vAlign w:val="center"/>
          </w:tcPr>
          <w:p w14:paraId="3A5BC20F">
            <w:pPr>
              <w:tabs>
                <w:tab w:val="left" w:pos="5220"/>
              </w:tabs>
              <w:adjustRightInd w:val="0"/>
              <w:snapToGrid w:val="0"/>
              <w:spacing w:line="264" w:lineRule="auto"/>
              <w:jc w:val="center"/>
              <w:rPr>
                <w:rFonts w:ascii="宋体" w:hAnsi="宋体"/>
                <w:sz w:val="15"/>
                <w:szCs w:val="15"/>
              </w:rPr>
            </w:pPr>
          </w:p>
        </w:tc>
        <w:tc>
          <w:tcPr>
            <w:tcW w:w="3017" w:type="dxa"/>
            <w:gridSpan w:val="2"/>
            <w:vAlign w:val="center"/>
          </w:tcPr>
          <w:p w14:paraId="310DDD7C">
            <w:pPr>
              <w:tabs>
                <w:tab w:val="left" w:pos="5220"/>
              </w:tabs>
              <w:adjustRightInd w:val="0"/>
              <w:snapToGrid w:val="0"/>
              <w:spacing w:line="264" w:lineRule="auto"/>
              <w:ind w:firstLine="150" w:firstLineChars="100"/>
              <w:jc w:val="left"/>
              <w:rPr>
                <w:rFonts w:ascii="宋体" w:hAnsi="宋体"/>
                <w:sz w:val="15"/>
                <w:szCs w:val="15"/>
              </w:rPr>
            </w:pPr>
            <w:r>
              <w:rPr>
                <w:rFonts w:hint="eastAsia" w:ascii="宋体" w:hAnsi="宋体"/>
                <w:sz w:val="15"/>
                <w:szCs w:val="15"/>
              </w:rPr>
              <w:t>适用于地下水位以上或可实施降水的基坑，但基坑深度不宜大于</w:t>
            </w:r>
            <w:r>
              <w:rPr>
                <w:sz w:val="15"/>
                <w:szCs w:val="15"/>
              </w:rPr>
              <w:t>1</w:t>
            </w:r>
            <w:r>
              <w:rPr>
                <w:rFonts w:hint="eastAsia"/>
                <w:sz w:val="15"/>
                <w:szCs w:val="15"/>
              </w:rPr>
              <w:t>0</w:t>
            </w:r>
            <w:r>
              <w:rPr>
                <w:sz w:val="15"/>
                <w:szCs w:val="15"/>
              </w:rPr>
              <w:t>m</w:t>
            </w:r>
          </w:p>
        </w:tc>
        <w:tc>
          <w:tcPr>
            <w:tcW w:w="1143" w:type="dxa"/>
            <w:vMerge w:val="continue"/>
            <w:vAlign w:val="center"/>
          </w:tcPr>
          <w:p w14:paraId="60EA2B76">
            <w:pPr>
              <w:tabs>
                <w:tab w:val="left" w:pos="5220"/>
              </w:tabs>
              <w:adjustRightInd w:val="0"/>
              <w:snapToGrid w:val="0"/>
              <w:spacing w:line="264" w:lineRule="auto"/>
              <w:jc w:val="center"/>
              <w:rPr>
                <w:rFonts w:ascii="宋体" w:hAnsi="宋体"/>
                <w:sz w:val="15"/>
                <w:szCs w:val="15"/>
              </w:rPr>
            </w:pPr>
          </w:p>
        </w:tc>
      </w:tr>
      <w:tr w14:paraId="254C8F30">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1260" w:type="dxa"/>
            <w:gridSpan w:val="2"/>
            <w:vAlign w:val="center"/>
          </w:tcPr>
          <w:p w14:paraId="3129DF8A">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放坡</w:t>
            </w:r>
          </w:p>
        </w:tc>
        <w:tc>
          <w:tcPr>
            <w:tcW w:w="420" w:type="dxa"/>
            <w:vAlign w:val="center"/>
          </w:tcPr>
          <w:p w14:paraId="6110CA58">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三级</w:t>
            </w:r>
          </w:p>
        </w:tc>
        <w:tc>
          <w:tcPr>
            <w:tcW w:w="4160" w:type="dxa"/>
            <w:gridSpan w:val="3"/>
            <w:vAlign w:val="center"/>
          </w:tcPr>
          <w:p w14:paraId="5E2D1BE9">
            <w:pPr>
              <w:tabs>
                <w:tab w:val="left" w:pos="5220"/>
              </w:tabs>
              <w:adjustRightInd w:val="0"/>
              <w:snapToGrid w:val="0"/>
              <w:ind w:firstLine="1119" w:firstLineChars="746"/>
              <w:rPr>
                <w:rFonts w:ascii="宋体" w:hAnsi="宋体"/>
                <w:sz w:val="15"/>
                <w:szCs w:val="15"/>
              </w:rPr>
            </w:pPr>
            <w:r>
              <w:rPr>
                <w:sz w:val="15"/>
                <w:szCs w:val="15"/>
              </w:rPr>
              <w:t>1</w:t>
            </w:r>
            <w:r>
              <w:rPr>
                <w:rFonts w:ascii="宋体" w:hAnsi="宋体"/>
                <w:sz w:val="15"/>
                <w:szCs w:val="15"/>
              </w:rPr>
              <w:t xml:space="preserve">  </w:t>
            </w:r>
            <w:r>
              <w:rPr>
                <w:rFonts w:hint="eastAsia" w:ascii="宋体" w:hAnsi="宋体"/>
                <w:sz w:val="15"/>
                <w:szCs w:val="15"/>
              </w:rPr>
              <w:t>具有放坡的场地条件</w:t>
            </w:r>
          </w:p>
          <w:p w14:paraId="04569F11">
            <w:pPr>
              <w:tabs>
                <w:tab w:val="left" w:pos="5220"/>
              </w:tabs>
              <w:adjustRightInd w:val="0"/>
              <w:snapToGrid w:val="0"/>
              <w:spacing w:line="264" w:lineRule="auto"/>
              <w:jc w:val="center"/>
              <w:rPr>
                <w:rFonts w:ascii="宋体" w:hAnsi="宋体"/>
                <w:sz w:val="15"/>
                <w:szCs w:val="15"/>
              </w:rPr>
            </w:pPr>
            <w:r>
              <w:rPr>
                <w:rFonts w:hint="eastAsia" w:ascii="宋体" w:hAnsi="宋体"/>
                <w:sz w:val="15"/>
                <w:szCs w:val="15"/>
              </w:rPr>
              <w:t xml:space="preserve">  </w:t>
            </w:r>
            <w:r>
              <w:rPr>
                <w:sz w:val="15"/>
                <w:szCs w:val="15"/>
              </w:rPr>
              <w:t xml:space="preserve">2 </w:t>
            </w:r>
            <w:r>
              <w:rPr>
                <w:rFonts w:ascii="宋体" w:hAnsi="宋体"/>
                <w:sz w:val="15"/>
                <w:szCs w:val="15"/>
              </w:rPr>
              <w:t xml:space="preserve"> </w:t>
            </w:r>
            <w:r>
              <w:rPr>
                <w:rFonts w:hint="eastAsia" w:ascii="宋体" w:hAnsi="宋体"/>
                <w:sz w:val="15"/>
                <w:szCs w:val="15"/>
              </w:rPr>
              <w:t>可与上述支护结构形式结合</w:t>
            </w:r>
          </w:p>
        </w:tc>
      </w:tr>
    </w:tbl>
    <w:p w14:paraId="3C5C08D4">
      <w:pPr>
        <w:tabs>
          <w:tab w:val="left" w:pos="5220"/>
        </w:tabs>
        <w:adjustRightInd w:val="0"/>
        <w:snapToGrid w:val="0"/>
        <w:spacing w:line="264" w:lineRule="auto"/>
        <w:ind w:firstLine="300" w:firstLineChars="200"/>
        <w:rPr>
          <w:rFonts w:ascii="宋体" w:hAnsi="宋体"/>
          <w:sz w:val="15"/>
          <w:szCs w:val="15"/>
        </w:rPr>
      </w:pPr>
      <w:r>
        <w:rPr>
          <w:rFonts w:hint="eastAsia" w:ascii="宋体" w:hAnsi="宋体"/>
          <w:sz w:val="15"/>
          <w:szCs w:val="15"/>
        </w:rPr>
        <w:t>注：</w:t>
      </w:r>
      <w:r>
        <w:rPr>
          <w:sz w:val="15"/>
          <w:szCs w:val="15"/>
        </w:rPr>
        <w:t xml:space="preserve">1 </w:t>
      </w:r>
      <w:r>
        <w:rPr>
          <w:rFonts w:ascii="宋体" w:hAnsi="宋体"/>
          <w:sz w:val="15"/>
          <w:szCs w:val="15"/>
        </w:rPr>
        <w:t xml:space="preserve"> </w:t>
      </w:r>
      <w:r>
        <w:rPr>
          <w:rFonts w:hint="eastAsia" w:ascii="宋体" w:hAnsi="宋体"/>
          <w:sz w:val="15"/>
          <w:szCs w:val="15"/>
        </w:rPr>
        <w:t>当基坑不同部位的周边环境条件、土层性状、基坑深度等不同时，可在不同部位分别采用不同的支护形式。</w:t>
      </w:r>
    </w:p>
    <w:p w14:paraId="625CAAF6">
      <w:pPr>
        <w:tabs>
          <w:tab w:val="left" w:pos="5220"/>
        </w:tabs>
        <w:adjustRightInd w:val="0"/>
        <w:snapToGrid w:val="0"/>
        <w:spacing w:line="264" w:lineRule="auto"/>
        <w:ind w:firstLine="585" w:firstLineChars="390"/>
        <w:rPr>
          <w:rFonts w:ascii="宋体" w:hAnsi="宋体"/>
          <w:sz w:val="15"/>
          <w:szCs w:val="15"/>
        </w:rPr>
      </w:pPr>
      <w:r>
        <w:rPr>
          <w:sz w:val="15"/>
          <w:szCs w:val="15"/>
        </w:rPr>
        <w:t>2</w:t>
      </w:r>
      <w:r>
        <w:rPr>
          <w:rFonts w:ascii="宋体" w:hAnsi="宋体"/>
          <w:sz w:val="15"/>
          <w:szCs w:val="15"/>
        </w:rPr>
        <w:t xml:space="preserve"> </w:t>
      </w:r>
      <w:r>
        <w:rPr>
          <w:rFonts w:hint="eastAsia" w:ascii="宋体" w:hAnsi="宋体"/>
          <w:sz w:val="15"/>
          <w:szCs w:val="15"/>
        </w:rPr>
        <w:t xml:space="preserve"> 支护结构可沿开挖深度，对侧壁上、下部位采用不同结构类型组合的支护形式，其设计应按基坑侧壁的安全等级进行总体控制。</w:t>
      </w:r>
    </w:p>
    <w:p w14:paraId="504D78F1">
      <w:pPr>
        <w:adjustRightInd w:val="0"/>
        <w:snapToGrid w:val="0"/>
        <w:spacing w:line="288" w:lineRule="auto"/>
        <w:rPr>
          <w:rFonts w:ascii="宋体" w:hAnsi="宋体"/>
          <w:sz w:val="20"/>
          <w:szCs w:val="20"/>
        </w:rPr>
      </w:pPr>
      <w:r>
        <w:rPr>
          <w:b/>
          <w:sz w:val="20"/>
          <w:szCs w:val="20"/>
        </w:rPr>
        <w:t xml:space="preserve">3.2.2 </w:t>
      </w:r>
      <w:r>
        <w:rPr>
          <w:rFonts w:ascii="宋体" w:hAnsi="宋体"/>
          <w:sz w:val="20"/>
          <w:szCs w:val="20"/>
        </w:rPr>
        <w:t xml:space="preserve"> </w:t>
      </w:r>
      <w:r>
        <w:rPr>
          <w:rFonts w:hint="eastAsia" w:ascii="宋体" w:hAnsi="宋体"/>
          <w:sz w:val="20"/>
          <w:szCs w:val="20"/>
        </w:rPr>
        <w:t>支护结构选型应考虑结构的空间效应和受力特点，采用有利支护结构材料受力特性的形式。</w:t>
      </w:r>
    </w:p>
    <w:p w14:paraId="0CBD1F29">
      <w:pPr>
        <w:adjustRightInd w:val="0"/>
        <w:snapToGrid w:val="0"/>
        <w:spacing w:line="288" w:lineRule="auto"/>
        <w:rPr>
          <w:rFonts w:ascii="宋体" w:hAnsi="宋体"/>
          <w:b/>
          <w:sz w:val="20"/>
          <w:szCs w:val="20"/>
        </w:rPr>
      </w:pPr>
      <w:r>
        <w:rPr>
          <w:b/>
          <w:sz w:val="20"/>
          <w:szCs w:val="20"/>
        </w:rPr>
        <w:t>3.2.3</w:t>
      </w:r>
      <w:r>
        <w:rPr>
          <w:b/>
          <w:bCs/>
          <w:sz w:val="20"/>
          <w:szCs w:val="20"/>
        </w:rPr>
        <w:t xml:space="preserve"> </w:t>
      </w:r>
      <w:r>
        <w:rPr>
          <w:rFonts w:ascii="宋体" w:hAnsi="宋体"/>
          <w:bCs/>
          <w:sz w:val="20"/>
          <w:szCs w:val="20"/>
        </w:rPr>
        <w:t xml:space="preserve"> </w:t>
      </w:r>
      <w:r>
        <w:rPr>
          <w:rFonts w:hint="eastAsia" w:ascii="宋体" w:hAnsi="宋体"/>
          <w:sz w:val="20"/>
          <w:szCs w:val="20"/>
        </w:rPr>
        <w:t>对于基坑上部采用放坡或土钉墙，下部采用支挡式结构的情况，放坡或土钉墙支护的高度（</w:t>
      </w:r>
      <w:r>
        <w:rPr>
          <w:i/>
          <w:sz w:val="20"/>
          <w:szCs w:val="20"/>
        </w:rPr>
        <w:t>h</w:t>
      </w:r>
      <w:r>
        <w:rPr>
          <w:sz w:val="20"/>
          <w:szCs w:val="20"/>
          <w:vertAlign w:val="subscript"/>
        </w:rPr>
        <w:t>1</w:t>
      </w:r>
      <w:r>
        <w:rPr>
          <w:rFonts w:hint="eastAsia" w:ascii="宋体" w:hAnsi="宋体"/>
          <w:sz w:val="20"/>
          <w:szCs w:val="20"/>
        </w:rPr>
        <w:t>）大于基坑总深度的</w:t>
      </w:r>
      <w:r>
        <w:rPr>
          <w:sz w:val="20"/>
          <w:szCs w:val="20"/>
        </w:rPr>
        <w:t>1/2</w:t>
      </w:r>
      <w:r>
        <w:rPr>
          <w:rFonts w:hint="eastAsia" w:ascii="宋体" w:hAnsi="宋体"/>
          <w:sz w:val="20"/>
          <w:szCs w:val="20"/>
        </w:rPr>
        <w:t>时，应考虑桩</w:t>
      </w:r>
      <w:r>
        <w:rPr>
          <w:rFonts w:ascii="宋体" w:hAnsi="宋体"/>
          <w:sz w:val="20"/>
          <w:szCs w:val="20"/>
        </w:rPr>
        <w:t>（</w:t>
      </w:r>
      <w:r>
        <w:rPr>
          <w:rFonts w:hint="eastAsia" w:ascii="宋体" w:hAnsi="宋体"/>
          <w:sz w:val="20"/>
          <w:szCs w:val="20"/>
        </w:rPr>
        <w:t>墙</w:t>
      </w:r>
      <w:r>
        <w:rPr>
          <w:rFonts w:ascii="宋体" w:hAnsi="宋体"/>
          <w:sz w:val="20"/>
          <w:szCs w:val="20"/>
        </w:rPr>
        <w:t>）</w:t>
      </w:r>
      <w:r>
        <w:rPr>
          <w:rFonts w:hint="eastAsia" w:ascii="宋体" w:hAnsi="宋体"/>
          <w:sz w:val="20"/>
          <w:szCs w:val="20"/>
        </w:rPr>
        <w:t>顶部以上土体与桩</w:t>
      </w:r>
      <w:r>
        <w:rPr>
          <w:rFonts w:ascii="宋体" w:hAnsi="宋体"/>
          <w:sz w:val="20"/>
          <w:szCs w:val="20"/>
        </w:rPr>
        <w:t>（</w:t>
      </w:r>
      <w:r>
        <w:rPr>
          <w:rFonts w:hint="eastAsia" w:ascii="宋体" w:hAnsi="宋体"/>
          <w:sz w:val="20"/>
          <w:szCs w:val="20"/>
        </w:rPr>
        <w:t>墙</w:t>
      </w:r>
      <w:r>
        <w:rPr>
          <w:rFonts w:ascii="宋体" w:hAnsi="宋体"/>
          <w:sz w:val="20"/>
          <w:szCs w:val="20"/>
        </w:rPr>
        <w:t>）</w:t>
      </w:r>
      <w:r>
        <w:rPr>
          <w:rFonts w:hint="eastAsia" w:ascii="宋体" w:hAnsi="宋体"/>
          <w:sz w:val="20"/>
          <w:szCs w:val="20"/>
        </w:rPr>
        <w:t>支护结构间的相互影响，并应严格控制桩（墙）顶部的水平位移。</w:t>
      </w:r>
      <w:bookmarkStart w:id="22" w:name="_Toc468104698"/>
    </w:p>
    <w:p w14:paraId="38DB0470">
      <w:pPr>
        <w:pStyle w:val="7"/>
        <w:keepNext w:val="0"/>
        <w:keepLines w:val="0"/>
        <w:adjustRightInd w:val="0"/>
        <w:snapToGrid w:val="0"/>
        <w:spacing w:before="312" w:beforeLines="100" w:after="312" w:afterLines="100" w:line="288" w:lineRule="auto"/>
        <w:jc w:val="center"/>
        <w:rPr>
          <w:rFonts w:eastAsia="黑体"/>
          <w:b w:val="0"/>
          <w:bCs w:val="0"/>
          <w:sz w:val="20"/>
          <w:szCs w:val="20"/>
        </w:rPr>
      </w:pPr>
      <w:bookmarkStart w:id="23" w:name="_Toc139613709"/>
      <w:r>
        <w:rPr>
          <w:rFonts w:eastAsia="黑体"/>
          <w:sz w:val="20"/>
          <w:szCs w:val="20"/>
        </w:rPr>
        <w:t>3.3</w:t>
      </w:r>
      <w:r>
        <w:rPr>
          <w:rFonts w:eastAsia="黑体"/>
          <w:b w:val="0"/>
          <w:sz w:val="20"/>
          <w:szCs w:val="20"/>
        </w:rPr>
        <w:t xml:space="preserve">  水平荷载</w:t>
      </w:r>
      <w:bookmarkEnd w:id="22"/>
      <w:bookmarkEnd w:id="23"/>
    </w:p>
    <w:p w14:paraId="11DB3A49">
      <w:pPr>
        <w:adjustRightInd w:val="0"/>
        <w:snapToGrid w:val="0"/>
        <w:spacing w:line="288" w:lineRule="auto"/>
        <w:rPr>
          <w:rFonts w:ascii="宋体" w:hAnsi="宋体"/>
          <w:sz w:val="20"/>
          <w:szCs w:val="20"/>
        </w:rPr>
      </w:pPr>
      <w:r>
        <w:rPr>
          <w:b/>
          <w:sz w:val="20"/>
          <w:szCs w:val="20"/>
        </w:rPr>
        <w:t>3.3.1</w:t>
      </w:r>
      <w:r>
        <w:rPr>
          <w:rFonts w:ascii="宋体" w:hAnsi="宋体"/>
          <w:sz w:val="20"/>
          <w:szCs w:val="20"/>
        </w:rPr>
        <w:t xml:space="preserve">  </w:t>
      </w:r>
      <w:r>
        <w:rPr>
          <w:rFonts w:hint="eastAsia" w:ascii="宋体" w:hAnsi="宋体"/>
          <w:sz w:val="20"/>
          <w:szCs w:val="20"/>
        </w:rPr>
        <w:t>支护结构设计时，所采用的作用效应，应符合下列规定：</w:t>
      </w:r>
    </w:p>
    <w:p w14:paraId="05B7D325">
      <w:pPr>
        <w:adjustRightInd w:val="0"/>
        <w:snapToGrid w:val="0"/>
        <w:spacing w:line="288" w:lineRule="auto"/>
        <w:ind w:firstLine="402" w:firstLineChars="200"/>
        <w:rPr>
          <w:rFonts w:ascii="宋体" w:hAnsi="宋体"/>
          <w:sz w:val="20"/>
          <w:szCs w:val="20"/>
        </w:rPr>
      </w:pPr>
      <w:r>
        <w:rPr>
          <w:rFonts w:hint="eastAsia"/>
          <w:b/>
          <w:bCs/>
          <w:sz w:val="20"/>
          <w:szCs w:val="20"/>
        </w:rPr>
        <w:t xml:space="preserve">1  </w:t>
      </w:r>
      <w:r>
        <w:rPr>
          <w:rFonts w:hint="eastAsia" w:ascii="宋体" w:hAnsi="宋体"/>
          <w:sz w:val="20"/>
          <w:szCs w:val="20"/>
        </w:rPr>
        <w:t>支护结构构件承载力计算时，取承载能力极限状态下的作用应基本组合；当支护结构作为永久或临时支护时，其作用基本组合的综合分项系数分别不应小于</w:t>
      </w:r>
      <w:r>
        <w:rPr>
          <w:sz w:val="20"/>
          <w:szCs w:val="20"/>
        </w:rPr>
        <w:t>1.35</w:t>
      </w:r>
      <w:r>
        <w:rPr>
          <w:rFonts w:hint="eastAsia" w:ascii="宋体" w:hAnsi="宋体"/>
          <w:sz w:val="20"/>
          <w:szCs w:val="20"/>
        </w:rPr>
        <w:t>及</w:t>
      </w:r>
      <w:r>
        <w:rPr>
          <w:sz w:val="20"/>
          <w:szCs w:val="20"/>
        </w:rPr>
        <w:t>1.25</w:t>
      </w:r>
      <w:r>
        <w:rPr>
          <w:rFonts w:hint="eastAsia" w:ascii="宋体" w:hAnsi="宋体"/>
          <w:sz w:val="20"/>
          <w:szCs w:val="20"/>
        </w:rPr>
        <w:t>；</w:t>
      </w:r>
    </w:p>
    <w:p w14:paraId="22DE366A">
      <w:pPr>
        <w:adjustRightInd w:val="0"/>
        <w:snapToGrid w:val="0"/>
        <w:spacing w:line="288" w:lineRule="auto"/>
        <w:ind w:firstLine="402" w:firstLineChars="200"/>
        <w:rPr>
          <w:rFonts w:ascii="宋体" w:hAnsi="宋体"/>
          <w:sz w:val="20"/>
          <w:szCs w:val="20"/>
        </w:rPr>
      </w:pPr>
      <w:r>
        <w:rPr>
          <w:b/>
          <w:bCs/>
          <w:sz w:val="20"/>
          <w:szCs w:val="20"/>
        </w:rPr>
        <w:t>2</w:t>
      </w:r>
      <w:r>
        <w:rPr>
          <w:rFonts w:ascii="宋体" w:hAnsi="宋体"/>
          <w:bCs/>
          <w:sz w:val="20"/>
          <w:szCs w:val="20"/>
        </w:rPr>
        <w:t xml:space="preserve">  </w:t>
      </w:r>
      <w:r>
        <w:rPr>
          <w:rFonts w:hint="eastAsia" w:ascii="宋体" w:hAnsi="宋体"/>
          <w:sz w:val="20"/>
          <w:szCs w:val="20"/>
        </w:rPr>
        <w:t>支护结构整体稳定性计算时，取作用标准组合的效应；</w:t>
      </w:r>
    </w:p>
    <w:p w14:paraId="596C73F1">
      <w:pPr>
        <w:adjustRightInd w:val="0"/>
        <w:snapToGrid w:val="0"/>
        <w:spacing w:line="288" w:lineRule="auto"/>
        <w:ind w:firstLine="402" w:firstLineChars="200"/>
        <w:rPr>
          <w:rFonts w:ascii="宋体" w:hAnsi="宋体"/>
          <w:sz w:val="20"/>
          <w:szCs w:val="20"/>
        </w:rPr>
      </w:pPr>
      <w:r>
        <w:rPr>
          <w:b/>
          <w:bCs/>
          <w:sz w:val="20"/>
          <w:szCs w:val="20"/>
        </w:rPr>
        <w:t>3</w:t>
      </w:r>
      <w:r>
        <w:rPr>
          <w:rFonts w:ascii="宋体" w:hAnsi="宋体"/>
          <w:bCs/>
          <w:sz w:val="20"/>
          <w:szCs w:val="20"/>
        </w:rPr>
        <w:t xml:space="preserve">  </w:t>
      </w:r>
      <w:r>
        <w:rPr>
          <w:rFonts w:hint="eastAsia" w:ascii="宋体" w:hAnsi="宋体"/>
          <w:sz w:val="20"/>
          <w:szCs w:val="20"/>
        </w:rPr>
        <w:t>支护结构水平位移及周边地面沉降计算时，取正常使用极限状态下作用标准组合的效应。</w:t>
      </w:r>
    </w:p>
    <w:p w14:paraId="41E62136">
      <w:pPr>
        <w:adjustRightInd w:val="0"/>
        <w:snapToGrid w:val="0"/>
        <w:spacing w:line="288" w:lineRule="auto"/>
        <w:rPr>
          <w:rFonts w:ascii="宋体" w:hAnsi="宋体"/>
          <w:sz w:val="20"/>
          <w:szCs w:val="20"/>
        </w:rPr>
      </w:pPr>
      <w:r>
        <w:rPr>
          <w:b/>
          <w:sz w:val="20"/>
          <w:szCs w:val="20"/>
        </w:rPr>
        <w:t>3.3.2</w:t>
      </w:r>
      <w:r>
        <w:rPr>
          <w:b/>
          <w:bCs/>
          <w:sz w:val="20"/>
          <w:szCs w:val="20"/>
        </w:rPr>
        <w:t xml:space="preserve"> </w:t>
      </w:r>
      <w:r>
        <w:rPr>
          <w:rFonts w:ascii="宋体" w:hAnsi="宋体"/>
          <w:sz w:val="20"/>
          <w:szCs w:val="20"/>
        </w:rPr>
        <w:t xml:space="preserve"> </w:t>
      </w:r>
      <w:r>
        <w:rPr>
          <w:rFonts w:hint="eastAsia" w:ascii="宋体" w:hAnsi="宋体"/>
          <w:sz w:val="20"/>
          <w:szCs w:val="20"/>
        </w:rPr>
        <w:t>计算作用在支护结构上的水平荷载时，应考虑下列因素：</w:t>
      </w:r>
    </w:p>
    <w:p w14:paraId="45C9B741">
      <w:pPr>
        <w:adjustRightInd w:val="0"/>
        <w:snapToGrid w:val="0"/>
        <w:spacing w:line="288" w:lineRule="auto"/>
        <w:ind w:firstLine="402" w:firstLineChars="200"/>
        <w:rPr>
          <w:rFonts w:ascii="宋体" w:hAnsi="宋体"/>
          <w:sz w:val="20"/>
          <w:szCs w:val="20"/>
        </w:rPr>
      </w:pPr>
      <w:r>
        <w:rPr>
          <w:b/>
          <w:bCs/>
          <w:sz w:val="20"/>
          <w:szCs w:val="20"/>
        </w:rPr>
        <w:t xml:space="preserve">1 </w:t>
      </w:r>
      <w:r>
        <w:rPr>
          <w:rFonts w:ascii="宋体" w:hAnsi="宋体"/>
          <w:sz w:val="20"/>
          <w:szCs w:val="20"/>
        </w:rPr>
        <w:t xml:space="preserve"> </w:t>
      </w:r>
      <w:r>
        <w:rPr>
          <w:rFonts w:hint="eastAsia" w:ascii="宋体" w:hAnsi="宋体"/>
          <w:sz w:val="20"/>
          <w:szCs w:val="20"/>
        </w:rPr>
        <w:t>基坑内外土的自重（包括地下水）；</w:t>
      </w:r>
      <w:r>
        <w:rPr>
          <w:rFonts w:ascii="宋体" w:hAnsi="宋体"/>
          <w:sz w:val="20"/>
          <w:szCs w:val="20"/>
        </w:rPr>
        <w:t xml:space="preserve"> </w:t>
      </w:r>
    </w:p>
    <w:p w14:paraId="3A2D4A14">
      <w:pPr>
        <w:adjustRightInd w:val="0"/>
        <w:snapToGrid w:val="0"/>
        <w:spacing w:line="288" w:lineRule="auto"/>
        <w:ind w:firstLine="402" w:firstLineChars="200"/>
        <w:rPr>
          <w:rFonts w:ascii="宋体" w:hAnsi="宋体"/>
          <w:sz w:val="20"/>
          <w:szCs w:val="20"/>
        </w:rPr>
      </w:pPr>
      <w:r>
        <w:rPr>
          <w:b/>
          <w:bCs/>
          <w:sz w:val="20"/>
          <w:szCs w:val="20"/>
        </w:rPr>
        <w:t xml:space="preserve">2 </w:t>
      </w:r>
      <w:r>
        <w:rPr>
          <w:rFonts w:ascii="宋体" w:hAnsi="宋体"/>
          <w:sz w:val="20"/>
          <w:szCs w:val="20"/>
        </w:rPr>
        <w:t xml:space="preserve"> </w:t>
      </w:r>
      <w:r>
        <w:rPr>
          <w:rFonts w:hint="eastAsia" w:ascii="宋体" w:hAnsi="宋体"/>
          <w:sz w:val="20"/>
          <w:szCs w:val="20"/>
        </w:rPr>
        <w:t>基坑周边既有和在建的建（构）筑物荷载；</w:t>
      </w:r>
    </w:p>
    <w:p w14:paraId="0F9F4F88">
      <w:pPr>
        <w:adjustRightInd w:val="0"/>
        <w:snapToGrid w:val="0"/>
        <w:spacing w:line="288" w:lineRule="auto"/>
        <w:ind w:firstLine="402" w:firstLineChars="200"/>
        <w:rPr>
          <w:rFonts w:ascii="宋体" w:hAnsi="宋体"/>
          <w:sz w:val="20"/>
          <w:szCs w:val="20"/>
        </w:rPr>
      </w:pPr>
      <w:r>
        <w:rPr>
          <w:b/>
          <w:bCs/>
          <w:sz w:val="20"/>
          <w:szCs w:val="20"/>
        </w:rPr>
        <w:t xml:space="preserve">3 </w:t>
      </w:r>
      <w:r>
        <w:rPr>
          <w:rFonts w:ascii="宋体" w:hAnsi="宋体"/>
          <w:sz w:val="20"/>
          <w:szCs w:val="20"/>
        </w:rPr>
        <w:t xml:space="preserve"> </w:t>
      </w:r>
      <w:r>
        <w:rPr>
          <w:rFonts w:hint="eastAsia" w:ascii="宋体" w:hAnsi="宋体"/>
          <w:sz w:val="20"/>
          <w:szCs w:val="20"/>
        </w:rPr>
        <w:t>基坑周边施工材料和设备荷载；</w:t>
      </w:r>
    </w:p>
    <w:p w14:paraId="19E6CDE9">
      <w:pPr>
        <w:adjustRightInd w:val="0"/>
        <w:snapToGrid w:val="0"/>
        <w:spacing w:line="288" w:lineRule="auto"/>
        <w:ind w:firstLine="402" w:firstLineChars="200"/>
        <w:rPr>
          <w:rFonts w:ascii="宋体" w:hAnsi="宋体"/>
          <w:sz w:val="20"/>
          <w:szCs w:val="20"/>
        </w:rPr>
      </w:pPr>
      <w:r>
        <w:rPr>
          <w:b/>
          <w:bCs/>
          <w:sz w:val="20"/>
          <w:szCs w:val="20"/>
        </w:rPr>
        <w:t>4</w:t>
      </w:r>
      <w:r>
        <w:rPr>
          <w:rFonts w:ascii="宋体" w:hAnsi="宋体"/>
          <w:sz w:val="20"/>
          <w:szCs w:val="20"/>
        </w:rPr>
        <w:t xml:space="preserve">  </w:t>
      </w:r>
      <w:r>
        <w:rPr>
          <w:rFonts w:hint="eastAsia" w:ascii="宋体" w:hAnsi="宋体"/>
          <w:sz w:val="20"/>
          <w:szCs w:val="20"/>
        </w:rPr>
        <w:t>基坑周边车辆荷载；</w:t>
      </w:r>
    </w:p>
    <w:p w14:paraId="04539B93">
      <w:pPr>
        <w:adjustRightInd w:val="0"/>
        <w:snapToGrid w:val="0"/>
        <w:spacing w:line="288" w:lineRule="auto"/>
        <w:ind w:firstLine="402" w:firstLineChars="200"/>
        <w:rPr>
          <w:rFonts w:ascii="宋体" w:hAnsi="宋体"/>
          <w:sz w:val="20"/>
          <w:szCs w:val="20"/>
        </w:rPr>
      </w:pPr>
      <w:r>
        <w:rPr>
          <w:b/>
          <w:bCs/>
          <w:sz w:val="20"/>
          <w:szCs w:val="20"/>
        </w:rPr>
        <w:t>5</w:t>
      </w:r>
      <w:r>
        <w:rPr>
          <w:rFonts w:ascii="宋体" w:hAnsi="宋体"/>
          <w:sz w:val="20"/>
          <w:szCs w:val="20"/>
        </w:rPr>
        <w:t xml:space="preserve">  </w:t>
      </w:r>
      <w:r>
        <w:rPr>
          <w:rFonts w:hint="eastAsia" w:ascii="宋体" w:hAnsi="宋体"/>
          <w:sz w:val="20"/>
          <w:szCs w:val="20"/>
        </w:rPr>
        <w:t>冻胀、温度变化等产生的作用。</w:t>
      </w:r>
    </w:p>
    <w:p w14:paraId="2A0FCB93">
      <w:pPr>
        <w:adjustRightInd w:val="0"/>
        <w:snapToGrid w:val="0"/>
        <w:spacing w:line="288" w:lineRule="auto"/>
        <w:rPr>
          <w:rFonts w:ascii="宋体" w:hAnsi="宋体"/>
          <w:sz w:val="20"/>
          <w:szCs w:val="20"/>
        </w:rPr>
      </w:pPr>
      <w:r>
        <w:rPr>
          <w:b/>
          <w:sz w:val="20"/>
          <w:szCs w:val="20"/>
        </w:rPr>
        <w:t xml:space="preserve">3.3.3 </w:t>
      </w:r>
      <w:r>
        <w:rPr>
          <w:rFonts w:ascii="宋体" w:hAnsi="宋体"/>
          <w:sz w:val="20"/>
          <w:szCs w:val="20"/>
        </w:rPr>
        <w:t xml:space="preserve"> </w:t>
      </w:r>
      <w:r>
        <w:rPr>
          <w:rFonts w:hint="eastAsia" w:ascii="宋体" w:hAnsi="宋体"/>
          <w:sz w:val="20"/>
          <w:szCs w:val="20"/>
        </w:rPr>
        <w:t>作用在支护结构上的土压力应按下列规定确定：</w:t>
      </w:r>
      <w:r>
        <w:rPr>
          <w:rFonts w:ascii="宋体" w:hAnsi="宋体"/>
          <w:sz w:val="20"/>
          <w:szCs w:val="20"/>
        </w:rPr>
        <w:t xml:space="preserve"> </w:t>
      </w:r>
    </w:p>
    <w:p w14:paraId="67865200">
      <w:pPr>
        <w:adjustRightInd w:val="0"/>
        <w:snapToGrid w:val="0"/>
        <w:spacing w:line="288" w:lineRule="auto"/>
        <w:ind w:firstLine="402" w:firstLineChars="200"/>
        <w:rPr>
          <w:rFonts w:ascii="宋体" w:hAnsi="宋体"/>
          <w:sz w:val="20"/>
          <w:szCs w:val="20"/>
        </w:rPr>
      </w:pPr>
      <w:r>
        <w:rPr>
          <w:b/>
          <w:bCs/>
          <w:sz w:val="20"/>
          <w:szCs w:val="20"/>
        </w:rPr>
        <w:t xml:space="preserve">1 </w:t>
      </w:r>
      <w:r>
        <w:rPr>
          <w:rFonts w:ascii="宋体" w:hAnsi="宋体"/>
          <w:sz w:val="20"/>
          <w:szCs w:val="20"/>
        </w:rPr>
        <w:t xml:space="preserve"> </w:t>
      </w:r>
      <w:r>
        <w:rPr>
          <w:rFonts w:hint="eastAsia" w:ascii="宋体" w:hAnsi="宋体"/>
          <w:sz w:val="20"/>
          <w:szCs w:val="20"/>
        </w:rPr>
        <w:t>支护结构外侧的主动土压力标准值、支护结构内侧的被动土压力标准值宜按下列公式计算</w:t>
      </w:r>
      <w:r>
        <w:rPr>
          <w:rFonts w:ascii="宋体" w:hAnsi="宋体"/>
          <w:sz w:val="20"/>
          <w:szCs w:val="20"/>
        </w:rPr>
        <w:t>（</w:t>
      </w:r>
      <w:r>
        <w:rPr>
          <w:rFonts w:hint="eastAsia" w:ascii="宋体" w:hAnsi="宋体"/>
          <w:sz w:val="20"/>
          <w:szCs w:val="20"/>
        </w:rPr>
        <w:t>图</w:t>
      </w:r>
      <w:r>
        <w:rPr>
          <w:sz w:val="20"/>
          <w:szCs w:val="20"/>
        </w:rPr>
        <w:t>3.3.3</w:t>
      </w:r>
      <w:r>
        <w:rPr>
          <w:rFonts w:ascii="宋体" w:hAnsi="宋体"/>
          <w:sz w:val="20"/>
          <w:szCs w:val="20"/>
        </w:rPr>
        <w:t>）</w:t>
      </w:r>
      <w:r>
        <w:rPr>
          <w:rFonts w:hint="eastAsia" w:ascii="宋体" w:hAnsi="宋体"/>
          <w:sz w:val="20"/>
          <w:szCs w:val="20"/>
        </w:rPr>
        <w:t>：</w:t>
      </w:r>
      <w:r>
        <w:rPr>
          <w:rFonts w:ascii="宋体" w:hAnsi="宋体"/>
          <w:sz w:val="20"/>
          <w:szCs w:val="20"/>
        </w:rPr>
        <w:t xml:space="preserve"> </w:t>
      </w:r>
    </w:p>
    <w:p w14:paraId="795BBECD">
      <w:pPr>
        <w:adjustRightInd w:val="0"/>
        <w:snapToGrid w:val="0"/>
        <w:spacing w:line="288" w:lineRule="auto"/>
        <w:ind w:firstLine="600" w:firstLineChars="300"/>
        <w:rPr>
          <w:rFonts w:ascii="宋体" w:hAnsi="宋体"/>
          <w:sz w:val="20"/>
          <w:szCs w:val="20"/>
        </w:rPr>
      </w:pPr>
      <w:r>
        <w:rPr>
          <w:rFonts w:ascii="宋体" w:hAnsi="宋体"/>
          <w:bCs/>
          <w:sz w:val="20"/>
          <w:szCs w:val="20"/>
        </w:rPr>
        <w:t>1</w:t>
      </w:r>
      <w:r>
        <w:rPr>
          <w:rFonts w:hint="eastAsia" w:ascii="宋体" w:hAnsi="宋体"/>
          <w:bCs/>
          <w:sz w:val="20"/>
          <w:szCs w:val="20"/>
        </w:rPr>
        <w:t>）</w:t>
      </w:r>
      <w:r>
        <w:rPr>
          <w:rFonts w:hint="eastAsia" w:ascii="宋体" w:hAnsi="宋体"/>
          <w:sz w:val="20"/>
          <w:szCs w:val="20"/>
        </w:rPr>
        <w:t>对地下水位以上或水土合算的土层</w:t>
      </w:r>
    </w:p>
    <w:p w14:paraId="5EA95CA6">
      <w:pPr>
        <w:adjustRightInd w:val="0"/>
        <w:snapToGrid w:val="0"/>
        <w:spacing w:line="288" w:lineRule="auto"/>
        <w:ind w:firstLine="1300" w:firstLineChars="650"/>
        <w:rPr>
          <w:rFonts w:ascii="宋体" w:hAnsi="宋体"/>
          <w:sz w:val="20"/>
          <w:szCs w:val="20"/>
        </w:rPr>
      </w:pPr>
      <w:r>
        <w:rPr>
          <w:rFonts w:hint="eastAsia" w:ascii="宋体" w:hAnsi="宋体"/>
          <w:position w:val="-16"/>
          <w:sz w:val="20"/>
          <w:szCs w:val="20"/>
        </w:rPr>
        <w:object>
          <v:shape id="_x0000_i1025" o:spt="75" type="#_x0000_t75" style="height:22.4pt;width:118.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7" r:id="rId16">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w:t>
      </w:r>
      <w:r>
        <w:rPr>
          <w:sz w:val="20"/>
          <w:szCs w:val="20"/>
        </w:rPr>
        <w:t>3.3.3-1</w:t>
      </w:r>
      <w:r>
        <w:rPr>
          <w:rFonts w:ascii="宋体" w:hAnsi="宋体"/>
          <w:sz w:val="20"/>
          <w:szCs w:val="20"/>
        </w:rPr>
        <w:t>）</w:t>
      </w:r>
    </w:p>
    <w:p w14:paraId="27DBC247">
      <w:pPr>
        <w:adjustRightInd w:val="0"/>
        <w:snapToGrid w:val="0"/>
        <w:spacing w:line="288" w:lineRule="auto"/>
        <w:ind w:left="880" w:firstLine="420" w:firstLineChars="210"/>
        <w:rPr>
          <w:rFonts w:ascii="宋体" w:hAnsi="宋体"/>
          <w:strike/>
          <w:sz w:val="20"/>
          <w:szCs w:val="20"/>
        </w:rPr>
      </w:pPr>
      <w:r>
        <w:rPr>
          <w:rFonts w:hint="eastAsia" w:ascii="宋体" w:hAnsi="宋体"/>
          <w:position w:val="-24"/>
          <w:sz w:val="20"/>
          <w:szCs w:val="20"/>
        </w:rPr>
        <w:object>
          <v:shape id="_x0000_i1026" o:spt="75" type="#_x0000_t75" style="height:31.9pt;width:101.9pt;" o:ole="t" filled="t" o:preferrelative="t" stroked="f" coordsize="21600,21600">
            <v:path/>
            <v:fill on="t" focussize="0,0"/>
            <v:stroke on="f" joinstyle="miter"/>
            <v:imagedata r:id="rId19" o:title=""/>
            <o:lock v:ext="edit" aspectratio="t"/>
            <w10:wrap type="none"/>
            <w10:anchorlock/>
          </v:shape>
          <o:OLEObject Type="Embed" ProgID="Equation.3" ShapeID="_x0000_i1026" DrawAspect="Content" ObjectID="_1468075728" r:id="rId18">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 xml:space="preserve">      </w:t>
      </w:r>
      <w:r>
        <w:rPr>
          <w:rFonts w:ascii="宋体" w:hAnsi="宋体"/>
          <w:sz w:val="20"/>
          <w:szCs w:val="20"/>
        </w:rPr>
        <w:tab/>
      </w:r>
      <w:r>
        <w:rPr>
          <w:rFonts w:hint="eastAsia" w:ascii="宋体" w:hAnsi="宋体"/>
          <w:sz w:val="20"/>
          <w:szCs w:val="20"/>
        </w:rPr>
        <w:t xml:space="preserve"> </w:t>
      </w:r>
      <w:r>
        <w:rPr>
          <w:rFonts w:ascii="宋体" w:hAnsi="宋体"/>
          <w:sz w:val="20"/>
          <w:szCs w:val="20"/>
        </w:rPr>
        <w:t>（</w:t>
      </w:r>
      <w:r>
        <w:rPr>
          <w:sz w:val="20"/>
          <w:szCs w:val="20"/>
        </w:rPr>
        <w:t>3.3.3-2</w:t>
      </w:r>
      <w:r>
        <w:rPr>
          <w:rFonts w:ascii="宋体" w:hAnsi="宋体"/>
          <w:sz w:val="20"/>
          <w:szCs w:val="20"/>
        </w:rPr>
        <w:t>）</w:t>
      </w:r>
    </w:p>
    <w:p w14:paraId="197BE209">
      <w:pPr>
        <w:adjustRightInd w:val="0"/>
        <w:snapToGrid w:val="0"/>
        <w:spacing w:line="288" w:lineRule="auto"/>
        <w:ind w:left="840" w:firstLine="420" w:firstLineChars="210"/>
        <w:rPr>
          <w:rFonts w:ascii="宋体" w:hAnsi="宋体"/>
          <w:sz w:val="20"/>
          <w:szCs w:val="20"/>
        </w:rPr>
      </w:pPr>
      <w:r>
        <w:rPr>
          <w:rFonts w:hint="eastAsia" w:ascii="宋体" w:hAnsi="宋体"/>
          <w:position w:val="-16"/>
          <w:sz w:val="20"/>
          <w:szCs w:val="20"/>
        </w:rPr>
        <w:object>
          <v:shape id="_x0000_i1027" o:spt="75" type="#_x0000_t75" style="height:22.4pt;width:118.2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9" r:id="rId20">
            <o:LockedField>false</o:LockedField>
          </o:OLEObject>
        </w:object>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w:t>
      </w:r>
      <w:r>
        <w:rPr>
          <w:sz w:val="20"/>
          <w:szCs w:val="20"/>
        </w:rPr>
        <w:t>3.3.3-3</w:t>
      </w:r>
      <w:r>
        <w:rPr>
          <w:rFonts w:ascii="宋体" w:hAnsi="宋体"/>
          <w:sz w:val="20"/>
          <w:szCs w:val="20"/>
        </w:rPr>
        <w:t>）</w:t>
      </w:r>
    </w:p>
    <w:p w14:paraId="1E5056E1">
      <w:pPr>
        <w:adjustRightInd w:val="0"/>
        <w:snapToGrid w:val="0"/>
        <w:spacing w:line="288" w:lineRule="auto"/>
        <w:ind w:left="840" w:firstLine="420" w:firstLineChars="210"/>
        <w:rPr>
          <w:rFonts w:ascii="宋体" w:hAnsi="宋体"/>
          <w:sz w:val="20"/>
          <w:szCs w:val="20"/>
        </w:rPr>
      </w:pPr>
      <w:r>
        <w:rPr>
          <w:rFonts w:hint="eastAsia" w:ascii="宋体" w:hAnsi="宋体"/>
          <w:position w:val="-24"/>
          <w:sz w:val="20"/>
          <w:szCs w:val="20"/>
        </w:rPr>
        <w:object>
          <v:shape id="_x0000_i1028" o:spt="75" type="#_x0000_t75" style="height:31.9pt;width:103.95pt;" o:ole="t" filled="t" o:preferrelative="t" stroked="f" coordsize="21600,21600">
            <v:path/>
            <v:fill on="t" focussize="0,0"/>
            <v:stroke on="f" joinstyle="miter"/>
            <v:imagedata r:id="rId23" o:title=""/>
            <o:lock v:ext="edit" aspectratio="t"/>
            <w10:wrap type="none"/>
            <w10:anchorlock/>
          </v:shape>
          <o:OLEObject Type="Embed" ProgID="Equation.3" ShapeID="_x0000_i1028" DrawAspect="Content" ObjectID="_1468075730" r:id="rId22">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w:t>
      </w:r>
      <w:r>
        <w:rPr>
          <w:sz w:val="20"/>
          <w:szCs w:val="20"/>
        </w:rPr>
        <w:t>3.3.3-4</w:t>
      </w:r>
      <w:r>
        <w:rPr>
          <w:rFonts w:ascii="宋体" w:hAnsi="宋体"/>
          <w:sz w:val="20"/>
          <w:szCs w:val="20"/>
        </w:rPr>
        <w:t>）</w:t>
      </w:r>
    </w:p>
    <w:p w14:paraId="5BFDC1D0">
      <w:pPr>
        <w:adjustRightInd w:val="0"/>
        <w:snapToGrid w:val="0"/>
        <w:spacing w:line="288" w:lineRule="auto"/>
        <w:ind w:left="1299" w:leftChars="12" w:hanging="1274" w:hangingChars="637"/>
        <w:rPr>
          <w:rFonts w:ascii="宋体" w:hAnsi="宋体"/>
          <w:sz w:val="20"/>
          <w:szCs w:val="20"/>
        </w:rPr>
      </w:pPr>
      <w:r>
        <w:rPr>
          <w:rFonts w:hint="eastAsia" w:ascii="宋体" w:hAnsi="宋体"/>
          <w:sz w:val="20"/>
          <w:szCs w:val="20"/>
        </w:rPr>
        <w:t>式中：</w:t>
      </w:r>
      <w:r>
        <w:rPr>
          <w:rFonts w:hint="eastAsia"/>
          <w:i/>
          <w:w w:val="90"/>
          <w:sz w:val="24"/>
        </w:rPr>
        <w:t>p</w:t>
      </w:r>
      <w:r>
        <w:rPr>
          <w:sz w:val="20"/>
          <w:szCs w:val="20"/>
          <w:vertAlign w:val="subscript"/>
        </w:rPr>
        <w:t>ak</w:t>
      </w:r>
      <w:r>
        <w:rPr>
          <w:iCs/>
        </w:rPr>
        <w:t>——</w:t>
      </w:r>
      <w:r>
        <w:rPr>
          <w:rFonts w:hint="eastAsia" w:ascii="宋体" w:hAnsi="宋体"/>
          <w:sz w:val="20"/>
          <w:szCs w:val="20"/>
        </w:rPr>
        <w:t>支护结构外侧，第</w:t>
      </w:r>
      <w:r>
        <w:rPr>
          <w:i/>
          <w:sz w:val="20"/>
          <w:szCs w:val="20"/>
        </w:rPr>
        <w:t>i</w:t>
      </w:r>
      <w:r>
        <w:rPr>
          <w:rFonts w:hint="eastAsia" w:ascii="宋体" w:hAnsi="宋体"/>
          <w:sz w:val="20"/>
          <w:szCs w:val="20"/>
        </w:rPr>
        <w:t>层土中计算点的主动土压力强度标准值（</w:t>
      </w:r>
      <w:r>
        <w:rPr>
          <w:sz w:val="20"/>
          <w:szCs w:val="20"/>
        </w:rPr>
        <w:t>kPa</w:t>
      </w:r>
      <w:r>
        <w:rPr>
          <w:rFonts w:hint="eastAsia" w:ascii="宋体" w:hAnsi="宋体"/>
          <w:sz w:val="20"/>
          <w:szCs w:val="20"/>
        </w:rPr>
        <w:t>）；当</w:t>
      </w:r>
      <w:r>
        <w:rPr>
          <w:rFonts w:ascii="宋体" w:hAnsi="宋体"/>
          <w:i/>
          <w:iCs/>
          <w:sz w:val="20"/>
          <w:szCs w:val="20"/>
        </w:rPr>
        <w:t xml:space="preserve"> </w:t>
      </w:r>
      <w:r>
        <w:rPr>
          <w:i/>
          <w:iCs/>
          <w:sz w:val="20"/>
          <w:szCs w:val="20"/>
        </w:rPr>
        <w:t>p</w:t>
      </w:r>
      <w:r>
        <w:rPr>
          <w:sz w:val="20"/>
          <w:szCs w:val="20"/>
          <w:vertAlign w:val="subscript"/>
        </w:rPr>
        <w:t>ak</w:t>
      </w:r>
      <w:r>
        <w:rPr>
          <w:i/>
          <w:sz w:val="20"/>
          <w:szCs w:val="20"/>
        </w:rPr>
        <w:t xml:space="preserve"> </w:t>
      </w:r>
      <w:r>
        <w:rPr>
          <w:sz w:val="20"/>
          <w:szCs w:val="20"/>
        </w:rPr>
        <w:t>&lt;0</w:t>
      </w:r>
      <w:r>
        <w:rPr>
          <w:rFonts w:hint="eastAsia" w:ascii="宋体" w:hAnsi="宋体"/>
          <w:sz w:val="20"/>
          <w:szCs w:val="20"/>
        </w:rPr>
        <w:t>时，应取</w:t>
      </w:r>
      <w:r>
        <w:rPr>
          <w:i/>
          <w:iCs/>
          <w:sz w:val="20"/>
          <w:szCs w:val="20"/>
        </w:rPr>
        <w:t>p</w:t>
      </w:r>
      <w:r>
        <w:rPr>
          <w:sz w:val="20"/>
          <w:szCs w:val="20"/>
          <w:vertAlign w:val="subscript"/>
        </w:rPr>
        <w:t>ak</w:t>
      </w:r>
      <w:r>
        <w:rPr>
          <w:rFonts w:hAnsi="宋体"/>
          <w:sz w:val="20"/>
          <w:szCs w:val="20"/>
        </w:rPr>
        <w:t>＝</w:t>
      </w:r>
      <w:r>
        <w:rPr>
          <w:sz w:val="20"/>
          <w:szCs w:val="20"/>
        </w:rPr>
        <w:t>0</w:t>
      </w:r>
      <w:r>
        <w:rPr>
          <w:rFonts w:hint="eastAsia" w:ascii="宋体" w:hAnsi="宋体"/>
          <w:sz w:val="20"/>
          <w:szCs w:val="20"/>
        </w:rPr>
        <w:t>；</w:t>
      </w:r>
    </w:p>
    <w:p w14:paraId="369493C7">
      <w:pPr>
        <w:adjustRightInd w:val="0"/>
        <w:snapToGrid w:val="0"/>
        <w:spacing w:line="288" w:lineRule="auto"/>
        <w:ind w:left="1316" w:leftChars="119" w:hanging="1066" w:hangingChars="533"/>
        <w:rPr>
          <w:rFonts w:ascii="宋体" w:hAnsi="宋体"/>
          <w:sz w:val="20"/>
          <w:szCs w:val="20"/>
        </w:rPr>
      </w:pPr>
      <w:r>
        <w:rPr>
          <w:i/>
          <w:sz w:val="20"/>
          <w:szCs w:val="20"/>
        </w:rPr>
        <w:t>σ</w:t>
      </w:r>
      <w:r>
        <w:rPr>
          <w:sz w:val="20"/>
          <w:szCs w:val="20"/>
          <w:vertAlign w:val="subscript"/>
        </w:rPr>
        <w:t>ak</w:t>
      </w:r>
      <w:r>
        <w:rPr>
          <w:rFonts w:hAnsi="宋体"/>
          <w:sz w:val="20"/>
          <w:szCs w:val="20"/>
        </w:rPr>
        <w:t>、</w:t>
      </w:r>
      <w:r>
        <w:rPr>
          <w:i/>
          <w:sz w:val="20"/>
          <w:szCs w:val="20"/>
        </w:rPr>
        <w:t>σ</w:t>
      </w:r>
      <w:r>
        <w:rPr>
          <w:sz w:val="20"/>
          <w:szCs w:val="20"/>
          <w:vertAlign w:val="subscript"/>
        </w:rPr>
        <w:t>pk</w:t>
      </w:r>
      <w:r>
        <w:rPr>
          <w:iCs/>
        </w:rPr>
        <w:t>——</w:t>
      </w:r>
      <w:r>
        <w:rPr>
          <w:rFonts w:hint="eastAsia" w:ascii="宋体" w:hAnsi="宋体"/>
          <w:sz w:val="20"/>
          <w:szCs w:val="20"/>
        </w:rPr>
        <w:t>分别为支护结构外侧、内侧计算点的土中竖向应力标准值（</w:t>
      </w:r>
      <w:r>
        <w:rPr>
          <w:sz w:val="20"/>
          <w:szCs w:val="20"/>
        </w:rPr>
        <w:t>kPa</w:t>
      </w:r>
      <w:r>
        <w:rPr>
          <w:rFonts w:hint="eastAsia" w:ascii="宋体" w:hAnsi="宋体"/>
          <w:sz w:val="20"/>
          <w:szCs w:val="20"/>
        </w:rPr>
        <w:t>），按本规程第</w:t>
      </w:r>
      <w:r>
        <w:rPr>
          <w:sz w:val="20"/>
          <w:szCs w:val="20"/>
        </w:rPr>
        <w:t>3.3.5</w:t>
      </w:r>
      <w:r>
        <w:rPr>
          <w:rFonts w:hint="eastAsia" w:ascii="宋体" w:hAnsi="宋体"/>
          <w:sz w:val="20"/>
          <w:szCs w:val="20"/>
        </w:rPr>
        <w:t>条的规定计算；</w:t>
      </w:r>
    </w:p>
    <w:p w14:paraId="6D7827C2">
      <w:pPr>
        <w:tabs>
          <w:tab w:val="left" w:pos="1365"/>
          <w:tab w:val="left" w:pos="1722"/>
          <w:tab w:val="left" w:pos="7020"/>
        </w:tabs>
        <w:adjustRightInd w:val="0"/>
        <w:snapToGrid w:val="0"/>
        <w:spacing w:line="288" w:lineRule="auto"/>
        <w:ind w:left="-141" w:leftChars="-67" w:firstLine="424" w:firstLineChars="212"/>
        <w:rPr>
          <w:rFonts w:ascii="宋体" w:hAnsi="宋体"/>
          <w:sz w:val="20"/>
          <w:szCs w:val="20"/>
        </w:rPr>
      </w:pPr>
      <w:r>
        <w:rPr>
          <w:rFonts w:ascii="宋体" w:hAnsi="宋体"/>
          <w:i/>
          <w:iCs/>
          <w:sz w:val="20"/>
          <w:szCs w:val="20"/>
        </w:rPr>
        <w:t>K</w:t>
      </w:r>
      <w:r>
        <w:rPr>
          <w:iCs/>
          <w:sz w:val="20"/>
          <w:szCs w:val="20"/>
          <w:vertAlign w:val="subscript"/>
        </w:rPr>
        <w:t>a</w:t>
      </w:r>
      <w:r>
        <w:rPr>
          <w:rFonts w:hint="eastAsia"/>
          <w:iCs/>
          <w:sz w:val="20"/>
          <w:szCs w:val="20"/>
          <w:vertAlign w:val="subscript"/>
        </w:rPr>
        <w:t>,</w:t>
      </w:r>
      <w:r>
        <w:rPr>
          <w:i/>
          <w:iCs/>
          <w:sz w:val="20"/>
          <w:szCs w:val="20"/>
          <w:vertAlign w:val="subscript"/>
        </w:rPr>
        <w:t>i</w:t>
      </w:r>
      <w:r>
        <w:rPr>
          <w:rFonts w:hint="eastAsia" w:ascii="宋体" w:hAnsi="宋体"/>
          <w:iCs/>
          <w:sz w:val="20"/>
          <w:szCs w:val="20"/>
        </w:rPr>
        <w:t>、</w:t>
      </w:r>
      <w:r>
        <w:rPr>
          <w:rFonts w:ascii="宋体" w:hAnsi="宋体"/>
          <w:i/>
          <w:iCs/>
          <w:sz w:val="20"/>
          <w:szCs w:val="20"/>
        </w:rPr>
        <w:t>K</w:t>
      </w:r>
      <w:r>
        <w:rPr>
          <w:iCs/>
          <w:sz w:val="20"/>
          <w:szCs w:val="20"/>
          <w:vertAlign w:val="subscript"/>
        </w:rPr>
        <w:t>p</w:t>
      </w:r>
      <w:r>
        <w:rPr>
          <w:rFonts w:hint="eastAsia"/>
          <w:iCs/>
          <w:sz w:val="20"/>
          <w:szCs w:val="20"/>
          <w:vertAlign w:val="subscript"/>
        </w:rPr>
        <w:t>,</w:t>
      </w:r>
      <w:r>
        <w:rPr>
          <w:i/>
          <w:iCs/>
          <w:sz w:val="20"/>
          <w:szCs w:val="20"/>
          <w:vertAlign w:val="subscript"/>
        </w:rPr>
        <w:t>i</w:t>
      </w:r>
      <w:r>
        <w:rPr>
          <w:rFonts w:hint="eastAsia" w:ascii="宋体" w:hAnsi="宋体"/>
          <w:i/>
          <w:iCs/>
          <w:sz w:val="20"/>
          <w:szCs w:val="20"/>
          <w:vertAlign w:val="subscript"/>
        </w:rPr>
        <w:t xml:space="preserve"> </w:t>
      </w:r>
      <w:r>
        <w:rPr>
          <w:iCs/>
        </w:rPr>
        <w:t>——</w:t>
      </w:r>
      <w:r>
        <w:rPr>
          <w:rFonts w:hint="eastAsia" w:ascii="宋体" w:hAnsi="宋体"/>
          <w:sz w:val="20"/>
          <w:szCs w:val="20"/>
        </w:rPr>
        <w:t>分别为第</w:t>
      </w:r>
      <w:r>
        <w:rPr>
          <w:i/>
          <w:sz w:val="20"/>
          <w:szCs w:val="20"/>
        </w:rPr>
        <w:t>i</w:t>
      </w:r>
      <w:r>
        <w:rPr>
          <w:rFonts w:hint="eastAsia" w:ascii="宋体" w:hAnsi="宋体"/>
          <w:sz w:val="20"/>
          <w:szCs w:val="20"/>
        </w:rPr>
        <w:t>层土的主动土压力系数、被动土压力系数；</w:t>
      </w:r>
    </w:p>
    <w:p w14:paraId="6B488C4A">
      <w:pPr>
        <w:tabs>
          <w:tab w:val="left" w:pos="812"/>
          <w:tab w:val="left" w:pos="1620"/>
          <w:tab w:val="left" w:pos="7020"/>
        </w:tabs>
        <w:adjustRightInd w:val="0"/>
        <w:snapToGrid w:val="0"/>
        <w:spacing w:line="288" w:lineRule="auto"/>
        <w:ind w:left="1303" w:leftChars="192" w:hanging="900" w:hangingChars="450"/>
        <w:rPr>
          <w:rFonts w:hAnsi="宋体"/>
          <w:i/>
          <w:sz w:val="20"/>
          <w:szCs w:val="20"/>
        </w:rPr>
      </w:pPr>
      <w:r>
        <w:rPr>
          <w:i/>
          <w:iCs/>
          <w:sz w:val="20"/>
          <w:szCs w:val="20"/>
        </w:rPr>
        <w:t>c</w:t>
      </w:r>
      <w:r>
        <w:rPr>
          <w:i/>
          <w:sz w:val="20"/>
          <w:szCs w:val="20"/>
          <w:vertAlign w:val="subscript"/>
        </w:rPr>
        <w:t>i</w:t>
      </w:r>
      <w:r>
        <w:rPr>
          <w:rFonts w:hint="eastAsia" w:ascii="宋体" w:hAnsi="宋体"/>
          <w:iCs/>
          <w:sz w:val="20"/>
          <w:szCs w:val="20"/>
        </w:rPr>
        <w:t>、</w:t>
      </w:r>
      <w:r>
        <w:rPr>
          <w:i/>
          <w:sz w:val="20"/>
          <w:szCs w:val="20"/>
        </w:rPr>
        <w:sym w:font="Symbol" w:char="F06A"/>
      </w:r>
      <w:r>
        <w:rPr>
          <w:i/>
          <w:sz w:val="20"/>
          <w:szCs w:val="20"/>
          <w:vertAlign w:val="subscript"/>
        </w:rPr>
        <w:t>i</w:t>
      </w:r>
      <w:r>
        <w:rPr>
          <w:iCs/>
        </w:rPr>
        <w:t>——</w:t>
      </w:r>
      <w:r>
        <w:rPr>
          <w:rFonts w:hint="eastAsia" w:ascii="宋体" w:hAnsi="宋体"/>
          <w:sz w:val="20"/>
          <w:szCs w:val="20"/>
        </w:rPr>
        <w:t>第</w:t>
      </w:r>
      <w:r>
        <w:rPr>
          <w:i/>
          <w:sz w:val="20"/>
          <w:szCs w:val="20"/>
        </w:rPr>
        <w:t>i</w:t>
      </w:r>
      <w:r>
        <w:rPr>
          <w:rFonts w:hint="eastAsia" w:ascii="宋体" w:hAnsi="宋体"/>
          <w:sz w:val="20"/>
          <w:szCs w:val="20"/>
        </w:rPr>
        <w:t>层土的粘聚力（</w:t>
      </w:r>
      <w:r>
        <w:rPr>
          <w:sz w:val="20"/>
          <w:szCs w:val="20"/>
        </w:rPr>
        <w:t>kPa</w:t>
      </w:r>
      <w:r>
        <w:rPr>
          <w:rFonts w:hint="eastAsia" w:ascii="宋体" w:hAnsi="宋体"/>
          <w:sz w:val="20"/>
          <w:szCs w:val="20"/>
        </w:rPr>
        <w:t>）、内摩擦角（º）；按本规程第</w:t>
      </w:r>
      <w:r>
        <w:rPr>
          <w:sz w:val="20"/>
          <w:szCs w:val="20"/>
        </w:rPr>
        <w:t>3.1.</w:t>
      </w:r>
      <w:r>
        <w:rPr>
          <w:rFonts w:hint="eastAsia"/>
          <w:sz w:val="20"/>
          <w:szCs w:val="20"/>
        </w:rPr>
        <w:t>1</w:t>
      </w:r>
      <w:r>
        <w:rPr>
          <w:sz w:val="20"/>
          <w:szCs w:val="20"/>
        </w:rPr>
        <w:t>3</w:t>
      </w:r>
      <w:r>
        <w:rPr>
          <w:rFonts w:hint="eastAsia" w:ascii="宋体" w:hAnsi="宋体"/>
          <w:sz w:val="20"/>
          <w:szCs w:val="20"/>
        </w:rPr>
        <w:t>条的规定取值；</w:t>
      </w:r>
    </w:p>
    <w:p w14:paraId="3D4B3C72">
      <w:pPr>
        <w:tabs>
          <w:tab w:val="left" w:pos="1620"/>
          <w:tab w:val="left" w:pos="7020"/>
        </w:tabs>
        <w:adjustRightInd w:val="0"/>
        <w:snapToGrid w:val="0"/>
        <w:spacing w:line="288" w:lineRule="auto"/>
        <w:ind w:left="1344" w:leftChars="280" w:hanging="756" w:hangingChars="378"/>
        <w:rPr>
          <w:rFonts w:ascii="宋体" w:hAnsi="宋体"/>
          <w:sz w:val="20"/>
          <w:szCs w:val="20"/>
        </w:rPr>
      </w:pPr>
      <w:r>
        <w:rPr>
          <w:i/>
          <w:sz w:val="20"/>
          <w:szCs w:val="20"/>
        </w:rPr>
        <w:t>p</w:t>
      </w:r>
      <w:r>
        <w:rPr>
          <w:sz w:val="20"/>
          <w:szCs w:val="20"/>
          <w:vertAlign w:val="subscript"/>
        </w:rPr>
        <w:t xml:space="preserve">pk </w:t>
      </w:r>
      <w:r>
        <w:rPr>
          <w:iCs/>
        </w:rPr>
        <w:t>——</w:t>
      </w:r>
      <w:r>
        <w:rPr>
          <w:rFonts w:hint="eastAsia" w:ascii="宋体" w:hAnsi="宋体"/>
          <w:sz w:val="20"/>
          <w:szCs w:val="20"/>
        </w:rPr>
        <w:t>支护结构内侧，第</w:t>
      </w:r>
      <w:r>
        <w:rPr>
          <w:i/>
          <w:sz w:val="20"/>
          <w:szCs w:val="20"/>
        </w:rPr>
        <w:t>i</w:t>
      </w:r>
      <w:r>
        <w:rPr>
          <w:rFonts w:hint="eastAsia" w:ascii="宋体" w:hAnsi="宋体"/>
          <w:sz w:val="20"/>
          <w:szCs w:val="20"/>
        </w:rPr>
        <w:t>层土中计算点的被动土压力强度标准值（</w:t>
      </w:r>
      <w:r>
        <w:rPr>
          <w:sz w:val="20"/>
          <w:szCs w:val="20"/>
        </w:rPr>
        <w:t>kPa</w:t>
      </w:r>
      <w:r>
        <w:rPr>
          <w:rFonts w:hint="eastAsia" w:ascii="宋体" w:hAnsi="宋体"/>
          <w:sz w:val="20"/>
          <w:szCs w:val="20"/>
        </w:rPr>
        <w:t>）。</w:t>
      </w:r>
    </w:p>
    <w:p w14:paraId="1919AD24">
      <w:pPr>
        <w:adjustRightInd w:val="0"/>
        <w:snapToGrid w:val="0"/>
        <w:spacing w:line="288" w:lineRule="auto"/>
        <w:ind w:firstLine="600" w:firstLineChars="300"/>
        <w:rPr>
          <w:rFonts w:ascii="宋体" w:hAnsi="宋体"/>
          <w:sz w:val="20"/>
          <w:szCs w:val="20"/>
        </w:rPr>
      </w:pPr>
      <w:r>
        <w:rPr>
          <w:rFonts w:ascii="宋体" w:hAnsi="宋体"/>
          <w:bCs/>
          <w:sz w:val="20"/>
          <w:szCs w:val="20"/>
        </w:rPr>
        <w:t>2</w:t>
      </w:r>
      <w:r>
        <w:rPr>
          <w:rFonts w:hint="eastAsia" w:ascii="宋体" w:hAnsi="宋体"/>
          <w:sz w:val="20"/>
          <w:szCs w:val="20"/>
        </w:rPr>
        <w:t>）对水土分算的土层</w:t>
      </w:r>
    </w:p>
    <w:p w14:paraId="2A2E7A46">
      <w:pPr>
        <w:adjustRightInd w:val="0"/>
        <w:snapToGrid w:val="0"/>
        <w:spacing w:line="288" w:lineRule="auto"/>
        <w:ind w:right="2" w:rightChars="1" w:firstLine="1200" w:firstLineChars="600"/>
        <w:rPr>
          <w:rFonts w:ascii="宋体" w:hAnsi="宋体"/>
          <w:sz w:val="20"/>
          <w:szCs w:val="20"/>
        </w:rPr>
      </w:pPr>
      <w:r>
        <w:rPr>
          <w:rFonts w:hint="eastAsia" w:ascii="宋体" w:hAnsi="宋体"/>
          <w:position w:val="-16"/>
          <w:sz w:val="20"/>
          <w:szCs w:val="20"/>
        </w:rPr>
        <w:object>
          <v:shape id="_x0000_i1029" o:spt="75" type="#_x0000_t75" style="height:20.4pt;width:165.75pt;" o:ole="t" filled="t" o:preferrelative="t" stroked="f" coordsize="21600,21600">
            <v:path/>
            <v:fill on="t" focussize="0,0"/>
            <v:stroke on="f" joinstyle="miter"/>
            <v:imagedata r:id="rId25" o:title=""/>
            <o:lock v:ext="edit" aspectratio="t"/>
            <w10:wrap type="none"/>
            <w10:anchorlock/>
          </v:shape>
          <o:OLEObject Type="Embed" ProgID="Equation.3" ShapeID="_x0000_i1029" DrawAspect="Content" ObjectID="_1468075731" r:id="rId24">
            <o:LockedField>false</o:LockedField>
          </o:OLEObject>
        </w:object>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ascii="宋体" w:hAnsi="宋体"/>
          <w:sz w:val="20"/>
          <w:szCs w:val="20"/>
        </w:rPr>
        <w:t>（</w:t>
      </w:r>
      <w:r>
        <w:rPr>
          <w:sz w:val="20"/>
          <w:szCs w:val="20"/>
        </w:rPr>
        <w:t>3.3.3-5</w:t>
      </w:r>
      <w:r>
        <w:rPr>
          <w:rFonts w:ascii="宋体" w:hAnsi="宋体"/>
          <w:sz w:val="20"/>
          <w:szCs w:val="20"/>
        </w:rPr>
        <w:t>）</w:t>
      </w:r>
    </w:p>
    <w:p w14:paraId="157A04D1">
      <w:pPr>
        <w:adjustRightInd w:val="0"/>
        <w:snapToGrid w:val="0"/>
        <w:spacing w:line="288" w:lineRule="auto"/>
        <w:ind w:firstLine="1200" w:firstLineChars="600"/>
        <w:rPr>
          <w:rFonts w:ascii="宋体" w:hAnsi="宋体"/>
          <w:sz w:val="20"/>
          <w:szCs w:val="20"/>
        </w:rPr>
      </w:pPr>
      <w:r>
        <w:rPr>
          <w:rFonts w:hint="eastAsia" w:ascii="宋体" w:hAnsi="宋体"/>
          <w:position w:val="-16"/>
          <w:sz w:val="20"/>
          <w:szCs w:val="20"/>
        </w:rPr>
        <w:object>
          <v:shape id="_x0000_i1030" o:spt="75" type="#_x0000_t75" style="height:20.4pt;width:168.4pt;" o:ole="t" filled="t" o:preferrelative="t" stroked="f" coordsize="21600,21600">
            <v:path/>
            <v:fill on="t" focussize="0,0"/>
            <v:stroke on="f" joinstyle="miter"/>
            <v:imagedata r:id="rId27" o:title=""/>
            <o:lock v:ext="edit" aspectratio="t"/>
            <w10:wrap type="none"/>
            <w10:anchorlock/>
          </v:shape>
          <o:OLEObject Type="Embed" ProgID="Equation.3" ShapeID="_x0000_i1030" DrawAspect="Content" ObjectID="_1468075732" r:id="rId26">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w:t>
      </w:r>
      <w:r>
        <w:rPr>
          <w:sz w:val="20"/>
          <w:szCs w:val="20"/>
        </w:rPr>
        <w:t>3.3.3-6</w:t>
      </w:r>
      <w:r>
        <w:rPr>
          <w:rFonts w:ascii="宋体" w:hAnsi="宋体"/>
          <w:sz w:val="20"/>
          <w:szCs w:val="20"/>
        </w:rPr>
        <w:t>）</w:t>
      </w:r>
    </w:p>
    <w:p w14:paraId="3449FE95">
      <w:pPr>
        <w:tabs>
          <w:tab w:val="left" w:pos="812"/>
          <w:tab w:val="left" w:pos="1620"/>
          <w:tab w:val="left" w:pos="7020"/>
        </w:tabs>
        <w:adjustRightInd w:val="0"/>
        <w:snapToGrid w:val="0"/>
        <w:spacing w:line="288" w:lineRule="auto"/>
        <w:ind w:left="1400" w:hanging="1400" w:hangingChars="700"/>
        <w:rPr>
          <w:rFonts w:ascii="宋体" w:hAnsi="宋体"/>
          <w:sz w:val="20"/>
          <w:szCs w:val="20"/>
        </w:rPr>
      </w:pPr>
      <w:r>
        <w:rPr>
          <w:rFonts w:hint="eastAsia" w:ascii="宋体" w:hAnsi="宋体"/>
          <w:sz w:val="20"/>
          <w:szCs w:val="20"/>
        </w:rPr>
        <w:t>式中：</w:t>
      </w:r>
      <w:r>
        <w:rPr>
          <w:i/>
          <w:sz w:val="20"/>
          <w:szCs w:val="20"/>
        </w:rPr>
        <w:t>u</w:t>
      </w:r>
      <w:r>
        <w:rPr>
          <w:sz w:val="20"/>
          <w:szCs w:val="20"/>
          <w:vertAlign w:val="subscript"/>
        </w:rPr>
        <w:t>a</w:t>
      </w:r>
      <w:r>
        <w:rPr>
          <w:rFonts w:hAnsi="宋体"/>
          <w:sz w:val="20"/>
          <w:szCs w:val="20"/>
        </w:rPr>
        <w:t>、</w:t>
      </w:r>
      <w:r>
        <w:rPr>
          <w:i/>
          <w:sz w:val="20"/>
          <w:szCs w:val="20"/>
        </w:rPr>
        <w:t>u</w:t>
      </w:r>
      <w:r>
        <w:rPr>
          <w:sz w:val="20"/>
          <w:szCs w:val="20"/>
          <w:vertAlign w:val="subscript"/>
        </w:rPr>
        <w:t>p</w:t>
      </w:r>
      <w:r>
        <w:rPr>
          <w:iCs/>
        </w:rPr>
        <w:t>——</w:t>
      </w:r>
      <w:r>
        <w:rPr>
          <w:rFonts w:hint="eastAsia" w:ascii="宋体" w:hAnsi="宋体"/>
          <w:sz w:val="20"/>
          <w:szCs w:val="20"/>
        </w:rPr>
        <w:t>分别为支护结构外侧、内侧计算点的水压力（</w:t>
      </w:r>
      <w:r>
        <w:rPr>
          <w:sz w:val="20"/>
          <w:szCs w:val="20"/>
        </w:rPr>
        <w:t>kPa</w:t>
      </w:r>
      <w:r>
        <w:rPr>
          <w:rFonts w:hint="eastAsia" w:ascii="宋体" w:hAnsi="宋体"/>
          <w:sz w:val="20"/>
          <w:szCs w:val="20"/>
        </w:rPr>
        <w:t>）；对静止地下水，按本规程第</w:t>
      </w:r>
      <w:r>
        <w:rPr>
          <w:sz w:val="20"/>
          <w:szCs w:val="20"/>
        </w:rPr>
        <w:t>3.3.4</w:t>
      </w:r>
      <w:r>
        <w:rPr>
          <w:rFonts w:hint="eastAsia" w:ascii="宋体" w:hAnsi="宋体"/>
          <w:sz w:val="20"/>
          <w:szCs w:val="20"/>
        </w:rPr>
        <w:t>条的规定取值；当采用悬挂式截水帷幕时，应考虑地下水沿支护结构向基坑面的渗流对水压力的影响。</w:t>
      </w:r>
    </w:p>
    <w:p w14:paraId="7A71362E">
      <w:pPr>
        <w:adjustRightInd w:val="0"/>
        <w:snapToGrid w:val="0"/>
        <w:spacing w:line="288" w:lineRule="auto"/>
        <w:jc w:val="center"/>
        <w:rPr>
          <w:rFonts w:ascii="宋体" w:hAnsi="宋体"/>
          <w:sz w:val="20"/>
          <w:szCs w:val="20"/>
        </w:rPr>
      </w:pPr>
      <w:r>
        <w:rPr>
          <w:rFonts w:hint="eastAsia" w:ascii="宋体" w:hAnsi="宋体"/>
          <w:sz w:val="20"/>
          <w:szCs w:val="20"/>
        </w:rPr>
        <w:object>
          <v:shape id="_x0000_i1031" o:spt="75" type="#_x0000_t75" style="height:193.5pt;width:210.6pt;" o:ole="t" filled="f" o:preferrelative="t" stroked="f" coordsize="21600,21600">
            <v:path/>
            <v:fill on="f" focussize="0,0"/>
            <v:stroke on="f" joinstyle="miter"/>
            <v:imagedata r:id="rId29" cropleft="20571f" croptop="6003f" cropright="19130f" cropbottom="5808f" o:title=""/>
            <o:lock v:ext="edit" aspectratio="t"/>
            <w10:wrap type="none"/>
            <w10:anchorlock/>
          </v:shape>
          <o:OLEObject Type="Embed" ProgID="AutoCAD.Drawing.16" ShapeID="_x0000_i1031" DrawAspect="Content" ObjectID="_1468075733" r:id="rId28">
            <o:LockedField>false</o:LockedField>
          </o:OLEObject>
        </w:object>
      </w:r>
    </w:p>
    <w:p w14:paraId="28E11944">
      <w:pPr>
        <w:adjustRightInd w:val="0"/>
        <w:snapToGrid w:val="0"/>
        <w:spacing w:after="156" w:afterLines="50" w:line="288" w:lineRule="auto"/>
        <w:jc w:val="center"/>
        <w:rPr>
          <w:rFonts w:ascii="宋体" w:hAnsi="宋体"/>
          <w:b/>
          <w:sz w:val="18"/>
          <w:szCs w:val="18"/>
        </w:rPr>
      </w:pPr>
      <w:r>
        <w:rPr>
          <w:rFonts w:ascii="宋体" w:hAnsi="宋体"/>
          <w:b/>
          <w:sz w:val="18"/>
          <w:szCs w:val="18"/>
        </w:rPr>
        <w:t>图</w:t>
      </w:r>
      <w:r>
        <w:rPr>
          <w:b/>
          <w:sz w:val="18"/>
          <w:szCs w:val="18"/>
        </w:rPr>
        <w:t>3.3.3</w:t>
      </w:r>
      <w:r>
        <w:rPr>
          <w:rFonts w:ascii="宋体" w:hAnsi="宋体"/>
          <w:b/>
          <w:sz w:val="18"/>
          <w:szCs w:val="18"/>
        </w:rPr>
        <w:t xml:space="preserve">  土压力计算</w:t>
      </w:r>
    </w:p>
    <w:p w14:paraId="6ADEF20B">
      <w:pPr>
        <w:adjustRightInd w:val="0"/>
        <w:snapToGrid w:val="0"/>
        <w:spacing w:line="288" w:lineRule="auto"/>
        <w:ind w:firstLine="402" w:firstLineChars="200"/>
        <w:rPr>
          <w:rFonts w:ascii="宋体" w:hAnsi="宋体"/>
          <w:sz w:val="20"/>
          <w:szCs w:val="20"/>
        </w:rPr>
      </w:pPr>
      <w:r>
        <w:rPr>
          <w:b/>
          <w:sz w:val="20"/>
          <w:szCs w:val="20"/>
        </w:rPr>
        <w:t>2</w:t>
      </w:r>
      <w:r>
        <w:rPr>
          <w:rFonts w:ascii="宋体" w:hAnsi="宋体"/>
          <w:sz w:val="20"/>
          <w:szCs w:val="20"/>
        </w:rPr>
        <w:t xml:space="preserve">  </w:t>
      </w:r>
      <w:r>
        <w:rPr>
          <w:rFonts w:hint="eastAsia" w:ascii="宋体" w:hAnsi="宋体"/>
          <w:sz w:val="20"/>
          <w:szCs w:val="20"/>
        </w:rPr>
        <w:t>在支护结构土压力的影响范围内，存在相邻建筑物地下墙体等稳定界面时，可采用库仑土压力理论计算界面内有限滑动楔体产生的主动土压力，此时，同一土层的土压力可采用沿深度线性分布形式。</w:t>
      </w:r>
      <w:r>
        <w:rPr>
          <w:rFonts w:ascii="宋体" w:hAnsi="宋体"/>
          <w:sz w:val="20"/>
          <w:szCs w:val="20"/>
        </w:rPr>
        <w:t xml:space="preserve"> </w:t>
      </w:r>
    </w:p>
    <w:p w14:paraId="49DC771A">
      <w:pPr>
        <w:tabs>
          <w:tab w:val="left" w:pos="960"/>
          <w:tab w:val="left" w:pos="1620"/>
          <w:tab w:val="left" w:pos="7020"/>
        </w:tabs>
        <w:adjustRightInd w:val="0"/>
        <w:snapToGrid w:val="0"/>
        <w:spacing w:line="288" w:lineRule="auto"/>
        <w:rPr>
          <w:rFonts w:ascii="宋体" w:hAnsi="宋体"/>
          <w:sz w:val="20"/>
          <w:szCs w:val="20"/>
        </w:rPr>
      </w:pPr>
      <w:r>
        <w:rPr>
          <w:b/>
          <w:sz w:val="20"/>
          <w:szCs w:val="20"/>
        </w:rPr>
        <w:t xml:space="preserve">3.3.4 </w:t>
      </w:r>
      <w:r>
        <w:rPr>
          <w:rFonts w:ascii="宋体" w:hAnsi="宋体"/>
          <w:sz w:val="20"/>
          <w:szCs w:val="20"/>
        </w:rPr>
        <w:t xml:space="preserve"> </w:t>
      </w:r>
      <w:r>
        <w:rPr>
          <w:rFonts w:hint="eastAsia" w:ascii="宋体" w:hAnsi="宋体"/>
          <w:sz w:val="20"/>
          <w:szCs w:val="20"/>
        </w:rPr>
        <w:t>静止地下水的水压力可按下列公式计算（图</w:t>
      </w:r>
      <w:r>
        <w:rPr>
          <w:rFonts w:hint="eastAsia"/>
          <w:sz w:val="20"/>
          <w:szCs w:val="20"/>
        </w:rPr>
        <w:t>3.</w:t>
      </w:r>
      <w:r>
        <w:rPr>
          <w:sz w:val="20"/>
          <w:szCs w:val="20"/>
        </w:rPr>
        <w:t>3</w:t>
      </w:r>
      <w:r>
        <w:rPr>
          <w:rFonts w:hint="eastAsia"/>
          <w:sz w:val="20"/>
          <w:szCs w:val="20"/>
        </w:rPr>
        <w:t>.3</w:t>
      </w:r>
      <w:r>
        <w:rPr>
          <w:rFonts w:hint="eastAsia" w:ascii="宋体" w:hAnsi="宋体"/>
          <w:sz w:val="20"/>
          <w:szCs w:val="20"/>
        </w:rPr>
        <w:t>）：</w:t>
      </w:r>
    </w:p>
    <w:p w14:paraId="24E5919B">
      <w:pPr>
        <w:adjustRightInd w:val="0"/>
        <w:snapToGrid w:val="0"/>
        <w:spacing w:line="288" w:lineRule="auto"/>
        <w:ind w:firstLine="2100" w:firstLineChars="1050"/>
        <w:jc w:val="center"/>
        <w:rPr>
          <w:rFonts w:ascii="宋体" w:hAnsi="宋体"/>
          <w:sz w:val="20"/>
          <w:szCs w:val="20"/>
        </w:rPr>
      </w:pPr>
      <w:r>
        <w:rPr>
          <w:rFonts w:hint="eastAsia" w:ascii="宋体" w:hAnsi="宋体"/>
          <w:position w:val="-12"/>
          <w:sz w:val="20"/>
          <w:szCs w:val="20"/>
        </w:rPr>
        <w:object>
          <v:shape id="_x0000_i1032" o:spt="75" type="#_x0000_t75" style="height:18.35pt;width:55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4" r:id="rId30">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w:t>
      </w:r>
      <w:r>
        <w:rPr>
          <w:sz w:val="20"/>
          <w:szCs w:val="20"/>
        </w:rPr>
        <w:t>3.3.4-1</w:t>
      </w:r>
      <w:r>
        <w:rPr>
          <w:rFonts w:ascii="宋体" w:hAnsi="宋体"/>
          <w:sz w:val="20"/>
          <w:szCs w:val="20"/>
        </w:rPr>
        <w:t>）</w:t>
      </w:r>
    </w:p>
    <w:p w14:paraId="016FEA40">
      <w:pPr>
        <w:adjustRightInd w:val="0"/>
        <w:snapToGrid w:val="0"/>
        <w:spacing w:line="288" w:lineRule="auto"/>
        <w:ind w:firstLine="2100" w:firstLineChars="1050"/>
        <w:jc w:val="center"/>
        <w:rPr>
          <w:rFonts w:ascii="宋体" w:hAnsi="宋体"/>
          <w:sz w:val="20"/>
          <w:szCs w:val="20"/>
        </w:rPr>
      </w:pPr>
      <w:r>
        <w:rPr>
          <w:rFonts w:hint="eastAsia" w:ascii="宋体" w:hAnsi="宋体"/>
          <w:position w:val="-14"/>
          <w:sz w:val="20"/>
          <w:szCs w:val="20"/>
        </w:rPr>
        <w:object>
          <v:shape id="_x0000_i1033" o:spt="75" type="#_x0000_t75" style="height:19pt;width:57.05pt;" o:ole="t" filled="f" o:preferrelative="t" stroked="f" coordsize="21600,21600">
            <v:path/>
            <v:fill on="f" focussize="0,0"/>
            <v:stroke on="f" joinstyle="miter"/>
            <v:imagedata r:id="rId33" o:title=""/>
            <o:lock v:ext="edit" aspectratio="t"/>
            <w10:wrap type="none"/>
            <w10:anchorlock/>
          </v:shape>
          <o:OLEObject Type="Embed" ProgID="Equation.3" ShapeID="_x0000_i1033" DrawAspect="Content" ObjectID="_1468075735" r:id="rId32">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w:t>
      </w:r>
      <w:r>
        <w:rPr>
          <w:sz w:val="20"/>
          <w:szCs w:val="20"/>
        </w:rPr>
        <w:t>3.3.4-2</w:t>
      </w:r>
      <w:r>
        <w:rPr>
          <w:rFonts w:ascii="宋体" w:hAnsi="宋体"/>
          <w:sz w:val="20"/>
          <w:szCs w:val="20"/>
        </w:rPr>
        <w:t>）</w:t>
      </w:r>
    </w:p>
    <w:p w14:paraId="08C34022">
      <w:pPr>
        <w:tabs>
          <w:tab w:val="left" w:pos="644"/>
          <w:tab w:val="left" w:pos="1620"/>
          <w:tab w:val="left" w:pos="7020"/>
        </w:tabs>
        <w:adjustRightInd w:val="0"/>
        <w:snapToGrid w:val="0"/>
        <w:spacing w:line="288" w:lineRule="auto"/>
        <w:rPr>
          <w:rFonts w:ascii="宋体" w:hAnsi="宋体"/>
          <w:i/>
          <w:iCs/>
          <w:sz w:val="20"/>
          <w:szCs w:val="20"/>
        </w:rPr>
      </w:pPr>
      <w:r>
        <w:rPr>
          <w:rFonts w:hint="eastAsia" w:ascii="宋体" w:hAnsi="宋体"/>
          <w:sz w:val="20"/>
          <w:szCs w:val="20"/>
        </w:rPr>
        <w:t>式中：</w:t>
      </w:r>
      <w:r>
        <w:rPr>
          <w:rFonts w:ascii="宋体" w:hAnsi="宋体"/>
          <w:i/>
          <w:position w:val="-12"/>
          <w:sz w:val="20"/>
          <w:szCs w:val="20"/>
        </w:rPr>
        <w:object>
          <v:shape id="_x0000_i1034" o:spt="75" type="#_x0000_t75" style="height:14.95pt;width:12.9pt;" o:ole="t" filled="f" o:preferrelative="t" stroked="f" coordsize="21600,21600">
            <v:path/>
            <v:fill on="f" focussize="0,0"/>
            <v:stroke on="f" joinstyle="miter"/>
            <v:imagedata r:id="rId35" o:title=""/>
            <o:lock v:ext="edit" aspectratio="t"/>
            <w10:wrap type="none"/>
            <w10:anchorlock/>
          </v:shape>
          <o:OLEObject Type="Embed" ProgID="Equation.3" ShapeID="_x0000_i1034" DrawAspect="Content" ObjectID="_1468075736" r:id="rId34">
            <o:LockedField>false</o:LockedField>
          </o:OLEObject>
        </w:object>
      </w:r>
      <w:r>
        <w:rPr>
          <w:iCs/>
        </w:rPr>
        <w:t>——</w:t>
      </w:r>
      <w:r>
        <w:rPr>
          <w:rFonts w:hint="eastAsia" w:ascii="宋体" w:hAnsi="宋体"/>
          <w:sz w:val="20"/>
          <w:szCs w:val="20"/>
        </w:rPr>
        <w:t>地下水的重度（</w:t>
      </w:r>
      <w:r>
        <w:rPr>
          <w:sz w:val="20"/>
          <w:szCs w:val="20"/>
        </w:rPr>
        <w:t>kN/m</w:t>
      </w:r>
      <w:r>
        <w:rPr>
          <w:sz w:val="20"/>
          <w:szCs w:val="20"/>
          <w:vertAlign w:val="superscript"/>
        </w:rPr>
        <w:t>3</w:t>
      </w:r>
      <w:r>
        <w:rPr>
          <w:rFonts w:hint="eastAsia" w:ascii="宋体" w:hAnsi="宋体"/>
          <w:sz w:val="20"/>
          <w:szCs w:val="20"/>
        </w:rPr>
        <w:t>），取</w:t>
      </w:r>
      <w:r>
        <w:rPr>
          <w:rFonts w:ascii="宋体" w:hAnsi="宋体"/>
          <w:i/>
          <w:position w:val="-12"/>
          <w:sz w:val="20"/>
          <w:szCs w:val="20"/>
        </w:rPr>
        <w:object>
          <v:shape id="_x0000_i1035" o:spt="75" type="#_x0000_t75" style="height:14.95pt;width:12.9pt;" o:ole="t" filled="f" o:preferrelative="t" stroked="f" coordsize="21600,21600">
            <v:path/>
            <v:fill on="f" focussize="0,0"/>
            <v:stroke on="f" joinstyle="miter"/>
            <v:imagedata r:id="rId35" o:title=""/>
            <o:lock v:ext="edit" aspectratio="t"/>
            <w10:wrap type="none"/>
            <w10:anchorlock/>
          </v:shape>
          <o:OLEObject Type="Embed" ProgID="Equation.3" ShapeID="_x0000_i1035" DrawAspect="Content" ObjectID="_1468075737" r:id="rId36">
            <o:LockedField>false</o:LockedField>
          </o:OLEObject>
        </w:object>
      </w:r>
      <w:r>
        <w:rPr>
          <w:rFonts w:hint="eastAsia" w:ascii="宋体" w:hAnsi="宋体"/>
          <w:sz w:val="20"/>
          <w:szCs w:val="20"/>
        </w:rPr>
        <w:t>＝</w:t>
      </w:r>
      <w:r>
        <w:rPr>
          <w:sz w:val="20"/>
          <w:szCs w:val="20"/>
        </w:rPr>
        <w:t>10kN/m</w:t>
      </w:r>
      <w:r>
        <w:rPr>
          <w:sz w:val="20"/>
          <w:szCs w:val="20"/>
          <w:vertAlign w:val="superscript"/>
        </w:rPr>
        <w:t>3</w:t>
      </w:r>
      <w:r>
        <w:rPr>
          <w:rFonts w:hint="eastAsia" w:ascii="宋体" w:hAnsi="宋体"/>
          <w:sz w:val="20"/>
          <w:szCs w:val="20"/>
        </w:rPr>
        <w:t>；</w:t>
      </w:r>
    </w:p>
    <w:p w14:paraId="62D5ADFF">
      <w:pPr>
        <w:tabs>
          <w:tab w:val="left" w:pos="644"/>
          <w:tab w:val="left" w:pos="1620"/>
          <w:tab w:val="left" w:pos="7020"/>
        </w:tabs>
        <w:adjustRightInd w:val="0"/>
        <w:snapToGrid w:val="0"/>
        <w:spacing w:line="288" w:lineRule="auto"/>
        <w:ind w:left="1276" w:leftChars="275" w:hanging="698" w:hangingChars="349"/>
        <w:rPr>
          <w:rFonts w:ascii="宋体" w:hAnsi="宋体"/>
          <w:sz w:val="20"/>
          <w:szCs w:val="20"/>
        </w:rPr>
      </w:pPr>
      <w:r>
        <w:rPr>
          <w:i/>
          <w:iCs/>
          <w:sz w:val="20"/>
          <w:szCs w:val="20"/>
        </w:rPr>
        <w:t>h</w:t>
      </w:r>
      <w:r>
        <w:rPr>
          <w:sz w:val="20"/>
          <w:szCs w:val="20"/>
          <w:vertAlign w:val="subscript"/>
        </w:rPr>
        <w:t>wa</w:t>
      </w:r>
      <w:r>
        <w:rPr>
          <w:iCs/>
        </w:rPr>
        <w:t>——</w:t>
      </w:r>
      <w:r>
        <w:rPr>
          <w:rFonts w:hint="eastAsia" w:ascii="宋体" w:hAnsi="宋体"/>
          <w:sz w:val="20"/>
          <w:szCs w:val="20"/>
        </w:rPr>
        <w:t>基坑外侧地下水位至主动土压力计算点的垂直距离（</w:t>
      </w:r>
      <w:r>
        <w:rPr>
          <w:sz w:val="20"/>
          <w:szCs w:val="20"/>
        </w:rPr>
        <w:t>m</w:t>
      </w:r>
      <w:r>
        <w:rPr>
          <w:rFonts w:hint="eastAsia" w:ascii="宋体" w:hAnsi="宋体"/>
          <w:sz w:val="20"/>
          <w:szCs w:val="20"/>
        </w:rPr>
        <w:t>）；对承压水，地下水位取测压管水位；当有多个含水层时，应以计算点所在含水层的地下水位为准；</w:t>
      </w:r>
    </w:p>
    <w:p w14:paraId="28BEBEA8">
      <w:pPr>
        <w:tabs>
          <w:tab w:val="left" w:pos="644"/>
          <w:tab w:val="left" w:pos="1620"/>
          <w:tab w:val="left" w:pos="7020"/>
        </w:tabs>
        <w:adjustRightInd w:val="0"/>
        <w:snapToGrid w:val="0"/>
        <w:spacing w:line="288" w:lineRule="auto"/>
        <w:ind w:left="1229" w:leftChars="270" w:hanging="662" w:hangingChars="331"/>
        <w:rPr>
          <w:rFonts w:ascii="宋体" w:hAnsi="宋体"/>
          <w:sz w:val="20"/>
          <w:szCs w:val="20"/>
        </w:rPr>
      </w:pPr>
      <w:r>
        <w:rPr>
          <w:i/>
          <w:iCs/>
          <w:sz w:val="20"/>
          <w:szCs w:val="20"/>
        </w:rPr>
        <w:t>h</w:t>
      </w:r>
      <w:r>
        <w:rPr>
          <w:sz w:val="20"/>
          <w:szCs w:val="20"/>
          <w:vertAlign w:val="subscript"/>
        </w:rPr>
        <w:t>wp</w:t>
      </w:r>
      <w:r>
        <w:rPr>
          <w:iCs/>
        </w:rPr>
        <w:t>——</w:t>
      </w:r>
      <w:r>
        <w:rPr>
          <w:rFonts w:hint="eastAsia" w:ascii="宋体" w:hAnsi="宋体"/>
          <w:sz w:val="20"/>
          <w:szCs w:val="20"/>
        </w:rPr>
        <w:t>基坑内侧地下水位至被动土压力计算点的垂直距离（</w:t>
      </w:r>
      <w:r>
        <w:rPr>
          <w:sz w:val="20"/>
          <w:szCs w:val="20"/>
        </w:rPr>
        <w:t>m</w:t>
      </w:r>
      <w:r>
        <w:rPr>
          <w:rFonts w:hint="eastAsia" w:ascii="宋体" w:hAnsi="宋体"/>
          <w:sz w:val="20"/>
          <w:szCs w:val="20"/>
        </w:rPr>
        <w:t>）；对承压水，地下水位取测压管水位。</w:t>
      </w:r>
    </w:p>
    <w:p w14:paraId="4FFCBBDD">
      <w:pPr>
        <w:adjustRightInd w:val="0"/>
        <w:snapToGrid w:val="0"/>
        <w:spacing w:line="288" w:lineRule="auto"/>
        <w:rPr>
          <w:rFonts w:ascii="宋体" w:hAnsi="宋体"/>
          <w:sz w:val="20"/>
          <w:szCs w:val="20"/>
        </w:rPr>
      </w:pPr>
      <w:r>
        <w:rPr>
          <w:b/>
          <w:sz w:val="20"/>
          <w:szCs w:val="20"/>
        </w:rPr>
        <w:t xml:space="preserve">3.3.5 </w:t>
      </w:r>
      <w:r>
        <w:rPr>
          <w:rFonts w:ascii="宋体" w:hAnsi="宋体"/>
          <w:sz w:val="20"/>
          <w:szCs w:val="20"/>
        </w:rPr>
        <w:t xml:space="preserve"> </w:t>
      </w:r>
      <w:r>
        <w:rPr>
          <w:rFonts w:hint="eastAsia" w:ascii="宋体" w:hAnsi="宋体"/>
          <w:sz w:val="20"/>
          <w:szCs w:val="20"/>
        </w:rPr>
        <w:t>土中竖向应力标准值应按下式计算：</w:t>
      </w:r>
      <w:r>
        <w:rPr>
          <w:rFonts w:ascii="宋体" w:hAnsi="宋体"/>
          <w:sz w:val="20"/>
          <w:szCs w:val="20"/>
        </w:rPr>
        <w:t xml:space="preserve"> </w:t>
      </w:r>
    </w:p>
    <w:p w14:paraId="0E82A5C1">
      <w:pPr>
        <w:adjustRightInd w:val="0"/>
        <w:snapToGrid w:val="0"/>
        <w:spacing w:line="288" w:lineRule="auto"/>
        <w:ind w:firstLine="1900" w:firstLineChars="950"/>
        <w:jc w:val="center"/>
        <w:rPr>
          <w:rFonts w:ascii="宋体" w:hAnsi="宋体"/>
          <w:sz w:val="20"/>
          <w:szCs w:val="20"/>
        </w:rPr>
      </w:pPr>
      <w:r>
        <w:rPr>
          <w:rFonts w:hint="eastAsia" w:ascii="宋体" w:hAnsi="宋体"/>
          <w:position w:val="-18"/>
          <w:sz w:val="20"/>
          <w:szCs w:val="20"/>
        </w:rPr>
        <w:object>
          <v:shape id="_x0000_i1036" o:spt="75" type="#_x0000_t75" style="height:19pt;width:94.35pt;" o:ole="t" filled="f" o:preferrelative="t" stroked="f" coordsize="21600,21600">
            <v:path/>
            <v:fill on="f" focussize="0,0"/>
            <v:stroke on="f" joinstyle="miter"/>
            <v:imagedata r:id="rId38" o:title=""/>
            <o:lock v:ext="edit" aspectratio="t"/>
            <w10:wrap type="none"/>
            <w10:anchorlock/>
          </v:shape>
          <o:OLEObject Type="Embed" ProgID="Equation.3" ShapeID="_x0000_i1036" DrawAspect="Content" ObjectID="_1468075738" r:id="rId37">
            <o:LockedField>false</o:LockedField>
          </o:OLEObject>
        </w:object>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3.3.5-1</w:t>
      </w:r>
      <w:r>
        <w:rPr>
          <w:rFonts w:hint="eastAsia" w:ascii="宋体" w:hAnsi="宋体"/>
          <w:sz w:val="20"/>
          <w:szCs w:val="20"/>
        </w:rPr>
        <w:t>）</w:t>
      </w:r>
    </w:p>
    <w:p w14:paraId="712CB446">
      <w:pPr>
        <w:adjustRightInd w:val="0"/>
        <w:snapToGrid w:val="0"/>
        <w:spacing w:line="288" w:lineRule="auto"/>
        <w:ind w:firstLine="2100" w:firstLineChars="1050"/>
        <w:jc w:val="center"/>
        <w:rPr>
          <w:rFonts w:ascii="宋体" w:hAnsi="宋体"/>
          <w:sz w:val="20"/>
          <w:szCs w:val="20"/>
        </w:rPr>
      </w:pPr>
      <w:r>
        <w:rPr>
          <w:rFonts w:hint="eastAsia" w:ascii="宋体" w:hAnsi="宋体"/>
          <w:sz w:val="20"/>
          <w:szCs w:val="20"/>
        </w:rPr>
        <w:t xml:space="preserve">  </w:t>
      </w:r>
      <w:r>
        <w:rPr>
          <w:rFonts w:hint="eastAsia" w:ascii="宋体" w:hAnsi="宋体"/>
          <w:position w:val="-14"/>
          <w:sz w:val="20"/>
          <w:szCs w:val="20"/>
        </w:rPr>
        <w:object>
          <v:shape id="_x0000_i1037" o:spt="75" type="#_x0000_t75" style="height:19pt;width:46.2pt;" o:ole="t" filled="f" o:preferrelative="t" stroked="f" coordsize="21600,21600">
            <v:path/>
            <v:fill on="f" focussize="0,0"/>
            <v:stroke on="f" joinstyle="miter"/>
            <v:imagedata r:id="rId40" o:title=""/>
            <o:lock v:ext="edit" aspectratio="t"/>
            <w10:wrap type="none"/>
            <w10:anchorlock/>
          </v:shape>
          <o:OLEObject Type="Embed" ProgID="Equation.3" ShapeID="_x0000_i1037" DrawAspect="Content" ObjectID="_1468075739" r:id="rId39">
            <o:LockedField>false</o:LockedField>
          </o:OLEObject>
        </w:object>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3.3.5-2</w:t>
      </w:r>
      <w:r>
        <w:rPr>
          <w:rFonts w:hint="eastAsia" w:ascii="宋体" w:hAnsi="宋体"/>
          <w:sz w:val="20"/>
          <w:szCs w:val="20"/>
        </w:rPr>
        <w:t>）</w:t>
      </w:r>
    </w:p>
    <w:p w14:paraId="1DBE6E8A">
      <w:pPr>
        <w:adjustRightInd w:val="0"/>
        <w:snapToGrid w:val="0"/>
        <w:spacing w:line="288" w:lineRule="auto"/>
        <w:ind w:left="1200" w:hanging="1200" w:hangingChars="600"/>
        <w:rPr>
          <w:rFonts w:ascii="宋体" w:hAnsi="宋体"/>
          <w:sz w:val="20"/>
          <w:szCs w:val="20"/>
        </w:rPr>
      </w:pPr>
      <w:r>
        <w:rPr>
          <w:rFonts w:hint="eastAsia" w:ascii="宋体" w:hAnsi="宋体"/>
          <w:sz w:val="20"/>
          <w:szCs w:val="20"/>
        </w:rPr>
        <w:t>式中：</w:t>
      </w:r>
      <w:r>
        <w:rPr>
          <w:i/>
          <w:sz w:val="20"/>
          <w:szCs w:val="20"/>
        </w:rPr>
        <w:t>σ</w:t>
      </w:r>
      <w:r>
        <w:rPr>
          <w:sz w:val="20"/>
          <w:szCs w:val="20"/>
          <w:vertAlign w:val="subscript"/>
        </w:rPr>
        <w:t>ac</w:t>
      </w:r>
      <w:r>
        <w:rPr>
          <w:iCs/>
        </w:rPr>
        <w:t>——</w:t>
      </w:r>
      <w:r>
        <w:rPr>
          <w:rFonts w:hint="eastAsia" w:ascii="宋体" w:hAnsi="宋体"/>
          <w:sz w:val="20"/>
          <w:szCs w:val="20"/>
        </w:rPr>
        <w:t>支护结构外侧计算点，由土的自重产生的竖向总应力（</w:t>
      </w:r>
      <w:r>
        <w:rPr>
          <w:sz w:val="20"/>
          <w:szCs w:val="20"/>
        </w:rPr>
        <w:t>kPa</w:t>
      </w:r>
      <w:r>
        <w:rPr>
          <w:rFonts w:hint="eastAsia" w:ascii="宋体" w:hAnsi="宋体"/>
          <w:sz w:val="20"/>
          <w:szCs w:val="20"/>
        </w:rPr>
        <w:t>）；</w:t>
      </w:r>
    </w:p>
    <w:p w14:paraId="3C8E79D9">
      <w:pPr>
        <w:adjustRightInd w:val="0"/>
        <w:snapToGrid w:val="0"/>
        <w:spacing w:line="288" w:lineRule="auto"/>
        <w:ind w:left="1230" w:leftChars="300" w:hanging="600" w:hangingChars="300"/>
        <w:rPr>
          <w:rFonts w:ascii="宋体" w:hAnsi="宋体"/>
          <w:sz w:val="20"/>
          <w:szCs w:val="20"/>
        </w:rPr>
      </w:pPr>
      <w:r>
        <w:rPr>
          <w:i/>
          <w:sz w:val="20"/>
          <w:szCs w:val="20"/>
        </w:rPr>
        <w:t>σ</w:t>
      </w:r>
      <w:r>
        <w:rPr>
          <w:sz w:val="20"/>
          <w:szCs w:val="20"/>
          <w:vertAlign w:val="subscript"/>
        </w:rPr>
        <w:t>pc</w:t>
      </w:r>
      <w:r>
        <w:rPr>
          <w:iCs/>
        </w:rPr>
        <w:t>——</w:t>
      </w:r>
      <w:r>
        <w:rPr>
          <w:rFonts w:hint="eastAsia" w:ascii="宋体" w:hAnsi="宋体"/>
          <w:sz w:val="20"/>
          <w:szCs w:val="20"/>
        </w:rPr>
        <w:t>支护结构内侧计算点，由土的自重产生的竖向总应力（</w:t>
      </w:r>
      <w:r>
        <w:rPr>
          <w:sz w:val="20"/>
          <w:szCs w:val="20"/>
        </w:rPr>
        <w:t>kPa</w:t>
      </w:r>
      <w:r>
        <w:rPr>
          <w:rFonts w:hint="eastAsia" w:ascii="宋体" w:hAnsi="宋体"/>
          <w:sz w:val="20"/>
          <w:szCs w:val="20"/>
        </w:rPr>
        <w:t>）；</w:t>
      </w:r>
    </w:p>
    <w:p w14:paraId="5C34F9A8">
      <w:pPr>
        <w:adjustRightInd w:val="0"/>
        <w:snapToGrid w:val="0"/>
        <w:spacing w:line="288" w:lineRule="auto"/>
        <w:ind w:left="1288" w:leftChars="200" w:hanging="868" w:hangingChars="434"/>
        <w:rPr>
          <w:rFonts w:ascii="宋体" w:hAnsi="宋体"/>
          <w:sz w:val="20"/>
          <w:szCs w:val="20"/>
        </w:rPr>
      </w:pPr>
      <w:r>
        <w:rPr>
          <w:sz w:val="20"/>
          <w:szCs w:val="20"/>
        </w:rPr>
        <w:t>Δ</w:t>
      </w:r>
      <w:r>
        <w:rPr>
          <w:i/>
          <w:sz w:val="20"/>
          <w:szCs w:val="20"/>
        </w:rPr>
        <w:t>σ</w:t>
      </w:r>
      <w:r>
        <w:rPr>
          <w:sz w:val="20"/>
          <w:szCs w:val="20"/>
          <w:vertAlign w:val="subscript"/>
        </w:rPr>
        <w:t>k</w:t>
      </w:r>
      <w:r>
        <w:rPr>
          <w:rFonts w:hint="eastAsia" w:hAnsi="宋体"/>
          <w:sz w:val="20"/>
          <w:szCs w:val="20"/>
          <w:vertAlign w:val="subscript"/>
        </w:rPr>
        <w:t>，</w:t>
      </w:r>
      <w:r>
        <w:rPr>
          <w:i/>
          <w:sz w:val="20"/>
          <w:szCs w:val="20"/>
          <w:vertAlign w:val="subscript"/>
        </w:rPr>
        <w:t>j</w:t>
      </w:r>
      <w:r>
        <w:rPr>
          <w:iCs/>
        </w:rPr>
        <w:t>——</w:t>
      </w:r>
      <w:r>
        <w:rPr>
          <w:rFonts w:hint="eastAsia" w:ascii="宋体" w:hAnsi="宋体"/>
          <w:sz w:val="20"/>
          <w:szCs w:val="20"/>
        </w:rPr>
        <w:t>支护结构外侧第</w:t>
      </w:r>
      <w:r>
        <w:rPr>
          <w:i/>
          <w:sz w:val="20"/>
          <w:szCs w:val="20"/>
        </w:rPr>
        <w:t>j</w:t>
      </w:r>
      <w:r>
        <w:rPr>
          <w:rFonts w:hint="eastAsia" w:ascii="宋体" w:hAnsi="宋体"/>
          <w:sz w:val="20"/>
          <w:szCs w:val="20"/>
        </w:rPr>
        <w:t>个附加荷载作用下计算点的土中附加竖向应力标准值（</w:t>
      </w:r>
      <w:r>
        <w:rPr>
          <w:sz w:val="20"/>
          <w:szCs w:val="20"/>
        </w:rPr>
        <w:t>kPa</w:t>
      </w:r>
      <w:r>
        <w:rPr>
          <w:rFonts w:hint="eastAsia" w:ascii="宋体" w:hAnsi="宋体"/>
          <w:sz w:val="20"/>
          <w:szCs w:val="20"/>
        </w:rPr>
        <w:t>），应根据附加荷载类型，按本规程第</w:t>
      </w:r>
      <w:r>
        <w:rPr>
          <w:sz w:val="20"/>
          <w:szCs w:val="20"/>
        </w:rPr>
        <w:t>3.3.6</w:t>
      </w:r>
      <w:r>
        <w:rPr>
          <w:rFonts w:hint="eastAsia" w:ascii="宋体" w:hAnsi="宋体"/>
          <w:sz w:val="20"/>
          <w:szCs w:val="20"/>
        </w:rPr>
        <w:t>条、第</w:t>
      </w:r>
      <w:r>
        <w:rPr>
          <w:sz w:val="20"/>
          <w:szCs w:val="20"/>
        </w:rPr>
        <w:t>3.3.7</w:t>
      </w:r>
      <w:r>
        <w:rPr>
          <w:rFonts w:hint="eastAsia" w:ascii="宋体" w:hAnsi="宋体"/>
          <w:sz w:val="20"/>
          <w:szCs w:val="20"/>
        </w:rPr>
        <w:t>条计算。</w:t>
      </w:r>
    </w:p>
    <w:p w14:paraId="0A6963C1">
      <w:pPr>
        <w:adjustRightInd w:val="0"/>
        <w:snapToGrid w:val="0"/>
        <w:spacing w:line="288" w:lineRule="auto"/>
        <w:rPr>
          <w:rFonts w:ascii="宋体" w:hAnsi="宋体"/>
          <w:sz w:val="20"/>
          <w:szCs w:val="20"/>
          <w:vertAlign w:val="subscript"/>
        </w:rPr>
      </w:pPr>
      <w:r>
        <w:rPr>
          <w:b/>
          <w:sz w:val="20"/>
          <w:szCs w:val="20"/>
        </w:rPr>
        <w:t>3.3.6</w:t>
      </w:r>
      <w:r>
        <w:rPr>
          <w:rFonts w:ascii="宋体" w:hAnsi="宋体"/>
          <w:sz w:val="20"/>
          <w:szCs w:val="20"/>
        </w:rPr>
        <w:t xml:space="preserve"> </w:t>
      </w:r>
      <w:r>
        <w:rPr>
          <w:rFonts w:hint="eastAsia" w:ascii="宋体" w:hAnsi="宋体"/>
          <w:sz w:val="20"/>
          <w:szCs w:val="20"/>
        </w:rPr>
        <w:t>均布附加荷载作用下的土中附加竖向应力标准值应按下式计算（图</w:t>
      </w:r>
      <w:r>
        <w:rPr>
          <w:sz w:val="20"/>
          <w:szCs w:val="20"/>
        </w:rPr>
        <w:t>3.3.6</w:t>
      </w:r>
      <w:r>
        <w:rPr>
          <w:rFonts w:hint="eastAsia" w:ascii="宋体" w:hAnsi="宋体"/>
          <w:sz w:val="20"/>
          <w:szCs w:val="20"/>
        </w:rPr>
        <w:t>）：</w:t>
      </w:r>
    </w:p>
    <w:p w14:paraId="0CD5FC1F">
      <w:pPr>
        <w:adjustRightInd w:val="0"/>
        <w:snapToGrid w:val="0"/>
        <w:spacing w:line="288" w:lineRule="auto"/>
        <w:ind w:left="4"/>
        <w:jc w:val="center"/>
        <w:rPr>
          <w:rFonts w:ascii="宋体" w:hAnsi="宋体"/>
          <w:sz w:val="20"/>
          <w:szCs w:val="20"/>
        </w:rPr>
      </w:pPr>
      <w:r>
        <w:rPr>
          <w:rFonts w:hint="eastAsia" w:ascii="宋体" w:hAnsi="宋体"/>
          <w:bCs/>
          <w:i/>
          <w:iCs/>
          <w:sz w:val="20"/>
          <w:szCs w:val="20"/>
        </w:rPr>
        <w:t xml:space="preserve">                      </w:t>
      </w:r>
      <w:r>
        <w:rPr>
          <w:rFonts w:hint="eastAsia" w:ascii="宋体" w:hAnsi="宋体"/>
          <w:bCs/>
          <w:i/>
          <w:iCs/>
          <w:position w:val="-14"/>
          <w:sz w:val="20"/>
          <w:szCs w:val="20"/>
        </w:rPr>
        <w:object>
          <v:shape id="_x0000_i1038" o:spt="75" type="#_x0000_t75" style="height:19pt;width:53.65pt;" o:ole="t" filled="f" o:preferrelative="t" stroked="f" coordsize="21600,21600">
            <v:path/>
            <v:fill on="f" focussize="0,0"/>
            <v:stroke on="f" joinstyle="miter"/>
            <v:imagedata r:id="rId42" o:title=""/>
            <o:lock v:ext="edit" aspectratio="t"/>
            <w10:wrap type="none"/>
            <w10:anchorlock/>
          </v:shape>
          <o:OLEObject Type="Embed" ProgID="Equation.3" ShapeID="_x0000_i1038" DrawAspect="Content" ObjectID="_1468075740" r:id="rId41">
            <o:LockedField>false</o:LockedField>
          </o:OLEObject>
        </w:object>
      </w:r>
      <w:r>
        <w:rPr>
          <w:rFonts w:ascii="宋体" w:hAnsi="宋体"/>
          <w:bCs/>
          <w:i/>
          <w:iCs/>
          <w:sz w:val="20"/>
          <w:szCs w:val="20"/>
        </w:rPr>
        <w:tab/>
      </w:r>
      <w:r>
        <w:rPr>
          <w:rFonts w:ascii="宋体" w:hAnsi="宋体"/>
          <w:bCs/>
          <w:i/>
          <w:iCs/>
          <w:sz w:val="20"/>
          <w:szCs w:val="20"/>
        </w:rPr>
        <w:tab/>
      </w:r>
      <w:r>
        <w:rPr>
          <w:rFonts w:ascii="宋体" w:hAnsi="宋体"/>
          <w:bCs/>
          <w:i/>
          <w:iCs/>
          <w:sz w:val="20"/>
          <w:szCs w:val="20"/>
        </w:rPr>
        <w:tab/>
      </w:r>
      <w:r>
        <w:rPr>
          <w:rFonts w:ascii="宋体" w:hAnsi="宋体"/>
          <w:bCs/>
          <w:i/>
          <w:iCs/>
          <w:sz w:val="20"/>
          <w:szCs w:val="20"/>
        </w:rPr>
        <w:tab/>
      </w:r>
      <w:r>
        <w:rPr>
          <w:rFonts w:hint="eastAsia" w:ascii="宋体" w:hAnsi="宋体"/>
          <w:bCs/>
          <w:i/>
          <w:iCs/>
          <w:sz w:val="20"/>
          <w:szCs w:val="20"/>
        </w:rPr>
        <w:t xml:space="preserve">    </w:t>
      </w:r>
      <w:r>
        <w:rPr>
          <w:rFonts w:ascii="宋体" w:hAnsi="宋体"/>
          <w:bCs/>
          <w:sz w:val="20"/>
          <w:szCs w:val="20"/>
        </w:rPr>
        <w:tab/>
      </w:r>
      <w:r>
        <w:rPr>
          <w:rFonts w:hint="eastAsia" w:ascii="宋体" w:hAnsi="宋体"/>
          <w:bCs/>
          <w:sz w:val="20"/>
          <w:szCs w:val="20"/>
        </w:rPr>
        <w:t xml:space="preserve"> </w:t>
      </w:r>
      <w:r>
        <w:rPr>
          <w:rFonts w:hint="eastAsia" w:ascii="宋体" w:hAnsi="宋体"/>
          <w:sz w:val="20"/>
          <w:szCs w:val="20"/>
        </w:rPr>
        <w:t>（</w:t>
      </w:r>
      <w:r>
        <w:rPr>
          <w:sz w:val="20"/>
          <w:szCs w:val="20"/>
        </w:rPr>
        <w:t>3.3.6</w:t>
      </w:r>
      <w:r>
        <w:rPr>
          <w:rFonts w:hint="eastAsia" w:ascii="宋体" w:hAnsi="宋体"/>
          <w:sz w:val="20"/>
          <w:szCs w:val="20"/>
        </w:rPr>
        <w:t>）</w:t>
      </w:r>
    </w:p>
    <w:p w14:paraId="49994D9B">
      <w:pPr>
        <w:adjustRightInd w:val="0"/>
        <w:snapToGrid w:val="0"/>
        <w:spacing w:line="288" w:lineRule="auto"/>
        <w:rPr>
          <w:rFonts w:ascii="宋体" w:hAnsi="宋体"/>
          <w:sz w:val="20"/>
          <w:szCs w:val="20"/>
        </w:rPr>
      </w:pPr>
      <w:r>
        <w:rPr>
          <w:rFonts w:hint="eastAsia" w:ascii="宋体" w:hAnsi="宋体"/>
          <w:sz w:val="20"/>
          <w:szCs w:val="20"/>
        </w:rPr>
        <w:t>式中：</w:t>
      </w:r>
      <w:r>
        <w:rPr>
          <w:i/>
          <w:iCs/>
          <w:sz w:val="20"/>
          <w:szCs w:val="20"/>
        </w:rPr>
        <w:t>q</w:t>
      </w:r>
      <w:r>
        <w:rPr>
          <w:sz w:val="20"/>
          <w:szCs w:val="20"/>
          <w:vertAlign w:val="subscript"/>
        </w:rPr>
        <w:t>0</w:t>
      </w:r>
      <w:r>
        <w:rPr>
          <w:iCs/>
        </w:rPr>
        <w:t>——</w:t>
      </w:r>
      <w:r>
        <w:rPr>
          <w:rFonts w:hint="eastAsia" w:ascii="宋体" w:hAnsi="宋体"/>
          <w:sz w:val="20"/>
          <w:szCs w:val="20"/>
        </w:rPr>
        <w:t>均布附加荷载标准值（</w:t>
      </w:r>
      <w:r>
        <w:rPr>
          <w:sz w:val="20"/>
          <w:szCs w:val="20"/>
        </w:rPr>
        <w:t>kPa</w:t>
      </w:r>
      <w:r>
        <w:rPr>
          <w:rFonts w:hint="eastAsia" w:ascii="宋体" w:hAnsi="宋体"/>
          <w:sz w:val="20"/>
          <w:szCs w:val="20"/>
        </w:rPr>
        <w:t>）。</w:t>
      </w:r>
    </w:p>
    <w:p w14:paraId="4E229F58">
      <w:pPr>
        <w:adjustRightInd w:val="0"/>
        <w:snapToGrid w:val="0"/>
        <w:spacing w:line="288" w:lineRule="auto"/>
        <w:jc w:val="center"/>
        <w:rPr>
          <w:rFonts w:ascii="宋体" w:hAnsi="宋体"/>
          <w:sz w:val="20"/>
          <w:szCs w:val="20"/>
        </w:rPr>
      </w:pPr>
      <w:r>
        <w:rPr>
          <w:rFonts w:hint="eastAsia" w:ascii="宋体" w:hAnsi="宋体"/>
          <w:sz w:val="20"/>
          <w:szCs w:val="20"/>
        </w:rPr>
        <w:object>
          <v:shape id="_x0000_i1039" o:spt="75" type="#_x0000_t75" style="height:183.3pt;width:212.65pt;" o:ole="t" filled="f" o:preferrelative="t" stroked="f" coordsize="21600,21600">
            <v:path/>
            <v:fill on="f" focussize="0,0"/>
            <v:stroke on="f" joinstyle="miter"/>
            <v:imagedata r:id="rId44" cropleft="20768f" croptop="7824f" cropright="17309f" cropbottom="3771f" o:title=""/>
            <o:lock v:ext="edit" aspectratio="t"/>
            <w10:wrap type="none"/>
            <w10:anchorlock/>
          </v:shape>
          <o:OLEObject Type="Embed" ProgID="AutoCAD.Drawing.16" ShapeID="_x0000_i1039" DrawAspect="Content" ObjectID="_1468075741" r:id="rId43">
            <o:LockedField>false</o:LockedField>
          </o:OLEObject>
        </w:object>
      </w:r>
    </w:p>
    <w:p w14:paraId="2671DBA1">
      <w:pPr>
        <w:adjustRightInd w:val="0"/>
        <w:snapToGrid w:val="0"/>
        <w:spacing w:after="156" w:afterLines="50" w:line="288" w:lineRule="auto"/>
        <w:jc w:val="center"/>
        <w:rPr>
          <w:rFonts w:ascii="宋体" w:hAnsi="宋体"/>
          <w:b/>
          <w:sz w:val="18"/>
          <w:szCs w:val="18"/>
        </w:rPr>
      </w:pPr>
      <w:r>
        <w:rPr>
          <w:rFonts w:ascii="宋体" w:hAnsi="宋体"/>
          <w:b/>
          <w:sz w:val="18"/>
          <w:szCs w:val="18"/>
        </w:rPr>
        <w:t>图</w:t>
      </w:r>
      <w:r>
        <w:rPr>
          <w:b/>
          <w:sz w:val="18"/>
          <w:szCs w:val="18"/>
        </w:rPr>
        <w:t>3.3.6</w:t>
      </w:r>
      <w:r>
        <w:rPr>
          <w:rFonts w:ascii="宋体" w:hAnsi="宋体"/>
          <w:b/>
          <w:sz w:val="18"/>
          <w:szCs w:val="18"/>
        </w:rPr>
        <w:t xml:space="preserve">  均布竖向附加荷载作用下的</w:t>
      </w:r>
      <w:r>
        <w:rPr>
          <w:rFonts w:ascii="宋体" w:hAnsi="宋体"/>
          <w:b/>
          <w:bCs/>
          <w:sz w:val="18"/>
          <w:szCs w:val="18"/>
        </w:rPr>
        <w:t>土中</w:t>
      </w:r>
      <w:r>
        <w:rPr>
          <w:rFonts w:ascii="宋体" w:hAnsi="宋体"/>
          <w:b/>
          <w:sz w:val="18"/>
          <w:szCs w:val="18"/>
        </w:rPr>
        <w:t>附加</w:t>
      </w:r>
      <w:r>
        <w:rPr>
          <w:rFonts w:ascii="宋体" w:hAnsi="宋体"/>
          <w:b/>
          <w:bCs/>
          <w:sz w:val="18"/>
          <w:szCs w:val="18"/>
        </w:rPr>
        <w:t>竖向应力</w:t>
      </w:r>
      <w:r>
        <w:rPr>
          <w:rFonts w:ascii="宋体" w:hAnsi="宋体"/>
          <w:b/>
          <w:sz w:val="18"/>
          <w:szCs w:val="18"/>
        </w:rPr>
        <w:t>计算</w:t>
      </w:r>
    </w:p>
    <w:p w14:paraId="198FC995">
      <w:pPr>
        <w:adjustRightInd w:val="0"/>
        <w:snapToGrid w:val="0"/>
        <w:spacing w:line="288" w:lineRule="auto"/>
        <w:rPr>
          <w:rFonts w:ascii="宋体" w:hAnsi="宋体"/>
          <w:sz w:val="20"/>
          <w:szCs w:val="20"/>
        </w:rPr>
      </w:pPr>
      <w:r>
        <w:rPr>
          <w:b/>
          <w:sz w:val="20"/>
          <w:szCs w:val="20"/>
        </w:rPr>
        <w:t xml:space="preserve">3.3.7 </w:t>
      </w:r>
      <w:r>
        <w:rPr>
          <w:rFonts w:ascii="宋体" w:hAnsi="宋体"/>
          <w:sz w:val="20"/>
          <w:szCs w:val="20"/>
        </w:rPr>
        <w:t xml:space="preserve"> </w:t>
      </w:r>
      <w:r>
        <w:rPr>
          <w:rFonts w:hint="eastAsia" w:ascii="宋体" w:hAnsi="宋体"/>
          <w:sz w:val="20"/>
          <w:szCs w:val="20"/>
        </w:rPr>
        <w:t>局部附加荷载作用下的土中附加竖向应力标准值可按下列规定计算：</w:t>
      </w:r>
      <w:r>
        <w:rPr>
          <w:rFonts w:ascii="宋体" w:hAnsi="宋体"/>
          <w:sz w:val="20"/>
          <w:szCs w:val="20"/>
        </w:rPr>
        <w:t xml:space="preserve"> </w:t>
      </w:r>
    </w:p>
    <w:p w14:paraId="17E512AA">
      <w:pPr>
        <w:adjustRightInd w:val="0"/>
        <w:snapToGrid w:val="0"/>
        <w:spacing w:line="288" w:lineRule="auto"/>
        <w:ind w:firstLine="402" w:firstLineChars="200"/>
        <w:rPr>
          <w:rFonts w:ascii="宋体" w:hAnsi="宋体"/>
          <w:bCs/>
          <w:sz w:val="20"/>
          <w:szCs w:val="20"/>
        </w:rPr>
      </w:pPr>
      <w:r>
        <w:rPr>
          <w:b/>
          <w:bCs/>
          <w:sz w:val="20"/>
          <w:szCs w:val="20"/>
        </w:rPr>
        <w:t>1</w:t>
      </w:r>
      <w:r>
        <w:rPr>
          <w:rFonts w:ascii="宋体" w:hAnsi="宋体"/>
          <w:bCs/>
          <w:sz w:val="20"/>
          <w:szCs w:val="20"/>
        </w:rPr>
        <w:t xml:space="preserve">  </w:t>
      </w:r>
      <w:r>
        <w:rPr>
          <w:rFonts w:hint="eastAsia" w:ascii="宋体" w:hAnsi="宋体"/>
          <w:bCs/>
          <w:sz w:val="20"/>
          <w:szCs w:val="20"/>
        </w:rPr>
        <w:t>对条形基础下的附加荷载</w:t>
      </w:r>
      <w:r>
        <w:rPr>
          <w:rFonts w:hint="eastAsia" w:ascii="宋体" w:hAnsi="宋体"/>
          <w:sz w:val="20"/>
          <w:szCs w:val="20"/>
        </w:rPr>
        <w:t>（图</w:t>
      </w:r>
      <w:r>
        <w:rPr>
          <w:sz w:val="20"/>
          <w:szCs w:val="20"/>
        </w:rPr>
        <w:t>3.3.7a</w:t>
      </w:r>
      <w:r>
        <w:rPr>
          <w:rFonts w:hint="eastAsia" w:ascii="宋体" w:hAnsi="宋体"/>
          <w:sz w:val="20"/>
          <w:szCs w:val="20"/>
        </w:rPr>
        <w:t>）：</w:t>
      </w:r>
    </w:p>
    <w:p w14:paraId="00CA4EBA">
      <w:pPr>
        <w:adjustRightInd w:val="0"/>
        <w:snapToGrid w:val="0"/>
        <w:spacing w:line="288" w:lineRule="auto"/>
        <w:ind w:firstLine="400" w:firstLineChars="200"/>
        <w:rPr>
          <w:rFonts w:ascii="宋体" w:hAnsi="宋体"/>
          <w:bCs/>
          <w:sz w:val="20"/>
          <w:szCs w:val="20"/>
        </w:rPr>
      </w:pPr>
      <w:r>
        <w:rPr>
          <w:rFonts w:hint="eastAsia" w:ascii="宋体" w:hAnsi="宋体"/>
          <w:bCs/>
          <w:sz w:val="20"/>
          <w:szCs w:val="20"/>
        </w:rPr>
        <w:t>当</w:t>
      </w:r>
      <w:r>
        <w:rPr>
          <w:bCs/>
          <w:i/>
          <w:sz w:val="20"/>
          <w:szCs w:val="20"/>
        </w:rPr>
        <w:t>d</w:t>
      </w:r>
      <w:r>
        <w:rPr>
          <w:rFonts w:hAnsi="宋体"/>
          <w:bCs/>
          <w:sz w:val="20"/>
          <w:szCs w:val="20"/>
        </w:rPr>
        <w:t>＋</w:t>
      </w:r>
      <w:r>
        <w:rPr>
          <w:bCs/>
          <w:i/>
          <w:sz w:val="20"/>
          <w:szCs w:val="20"/>
        </w:rPr>
        <w:t>a</w:t>
      </w:r>
      <w:r>
        <w:rPr>
          <w:bCs/>
          <w:sz w:val="20"/>
          <w:szCs w:val="20"/>
        </w:rPr>
        <w:t>/tan</w:t>
      </w:r>
      <w:r>
        <w:rPr>
          <w:bCs/>
          <w:i/>
          <w:sz w:val="20"/>
          <w:szCs w:val="20"/>
        </w:rPr>
        <w:t>θ</w:t>
      </w:r>
      <w:r>
        <w:rPr>
          <w:rFonts w:ascii="宋体" w:hAnsi="宋体"/>
          <w:bCs/>
          <w:sz w:val="20"/>
          <w:szCs w:val="20"/>
        </w:rPr>
        <w:t>≤</w:t>
      </w:r>
      <w:r>
        <w:rPr>
          <w:bCs/>
          <w:i/>
          <w:sz w:val="20"/>
          <w:szCs w:val="20"/>
        </w:rPr>
        <w:t>z</w:t>
      </w:r>
      <w:r>
        <w:rPr>
          <w:bCs/>
          <w:sz w:val="20"/>
          <w:szCs w:val="20"/>
          <w:vertAlign w:val="subscript"/>
        </w:rPr>
        <w:t>a</w:t>
      </w:r>
      <w:r>
        <w:rPr>
          <w:rFonts w:ascii="宋体" w:hAnsi="宋体"/>
          <w:bCs/>
          <w:sz w:val="20"/>
          <w:szCs w:val="20"/>
        </w:rPr>
        <w:t>≤</w:t>
      </w:r>
      <w:r>
        <w:rPr>
          <w:bCs/>
          <w:i/>
          <w:sz w:val="20"/>
          <w:szCs w:val="20"/>
        </w:rPr>
        <w:t>d</w:t>
      </w:r>
      <w:r>
        <w:rPr>
          <w:rFonts w:hAnsi="宋体"/>
          <w:bCs/>
          <w:sz w:val="20"/>
          <w:szCs w:val="20"/>
        </w:rPr>
        <w:t>＋（</w:t>
      </w:r>
      <w:r>
        <w:rPr>
          <w:bCs/>
          <w:sz w:val="20"/>
          <w:szCs w:val="20"/>
        </w:rPr>
        <w:t>3</w:t>
      </w:r>
      <w:r>
        <w:rPr>
          <w:bCs/>
          <w:i/>
          <w:sz w:val="20"/>
          <w:szCs w:val="20"/>
        </w:rPr>
        <w:t>a</w:t>
      </w:r>
      <w:r>
        <w:rPr>
          <w:bCs/>
          <w:sz w:val="20"/>
          <w:szCs w:val="20"/>
        </w:rPr>
        <w:t>+</w:t>
      </w:r>
      <w:r>
        <w:rPr>
          <w:bCs/>
          <w:i/>
          <w:sz w:val="20"/>
          <w:szCs w:val="20"/>
        </w:rPr>
        <w:t>b</w:t>
      </w:r>
      <w:r>
        <w:rPr>
          <w:rFonts w:hAnsi="宋体"/>
          <w:bCs/>
          <w:sz w:val="20"/>
          <w:szCs w:val="20"/>
        </w:rPr>
        <w:t>）</w:t>
      </w:r>
      <w:r>
        <w:rPr>
          <w:bCs/>
          <w:sz w:val="20"/>
          <w:szCs w:val="20"/>
        </w:rPr>
        <w:t>/tan</w:t>
      </w:r>
      <w:r>
        <w:rPr>
          <w:bCs/>
          <w:i/>
          <w:sz w:val="20"/>
          <w:szCs w:val="20"/>
        </w:rPr>
        <w:t>θ</w:t>
      </w:r>
      <w:r>
        <w:rPr>
          <w:rFonts w:hint="eastAsia" w:ascii="宋体" w:hAnsi="宋体"/>
          <w:bCs/>
          <w:sz w:val="20"/>
          <w:szCs w:val="20"/>
        </w:rPr>
        <w:t>时</w:t>
      </w:r>
    </w:p>
    <w:p w14:paraId="5F855A86">
      <w:pPr>
        <w:adjustRightInd w:val="0"/>
        <w:snapToGrid w:val="0"/>
        <w:spacing w:line="288" w:lineRule="auto"/>
        <w:ind w:firstLine="1800" w:firstLineChars="900"/>
        <w:jc w:val="center"/>
        <w:rPr>
          <w:rFonts w:ascii="宋体" w:hAnsi="宋体"/>
          <w:sz w:val="20"/>
          <w:szCs w:val="20"/>
        </w:rPr>
      </w:pPr>
      <w:r>
        <w:rPr>
          <w:rFonts w:hint="eastAsia" w:ascii="宋体" w:hAnsi="宋体"/>
          <w:position w:val="-24"/>
          <w:sz w:val="20"/>
          <w:szCs w:val="20"/>
        </w:rPr>
        <w:object>
          <v:shape id="_x0000_i1040" o:spt="75" type="#_x0000_t75" style="height:27.15pt;width:68.55pt;" o:ole="t" filled="f" o:preferrelative="t" stroked="f" coordsize="21600,21600">
            <v:path/>
            <v:fill on="f" focussize="0,0"/>
            <v:stroke on="f" joinstyle="miter"/>
            <v:imagedata r:id="rId46" o:title=""/>
            <o:lock v:ext="edit" aspectratio="t"/>
            <w10:wrap type="none"/>
            <w10:anchorlock/>
          </v:shape>
          <o:OLEObject Type="Embed" ProgID="Equation.3" ShapeID="_x0000_i1040" DrawAspect="Content" ObjectID="_1468075742" r:id="rId45">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hint="eastAsia" w:ascii="宋体" w:hAnsi="宋体"/>
          <w:sz w:val="20"/>
          <w:szCs w:val="20"/>
        </w:rPr>
        <w:t>（</w:t>
      </w:r>
      <w:r>
        <w:rPr>
          <w:sz w:val="20"/>
          <w:szCs w:val="20"/>
        </w:rPr>
        <w:t>3.3.7-1</w:t>
      </w:r>
      <w:r>
        <w:rPr>
          <w:rFonts w:hint="eastAsia" w:ascii="宋体" w:hAnsi="宋体"/>
          <w:sz w:val="20"/>
          <w:szCs w:val="20"/>
        </w:rPr>
        <w:t>）</w:t>
      </w:r>
    </w:p>
    <w:p w14:paraId="099F12D3">
      <w:pPr>
        <w:adjustRightInd w:val="0"/>
        <w:snapToGrid w:val="0"/>
        <w:spacing w:line="288" w:lineRule="auto"/>
        <w:rPr>
          <w:rFonts w:ascii="宋体" w:hAnsi="宋体"/>
          <w:sz w:val="20"/>
          <w:szCs w:val="20"/>
        </w:rPr>
      </w:pPr>
      <w:r>
        <w:rPr>
          <w:rFonts w:hint="eastAsia" w:ascii="宋体" w:hAnsi="宋体"/>
          <w:sz w:val="20"/>
          <w:szCs w:val="20"/>
        </w:rPr>
        <w:t>式中：</w:t>
      </w:r>
      <w:r>
        <w:rPr>
          <w:i/>
          <w:iCs/>
          <w:sz w:val="20"/>
          <w:szCs w:val="20"/>
        </w:rPr>
        <w:t>p</w:t>
      </w:r>
      <w:r>
        <w:rPr>
          <w:iCs/>
          <w:sz w:val="15"/>
          <w:szCs w:val="15"/>
          <w:vertAlign w:val="subscript"/>
        </w:rPr>
        <w:t>0</w:t>
      </w:r>
      <w:r>
        <w:rPr>
          <w:rFonts w:hint="eastAsia"/>
          <w:iCs/>
          <w:sz w:val="15"/>
          <w:szCs w:val="15"/>
          <w:vertAlign w:val="subscript"/>
        </w:rPr>
        <w:t xml:space="preserve"> </w:t>
      </w:r>
      <w:r>
        <w:rPr>
          <w:iCs/>
        </w:rPr>
        <w:t>——</w:t>
      </w:r>
      <w:r>
        <w:rPr>
          <w:rFonts w:hint="eastAsia" w:ascii="宋体" w:hAnsi="宋体"/>
          <w:bCs/>
          <w:sz w:val="20"/>
          <w:szCs w:val="20"/>
        </w:rPr>
        <w:t>基础底面附加压力</w:t>
      </w:r>
      <w:r>
        <w:rPr>
          <w:rFonts w:hint="eastAsia" w:ascii="宋体" w:hAnsi="宋体"/>
          <w:sz w:val="20"/>
          <w:szCs w:val="20"/>
        </w:rPr>
        <w:t>标准值（</w:t>
      </w:r>
      <w:r>
        <w:rPr>
          <w:sz w:val="20"/>
          <w:szCs w:val="20"/>
        </w:rPr>
        <w:t>kPa</w:t>
      </w:r>
      <w:r>
        <w:rPr>
          <w:rFonts w:hint="eastAsia" w:ascii="宋体" w:hAnsi="宋体"/>
          <w:sz w:val="20"/>
          <w:szCs w:val="20"/>
        </w:rPr>
        <w:t>）；</w:t>
      </w:r>
    </w:p>
    <w:p w14:paraId="462115F3">
      <w:pPr>
        <w:adjustRightInd w:val="0"/>
        <w:snapToGrid w:val="0"/>
        <w:spacing w:line="288" w:lineRule="auto"/>
        <w:ind w:firstLine="666" w:firstLineChars="333"/>
        <w:rPr>
          <w:rFonts w:ascii="宋体" w:hAnsi="宋体"/>
          <w:sz w:val="20"/>
          <w:szCs w:val="20"/>
        </w:rPr>
      </w:pPr>
      <w:r>
        <w:rPr>
          <w:i/>
          <w:sz w:val="20"/>
          <w:szCs w:val="20"/>
        </w:rPr>
        <w:t>d</w:t>
      </w:r>
      <w:r>
        <w:rPr>
          <w:iCs/>
        </w:rPr>
        <w:t>——</w:t>
      </w:r>
      <w:r>
        <w:rPr>
          <w:rFonts w:hint="eastAsia" w:ascii="宋体" w:hAnsi="宋体"/>
          <w:bCs/>
          <w:sz w:val="20"/>
          <w:szCs w:val="20"/>
        </w:rPr>
        <w:t>基础埋置深度</w:t>
      </w:r>
      <w:r>
        <w:rPr>
          <w:rFonts w:hint="eastAsia" w:ascii="宋体" w:hAnsi="宋体"/>
          <w:sz w:val="20"/>
          <w:szCs w:val="20"/>
        </w:rPr>
        <w:t>（</w:t>
      </w:r>
      <w:r>
        <w:rPr>
          <w:sz w:val="20"/>
          <w:szCs w:val="20"/>
        </w:rPr>
        <w:t>m</w:t>
      </w:r>
      <w:r>
        <w:rPr>
          <w:rFonts w:hint="eastAsia" w:ascii="宋体" w:hAnsi="宋体"/>
          <w:sz w:val="20"/>
          <w:szCs w:val="20"/>
        </w:rPr>
        <w:t>）</w:t>
      </w:r>
      <w:r>
        <w:rPr>
          <w:rFonts w:hint="eastAsia" w:ascii="宋体" w:hAnsi="宋体"/>
          <w:bCs/>
          <w:sz w:val="20"/>
          <w:szCs w:val="20"/>
        </w:rPr>
        <w:t>；</w:t>
      </w:r>
    </w:p>
    <w:p w14:paraId="15560382">
      <w:pPr>
        <w:adjustRightInd w:val="0"/>
        <w:snapToGrid w:val="0"/>
        <w:spacing w:line="288" w:lineRule="auto"/>
        <w:ind w:firstLine="666" w:firstLineChars="333"/>
        <w:rPr>
          <w:rFonts w:ascii="宋体" w:hAnsi="宋体"/>
          <w:sz w:val="20"/>
          <w:szCs w:val="20"/>
        </w:rPr>
      </w:pPr>
      <w:r>
        <w:rPr>
          <w:i/>
          <w:sz w:val="20"/>
          <w:szCs w:val="20"/>
        </w:rPr>
        <w:t>b</w:t>
      </w:r>
      <w:r>
        <w:rPr>
          <w:iCs/>
        </w:rPr>
        <w:t>——</w:t>
      </w:r>
      <w:r>
        <w:rPr>
          <w:rFonts w:hint="eastAsia" w:ascii="宋体" w:hAnsi="宋体"/>
          <w:bCs/>
          <w:sz w:val="20"/>
          <w:szCs w:val="20"/>
        </w:rPr>
        <w:t>基础宽度</w:t>
      </w:r>
      <w:r>
        <w:rPr>
          <w:rFonts w:hint="eastAsia" w:ascii="宋体" w:hAnsi="宋体"/>
          <w:sz w:val="20"/>
          <w:szCs w:val="20"/>
        </w:rPr>
        <w:t>（</w:t>
      </w:r>
      <w:r>
        <w:rPr>
          <w:sz w:val="20"/>
          <w:szCs w:val="20"/>
        </w:rPr>
        <w:t>m</w:t>
      </w:r>
      <w:r>
        <w:rPr>
          <w:rFonts w:hint="eastAsia" w:ascii="宋体" w:hAnsi="宋体"/>
          <w:sz w:val="20"/>
          <w:szCs w:val="20"/>
        </w:rPr>
        <w:t>）；</w:t>
      </w:r>
    </w:p>
    <w:p w14:paraId="57503A23">
      <w:pPr>
        <w:adjustRightInd w:val="0"/>
        <w:snapToGrid w:val="0"/>
        <w:spacing w:line="288" w:lineRule="auto"/>
        <w:ind w:firstLine="666" w:firstLineChars="333"/>
        <w:rPr>
          <w:rFonts w:ascii="宋体" w:hAnsi="宋体"/>
          <w:sz w:val="20"/>
          <w:szCs w:val="20"/>
        </w:rPr>
      </w:pPr>
      <w:r>
        <w:rPr>
          <w:i/>
          <w:sz w:val="20"/>
          <w:szCs w:val="20"/>
        </w:rPr>
        <w:t>a</w:t>
      </w:r>
      <w:r>
        <w:rPr>
          <w:iCs/>
        </w:rPr>
        <w:t>——</w:t>
      </w:r>
      <w:r>
        <w:rPr>
          <w:rFonts w:hint="eastAsia" w:ascii="宋体" w:hAnsi="宋体"/>
          <w:sz w:val="20"/>
          <w:szCs w:val="20"/>
        </w:rPr>
        <w:t>支护结构外边缘至</w:t>
      </w:r>
      <w:r>
        <w:rPr>
          <w:rFonts w:hint="eastAsia" w:ascii="宋体" w:hAnsi="宋体"/>
          <w:bCs/>
          <w:sz w:val="20"/>
          <w:szCs w:val="20"/>
        </w:rPr>
        <w:t>基础的水平距离</w:t>
      </w:r>
      <w:r>
        <w:rPr>
          <w:rFonts w:hint="eastAsia" w:ascii="宋体" w:hAnsi="宋体"/>
          <w:sz w:val="20"/>
          <w:szCs w:val="20"/>
        </w:rPr>
        <w:t>（</w:t>
      </w:r>
      <w:r>
        <w:rPr>
          <w:sz w:val="20"/>
          <w:szCs w:val="20"/>
        </w:rPr>
        <w:t>m</w:t>
      </w:r>
      <w:r>
        <w:rPr>
          <w:rFonts w:hint="eastAsia" w:ascii="宋体" w:hAnsi="宋体"/>
          <w:sz w:val="20"/>
          <w:szCs w:val="20"/>
        </w:rPr>
        <w:t>）；</w:t>
      </w:r>
    </w:p>
    <w:p w14:paraId="10F82D54">
      <w:pPr>
        <w:adjustRightInd w:val="0"/>
        <w:snapToGrid w:val="0"/>
        <w:spacing w:line="288" w:lineRule="auto"/>
        <w:ind w:firstLine="666" w:firstLineChars="333"/>
        <w:rPr>
          <w:rFonts w:ascii="宋体" w:hAnsi="宋体"/>
          <w:sz w:val="20"/>
          <w:szCs w:val="20"/>
        </w:rPr>
      </w:pPr>
      <w:r>
        <w:rPr>
          <w:bCs/>
          <w:i/>
          <w:sz w:val="20"/>
          <w:szCs w:val="20"/>
        </w:rPr>
        <w:t>θ</w:t>
      </w:r>
      <w:r>
        <w:rPr>
          <w:iCs/>
        </w:rPr>
        <w:t>——</w:t>
      </w:r>
      <w:r>
        <w:rPr>
          <w:rFonts w:hint="eastAsia" w:ascii="宋体" w:hAnsi="宋体"/>
          <w:sz w:val="20"/>
          <w:szCs w:val="20"/>
        </w:rPr>
        <w:t>附加荷载的扩散角（</w:t>
      </w:r>
      <w:r>
        <w:rPr>
          <w:sz w:val="20"/>
          <w:szCs w:val="20"/>
        </w:rPr>
        <w:t>º</w:t>
      </w:r>
      <w:r>
        <w:rPr>
          <w:rFonts w:hint="eastAsia" w:ascii="宋体" w:hAnsi="宋体"/>
          <w:sz w:val="20"/>
          <w:szCs w:val="20"/>
        </w:rPr>
        <w:t>），宜取</w:t>
      </w:r>
      <w:r>
        <w:rPr>
          <w:bCs/>
          <w:i/>
          <w:sz w:val="20"/>
          <w:szCs w:val="20"/>
        </w:rPr>
        <w:t>θ</w:t>
      </w:r>
      <w:r>
        <w:rPr>
          <w:rFonts w:hAnsi="宋体"/>
          <w:bCs/>
          <w:sz w:val="20"/>
          <w:szCs w:val="20"/>
        </w:rPr>
        <w:t>＝</w:t>
      </w:r>
      <w:r>
        <w:rPr>
          <w:bCs/>
          <w:sz w:val="20"/>
          <w:szCs w:val="20"/>
        </w:rPr>
        <w:t>45</w:t>
      </w:r>
      <w:r>
        <w:rPr>
          <w:sz w:val="20"/>
          <w:szCs w:val="20"/>
        </w:rPr>
        <w:t>º</w:t>
      </w:r>
      <w:r>
        <w:rPr>
          <w:rFonts w:hint="eastAsia" w:ascii="宋体" w:hAnsi="宋体"/>
          <w:sz w:val="20"/>
          <w:szCs w:val="20"/>
        </w:rPr>
        <w:t>；</w:t>
      </w:r>
    </w:p>
    <w:p w14:paraId="2471CD4E">
      <w:pPr>
        <w:adjustRightInd w:val="0"/>
        <w:snapToGrid w:val="0"/>
        <w:spacing w:line="288" w:lineRule="auto"/>
        <w:ind w:firstLine="600" w:firstLineChars="300"/>
        <w:rPr>
          <w:rFonts w:ascii="宋体" w:hAnsi="宋体"/>
          <w:sz w:val="20"/>
          <w:szCs w:val="20"/>
        </w:rPr>
      </w:pPr>
      <w:r>
        <w:rPr>
          <w:i/>
          <w:sz w:val="20"/>
          <w:szCs w:val="20"/>
        </w:rPr>
        <w:t>z</w:t>
      </w:r>
      <w:r>
        <w:rPr>
          <w:sz w:val="20"/>
          <w:szCs w:val="20"/>
          <w:vertAlign w:val="subscript"/>
        </w:rPr>
        <w:t>a</w:t>
      </w:r>
      <w:r>
        <w:rPr>
          <w:iCs/>
        </w:rPr>
        <w:t>——</w:t>
      </w:r>
      <w:r>
        <w:rPr>
          <w:rFonts w:hint="eastAsia" w:ascii="宋体" w:hAnsi="宋体"/>
          <w:sz w:val="20"/>
          <w:szCs w:val="20"/>
        </w:rPr>
        <w:t>自然地面至土中附加竖向应力计算点的竖向距离。</w:t>
      </w:r>
    </w:p>
    <w:p w14:paraId="5CE6EF34">
      <w:pPr>
        <w:adjustRightInd w:val="0"/>
        <w:snapToGrid w:val="0"/>
        <w:spacing w:line="288" w:lineRule="auto"/>
        <w:ind w:firstLine="400" w:firstLineChars="200"/>
        <w:rPr>
          <w:rFonts w:ascii="宋体" w:hAnsi="宋体"/>
          <w:sz w:val="20"/>
          <w:szCs w:val="20"/>
        </w:rPr>
      </w:pPr>
      <w:r>
        <w:rPr>
          <w:rFonts w:hint="eastAsia" w:ascii="宋体" w:hAnsi="宋体"/>
          <w:bCs/>
          <w:sz w:val="20"/>
          <w:szCs w:val="20"/>
        </w:rPr>
        <w:t>当</w:t>
      </w:r>
      <w:r>
        <w:rPr>
          <w:bCs/>
          <w:i/>
          <w:sz w:val="20"/>
          <w:szCs w:val="20"/>
        </w:rPr>
        <w:t>z</w:t>
      </w:r>
      <w:r>
        <w:rPr>
          <w:bCs/>
          <w:sz w:val="20"/>
          <w:szCs w:val="20"/>
          <w:vertAlign w:val="subscript"/>
        </w:rPr>
        <w:t>a</w:t>
      </w:r>
      <w:r>
        <w:rPr>
          <w:bCs/>
          <w:sz w:val="20"/>
          <w:szCs w:val="20"/>
        </w:rPr>
        <w:t>&lt;</w:t>
      </w:r>
      <w:r>
        <w:rPr>
          <w:bCs/>
          <w:i/>
          <w:sz w:val="20"/>
          <w:szCs w:val="20"/>
        </w:rPr>
        <w:t>d</w:t>
      </w:r>
      <w:r>
        <w:rPr>
          <w:rFonts w:hAnsi="宋体"/>
          <w:bCs/>
          <w:sz w:val="20"/>
          <w:szCs w:val="20"/>
        </w:rPr>
        <w:t>＋</w:t>
      </w:r>
      <w:r>
        <w:rPr>
          <w:bCs/>
          <w:i/>
          <w:sz w:val="20"/>
          <w:szCs w:val="20"/>
        </w:rPr>
        <w:t>a</w:t>
      </w:r>
      <w:r>
        <w:rPr>
          <w:bCs/>
          <w:sz w:val="20"/>
          <w:szCs w:val="20"/>
        </w:rPr>
        <w:t>/tan</w:t>
      </w:r>
      <w:r>
        <w:rPr>
          <w:bCs/>
          <w:i/>
          <w:sz w:val="20"/>
          <w:szCs w:val="20"/>
        </w:rPr>
        <w:t>θ</w:t>
      </w:r>
      <w:r>
        <w:rPr>
          <w:rFonts w:hAnsi="宋体"/>
          <w:bCs/>
          <w:sz w:val="20"/>
          <w:szCs w:val="20"/>
        </w:rPr>
        <w:t>或</w:t>
      </w:r>
      <w:r>
        <w:rPr>
          <w:bCs/>
          <w:i/>
          <w:sz w:val="20"/>
          <w:szCs w:val="20"/>
        </w:rPr>
        <w:t>z</w:t>
      </w:r>
      <w:r>
        <w:rPr>
          <w:bCs/>
          <w:sz w:val="20"/>
          <w:szCs w:val="20"/>
          <w:vertAlign w:val="subscript"/>
        </w:rPr>
        <w:t>a</w:t>
      </w:r>
      <w:r>
        <w:rPr>
          <w:bCs/>
          <w:sz w:val="20"/>
          <w:szCs w:val="20"/>
        </w:rPr>
        <w:t>&gt;</w:t>
      </w:r>
      <w:r>
        <w:rPr>
          <w:bCs/>
          <w:i/>
          <w:sz w:val="20"/>
          <w:szCs w:val="20"/>
        </w:rPr>
        <w:t>d</w:t>
      </w:r>
      <w:r>
        <w:rPr>
          <w:rFonts w:hint="eastAsia"/>
          <w:bCs/>
          <w:sz w:val="20"/>
          <w:szCs w:val="20"/>
        </w:rPr>
        <w:t>＋</w:t>
      </w:r>
      <w:r>
        <w:rPr>
          <w:rFonts w:hAnsi="宋体"/>
          <w:bCs/>
          <w:sz w:val="20"/>
          <w:szCs w:val="20"/>
        </w:rPr>
        <w:t>（</w:t>
      </w:r>
      <w:r>
        <w:rPr>
          <w:bCs/>
          <w:sz w:val="20"/>
          <w:szCs w:val="20"/>
        </w:rPr>
        <w:t>3</w:t>
      </w:r>
      <w:r>
        <w:rPr>
          <w:bCs/>
          <w:i/>
          <w:sz w:val="20"/>
          <w:szCs w:val="20"/>
        </w:rPr>
        <w:t>a</w:t>
      </w:r>
      <w:r>
        <w:rPr>
          <w:bCs/>
          <w:sz w:val="20"/>
          <w:szCs w:val="20"/>
        </w:rPr>
        <w:t>+</w:t>
      </w:r>
      <w:r>
        <w:rPr>
          <w:bCs/>
          <w:i/>
          <w:sz w:val="20"/>
          <w:szCs w:val="20"/>
        </w:rPr>
        <w:t>b</w:t>
      </w:r>
      <w:r>
        <w:rPr>
          <w:rFonts w:hAnsi="宋体"/>
          <w:bCs/>
          <w:sz w:val="20"/>
          <w:szCs w:val="20"/>
        </w:rPr>
        <w:t>）</w:t>
      </w:r>
      <w:r>
        <w:rPr>
          <w:bCs/>
          <w:sz w:val="20"/>
          <w:szCs w:val="20"/>
        </w:rPr>
        <w:t>/tan</w:t>
      </w:r>
      <w:r>
        <w:rPr>
          <w:bCs/>
          <w:i/>
          <w:sz w:val="20"/>
          <w:szCs w:val="20"/>
        </w:rPr>
        <w:t>θ</w:t>
      </w:r>
      <w:r>
        <w:rPr>
          <w:rFonts w:hint="eastAsia" w:ascii="宋体" w:hAnsi="宋体"/>
          <w:bCs/>
          <w:sz w:val="20"/>
          <w:szCs w:val="20"/>
        </w:rPr>
        <w:t>时，取</w:t>
      </w:r>
      <w:r>
        <w:rPr>
          <w:sz w:val="20"/>
          <w:szCs w:val="20"/>
        </w:rPr>
        <w:t>Δ</w:t>
      </w:r>
      <w:r>
        <w:rPr>
          <w:i/>
          <w:sz w:val="20"/>
          <w:szCs w:val="20"/>
        </w:rPr>
        <w:t>σ</w:t>
      </w:r>
      <w:r>
        <w:rPr>
          <w:sz w:val="20"/>
          <w:szCs w:val="20"/>
          <w:vertAlign w:val="subscript"/>
        </w:rPr>
        <w:t>k</w:t>
      </w:r>
      <w:r>
        <w:rPr>
          <w:rFonts w:hAnsi="宋体"/>
          <w:sz w:val="20"/>
          <w:szCs w:val="20"/>
          <w:vertAlign w:val="subscript"/>
        </w:rPr>
        <w:t>，</w:t>
      </w:r>
      <w:r>
        <w:rPr>
          <w:i/>
          <w:sz w:val="20"/>
          <w:szCs w:val="20"/>
          <w:vertAlign w:val="subscript"/>
        </w:rPr>
        <w:t>j</w:t>
      </w:r>
      <w:r>
        <w:rPr>
          <w:rFonts w:hint="eastAsia" w:ascii="宋体" w:hAnsi="宋体"/>
          <w:sz w:val="20"/>
          <w:szCs w:val="20"/>
        </w:rPr>
        <w:t>＝</w:t>
      </w:r>
      <w:r>
        <w:rPr>
          <w:rFonts w:ascii="宋体" w:hAnsi="宋体"/>
          <w:sz w:val="20"/>
          <w:szCs w:val="20"/>
        </w:rPr>
        <w:t>0</w:t>
      </w:r>
      <w:r>
        <w:rPr>
          <w:rFonts w:hint="eastAsia" w:ascii="宋体" w:hAnsi="宋体"/>
          <w:sz w:val="20"/>
          <w:szCs w:val="20"/>
        </w:rPr>
        <w:t>。</w:t>
      </w:r>
    </w:p>
    <w:p w14:paraId="64008E55">
      <w:pPr>
        <w:adjustRightInd w:val="0"/>
        <w:snapToGrid w:val="0"/>
        <w:spacing w:line="288" w:lineRule="auto"/>
        <w:ind w:firstLine="402" w:firstLineChars="200"/>
        <w:rPr>
          <w:rFonts w:ascii="宋体" w:hAnsi="宋体"/>
          <w:bCs/>
          <w:sz w:val="20"/>
          <w:szCs w:val="20"/>
        </w:rPr>
      </w:pPr>
      <w:r>
        <w:rPr>
          <w:b/>
          <w:bCs/>
          <w:sz w:val="20"/>
          <w:szCs w:val="20"/>
        </w:rPr>
        <w:t>2</w:t>
      </w:r>
      <w:r>
        <w:rPr>
          <w:rFonts w:ascii="宋体" w:hAnsi="宋体"/>
          <w:bCs/>
          <w:sz w:val="20"/>
          <w:szCs w:val="20"/>
        </w:rPr>
        <w:t xml:space="preserve">  </w:t>
      </w:r>
      <w:r>
        <w:rPr>
          <w:rFonts w:hint="eastAsia" w:ascii="宋体" w:hAnsi="宋体"/>
          <w:bCs/>
          <w:sz w:val="20"/>
          <w:szCs w:val="20"/>
        </w:rPr>
        <w:t>对矩形基础下的附加荷载</w:t>
      </w:r>
      <w:r>
        <w:rPr>
          <w:rFonts w:hint="eastAsia" w:ascii="宋体" w:hAnsi="宋体"/>
          <w:sz w:val="20"/>
          <w:szCs w:val="20"/>
        </w:rPr>
        <w:t>（图</w:t>
      </w:r>
      <w:r>
        <w:rPr>
          <w:sz w:val="20"/>
          <w:szCs w:val="20"/>
        </w:rPr>
        <w:t>3.3.7a</w:t>
      </w:r>
      <w:r>
        <w:rPr>
          <w:rFonts w:hint="eastAsia" w:ascii="宋体" w:hAnsi="宋体"/>
          <w:sz w:val="20"/>
          <w:szCs w:val="20"/>
        </w:rPr>
        <w:t>）：</w:t>
      </w:r>
    </w:p>
    <w:p w14:paraId="778112CE">
      <w:pPr>
        <w:adjustRightInd w:val="0"/>
        <w:snapToGrid w:val="0"/>
        <w:spacing w:line="288" w:lineRule="auto"/>
        <w:ind w:firstLine="400" w:firstLineChars="200"/>
        <w:rPr>
          <w:rFonts w:ascii="宋体" w:hAnsi="宋体"/>
          <w:bCs/>
          <w:sz w:val="20"/>
          <w:szCs w:val="20"/>
        </w:rPr>
      </w:pPr>
      <w:r>
        <w:rPr>
          <w:rFonts w:hint="eastAsia" w:ascii="宋体" w:hAnsi="宋体"/>
          <w:bCs/>
          <w:sz w:val="20"/>
          <w:szCs w:val="20"/>
        </w:rPr>
        <w:t>当</w:t>
      </w:r>
      <w:r>
        <w:rPr>
          <w:bCs/>
          <w:i/>
          <w:sz w:val="20"/>
          <w:szCs w:val="20"/>
        </w:rPr>
        <w:t>d</w:t>
      </w:r>
      <w:r>
        <w:rPr>
          <w:rFonts w:hAnsi="宋体"/>
          <w:bCs/>
          <w:sz w:val="20"/>
          <w:szCs w:val="20"/>
        </w:rPr>
        <w:t>＋</w:t>
      </w:r>
      <w:r>
        <w:rPr>
          <w:bCs/>
          <w:i/>
          <w:sz w:val="20"/>
          <w:szCs w:val="20"/>
        </w:rPr>
        <w:t>a</w:t>
      </w:r>
      <w:r>
        <w:rPr>
          <w:bCs/>
          <w:sz w:val="20"/>
          <w:szCs w:val="20"/>
        </w:rPr>
        <w:t>/tan</w:t>
      </w:r>
      <w:r>
        <w:rPr>
          <w:bCs/>
          <w:i/>
          <w:sz w:val="20"/>
          <w:szCs w:val="20"/>
        </w:rPr>
        <w:t>θ</w:t>
      </w:r>
      <w:r>
        <w:rPr>
          <w:rFonts w:hint="eastAsia" w:ascii="宋体" w:hAnsi="宋体"/>
          <w:bCs/>
          <w:i/>
          <w:sz w:val="20"/>
          <w:szCs w:val="20"/>
        </w:rPr>
        <w:t xml:space="preserve"> </w:t>
      </w:r>
      <w:r>
        <w:rPr>
          <w:rFonts w:ascii="宋体" w:hAnsi="宋体"/>
          <w:bCs/>
          <w:sz w:val="20"/>
          <w:szCs w:val="20"/>
        </w:rPr>
        <w:t>≤</w:t>
      </w:r>
      <w:r>
        <w:rPr>
          <w:bCs/>
          <w:i/>
          <w:sz w:val="20"/>
          <w:szCs w:val="20"/>
        </w:rPr>
        <w:t>z</w:t>
      </w:r>
      <w:r>
        <w:rPr>
          <w:bCs/>
          <w:sz w:val="20"/>
          <w:szCs w:val="20"/>
          <w:vertAlign w:val="subscript"/>
        </w:rPr>
        <w:t>a</w:t>
      </w:r>
      <w:r>
        <w:rPr>
          <w:rFonts w:ascii="宋体" w:hAnsi="宋体"/>
          <w:bCs/>
          <w:sz w:val="20"/>
          <w:szCs w:val="20"/>
        </w:rPr>
        <w:t>≤</w:t>
      </w:r>
      <w:r>
        <w:rPr>
          <w:bCs/>
          <w:i/>
          <w:sz w:val="20"/>
          <w:szCs w:val="20"/>
        </w:rPr>
        <w:t>d</w:t>
      </w:r>
      <w:r>
        <w:rPr>
          <w:rFonts w:hAnsi="宋体"/>
          <w:bCs/>
          <w:sz w:val="20"/>
          <w:szCs w:val="20"/>
        </w:rPr>
        <w:t>＋（</w:t>
      </w:r>
      <w:r>
        <w:rPr>
          <w:bCs/>
          <w:sz w:val="20"/>
          <w:szCs w:val="20"/>
        </w:rPr>
        <w:t>3</w:t>
      </w:r>
      <w:r>
        <w:rPr>
          <w:bCs/>
          <w:i/>
          <w:sz w:val="20"/>
          <w:szCs w:val="20"/>
        </w:rPr>
        <w:t>a</w:t>
      </w:r>
      <w:r>
        <w:rPr>
          <w:bCs/>
          <w:sz w:val="20"/>
          <w:szCs w:val="20"/>
        </w:rPr>
        <w:t>+</w:t>
      </w:r>
      <w:r>
        <w:rPr>
          <w:bCs/>
          <w:i/>
          <w:sz w:val="20"/>
          <w:szCs w:val="20"/>
        </w:rPr>
        <w:t>b</w:t>
      </w:r>
      <w:r>
        <w:rPr>
          <w:rFonts w:hAnsi="宋体"/>
          <w:bCs/>
          <w:sz w:val="20"/>
          <w:szCs w:val="20"/>
        </w:rPr>
        <w:t>）</w:t>
      </w:r>
      <w:r>
        <w:rPr>
          <w:bCs/>
          <w:sz w:val="20"/>
          <w:szCs w:val="20"/>
        </w:rPr>
        <w:t>/tan</w:t>
      </w:r>
      <w:r>
        <w:rPr>
          <w:bCs/>
          <w:i/>
          <w:sz w:val="20"/>
          <w:szCs w:val="20"/>
        </w:rPr>
        <w:t>θ</w:t>
      </w:r>
      <w:r>
        <w:rPr>
          <w:rFonts w:hint="eastAsia" w:ascii="宋体" w:hAnsi="宋体"/>
          <w:bCs/>
          <w:sz w:val="20"/>
          <w:szCs w:val="20"/>
        </w:rPr>
        <w:t>时</w:t>
      </w:r>
    </w:p>
    <w:p w14:paraId="1F192508">
      <w:pPr>
        <w:tabs>
          <w:tab w:val="left" w:pos="1701"/>
        </w:tabs>
        <w:adjustRightInd w:val="0"/>
        <w:snapToGrid w:val="0"/>
        <w:spacing w:line="288" w:lineRule="auto"/>
        <w:ind w:firstLine="1700" w:firstLineChars="850"/>
        <w:jc w:val="center"/>
        <w:rPr>
          <w:rFonts w:ascii="宋体" w:hAnsi="宋体"/>
          <w:sz w:val="20"/>
          <w:szCs w:val="20"/>
        </w:rPr>
      </w:pPr>
      <w:r>
        <w:rPr>
          <w:rFonts w:hint="eastAsia" w:ascii="宋体" w:hAnsi="宋体"/>
          <w:position w:val="-28"/>
          <w:sz w:val="20"/>
          <w:szCs w:val="20"/>
        </w:rPr>
        <w:object>
          <v:shape id="_x0000_i1041" o:spt="75" type="#_x0000_t75" style="height:31.25pt;width:105.3pt;" o:ole="t" filled="f" o:preferrelative="t" stroked="f" coordsize="21600,21600">
            <v:path/>
            <v:fill on="f" focussize="0,0"/>
            <v:stroke on="f" joinstyle="miter"/>
            <v:imagedata r:id="rId48" o:title=""/>
            <o:lock v:ext="edit" aspectratio="t"/>
            <w10:wrap type="none"/>
            <w10:anchorlock/>
          </v:shape>
          <o:OLEObject Type="Embed" ProgID="Equation.3" ShapeID="_x0000_i1041" DrawAspect="Content" ObjectID="_1468075743" r:id="rId47">
            <o:LockedField>false</o:LockedField>
          </o:OLEObject>
        </w:object>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hint="eastAsia" w:ascii="宋体" w:hAnsi="宋体"/>
          <w:sz w:val="20"/>
          <w:szCs w:val="20"/>
        </w:rPr>
        <w:t xml:space="preserve">     （</w:t>
      </w:r>
      <w:r>
        <w:rPr>
          <w:sz w:val="20"/>
          <w:szCs w:val="20"/>
        </w:rPr>
        <w:t>3.3.7-2</w:t>
      </w:r>
      <w:r>
        <w:rPr>
          <w:rFonts w:hint="eastAsia" w:ascii="宋体" w:hAnsi="宋体"/>
          <w:sz w:val="20"/>
          <w:szCs w:val="20"/>
        </w:rPr>
        <w:t>）</w:t>
      </w:r>
    </w:p>
    <w:p w14:paraId="286C09A2">
      <w:pPr>
        <w:adjustRightInd w:val="0"/>
        <w:snapToGrid w:val="0"/>
        <w:spacing w:line="288" w:lineRule="auto"/>
        <w:ind w:right="400"/>
        <w:rPr>
          <w:rFonts w:ascii="宋体" w:hAnsi="宋体"/>
          <w:sz w:val="20"/>
          <w:szCs w:val="20"/>
        </w:rPr>
      </w:pPr>
      <w:r>
        <w:rPr>
          <w:rFonts w:hint="eastAsia" w:ascii="宋体" w:hAnsi="宋体"/>
          <w:sz w:val="20"/>
          <w:szCs w:val="20"/>
        </w:rPr>
        <w:t>式中：</w:t>
      </w:r>
      <w:r>
        <w:rPr>
          <w:i/>
          <w:sz w:val="20"/>
          <w:szCs w:val="20"/>
        </w:rPr>
        <w:t>b</w:t>
      </w:r>
      <w:r>
        <w:rPr>
          <w:iCs/>
        </w:rPr>
        <w:t>——</w:t>
      </w:r>
      <w:r>
        <w:rPr>
          <w:rFonts w:hint="eastAsia" w:ascii="宋体" w:hAnsi="宋体"/>
          <w:bCs/>
          <w:sz w:val="20"/>
          <w:szCs w:val="20"/>
        </w:rPr>
        <w:t>与基坑边垂直方向上的基础尺寸</w:t>
      </w:r>
      <w:r>
        <w:rPr>
          <w:rFonts w:hint="eastAsia" w:ascii="宋体" w:hAnsi="宋体"/>
          <w:sz w:val="20"/>
          <w:szCs w:val="20"/>
        </w:rPr>
        <w:t>（</w:t>
      </w:r>
      <w:r>
        <w:rPr>
          <w:sz w:val="20"/>
          <w:szCs w:val="20"/>
        </w:rPr>
        <w:t>m</w:t>
      </w:r>
      <w:r>
        <w:rPr>
          <w:rFonts w:hint="eastAsia" w:ascii="宋体" w:hAnsi="宋体"/>
          <w:sz w:val="20"/>
          <w:szCs w:val="20"/>
        </w:rPr>
        <w:t>）；</w:t>
      </w:r>
    </w:p>
    <w:p w14:paraId="63D9C071">
      <w:pPr>
        <w:adjustRightInd w:val="0"/>
        <w:snapToGrid w:val="0"/>
        <w:spacing w:line="288" w:lineRule="auto"/>
        <w:ind w:firstLine="600" w:firstLineChars="300"/>
        <w:rPr>
          <w:rFonts w:ascii="宋体" w:hAnsi="宋体"/>
          <w:sz w:val="20"/>
          <w:szCs w:val="20"/>
        </w:rPr>
      </w:pPr>
      <w:r>
        <w:rPr>
          <w:i/>
          <w:iCs/>
          <w:sz w:val="20"/>
          <w:szCs w:val="20"/>
        </w:rPr>
        <w:t>l</w:t>
      </w:r>
      <w:r>
        <w:rPr>
          <w:rFonts w:hint="eastAsia"/>
          <w:i/>
          <w:iCs/>
          <w:sz w:val="20"/>
          <w:szCs w:val="20"/>
        </w:rPr>
        <w:t xml:space="preserve"> </w:t>
      </w:r>
      <w:r>
        <w:rPr>
          <w:iCs/>
        </w:rPr>
        <w:t>——</w:t>
      </w:r>
      <w:r>
        <w:rPr>
          <w:rFonts w:hint="eastAsia" w:ascii="宋体" w:hAnsi="宋体"/>
          <w:bCs/>
          <w:sz w:val="20"/>
          <w:szCs w:val="20"/>
        </w:rPr>
        <w:t>与基坑边平行方向上</w:t>
      </w:r>
      <w:r>
        <w:rPr>
          <w:rFonts w:hint="eastAsia" w:ascii="宋体" w:hAnsi="宋体"/>
          <w:sz w:val="20"/>
          <w:szCs w:val="20"/>
        </w:rPr>
        <w:t>的基础尺寸（</w:t>
      </w:r>
      <w:r>
        <w:rPr>
          <w:sz w:val="20"/>
          <w:szCs w:val="20"/>
        </w:rPr>
        <w:t>m</w:t>
      </w:r>
      <w:r>
        <w:rPr>
          <w:rFonts w:hint="eastAsia" w:ascii="宋体" w:hAnsi="宋体"/>
          <w:sz w:val="20"/>
          <w:szCs w:val="20"/>
        </w:rPr>
        <w:t>）。</w:t>
      </w:r>
    </w:p>
    <w:p w14:paraId="103C3AA0">
      <w:pPr>
        <w:adjustRightInd w:val="0"/>
        <w:snapToGrid w:val="0"/>
        <w:spacing w:line="288" w:lineRule="auto"/>
        <w:ind w:firstLine="400" w:firstLineChars="200"/>
        <w:rPr>
          <w:rFonts w:ascii="宋体" w:hAnsi="宋体"/>
          <w:sz w:val="20"/>
          <w:szCs w:val="20"/>
        </w:rPr>
      </w:pPr>
      <w:r>
        <w:rPr>
          <w:rFonts w:hint="eastAsia" w:ascii="宋体" w:hAnsi="宋体"/>
          <w:bCs/>
          <w:sz w:val="20"/>
          <w:szCs w:val="20"/>
        </w:rPr>
        <w:t>当</w:t>
      </w:r>
      <w:r>
        <w:rPr>
          <w:bCs/>
          <w:i/>
          <w:sz w:val="20"/>
          <w:szCs w:val="20"/>
        </w:rPr>
        <w:t>z</w:t>
      </w:r>
      <w:r>
        <w:rPr>
          <w:bCs/>
          <w:sz w:val="20"/>
          <w:szCs w:val="20"/>
          <w:vertAlign w:val="subscript"/>
        </w:rPr>
        <w:t>a</w:t>
      </w:r>
      <w:r>
        <w:rPr>
          <w:bCs/>
          <w:sz w:val="20"/>
          <w:szCs w:val="20"/>
        </w:rPr>
        <w:t>&lt;</w:t>
      </w:r>
      <w:r>
        <w:rPr>
          <w:bCs/>
          <w:i/>
          <w:sz w:val="20"/>
          <w:szCs w:val="20"/>
        </w:rPr>
        <w:t>d</w:t>
      </w:r>
      <w:r>
        <w:rPr>
          <w:rFonts w:hAnsi="宋体"/>
          <w:bCs/>
          <w:sz w:val="20"/>
          <w:szCs w:val="20"/>
        </w:rPr>
        <w:t>＋</w:t>
      </w:r>
      <w:r>
        <w:rPr>
          <w:bCs/>
          <w:i/>
          <w:sz w:val="20"/>
          <w:szCs w:val="20"/>
        </w:rPr>
        <w:t>a</w:t>
      </w:r>
      <w:r>
        <w:rPr>
          <w:bCs/>
          <w:sz w:val="20"/>
          <w:szCs w:val="20"/>
        </w:rPr>
        <w:t>/tan</w:t>
      </w:r>
      <w:r>
        <w:rPr>
          <w:bCs/>
          <w:i/>
          <w:sz w:val="20"/>
          <w:szCs w:val="20"/>
        </w:rPr>
        <w:t>θ</w:t>
      </w:r>
      <w:r>
        <w:rPr>
          <w:rFonts w:hAnsi="宋体"/>
          <w:bCs/>
          <w:sz w:val="20"/>
          <w:szCs w:val="20"/>
        </w:rPr>
        <w:t>或</w:t>
      </w:r>
      <w:r>
        <w:rPr>
          <w:bCs/>
          <w:i/>
          <w:sz w:val="20"/>
          <w:szCs w:val="20"/>
        </w:rPr>
        <w:t>z</w:t>
      </w:r>
      <w:r>
        <w:rPr>
          <w:bCs/>
          <w:sz w:val="20"/>
          <w:szCs w:val="20"/>
          <w:vertAlign w:val="subscript"/>
        </w:rPr>
        <w:t>a</w:t>
      </w:r>
      <w:r>
        <w:rPr>
          <w:bCs/>
          <w:sz w:val="20"/>
          <w:szCs w:val="20"/>
        </w:rPr>
        <w:t>&gt;</w:t>
      </w:r>
      <w:r>
        <w:rPr>
          <w:bCs/>
          <w:i/>
          <w:sz w:val="20"/>
          <w:szCs w:val="20"/>
        </w:rPr>
        <w:t>d</w:t>
      </w:r>
      <w:r>
        <w:rPr>
          <w:rFonts w:hAnsi="宋体"/>
          <w:bCs/>
          <w:sz w:val="20"/>
          <w:szCs w:val="20"/>
        </w:rPr>
        <w:t>＋（</w:t>
      </w:r>
      <w:r>
        <w:rPr>
          <w:bCs/>
          <w:sz w:val="20"/>
          <w:szCs w:val="20"/>
        </w:rPr>
        <w:t>3</w:t>
      </w:r>
      <w:r>
        <w:rPr>
          <w:bCs/>
          <w:i/>
          <w:sz w:val="20"/>
          <w:szCs w:val="20"/>
        </w:rPr>
        <w:t>a</w:t>
      </w:r>
      <w:r>
        <w:rPr>
          <w:bCs/>
          <w:sz w:val="20"/>
          <w:szCs w:val="20"/>
        </w:rPr>
        <w:t>+</w:t>
      </w:r>
      <w:r>
        <w:rPr>
          <w:bCs/>
          <w:i/>
          <w:sz w:val="20"/>
          <w:szCs w:val="20"/>
        </w:rPr>
        <w:t>b</w:t>
      </w:r>
      <w:r>
        <w:rPr>
          <w:rFonts w:hAnsi="宋体"/>
          <w:bCs/>
          <w:sz w:val="20"/>
          <w:szCs w:val="20"/>
        </w:rPr>
        <w:t>）</w:t>
      </w:r>
      <w:r>
        <w:rPr>
          <w:bCs/>
          <w:sz w:val="20"/>
          <w:szCs w:val="20"/>
        </w:rPr>
        <w:t>/tan</w:t>
      </w:r>
      <w:r>
        <w:rPr>
          <w:bCs/>
          <w:i/>
          <w:sz w:val="20"/>
          <w:szCs w:val="20"/>
        </w:rPr>
        <w:t>θ</w:t>
      </w:r>
      <w:r>
        <w:rPr>
          <w:rFonts w:hint="eastAsia" w:ascii="宋体" w:hAnsi="宋体"/>
          <w:bCs/>
          <w:sz w:val="20"/>
          <w:szCs w:val="20"/>
        </w:rPr>
        <w:t>时，取</w:t>
      </w:r>
      <w:r>
        <w:rPr>
          <w:sz w:val="20"/>
          <w:szCs w:val="20"/>
        </w:rPr>
        <w:t>Δ</w:t>
      </w:r>
      <w:r>
        <w:rPr>
          <w:i/>
          <w:sz w:val="20"/>
          <w:szCs w:val="20"/>
        </w:rPr>
        <w:t>σ</w:t>
      </w:r>
      <w:r>
        <w:rPr>
          <w:sz w:val="20"/>
          <w:szCs w:val="20"/>
          <w:vertAlign w:val="subscript"/>
        </w:rPr>
        <w:t>k</w:t>
      </w:r>
      <w:r>
        <w:rPr>
          <w:rFonts w:hAnsi="宋体"/>
          <w:sz w:val="20"/>
          <w:szCs w:val="20"/>
          <w:vertAlign w:val="subscript"/>
        </w:rPr>
        <w:t>，</w:t>
      </w:r>
      <w:r>
        <w:rPr>
          <w:i/>
          <w:sz w:val="20"/>
          <w:szCs w:val="20"/>
          <w:vertAlign w:val="subscript"/>
        </w:rPr>
        <w:t>j</w:t>
      </w:r>
      <w:r>
        <w:rPr>
          <w:rFonts w:hAnsi="宋体"/>
          <w:sz w:val="20"/>
          <w:szCs w:val="20"/>
        </w:rPr>
        <w:t>＝</w:t>
      </w:r>
      <w:r>
        <w:rPr>
          <w:sz w:val="20"/>
          <w:szCs w:val="20"/>
        </w:rPr>
        <w:t>0</w:t>
      </w:r>
      <w:r>
        <w:rPr>
          <w:rFonts w:hint="eastAsia" w:ascii="宋体" w:hAnsi="宋体"/>
          <w:sz w:val="20"/>
          <w:szCs w:val="20"/>
        </w:rPr>
        <w:t>。</w:t>
      </w:r>
    </w:p>
    <w:p w14:paraId="24388978">
      <w:pPr>
        <w:adjustRightInd w:val="0"/>
        <w:snapToGrid w:val="0"/>
        <w:spacing w:line="288" w:lineRule="auto"/>
        <w:ind w:firstLine="402" w:firstLineChars="200"/>
        <w:rPr>
          <w:rFonts w:ascii="宋体" w:hAnsi="宋体"/>
          <w:sz w:val="20"/>
          <w:szCs w:val="20"/>
        </w:rPr>
      </w:pPr>
      <w:r>
        <w:rPr>
          <w:b/>
          <w:bCs/>
          <w:sz w:val="20"/>
          <w:szCs w:val="20"/>
        </w:rPr>
        <w:t>3</w:t>
      </w:r>
      <w:r>
        <w:rPr>
          <w:rFonts w:ascii="宋体" w:hAnsi="宋体"/>
          <w:bCs/>
          <w:sz w:val="20"/>
          <w:szCs w:val="20"/>
        </w:rPr>
        <w:t xml:space="preserve">  </w:t>
      </w:r>
      <w:r>
        <w:rPr>
          <w:rFonts w:hint="eastAsia" w:ascii="宋体" w:hAnsi="宋体"/>
          <w:bCs/>
          <w:sz w:val="20"/>
          <w:szCs w:val="20"/>
        </w:rPr>
        <w:t>对作用在地面的条形、矩形附加荷载，按本条第</w:t>
      </w:r>
      <w:r>
        <w:rPr>
          <w:bCs/>
          <w:sz w:val="20"/>
          <w:szCs w:val="20"/>
        </w:rPr>
        <w:t>1</w:t>
      </w:r>
      <w:r>
        <w:rPr>
          <w:rFonts w:hint="eastAsia" w:ascii="宋体" w:hAnsi="宋体"/>
          <w:bCs/>
          <w:sz w:val="20"/>
          <w:szCs w:val="20"/>
        </w:rPr>
        <w:t>款、第</w:t>
      </w:r>
      <w:r>
        <w:rPr>
          <w:bCs/>
          <w:sz w:val="20"/>
          <w:szCs w:val="20"/>
        </w:rPr>
        <w:t>2</w:t>
      </w:r>
      <w:r>
        <w:rPr>
          <w:rFonts w:hint="eastAsia" w:ascii="宋体" w:hAnsi="宋体"/>
          <w:bCs/>
          <w:sz w:val="20"/>
          <w:szCs w:val="20"/>
        </w:rPr>
        <w:t>款计算</w:t>
      </w:r>
      <w:r>
        <w:rPr>
          <w:rFonts w:hint="eastAsia" w:ascii="宋体" w:hAnsi="宋体"/>
          <w:sz w:val="20"/>
          <w:szCs w:val="20"/>
        </w:rPr>
        <w:t>土中附加竖向应力标准值</w:t>
      </w:r>
      <w:r>
        <w:rPr>
          <w:sz w:val="20"/>
          <w:szCs w:val="20"/>
        </w:rPr>
        <w:t>Δ</w:t>
      </w:r>
      <w:r>
        <w:rPr>
          <w:i/>
          <w:sz w:val="20"/>
          <w:szCs w:val="20"/>
        </w:rPr>
        <w:t>σ</w:t>
      </w:r>
      <w:r>
        <w:rPr>
          <w:sz w:val="20"/>
          <w:szCs w:val="20"/>
          <w:vertAlign w:val="subscript"/>
        </w:rPr>
        <w:t>k</w:t>
      </w:r>
      <w:r>
        <w:rPr>
          <w:rFonts w:hAnsi="宋体"/>
          <w:sz w:val="20"/>
          <w:szCs w:val="20"/>
          <w:vertAlign w:val="subscript"/>
        </w:rPr>
        <w:t>，</w:t>
      </w:r>
      <w:r>
        <w:rPr>
          <w:i/>
          <w:sz w:val="20"/>
          <w:szCs w:val="20"/>
          <w:vertAlign w:val="subscript"/>
        </w:rPr>
        <w:t>j</w:t>
      </w:r>
      <w:r>
        <w:rPr>
          <w:rFonts w:hint="eastAsia" w:ascii="宋体" w:hAnsi="宋体"/>
          <w:sz w:val="20"/>
          <w:szCs w:val="20"/>
        </w:rPr>
        <w:t>时，应取</w:t>
      </w:r>
      <w:r>
        <w:rPr>
          <w:i/>
          <w:sz w:val="20"/>
          <w:szCs w:val="20"/>
        </w:rPr>
        <w:t>d</w:t>
      </w:r>
      <w:r>
        <w:rPr>
          <w:rFonts w:hAnsi="宋体"/>
          <w:sz w:val="20"/>
          <w:szCs w:val="20"/>
        </w:rPr>
        <w:t>＝</w:t>
      </w:r>
      <w:r>
        <w:rPr>
          <w:sz w:val="20"/>
          <w:szCs w:val="20"/>
        </w:rPr>
        <w:t>0</w:t>
      </w:r>
      <w:r>
        <w:rPr>
          <w:rFonts w:hint="eastAsia" w:ascii="宋体" w:hAnsi="宋体"/>
          <w:sz w:val="20"/>
          <w:szCs w:val="20"/>
        </w:rPr>
        <w:t>（图</w:t>
      </w:r>
      <w:r>
        <w:rPr>
          <w:sz w:val="20"/>
          <w:szCs w:val="20"/>
        </w:rPr>
        <w:t>3.3.7b</w:t>
      </w:r>
      <w:r>
        <w:rPr>
          <w:rFonts w:hint="eastAsia" w:ascii="宋体" w:hAnsi="宋体"/>
          <w:sz w:val="20"/>
          <w:szCs w:val="20"/>
        </w:rPr>
        <w:t>）。</w:t>
      </w:r>
    </w:p>
    <w:p w14:paraId="3C1BD0DB">
      <w:pPr>
        <w:adjustRightInd w:val="0"/>
        <w:snapToGrid w:val="0"/>
        <w:spacing w:line="288" w:lineRule="auto"/>
        <w:jc w:val="center"/>
        <w:rPr>
          <w:rFonts w:ascii="宋体" w:hAnsi="宋体"/>
          <w:sz w:val="20"/>
          <w:szCs w:val="20"/>
        </w:rPr>
      </w:pPr>
      <w:r>
        <w:rPr>
          <w:rFonts w:hint="eastAsia" w:ascii="宋体" w:hAnsi="宋体"/>
          <w:sz w:val="20"/>
          <w:szCs w:val="20"/>
        </w:rPr>
        <w:object>
          <v:shape id="_x0000_i1042" o:spt="75" type="#_x0000_t75" style="height:145.4pt;width:139.95pt;" o:ole="t" filled="f" o:preferrelative="t" stroked="f" coordsize="21600,21600">
            <v:path/>
            <v:fill on="f" focussize="0,0"/>
            <v:stroke on="f" joinstyle="miter"/>
            <v:imagedata r:id="rId50" cropleft="15853f" croptop="5960f" cropright="26048f" cropbottom="4963f" o:title=""/>
            <o:lock v:ext="edit" aspectratio="t"/>
            <w10:wrap type="none"/>
            <w10:anchorlock/>
          </v:shape>
          <o:OLEObject Type="Embed" ProgID="AutoCAD.Drawing.16" ShapeID="_x0000_i1042" DrawAspect="Content" ObjectID="_1468075744" r:id="rId49">
            <o:LockedField>false</o:LockedField>
          </o:OLEObject>
        </w:object>
      </w:r>
      <w:r>
        <w:rPr>
          <w:rFonts w:ascii="宋体" w:hAnsi="宋体"/>
          <w:sz w:val="20"/>
          <w:szCs w:val="20"/>
        </w:rPr>
        <w:t xml:space="preserve"> </w:t>
      </w:r>
      <w:r>
        <w:rPr>
          <w:rFonts w:hint="eastAsia" w:ascii="宋体" w:hAnsi="宋体"/>
          <w:sz w:val="20"/>
          <w:szCs w:val="20"/>
        </w:rPr>
        <w:object>
          <v:shape id="_x0000_i1043" o:spt="75" type="#_x0000_t75" style="height:148.05pt;width:148.05pt;" o:ole="t" filled="f" o:preferrelative="t" stroked="f" coordsize="21600,21600">
            <v:path/>
            <v:fill on="f" focussize="0,0"/>
            <v:stroke on="f" joinstyle="miter"/>
            <v:imagedata r:id="rId52" cropleft="20723f" croptop="2514f" cropright="18326f" cropbottom="2904f" o:title=""/>
            <o:lock v:ext="edit" aspectratio="t"/>
            <w10:wrap type="none"/>
            <w10:anchorlock/>
          </v:shape>
          <o:OLEObject Type="Embed" ProgID="AutoCAD.Drawing.16" ShapeID="_x0000_i1043" DrawAspect="Content" ObjectID="_1468075745" r:id="rId51">
            <o:LockedField>false</o:LockedField>
          </o:OLEObject>
        </w:object>
      </w:r>
    </w:p>
    <w:p w14:paraId="77461C0A">
      <w:pPr>
        <w:adjustRightInd w:val="0"/>
        <w:snapToGrid w:val="0"/>
        <w:spacing w:after="156" w:afterLines="50" w:line="288" w:lineRule="auto"/>
        <w:ind w:firstLine="750" w:firstLineChars="500"/>
        <w:jc w:val="center"/>
        <w:rPr>
          <w:rFonts w:ascii="宋体" w:hAnsi="宋体"/>
          <w:sz w:val="15"/>
          <w:szCs w:val="15"/>
        </w:rPr>
      </w:pPr>
      <w:r>
        <w:rPr>
          <w:rFonts w:hint="eastAsia" w:ascii="宋体" w:hAnsi="宋体"/>
          <w:sz w:val="15"/>
          <w:szCs w:val="15"/>
        </w:rPr>
        <w:t>（</w:t>
      </w:r>
      <w:r>
        <w:rPr>
          <w:bCs/>
          <w:sz w:val="15"/>
          <w:szCs w:val="15"/>
        </w:rPr>
        <w:t>a</w:t>
      </w:r>
      <w:r>
        <w:rPr>
          <w:rFonts w:hint="eastAsia" w:ascii="宋体" w:hAnsi="宋体"/>
          <w:sz w:val="15"/>
          <w:szCs w:val="15"/>
        </w:rPr>
        <w:t xml:space="preserve">）条形或矩形基础  </w:t>
      </w:r>
      <w:r>
        <w:rPr>
          <w:rFonts w:ascii="宋体" w:hAnsi="宋体"/>
          <w:sz w:val="15"/>
          <w:szCs w:val="15"/>
        </w:rPr>
        <w:t xml:space="preserve">  </w:t>
      </w:r>
      <w:r>
        <w:rPr>
          <w:rFonts w:hint="eastAsia" w:ascii="宋体" w:hAnsi="宋体"/>
          <w:sz w:val="15"/>
          <w:szCs w:val="15"/>
        </w:rPr>
        <w:t xml:space="preserve">        （</w:t>
      </w:r>
      <w:r>
        <w:rPr>
          <w:bCs/>
          <w:sz w:val="15"/>
          <w:szCs w:val="15"/>
        </w:rPr>
        <w:t>b</w:t>
      </w:r>
      <w:r>
        <w:rPr>
          <w:rFonts w:hint="eastAsia" w:ascii="宋体" w:hAnsi="宋体"/>
          <w:sz w:val="15"/>
          <w:szCs w:val="15"/>
        </w:rPr>
        <w:t>）作用在地面的条形或矩形附加荷载</w:t>
      </w:r>
    </w:p>
    <w:p w14:paraId="2AD49249">
      <w:pPr>
        <w:adjustRightInd w:val="0"/>
        <w:snapToGrid w:val="0"/>
        <w:spacing w:after="156" w:afterLines="50" w:line="288" w:lineRule="auto"/>
        <w:jc w:val="center"/>
        <w:rPr>
          <w:rFonts w:ascii="宋体" w:hAnsi="宋体"/>
          <w:b/>
          <w:sz w:val="18"/>
          <w:szCs w:val="18"/>
        </w:rPr>
      </w:pPr>
      <w:r>
        <w:rPr>
          <w:rFonts w:ascii="宋体" w:hAnsi="宋体"/>
          <w:b/>
          <w:sz w:val="18"/>
          <w:szCs w:val="18"/>
        </w:rPr>
        <w:t>图</w:t>
      </w:r>
      <w:r>
        <w:rPr>
          <w:b/>
          <w:sz w:val="18"/>
          <w:szCs w:val="18"/>
        </w:rPr>
        <w:t>3.3.7</w:t>
      </w:r>
      <w:r>
        <w:rPr>
          <w:rFonts w:ascii="宋体" w:hAnsi="宋体"/>
          <w:b/>
          <w:sz w:val="18"/>
          <w:szCs w:val="18"/>
        </w:rPr>
        <w:t xml:space="preserve">  局部附加荷载作用下的</w:t>
      </w:r>
      <w:r>
        <w:rPr>
          <w:rFonts w:ascii="宋体" w:hAnsi="宋体"/>
          <w:b/>
          <w:bCs/>
          <w:sz w:val="18"/>
          <w:szCs w:val="18"/>
        </w:rPr>
        <w:t>土中</w:t>
      </w:r>
      <w:r>
        <w:rPr>
          <w:rFonts w:ascii="宋体" w:hAnsi="宋体"/>
          <w:b/>
          <w:sz w:val="18"/>
          <w:szCs w:val="18"/>
        </w:rPr>
        <w:t>附加</w:t>
      </w:r>
      <w:r>
        <w:rPr>
          <w:rFonts w:ascii="宋体" w:hAnsi="宋体"/>
          <w:b/>
          <w:bCs/>
          <w:sz w:val="18"/>
          <w:szCs w:val="18"/>
        </w:rPr>
        <w:t>竖向应力</w:t>
      </w:r>
      <w:r>
        <w:rPr>
          <w:rFonts w:ascii="宋体" w:hAnsi="宋体"/>
          <w:b/>
          <w:sz w:val="18"/>
          <w:szCs w:val="18"/>
        </w:rPr>
        <w:t>计算</w:t>
      </w:r>
    </w:p>
    <w:p w14:paraId="6B4457D9">
      <w:pPr>
        <w:adjustRightInd w:val="0"/>
        <w:snapToGrid w:val="0"/>
        <w:spacing w:line="288" w:lineRule="auto"/>
        <w:rPr>
          <w:rFonts w:ascii="宋体" w:hAnsi="宋体"/>
          <w:sz w:val="20"/>
          <w:szCs w:val="20"/>
        </w:rPr>
      </w:pPr>
      <w:r>
        <w:rPr>
          <w:b/>
          <w:sz w:val="20"/>
          <w:szCs w:val="20"/>
        </w:rPr>
        <w:t>3.3.8</w:t>
      </w:r>
      <w:r>
        <w:rPr>
          <w:rFonts w:ascii="宋体" w:hAnsi="宋体"/>
          <w:sz w:val="20"/>
          <w:szCs w:val="20"/>
        </w:rPr>
        <w:t xml:space="preserve">  </w:t>
      </w:r>
      <w:r>
        <w:rPr>
          <w:rFonts w:hint="eastAsia" w:ascii="宋体" w:hAnsi="宋体"/>
          <w:sz w:val="20"/>
          <w:szCs w:val="20"/>
        </w:rPr>
        <w:t>当临近基坑的建筑物基础低于基坑底面时，且外墙距支护结构净距</w:t>
      </w:r>
      <w:r>
        <w:rPr>
          <w:i/>
          <w:sz w:val="20"/>
          <w:szCs w:val="20"/>
        </w:rPr>
        <w:t>b</w:t>
      </w:r>
      <w:r>
        <w:rPr>
          <w:rFonts w:hint="eastAsia"/>
          <w:i/>
          <w:sz w:val="20"/>
          <w:szCs w:val="20"/>
        </w:rPr>
        <w:t>&lt;</w:t>
      </w:r>
      <w:r>
        <w:rPr>
          <w:i/>
          <w:sz w:val="20"/>
          <w:szCs w:val="20"/>
        </w:rPr>
        <w:t>h</w:t>
      </w:r>
      <w:r>
        <w:rPr>
          <w:sz w:val="20"/>
          <w:szCs w:val="20"/>
        </w:rPr>
        <w:t>×tan</w:t>
      </w:r>
      <w:r>
        <w:rPr>
          <w:rFonts w:hAnsi="宋体"/>
          <w:sz w:val="20"/>
          <w:szCs w:val="20"/>
        </w:rPr>
        <w:t>（</w:t>
      </w:r>
      <w:r>
        <w:rPr>
          <w:sz w:val="20"/>
          <w:szCs w:val="20"/>
        </w:rPr>
        <w:t>45°-</w:t>
      </w:r>
      <w:r>
        <w:rPr>
          <w:i/>
          <w:iCs/>
          <w:sz w:val="20"/>
          <w:szCs w:val="20"/>
        </w:rPr>
        <w:t>φ</w:t>
      </w:r>
      <w:r>
        <w:rPr>
          <w:i/>
          <w:iCs/>
          <w:sz w:val="20"/>
          <w:szCs w:val="20"/>
          <w:vertAlign w:val="subscript"/>
        </w:rPr>
        <w:t>k</w:t>
      </w:r>
      <w:r>
        <w:rPr>
          <w:sz w:val="20"/>
          <w:szCs w:val="20"/>
        </w:rPr>
        <w:t>/2</w:t>
      </w:r>
      <w:r>
        <w:rPr>
          <w:rFonts w:hint="eastAsia" w:ascii="宋体" w:hAnsi="宋体"/>
          <w:sz w:val="20"/>
          <w:szCs w:val="20"/>
        </w:rPr>
        <w:t>）时，可按下列方法计算有限宽度土体作用在支护结构上的土压力强度标准值</w:t>
      </w:r>
      <w:r>
        <w:rPr>
          <w:i/>
          <w:iCs/>
          <w:sz w:val="20"/>
          <w:szCs w:val="20"/>
        </w:rPr>
        <w:t>p</w:t>
      </w:r>
      <w:r>
        <w:rPr>
          <w:sz w:val="20"/>
          <w:szCs w:val="20"/>
          <w:vertAlign w:val="subscript"/>
        </w:rPr>
        <w:t>ak</w:t>
      </w:r>
      <w:r>
        <w:rPr>
          <w:rFonts w:hint="eastAsia" w:ascii="宋体" w:hAnsi="宋体"/>
          <w:sz w:val="20"/>
          <w:szCs w:val="20"/>
        </w:rPr>
        <w:t>（图</w:t>
      </w:r>
      <w:r>
        <w:rPr>
          <w:sz w:val="20"/>
          <w:szCs w:val="20"/>
        </w:rPr>
        <w:t>3.3.8</w:t>
      </w:r>
      <w:r>
        <w:rPr>
          <w:rFonts w:hint="eastAsia" w:ascii="宋体" w:hAnsi="宋体"/>
          <w:sz w:val="20"/>
          <w:szCs w:val="20"/>
        </w:rPr>
        <w:t>）：</w:t>
      </w:r>
    </w:p>
    <w:p w14:paraId="2BE5D4CF">
      <w:pPr>
        <w:adjustRightInd w:val="0"/>
        <w:snapToGrid w:val="0"/>
        <w:spacing w:line="288" w:lineRule="auto"/>
        <w:jc w:val="center"/>
        <w:rPr>
          <w:rFonts w:ascii="宋体" w:hAnsi="宋体"/>
          <w:sz w:val="20"/>
          <w:szCs w:val="20"/>
        </w:rPr>
      </w:pPr>
      <w:r>
        <w:rPr>
          <w:rFonts w:hint="eastAsia" w:ascii="宋体" w:hAnsi="宋体"/>
          <w:sz w:val="20"/>
          <w:szCs w:val="20"/>
        </w:rPr>
        <w:object>
          <v:shape id="_x0000_i1044" o:spt="75" type="#_x0000_t75" style="height:162.35pt;width:267.6pt;" o:ole="t" filled="f" o:preferrelative="t" stroked="f" coordsize="21600,21600">
            <v:path/>
            <v:fill on="f" focussize="0,0"/>
            <v:stroke on="f" joinstyle="miter"/>
            <v:imagedata r:id="rId54" croptop="2474f" cropright="16776f" cropbottom="4465f" o:title=""/>
            <o:lock v:ext="edit" aspectratio="t"/>
            <w10:wrap type="none"/>
            <w10:anchorlock/>
          </v:shape>
          <o:OLEObject Type="Embed" ProgID="AutoCAD.Drawing.14" ShapeID="_x0000_i1044" DrawAspect="Content" ObjectID="_1468075746" r:id="rId53">
            <o:LockedField>false</o:LockedField>
          </o:OLEObject>
        </w:object>
      </w:r>
    </w:p>
    <w:p w14:paraId="10C0CC41">
      <w:pPr>
        <w:adjustRightInd w:val="0"/>
        <w:snapToGrid w:val="0"/>
        <w:spacing w:after="156" w:afterLines="50" w:line="288" w:lineRule="auto"/>
        <w:jc w:val="center"/>
        <w:rPr>
          <w:rFonts w:ascii="宋体" w:hAnsi="宋体"/>
          <w:b/>
          <w:bCs/>
          <w:sz w:val="18"/>
          <w:szCs w:val="18"/>
        </w:rPr>
      </w:pPr>
      <w:r>
        <w:rPr>
          <w:rFonts w:ascii="宋体" w:hAnsi="宋体"/>
          <w:b/>
          <w:bCs/>
          <w:sz w:val="18"/>
          <w:szCs w:val="18"/>
        </w:rPr>
        <w:t>图</w:t>
      </w:r>
      <w:r>
        <w:rPr>
          <w:b/>
          <w:bCs/>
          <w:sz w:val="18"/>
          <w:szCs w:val="18"/>
        </w:rPr>
        <w:t>3.3.8</w:t>
      </w:r>
      <w:r>
        <w:rPr>
          <w:rFonts w:ascii="宋体" w:hAnsi="宋体"/>
          <w:b/>
          <w:bCs/>
          <w:sz w:val="18"/>
          <w:szCs w:val="18"/>
        </w:rPr>
        <w:t xml:space="preserve">  有限范围土体的土压力计算简图</w:t>
      </w:r>
    </w:p>
    <w:p w14:paraId="71DD21E9">
      <w:pPr>
        <w:adjustRightInd w:val="0"/>
        <w:snapToGrid w:val="0"/>
        <w:spacing w:line="288" w:lineRule="auto"/>
        <w:ind w:firstLine="402" w:firstLineChars="200"/>
        <w:rPr>
          <w:rFonts w:ascii="宋体" w:hAnsi="宋体"/>
          <w:bCs/>
          <w:sz w:val="20"/>
          <w:szCs w:val="20"/>
        </w:rPr>
      </w:pPr>
      <w:r>
        <w:rPr>
          <w:b/>
          <w:bCs/>
          <w:sz w:val="20"/>
          <w:szCs w:val="20"/>
        </w:rPr>
        <w:t>1</w:t>
      </w:r>
      <w:r>
        <w:rPr>
          <w:rFonts w:ascii="宋体" w:hAnsi="宋体"/>
          <w:bCs/>
          <w:sz w:val="20"/>
          <w:szCs w:val="20"/>
        </w:rPr>
        <w:t xml:space="preserve">  </w:t>
      </w:r>
      <w:r>
        <w:rPr>
          <w:rFonts w:hint="eastAsia" w:ascii="宋体" w:hAnsi="宋体"/>
          <w:sz w:val="20"/>
          <w:szCs w:val="20"/>
        </w:rPr>
        <w:t>当</w:t>
      </w:r>
      <w:r>
        <w:rPr>
          <w:i/>
          <w:iCs/>
          <w:sz w:val="20"/>
          <w:szCs w:val="20"/>
        </w:rPr>
        <w:t>z</w:t>
      </w:r>
      <w:r>
        <w:rPr>
          <w:rFonts w:ascii="宋体" w:hAnsi="宋体"/>
          <w:iCs/>
          <w:sz w:val="20"/>
          <w:szCs w:val="20"/>
        </w:rPr>
        <w:t>≤</w:t>
      </w:r>
      <w:r>
        <w:rPr>
          <w:iCs/>
          <w:sz w:val="20"/>
          <w:szCs w:val="20"/>
        </w:rPr>
        <w:t xml:space="preserve"> </w:t>
      </w:r>
      <w:r>
        <w:rPr>
          <w:i/>
          <w:iCs/>
          <w:sz w:val="20"/>
          <w:szCs w:val="20"/>
        </w:rPr>
        <w:t>b</w:t>
      </w:r>
      <w:r>
        <w:rPr>
          <w:sz w:val="20"/>
          <w:szCs w:val="20"/>
        </w:rPr>
        <w:t>×cot</w:t>
      </w:r>
      <w:r>
        <w:rPr>
          <w:rFonts w:hAnsi="宋体"/>
          <w:sz w:val="20"/>
          <w:szCs w:val="20"/>
        </w:rPr>
        <w:t>（</w:t>
      </w:r>
      <w:r>
        <w:rPr>
          <w:sz w:val="20"/>
          <w:szCs w:val="20"/>
        </w:rPr>
        <w:t>45°-</w:t>
      </w:r>
      <w:r>
        <w:rPr>
          <w:i/>
          <w:iCs/>
          <w:sz w:val="20"/>
          <w:szCs w:val="20"/>
        </w:rPr>
        <w:t>φ</w:t>
      </w:r>
      <w:r>
        <w:rPr>
          <w:i/>
          <w:iCs/>
          <w:sz w:val="20"/>
          <w:szCs w:val="20"/>
          <w:vertAlign w:val="subscript"/>
        </w:rPr>
        <w:t>k</w:t>
      </w:r>
      <w:r>
        <w:rPr>
          <w:sz w:val="20"/>
          <w:szCs w:val="20"/>
          <w:vertAlign w:val="subscript"/>
        </w:rPr>
        <w:t>/</w:t>
      </w:r>
      <w:r>
        <w:rPr>
          <w:sz w:val="20"/>
          <w:szCs w:val="20"/>
        </w:rPr>
        <w:t>2</w:t>
      </w:r>
      <w:r>
        <w:rPr>
          <w:rFonts w:hAnsi="宋体"/>
          <w:sz w:val="20"/>
          <w:szCs w:val="20"/>
        </w:rPr>
        <w:t>）</w:t>
      </w:r>
      <w:r>
        <w:rPr>
          <w:rFonts w:hint="eastAsia" w:ascii="宋体" w:hAnsi="宋体"/>
          <w:sz w:val="20"/>
          <w:szCs w:val="20"/>
        </w:rPr>
        <w:t>，或</w:t>
      </w:r>
      <w:r>
        <w:rPr>
          <w:sz w:val="20"/>
          <w:szCs w:val="20"/>
        </w:rPr>
        <w:t>z</w:t>
      </w:r>
      <w:r>
        <w:rPr>
          <w:rFonts w:ascii="宋体" w:hAnsi="宋体"/>
          <w:sz w:val="20"/>
          <w:szCs w:val="20"/>
        </w:rPr>
        <w:t>≥</w:t>
      </w:r>
      <w:r>
        <w:rPr>
          <w:i/>
          <w:iCs/>
          <w:sz w:val="20"/>
          <w:szCs w:val="20"/>
        </w:rPr>
        <w:t>b</w:t>
      </w:r>
      <w:r>
        <w:rPr>
          <w:sz w:val="20"/>
          <w:szCs w:val="20"/>
        </w:rPr>
        <w:t>×cot</w:t>
      </w:r>
      <w:r>
        <w:rPr>
          <w:rFonts w:hAnsi="宋体"/>
          <w:sz w:val="20"/>
          <w:szCs w:val="20"/>
        </w:rPr>
        <w:t>（</w:t>
      </w:r>
      <w:r>
        <w:rPr>
          <w:sz w:val="20"/>
          <w:szCs w:val="20"/>
        </w:rPr>
        <w:t>45°-</w:t>
      </w:r>
      <w:r>
        <w:rPr>
          <w:i/>
          <w:iCs/>
          <w:sz w:val="20"/>
          <w:szCs w:val="20"/>
        </w:rPr>
        <w:t>φ</w:t>
      </w:r>
      <w:r>
        <w:rPr>
          <w:i/>
          <w:iCs/>
          <w:sz w:val="20"/>
          <w:szCs w:val="20"/>
          <w:vertAlign w:val="subscript"/>
        </w:rPr>
        <w:t>k</w:t>
      </w:r>
      <w:r>
        <w:rPr>
          <w:sz w:val="20"/>
          <w:szCs w:val="20"/>
        </w:rPr>
        <w:t xml:space="preserve"> /2</w:t>
      </w:r>
      <w:r>
        <w:rPr>
          <w:rFonts w:hAnsi="宋体"/>
          <w:sz w:val="20"/>
          <w:szCs w:val="20"/>
        </w:rPr>
        <w:t>）</w:t>
      </w:r>
      <w:r>
        <w:rPr>
          <w:sz w:val="20"/>
          <w:szCs w:val="20"/>
        </w:rPr>
        <w:t>+</w:t>
      </w:r>
      <w:r>
        <w:rPr>
          <w:bCs/>
          <w:i/>
          <w:iCs/>
          <w:sz w:val="20"/>
          <w:szCs w:val="20"/>
        </w:rPr>
        <w:t xml:space="preserve"> d</w:t>
      </w:r>
      <w:r>
        <w:rPr>
          <w:bCs/>
          <w:iCs/>
          <w:sz w:val="20"/>
          <w:szCs w:val="20"/>
          <w:vertAlign w:val="subscript"/>
        </w:rPr>
        <w:t>h</w:t>
      </w:r>
      <w:r>
        <w:rPr>
          <w:rFonts w:hint="eastAsia" w:ascii="宋体" w:hAnsi="宋体"/>
          <w:sz w:val="20"/>
          <w:szCs w:val="20"/>
        </w:rPr>
        <w:t>时，按本规程第</w:t>
      </w:r>
      <w:r>
        <w:rPr>
          <w:sz w:val="20"/>
          <w:szCs w:val="20"/>
        </w:rPr>
        <w:t>3.3.3</w:t>
      </w:r>
      <w:r>
        <w:rPr>
          <w:rFonts w:hint="eastAsia" w:ascii="宋体" w:hAnsi="宋体"/>
          <w:sz w:val="20"/>
          <w:szCs w:val="20"/>
        </w:rPr>
        <w:t>条～</w:t>
      </w:r>
      <w:r>
        <w:rPr>
          <w:sz w:val="20"/>
          <w:szCs w:val="20"/>
        </w:rPr>
        <w:t>3.3.6</w:t>
      </w:r>
      <w:r>
        <w:rPr>
          <w:rFonts w:hint="eastAsia" w:ascii="宋体" w:hAnsi="宋体"/>
          <w:sz w:val="20"/>
          <w:szCs w:val="20"/>
        </w:rPr>
        <w:t>条的规定计算；</w:t>
      </w:r>
    </w:p>
    <w:p w14:paraId="66D1C096">
      <w:pPr>
        <w:adjustRightInd w:val="0"/>
        <w:snapToGrid w:val="0"/>
        <w:spacing w:line="288" w:lineRule="auto"/>
        <w:ind w:firstLine="402" w:firstLineChars="200"/>
        <w:rPr>
          <w:rFonts w:ascii="宋体" w:hAnsi="宋体"/>
          <w:sz w:val="20"/>
          <w:szCs w:val="20"/>
        </w:rPr>
      </w:pPr>
      <w:r>
        <w:rPr>
          <w:b/>
          <w:bCs/>
          <w:sz w:val="20"/>
          <w:szCs w:val="20"/>
        </w:rPr>
        <w:t>2</w:t>
      </w:r>
      <w:r>
        <w:rPr>
          <w:rFonts w:ascii="宋体" w:hAnsi="宋体"/>
          <w:bCs/>
          <w:sz w:val="20"/>
          <w:szCs w:val="20"/>
        </w:rPr>
        <w:t xml:space="preserve">  </w:t>
      </w:r>
      <w:r>
        <w:rPr>
          <w:rFonts w:hint="eastAsia" w:ascii="宋体" w:hAnsi="宋体"/>
          <w:sz w:val="20"/>
          <w:szCs w:val="20"/>
        </w:rPr>
        <w:t>当</w:t>
      </w:r>
      <w:r>
        <w:rPr>
          <w:i/>
          <w:iCs/>
          <w:sz w:val="20"/>
          <w:szCs w:val="20"/>
        </w:rPr>
        <w:t>b</w:t>
      </w:r>
      <w:r>
        <w:rPr>
          <w:sz w:val="20"/>
          <w:szCs w:val="20"/>
        </w:rPr>
        <w:t>×cot</w:t>
      </w:r>
      <w:r>
        <w:rPr>
          <w:rFonts w:hAnsi="宋体"/>
          <w:sz w:val="20"/>
          <w:szCs w:val="20"/>
        </w:rPr>
        <w:t>（</w:t>
      </w:r>
      <w:r>
        <w:rPr>
          <w:sz w:val="20"/>
          <w:szCs w:val="20"/>
        </w:rPr>
        <w:t>45°-</w:t>
      </w:r>
      <w:r>
        <w:rPr>
          <w:i/>
          <w:iCs/>
          <w:sz w:val="20"/>
          <w:szCs w:val="20"/>
        </w:rPr>
        <w:t>φ</w:t>
      </w:r>
      <w:r>
        <w:rPr>
          <w:i/>
          <w:iCs/>
          <w:sz w:val="20"/>
          <w:szCs w:val="20"/>
          <w:vertAlign w:val="subscript"/>
        </w:rPr>
        <w:t xml:space="preserve">k </w:t>
      </w:r>
      <w:r>
        <w:rPr>
          <w:sz w:val="20"/>
          <w:szCs w:val="20"/>
        </w:rPr>
        <w:t>/2</w:t>
      </w:r>
      <w:r>
        <w:rPr>
          <w:rFonts w:hAnsi="宋体"/>
          <w:sz w:val="20"/>
          <w:szCs w:val="20"/>
        </w:rPr>
        <w:t>）</w:t>
      </w:r>
      <w:r>
        <w:rPr>
          <w:sz w:val="20"/>
          <w:szCs w:val="20"/>
        </w:rPr>
        <w:t>&lt;</w:t>
      </w:r>
      <w:r>
        <w:rPr>
          <w:rFonts w:hint="eastAsia"/>
          <w:sz w:val="20"/>
          <w:szCs w:val="20"/>
        </w:rPr>
        <w:t xml:space="preserve"> </w:t>
      </w:r>
      <w:r>
        <w:rPr>
          <w:i/>
          <w:iCs/>
          <w:sz w:val="20"/>
          <w:szCs w:val="20"/>
        </w:rPr>
        <w:t>z</w:t>
      </w:r>
      <w:r>
        <w:rPr>
          <w:rFonts w:hint="eastAsia"/>
          <w:i/>
          <w:iCs/>
          <w:sz w:val="20"/>
          <w:szCs w:val="20"/>
        </w:rPr>
        <w:t xml:space="preserve"> </w:t>
      </w:r>
      <w:r>
        <w:rPr>
          <w:sz w:val="20"/>
          <w:szCs w:val="20"/>
        </w:rPr>
        <w:t>&lt;</w:t>
      </w:r>
      <w:r>
        <w:rPr>
          <w:i/>
          <w:iCs/>
          <w:sz w:val="20"/>
          <w:szCs w:val="20"/>
        </w:rPr>
        <w:t xml:space="preserve"> b</w:t>
      </w:r>
      <w:r>
        <w:rPr>
          <w:sz w:val="20"/>
          <w:szCs w:val="20"/>
        </w:rPr>
        <w:t>×cot</w:t>
      </w:r>
      <w:r>
        <w:rPr>
          <w:rFonts w:hAnsi="宋体"/>
          <w:sz w:val="20"/>
          <w:szCs w:val="20"/>
        </w:rPr>
        <w:t>（</w:t>
      </w:r>
      <w:r>
        <w:rPr>
          <w:sz w:val="20"/>
          <w:szCs w:val="20"/>
        </w:rPr>
        <w:t>45°-</w:t>
      </w:r>
      <w:r>
        <w:rPr>
          <w:i/>
          <w:iCs/>
          <w:sz w:val="20"/>
          <w:szCs w:val="20"/>
        </w:rPr>
        <w:t>φ</w:t>
      </w:r>
      <w:r>
        <w:rPr>
          <w:i/>
          <w:iCs/>
          <w:sz w:val="20"/>
          <w:szCs w:val="20"/>
          <w:vertAlign w:val="subscript"/>
        </w:rPr>
        <w:t>k</w:t>
      </w:r>
      <w:r>
        <w:rPr>
          <w:sz w:val="20"/>
          <w:szCs w:val="20"/>
        </w:rPr>
        <w:t>/2</w:t>
      </w:r>
      <w:r>
        <w:rPr>
          <w:rFonts w:hAnsi="宋体"/>
          <w:sz w:val="20"/>
          <w:szCs w:val="20"/>
        </w:rPr>
        <w:t>）</w:t>
      </w:r>
      <w:r>
        <w:rPr>
          <w:sz w:val="20"/>
          <w:szCs w:val="20"/>
        </w:rPr>
        <w:t>+</w:t>
      </w:r>
      <w:r>
        <w:rPr>
          <w:bCs/>
          <w:i/>
          <w:iCs/>
          <w:sz w:val="20"/>
          <w:szCs w:val="20"/>
        </w:rPr>
        <w:t>d</w:t>
      </w:r>
      <w:r>
        <w:rPr>
          <w:bCs/>
          <w:iCs/>
          <w:sz w:val="20"/>
          <w:szCs w:val="20"/>
          <w:vertAlign w:val="subscript"/>
        </w:rPr>
        <w:t>h</w:t>
      </w:r>
      <w:r>
        <w:rPr>
          <w:rFonts w:ascii="宋体" w:hAnsi="宋体"/>
          <w:sz w:val="20"/>
          <w:szCs w:val="20"/>
        </w:rPr>
        <w:t xml:space="preserve"> </w:t>
      </w:r>
      <w:r>
        <w:rPr>
          <w:rFonts w:hint="eastAsia" w:ascii="宋体" w:hAnsi="宋体"/>
          <w:sz w:val="20"/>
          <w:szCs w:val="20"/>
        </w:rPr>
        <w:t>时：</w:t>
      </w:r>
    </w:p>
    <w:p w14:paraId="603859D2">
      <w:pPr>
        <w:adjustRightInd w:val="0"/>
        <w:snapToGrid w:val="0"/>
        <w:spacing w:line="288" w:lineRule="auto"/>
        <w:ind w:firstLine="600" w:firstLineChars="300"/>
        <w:rPr>
          <w:rFonts w:ascii="宋体" w:hAnsi="宋体"/>
          <w:sz w:val="20"/>
          <w:szCs w:val="20"/>
        </w:rPr>
      </w:pPr>
      <w:r>
        <w:rPr>
          <w:rFonts w:ascii="宋体" w:hAnsi="宋体"/>
          <w:sz w:val="20"/>
          <w:szCs w:val="20"/>
        </w:rPr>
        <w:t>1</w:t>
      </w:r>
      <w:r>
        <w:rPr>
          <w:rFonts w:hint="eastAsia" w:ascii="宋体" w:hAnsi="宋体"/>
          <w:sz w:val="20"/>
          <w:szCs w:val="20"/>
        </w:rPr>
        <w:t>）对于地下水位以上或水土合算的土层</w:t>
      </w:r>
    </w:p>
    <w:p w14:paraId="3EF0C3A8">
      <w:pPr>
        <w:adjustRightInd w:val="0"/>
        <w:snapToGrid w:val="0"/>
        <w:spacing w:line="288" w:lineRule="auto"/>
        <w:ind w:firstLine="400" w:firstLineChars="200"/>
        <w:jc w:val="right"/>
        <w:rPr>
          <w:rFonts w:ascii="宋体" w:hAnsi="宋体"/>
          <w:sz w:val="20"/>
          <w:szCs w:val="20"/>
        </w:rPr>
      </w:pPr>
      <w:r>
        <w:rPr>
          <w:rFonts w:hint="eastAsia" w:ascii="宋体" w:hAnsi="宋体"/>
          <w:sz w:val="20"/>
          <w:szCs w:val="20"/>
        </w:rPr>
        <w:t xml:space="preserve">     </w:t>
      </w:r>
      <w:r>
        <w:rPr>
          <w:rFonts w:hint="eastAsia" w:ascii="宋体" w:hAnsi="宋体"/>
          <w:position w:val="-12"/>
          <w:sz w:val="20"/>
          <w:szCs w:val="20"/>
        </w:rPr>
        <w:object>
          <v:shape id="_x0000_i1045" o:spt="75" type="#_x0000_t75" style="height:19pt;width:160.3pt;" o:ole="t" filled="f" o:preferrelative="t" stroked="f" coordsize="21600,21600">
            <v:path/>
            <v:fill on="f" focussize="0,0"/>
            <v:stroke on="f" joinstyle="miter"/>
            <v:imagedata r:id="rId56" o:title=""/>
            <o:lock v:ext="edit" aspectratio="t"/>
            <w10:wrap type="none"/>
            <w10:anchorlock/>
          </v:shape>
          <o:OLEObject Type="Embed" ProgID="Equation.3" ShapeID="_x0000_i1045" DrawAspect="Content" ObjectID="_1468075747" r:id="rId55">
            <o:LockedField>false</o:LockedField>
          </o:OLEObject>
        </w:object>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hint="eastAsia" w:ascii="宋体" w:hAnsi="宋体"/>
          <w:sz w:val="20"/>
          <w:szCs w:val="20"/>
        </w:rPr>
        <w:t>（</w:t>
      </w:r>
      <w:r>
        <w:rPr>
          <w:sz w:val="20"/>
          <w:szCs w:val="20"/>
        </w:rPr>
        <w:t>3.3.8-1</w:t>
      </w:r>
      <w:r>
        <w:rPr>
          <w:rFonts w:hint="eastAsia" w:ascii="宋体" w:hAnsi="宋体"/>
          <w:sz w:val="20"/>
          <w:szCs w:val="20"/>
        </w:rPr>
        <w:t>）</w:t>
      </w:r>
    </w:p>
    <w:p w14:paraId="73568956">
      <w:pPr>
        <w:adjustRightInd w:val="0"/>
        <w:snapToGrid w:val="0"/>
        <w:spacing w:line="288" w:lineRule="auto"/>
        <w:ind w:firstLine="600" w:firstLineChars="300"/>
        <w:rPr>
          <w:rFonts w:ascii="宋体" w:hAnsi="宋体"/>
          <w:sz w:val="20"/>
          <w:szCs w:val="20"/>
        </w:rPr>
      </w:pPr>
      <w:r>
        <w:rPr>
          <w:rFonts w:ascii="宋体" w:hAnsi="宋体"/>
          <w:sz w:val="20"/>
          <w:szCs w:val="20"/>
        </w:rPr>
        <w:t>2</w:t>
      </w:r>
      <w:r>
        <w:rPr>
          <w:rFonts w:hint="eastAsia" w:ascii="宋体" w:hAnsi="宋体"/>
          <w:sz w:val="20"/>
          <w:szCs w:val="20"/>
        </w:rPr>
        <w:t>）对于水土分算的土层</w:t>
      </w:r>
    </w:p>
    <w:p w14:paraId="16FCE4BD">
      <w:pPr>
        <w:adjustRightInd w:val="0"/>
        <w:snapToGrid w:val="0"/>
        <w:spacing w:line="288" w:lineRule="auto"/>
        <w:ind w:firstLine="400" w:firstLineChars="200"/>
        <w:jc w:val="right"/>
        <w:rPr>
          <w:rFonts w:ascii="宋体" w:hAnsi="宋体"/>
          <w:sz w:val="20"/>
          <w:szCs w:val="20"/>
        </w:rPr>
      </w:pPr>
      <w:r>
        <w:rPr>
          <w:rFonts w:hint="eastAsia" w:ascii="宋体" w:hAnsi="宋体"/>
          <w:sz w:val="20"/>
          <w:szCs w:val="20"/>
        </w:rPr>
        <w:t xml:space="preserve"> </w:t>
      </w:r>
      <w:r>
        <w:rPr>
          <w:rFonts w:hint="eastAsia" w:ascii="宋体" w:hAnsi="宋体"/>
          <w:position w:val="-12"/>
          <w:sz w:val="20"/>
          <w:szCs w:val="20"/>
        </w:rPr>
        <w:object>
          <v:shape id="_x0000_i1046" o:spt="75" type="#_x0000_t75" style="height:19pt;width:203.1pt;" o:ole="t" filled="t" o:preferrelative="t" stroked="f" coordsize="21600,21600">
            <v:path/>
            <v:fill on="t" focussize="0,0"/>
            <v:stroke on="f" joinstyle="miter"/>
            <v:imagedata r:id="rId58" o:title=""/>
            <o:lock v:ext="edit" aspectratio="t"/>
            <w10:wrap type="none"/>
            <w10:anchorlock/>
          </v:shape>
          <o:OLEObject Type="Embed" ProgID="Equation.3" ShapeID="_x0000_i1046" DrawAspect="Content" ObjectID="_1468075748" r:id="rId57">
            <o:LockedField>false</o:LockedField>
          </o:OLEObject>
        </w:object>
      </w:r>
      <w:r>
        <w:rPr>
          <w:rFonts w:ascii="宋体" w:hAnsi="宋体"/>
          <w:sz w:val="20"/>
          <w:szCs w:val="20"/>
        </w:rPr>
        <w:tab/>
      </w:r>
      <w:r>
        <w:rPr>
          <w:rFonts w:hint="eastAsia" w:ascii="宋体" w:hAnsi="宋体"/>
          <w:sz w:val="20"/>
          <w:szCs w:val="20"/>
        </w:rPr>
        <w:t xml:space="preserve">    （</w:t>
      </w:r>
      <w:r>
        <w:rPr>
          <w:sz w:val="20"/>
          <w:szCs w:val="20"/>
        </w:rPr>
        <w:t>3.3.8-2</w:t>
      </w:r>
      <w:r>
        <w:rPr>
          <w:rFonts w:hint="eastAsia" w:ascii="宋体" w:hAnsi="宋体"/>
          <w:sz w:val="20"/>
          <w:szCs w:val="20"/>
        </w:rPr>
        <w:t>）</w:t>
      </w:r>
    </w:p>
    <w:p w14:paraId="2815C5F0">
      <w:pPr>
        <w:adjustRightInd w:val="0"/>
        <w:snapToGrid w:val="0"/>
        <w:spacing w:line="288" w:lineRule="auto"/>
        <w:rPr>
          <w:rFonts w:ascii="宋体" w:hAnsi="宋体"/>
          <w:sz w:val="20"/>
          <w:szCs w:val="20"/>
        </w:rPr>
      </w:pPr>
      <w:r>
        <w:rPr>
          <w:rFonts w:hint="eastAsia" w:ascii="宋体" w:hAnsi="宋体"/>
          <w:sz w:val="20"/>
          <w:szCs w:val="20"/>
        </w:rPr>
        <w:t>式中：</w:t>
      </w:r>
      <w:r>
        <w:rPr>
          <w:i/>
          <w:sz w:val="20"/>
          <w:szCs w:val="20"/>
        </w:rPr>
        <w:t>h</w:t>
      </w:r>
      <w:r>
        <w:rPr>
          <w:iCs/>
        </w:rPr>
        <w:t>——</w:t>
      </w:r>
      <w:r>
        <w:rPr>
          <w:rFonts w:hint="eastAsia" w:ascii="宋体" w:hAnsi="宋体"/>
          <w:sz w:val="20"/>
          <w:szCs w:val="20"/>
        </w:rPr>
        <w:t>基坑深度（</w:t>
      </w:r>
      <w:r>
        <w:rPr>
          <w:rFonts w:hint="eastAsia"/>
          <w:sz w:val="20"/>
          <w:szCs w:val="20"/>
        </w:rPr>
        <w:t>m</w:t>
      </w:r>
      <w:r>
        <w:rPr>
          <w:rFonts w:hint="eastAsia" w:ascii="宋体" w:hAnsi="宋体"/>
          <w:sz w:val="20"/>
          <w:szCs w:val="20"/>
        </w:rPr>
        <w:t>）；</w:t>
      </w:r>
    </w:p>
    <w:p w14:paraId="0C43DDEA">
      <w:pPr>
        <w:adjustRightInd w:val="0"/>
        <w:snapToGrid w:val="0"/>
        <w:spacing w:line="288" w:lineRule="auto"/>
        <w:ind w:firstLine="526" w:firstLineChars="263"/>
        <w:rPr>
          <w:rFonts w:ascii="宋体" w:hAnsi="宋体"/>
          <w:sz w:val="20"/>
          <w:szCs w:val="20"/>
        </w:rPr>
      </w:pPr>
      <w:r>
        <w:rPr>
          <w:i/>
          <w:iCs/>
          <w:sz w:val="20"/>
          <w:szCs w:val="20"/>
        </w:rPr>
        <w:t>φ</w:t>
      </w:r>
      <w:r>
        <w:rPr>
          <w:i/>
          <w:iCs/>
          <w:sz w:val="20"/>
          <w:szCs w:val="20"/>
          <w:vertAlign w:val="subscript"/>
        </w:rPr>
        <w:t>k</w:t>
      </w:r>
      <w:r>
        <w:rPr>
          <w:iCs/>
        </w:rPr>
        <w:t>——</w:t>
      </w:r>
      <w:r>
        <w:rPr>
          <w:rFonts w:hint="eastAsia" w:ascii="宋体" w:hAnsi="宋体"/>
          <w:sz w:val="20"/>
          <w:szCs w:val="20"/>
        </w:rPr>
        <w:t>坑底以上各土层按厚度加权的内摩擦角；</w:t>
      </w:r>
    </w:p>
    <w:p w14:paraId="0D7C374D">
      <w:pPr>
        <w:adjustRightInd w:val="0"/>
        <w:snapToGrid w:val="0"/>
        <w:spacing w:line="288" w:lineRule="auto"/>
        <w:ind w:firstLine="600" w:firstLineChars="300"/>
        <w:rPr>
          <w:rFonts w:ascii="宋体" w:hAnsi="宋体"/>
          <w:sz w:val="20"/>
          <w:szCs w:val="20"/>
        </w:rPr>
      </w:pPr>
      <w:r>
        <w:rPr>
          <w:i/>
          <w:sz w:val="20"/>
          <w:szCs w:val="20"/>
        </w:rPr>
        <w:t>z</w:t>
      </w:r>
      <w:r>
        <w:rPr>
          <w:iCs/>
        </w:rPr>
        <w:t>——</w:t>
      </w:r>
      <w:r>
        <w:rPr>
          <w:rFonts w:hint="eastAsia" w:ascii="宋体" w:hAnsi="宋体"/>
          <w:sz w:val="20"/>
          <w:szCs w:val="20"/>
        </w:rPr>
        <w:t>计算点深度（</w:t>
      </w:r>
      <w:r>
        <w:rPr>
          <w:rFonts w:hint="eastAsia"/>
          <w:sz w:val="20"/>
          <w:szCs w:val="20"/>
        </w:rPr>
        <w:t>m</w:t>
      </w:r>
      <w:r>
        <w:rPr>
          <w:rFonts w:hint="eastAsia" w:ascii="宋体" w:hAnsi="宋体"/>
          <w:sz w:val="20"/>
          <w:szCs w:val="20"/>
        </w:rPr>
        <w:t>）；</w:t>
      </w:r>
    </w:p>
    <w:p w14:paraId="4FF07C39">
      <w:pPr>
        <w:adjustRightInd w:val="0"/>
        <w:snapToGrid w:val="0"/>
        <w:spacing w:line="288" w:lineRule="auto"/>
        <w:ind w:firstLine="526" w:firstLineChars="263"/>
        <w:rPr>
          <w:rFonts w:ascii="宋体" w:hAnsi="宋体"/>
          <w:sz w:val="20"/>
          <w:szCs w:val="20"/>
        </w:rPr>
      </w:pPr>
      <w:r>
        <w:rPr>
          <w:bCs/>
          <w:i/>
          <w:iCs/>
          <w:sz w:val="20"/>
          <w:szCs w:val="20"/>
        </w:rPr>
        <w:t>d</w:t>
      </w:r>
      <w:r>
        <w:rPr>
          <w:bCs/>
          <w:iCs/>
          <w:sz w:val="20"/>
          <w:szCs w:val="20"/>
          <w:vertAlign w:val="subscript"/>
        </w:rPr>
        <w:t>h</w:t>
      </w:r>
      <w:r>
        <w:rPr>
          <w:iCs/>
        </w:rPr>
        <w:t>——</w:t>
      </w:r>
      <w:r>
        <w:rPr>
          <w:rFonts w:hint="eastAsia" w:ascii="宋体" w:hAnsi="宋体"/>
          <w:sz w:val="20"/>
          <w:szCs w:val="20"/>
        </w:rPr>
        <w:t>临近建筑物基础埋置深度（</w:t>
      </w:r>
      <w:r>
        <w:rPr>
          <w:rFonts w:hint="eastAsia"/>
          <w:sz w:val="20"/>
          <w:szCs w:val="20"/>
        </w:rPr>
        <w:t>m</w:t>
      </w:r>
      <w:r>
        <w:rPr>
          <w:rFonts w:hint="eastAsia" w:ascii="宋体" w:hAnsi="宋体"/>
          <w:sz w:val="20"/>
          <w:szCs w:val="20"/>
        </w:rPr>
        <w:t>）；</w:t>
      </w:r>
    </w:p>
    <w:p w14:paraId="72153A65">
      <w:pPr>
        <w:adjustRightInd w:val="0"/>
        <w:snapToGrid w:val="0"/>
        <w:spacing w:line="288" w:lineRule="auto"/>
        <w:ind w:firstLine="500" w:firstLineChars="250"/>
        <w:rPr>
          <w:rFonts w:ascii="宋体" w:hAnsi="宋体"/>
          <w:sz w:val="20"/>
          <w:szCs w:val="20"/>
        </w:rPr>
      </w:pPr>
      <w:r>
        <w:rPr>
          <w:i/>
          <w:iCs/>
          <w:sz w:val="20"/>
          <w:szCs w:val="20"/>
        </w:rPr>
        <w:t>n</w:t>
      </w:r>
      <w:r>
        <w:rPr>
          <w:iCs/>
          <w:sz w:val="20"/>
          <w:szCs w:val="20"/>
          <w:vertAlign w:val="subscript"/>
        </w:rPr>
        <w:t>b</w:t>
      </w:r>
      <w:r>
        <w:rPr>
          <w:iCs/>
        </w:rPr>
        <w:t>——</w:t>
      </w:r>
      <w:r>
        <w:rPr>
          <w:rFonts w:hint="eastAsia" w:ascii="宋体" w:hAnsi="宋体"/>
          <w:sz w:val="20"/>
          <w:szCs w:val="20"/>
        </w:rPr>
        <w:t>系数，</w:t>
      </w:r>
      <w:r>
        <w:rPr>
          <w:i/>
          <w:iCs/>
          <w:sz w:val="20"/>
          <w:szCs w:val="20"/>
        </w:rPr>
        <w:t>n</w:t>
      </w:r>
      <w:r>
        <w:rPr>
          <w:iCs/>
          <w:sz w:val="20"/>
          <w:szCs w:val="20"/>
          <w:vertAlign w:val="subscript"/>
        </w:rPr>
        <w:t>b</w:t>
      </w:r>
      <w:r>
        <w:rPr>
          <w:rFonts w:hAnsi="宋体"/>
          <w:sz w:val="20"/>
          <w:szCs w:val="20"/>
        </w:rPr>
        <w:t>＝</w:t>
      </w:r>
      <w:r>
        <w:rPr>
          <w:i/>
          <w:iCs/>
          <w:sz w:val="20"/>
          <w:szCs w:val="20"/>
        </w:rPr>
        <w:t>b</w:t>
      </w:r>
      <w:r>
        <w:rPr>
          <w:sz w:val="20"/>
          <w:szCs w:val="20"/>
        </w:rPr>
        <w:t>/</w:t>
      </w:r>
      <w:r>
        <w:rPr>
          <w:rFonts w:hAnsi="宋体"/>
          <w:sz w:val="20"/>
          <w:szCs w:val="20"/>
        </w:rPr>
        <w:t>［</w:t>
      </w:r>
      <w:r>
        <w:rPr>
          <w:i/>
          <w:iCs/>
          <w:sz w:val="20"/>
          <w:szCs w:val="20"/>
        </w:rPr>
        <w:t>h</w:t>
      </w:r>
      <w:r>
        <w:rPr>
          <w:sz w:val="20"/>
          <w:szCs w:val="20"/>
        </w:rPr>
        <w:t>×tan</w:t>
      </w:r>
      <w:r>
        <w:rPr>
          <w:rFonts w:hAnsi="宋体"/>
          <w:sz w:val="20"/>
          <w:szCs w:val="20"/>
        </w:rPr>
        <w:t>（</w:t>
      </w:r>
      <w:r>
        <w:rPr>
          <w:sz w:val="20"/>
          <w:szCs w:val="20"/>
        </w:rPr>
        <w:t>45°-</w:t>
      </w:r>
      <w:r>
        <w:rPr>
          <w:i/>
          <w:sz w:val="20"/>
          <w:szCs w:val="20"/>
        </w:rPr>
        <w:sym w:font="Symbol" w:char="F06A"/>
      </w:r>
      <w:r>
        <w:rPr>
          <w:i/>
          <w:iCs/>
          <w:sz w:val="20"/>
          <w:szCs w:val="20"/>
          <w:vertAlign w:val="subscript"/>
        </w:rPr>
        <w:t>k</w:t>
      </w:r>
      <w:r>
        <w:rPr>
          <w:sz w:val="20"/>
          <w:szCs w:val="20"/>
        </w:rPr>
        <w:t>/2</w:t>
      </w:r>
      <w:r>
        <w:rPr>
          <w:rFonts w:hAnsi="宋体"/>
          <w:sz w:val="20"/>
          <w:szCs w:val="20"/>
        </w:rPr>
        <w:t>）］</w:t>
      </w:r>
      <w:r>
        <w:rPr>
          <w:rFonts w:hint="eastAsia" w:ascii="宋体" w:hAnsi="宋体"/>
          <w:sz w:val="20"/>
          <w:szCs w:val="20"/>
        </w:rPr>
        <w:t>。</w:t>
      </w:r>
    </w:p>
    <w:p w14:paraId="6256C100">
      <w:pPr>
        <w:adjustRightInd w:val="0"/>
        <w:snapToGrid w:val="0"/>
        <w:spacing w:line="288" w:lineRule="auto"/>
        <w:rPr>
          <w:rFonts w:ascii="宋体" w:hAnsi="宋体"/>
          <w:sz w:val="20"/>
          <w:szCs w:val="20"/>
        </w:rPr>
      </w:pPr>
      <w:r>
        <w:rPr>
          <w:b/>
          <w:sz w:val="20"/>
          <w:szCs w:val="20"/>
        </w:rPr>
        <w:t>3.3.9</w:t>
      </w:r>
      <w:r>
        <w:rPr>
          <w:rFonts w:ascii="宋体" w:hAnsi="宋体"/>
          <w:bCs/>
          <w:sz w:val="20"/>
          <w:szCs w:val="20"/>
        </w:rPr>
        <w:t xml:space="preserve">  </w:t>
      </w:r>
      <w:r>
        <w:rPr>
          <w:rFonts w:hint="eastAsia" w:ascii="宋体" w:hAnsi="宋体"/>
          <w:sz w:val="20"/>
          <w:szCs w:val="20"/>
        </w:rPr>
        <w:t>对于基坑上部采用放坡或土钉墙，下部采用排桩或地下连续墙的情况，支护结构上的水平荷载宜按下列规定计算：</w:t>
      </w:r>
    </w:p>
    <w:p w14:paraId="66E0E720">
      <w:pPr>
        <w:adjustRightInd w:val="0"/>
        <w:snapToGrid w:val="0"/>
        <w:spacing w:line="288" w:lineRule="auto"/>
        <w:ind w:firstLine="402" w:firstLineChars="200"/>
        <w:rPr>
          <w:rFonts w:ascii="宋体" w:hAnsi="宋体"/>
          <w:sz w:val="20"/>
          <w:szCs w:val="20"/>
        </w:rPr>
      </w:pPr>
      <w:r>
        <w:rPr>
          <w:b/>
          <w:sz w:val="20"/>
          <w:szCs w:val="20"/>
        </w:rPr>
        <w:t>1</w:t>
      </w:r>
      <w:r>
        <w:rPr>
          <w:rFonts w:ascii="宋体" w:hAnsi="宋体"/>
          <w:sz w:val="20"/>
          <w:szCs w:val="20"/>
        </w:rPr>
        <w:t xml:space="preserve">  </w:t>
      </w:r>
      <w:r>
        <w:rPr>
          <w:rFonts w:hint="eastAsia" w:ascii="宋体" w:hAnsi="宋体"/>
          <w:sz w:val="20"/>
          <w:szCs w:val="20"/>
        </w:rPr>
        <w:t>当上部放坡或土钉墙支护高度</w:t>
      </w:r>
      <w:r>
        <w:rPr>
          <w:i/>
          <w:sz w:val="20"/>
          <w:szCs w:val="20"/>
        </w:rPr>
        <w:t>h</w:t>
      </w:r>
      <w:r>
        <w:rPr>
          <w:sz w:val="20"/>
          <w:szCs w:val="20"/>
          <w:vertAlign w:val="subscript"/>
        </w:rPr>
        <w:t>1</w:t>
      </w:r>
      <w:r>
        <w:rPr>
          <w:rFonts w:hint="eastAsia" w:ascii="宋体" w:hAnsi="宋体"/>
          <w:sz w:val="20"/>
          <w:szCs w:val="20"/>
        </w:rPr>
        <w:t>等于或小于</w:t>
      </w:r>
      <w:r>
        <w:rPr>
          <w:sz w:val="20"/>
          <w:szCs w:val="20"/>
        </w:rPr>
        <w:t>0.5</w:t>
      </w:r>
      <w:r>
        <w:rPr>
          <w:i/>
          <w:sz w:val="20"/>
          <w:szCs w:val="20"/>
        </w:rPr>
        <w:t>h</w:t>
      </w:r>
      <w:r>
        <w:rPr>
          <w:rFonts w:hint="eastAsia" w:ascii="宋体" w:hAnsi="宋体"/>
          <w:sz w:val="20"/>
          <w:szCs w:val="20"/>
        </w:rPr>
        <w:t>时，将排桩桩顶或地下连续墙墙顶平面以上的土体自重视为作用在该平面上的附加荷载，按照本规程第</w:t>
      </w:r>
      <w:r>
        <w:rPr>
          <w:sz w:val="20"/>
          <w:szCs w:val="20"/>
        </w:rPr>
        <w:t>3.3.4</w:t>
      </w:r>
      <w:r>
        <w:rPr>
          <w:rFonts w:hint="eastAsia" w:ascii="宋体" w:hAnsi="宋体"/>
          <w:sz w:val="20"/>
          <w:szCs w:val="20"/>
        </w:rPr>
        <w:t>条～第</w:t>
      </w:r>
      <w:r>
        <w:rPr>
          <w:sz w:val="20"/>
          <w:szCs w:val="20"/>
        </w:rPr>
        <w:t>3.3.7</w:t>
      </w:r>
      <w:r>
        <w:rPr>
          <w:rFonts w:hint="eastAsia" w:ascii="宋体" w:hAnsi="宋体"/>
          <w:sz w:val="20"/>
          <w:szCs w:val="20"/>
        </w:rPr>
        <w:t>条规定计算水平荷载；</w:t>
      </w:r>
    </w:p>
    <w:p w14:paraId="4869A4DE">
      <w:pPr>
        <w:adjustRightInd w:val="0"/>
        <w:snapToGrid w:val="0"/>
        <w:spacing w:line="288" w:lineRule="auto"/>
        <w:ind w:firstLine="402" w:firstLineChars="200"/>
        <w:rPr>
          <w:rFonts w:ascii="宋体" w:hAnsi="宋体"/>
          <w:b/>
          <w:sz w:val="20"/>
          <w:szCs w:val="20"/>
        </w:rPr>
      </w:pPr>
      <w:r>
        <w:rPr>
          <w:b/>
          <w:sz w:val="20"/>
          <w:szCs w:val="20"/>
        </w:rPr>
        <w:t>2</w:t>
      </w:r>
      <w:r>
        <w:rPr>
          <w:rFonts w:ascii="宋体" w:hAnsi="宋体"/>
          <w:sz w:val="20"/>
          <w:szCs w:val="20"/>
        </w:rPr>
        <w:t xml:space="preserve">  </w:t>
      </w:r>
      <w:r>
        <w:rPr>
          <w:rFonts w:hint="eastAsia" w:ascii="宋体" w:hAnsi="宋体"/>
          <w:sz w:val="20"/>
          <w:szCs w:val="20"/>
        </w:rPr>
        <w:t>当</w:t>
      </w:r>
      <w:r>
        <w:rPr>
          <w:i/>
          <w:sz w:val="20"/>
          <w:szCs w:val="20"/>
        </w:rPr>
        <w:t>h</w:t>
      </w:r>
      <w:r>
        <w:rPr>
          <w:sz w:val="20"/>
          <w:szCs w:val="20"/>
          <w:vertAlign w:val="subscript"/>
        </w:rPr>
        <w:t>1</w:t>
      </w:r>
      <w:r>
        <w:rPr>
          <w:rFonts w:hint="eastAsia" w:ascii="宋体" w:hAnsi="宋体"/>
          <w:sz w:val="20"/>
          <w:szCs w:val="20"/>
        </w:rPr>
        <w:t>大于</w:t>
      </w:r>
      <w:r>
        <w:rPr>
          <w:sz w:val="20"/>
          <w:szCs w:val="20"/>
        </w:rPr>
        <w:t>0.5</w:t>
      </w:r>
      <w:r>
        <w:rPr>
          <w:i/>
          <w:sz w:val="20"/>
          <w:szCs w:val="20"/>
        </w:rPr>
        <w:t>h</w:t>
      </w:r>
      <w:r>
        <w:rPr>
          <w:rFonts w:hint="eastAsia" w:ascii="宋体" w:hAnsi="宋体"/>
          <w:sz w:val="20"/>
          <w:szCs w:val="20"/>
        </w:rPr>
        <w:t>时，支护结构上的水平荷载除应包括本条第</w:t>
      </w:r>
      <w:r>
        <w:rPr>
          <w:rFonts w:ascii="宋体" w:hAnsi="宋体"/>
          <w:sz w:val="20"/>
          <w:szCs w:val="20"/>
        </w:rPr>
        <w:t>1</w:t>
      </w:r>
      <w:r>
        <w:rPr>
          <w:rFonts w:hint="eastAsia" w:ascii="宋体" w:hAnsi="宋体"/>
          <w:sz w:val="20"/>
          <w:szCs w:val="20"/>
        </w:rPr>
        <w:t>款规定计算部分外，还应包括按照本规程第</w:t>
      </w:r>
      <w:r>
        <w:rPr>
          <w:sz w:val="20"/>
          <w:szCs w:val="20"/>
        </w:rPr>
        <w:t>3.3.4</w:t>
      </w:r>
      <w:r>
        <w:rPr>
          <w:rFonts w:hint="eastAsia" w:ascii="宋体" w:hAnsi="宋体"/>
          <w:sz w:val="20"/>
          <w:szCs w:val="20"/>
        </w:rPr>
        <w:t>条～第</w:t>
      </w:r>
      <w:r>
        <w:rPr>
          <w:sz w:val="20"/>
          <w:szCs w:val="20"/>
        </w:rPr>
        <w:t>3.3.7</w:t>
      </w:r>
      <w:r>
        <w:rPr>
          <w:rFonts w:hint="eastAsia" w:ascii="宋体" w:hAnsi="宋体"/>
          <w:sz w:val="20"/>
          <w:szCs w:val="20"/>
        </w:rPr>
        <w:t>条计算出桩顶或墙顶平面以上的水平荷载的合力，将该合力换算为作用在桩顶或墙顶到基底范围内的倒三角形分布荷载。</w:t>
      </w:r>
      <w:bookmarkStart w:id="24" w:name="_Toc468104699"/>
    </w:p>
    <w:bookmarkEnd w:id="24"/>
    <w:p w14:paraId="7E9FAD6B">
      <w:pPr>
        <w:pStyle w:val="7"/>
        <w:keepNext w:val="0"/>
        <w:keepLines w:val="0"/>
        <w:adjustRightInd w:val="0"/>
        <w:snapToGrid w:val="0"/>
        <w:spacing w:before="312" w:beforeLines="100" w:after="312" w:afterLines="100" w:line="288" w:lineRule="auto"/>
        <w:jc w:val="center"/>
        <w:rPr>
          <w:rFonts w:eastAsia="黑体"/>
          <w:b w:val="0"/>
          <w:sz w:val="20"/>
          <w:szCs w:val="20"/>
        </w:rPr>
      </w:pPr>
      <w:bookmarkStart w:id="25" w:name="_Toc139613710"/>
      <w:bookmarkStart w:id="26" w:name="_Toc468104700"/>
      <w:r>
        <w:rPr>
          <w:rFonts w:eastAsia="黑体"/>
          <w:sz w:val="20"/>
          <w:szCs w:val="20"/>
        </w:rPr>
        <w:t>3.4</w:t>
      </w:r>
      <w:r>
        <w:rPr>
          <w:rFonts w:eastAsia="黑体"/>
          <w:b w:val="0"/>
          <w:sz w:val="20"/>
          <w:szCs w:val="20"/>
        </w:rPr>
        <w:t xml:space="preserve">  质量检测</w:t>
      </w:r>
      <w:bookmarkEnd w:id="25"/>
    </w:p>
    <w:p w14:paraId="5E206C36">
      <w:pPr>
        <w:adjustRightInd w:val="0"/>
        <w:snapToGrid w:val="0"/>
        <w:spacing w:line="288" w:lineRule="auto"/>
        <w:rPr>
          <w:rFonts w:ascii="宋体" w:hAnsi="宋体"/>
          <w:bCs/>
          <w:sz w:val="20"/>
          <w:szCs w:val="20"/>
        </w:rPr>
      </w:pPr>
      <w:r>
        <w:rPr>
          <w:b/>
          <w:sz w:val="20"/>
          <w:szCs w:val="20"/>
        </w:rPr>
        <w:t>3.4.1</w:t>
      </w:r>
      <w:r>
        <w:rPr>
          <w:rFonts w:hint="eastAsia" w:ascii="宋体" w:hAnsi="宋体"/>
          <w:bCs/>
          <w:sz w:val="20"/>
          <w:szCs w:val="20"/>
        </w:rPr>
        <w:t xml:space="preserve">  支护结构施工及使用的原材料和半成品应根据相关标准进行检验。</w:t>
      </w:r>
    </w:p>
    <w:p w14:paraId="738E168A">
      <w:pPr>
        <w:adjustRightInd w:val="0"/>
        <w:snapToGrid w:val="0"/>
        <w:spacing w:line="288" w:lineRule="auto"/>
        <w:rPr>
          <w:rFonts w:ascii="宋体" w:hAnsi="宋体"/>
          <w:bCs/>
          <w:sz w:val="20"/>
          <w:szCs w:val="20"/>
        </w:rPr>
      </w:pPr>
      <w:r>
        <w:rPr>
          <w:b/>
          <w:sz w:val="20"/>
          <w:szCs w:val="20"/>
        </w:rPr>
        <w:t>3.4.2</w:t>
      </w:r>
      <w:r>
        <w:rPr>
          <w:rFonts w:hint="eastAsia" w:ascii="宋体" w:hAnsi="宋体"/>
          <w:bCs/>
          <w:sz w:val="20"/>
          <w:szCs w:val="20"/>
        </w:rPr>
        <w:t xml:space="preserve">  支护结构应进行质量检测，检测方法及检测要求应符合相关标准的规定。</w:t>
      </w:r>
    </w:p>
    <w:p w14:paraId="6299EA50">
      <w:pPr>
        <w:adjustRightInd w:val="0"/>
        <w:snapToGrid w:val="0"/>
        <w:spacing w:line="288" w:lineRule="auto"/>
        <w:rPr>
          <w:rFonts w:ascii="宋体" w:hAnsi="宋体"/>
          <w:bCs/>
          <w:sz w:val="20"/>
          <w:szCs w:val="20"/>
        </w:rPr>
      </w:pPr>
      <w:r>
        <w:rPr>
          <w:b/>
          <w:sz w:val="20"/>
          <w:szCs w:val="20"/>
        </w:rPr>
        <w:t xml:space="preserve">3.4.3 </w:t>
      </w:r>
      <w:r>
        <w:rPr>
          <w:rFonts w:hint="eastAsia" w:ascii="宋体" w:hAnsi="宋体"/>
          <w:bCs/>
          <w:sz w:val="20"/>
          <w:szCs w:val="20"/>
        </w:rPr>
        <w:t xml:space="preserve"> 检测工作结束后应提交包括下列内容的质量检测报告：</w:t>
      </w:r>
    </w:p>
    <w:p w14:paraId="13F825B9">
      <w:pPr>
        <w:adjustRightInd w:val="0"/>
        <w:snapToGrid w:val="0"/>
        <w:spacing w:line="288" w:lineRule="auto"/>
        <w:ind w:firstLine="402" w:firstLineChars="200"/>
        <w:rPr>
          <w:rFonts w:ascii="宋体" w:hAnsi="宋体"/>
          <w:bCs/>
          <w:sz w:val="20"/>
          <w:szCs w:val="20"/>
        </w:rPr>
      </w:pPr>
      <w:r>
        <w:rPr>
          <w:b/>
          <w:bCs/>
          <w:sz w:val="20"/>
          <w:szCs w:val="20"/>
        </w:rPr>
        <w:t>1</w:t>
      </w:r>
      <w:r>
        <w:rPr>
          <w:rFonts w:hint="eastAsia" w:ascii="宋体" w:hAnsi="宋体"/>
          <w:sz w:val="20"/>
          <w:szCs w:val="20"/>
        </w:rPr>
        <w:t xml:space="preserve">  </w:t>
      </w:r>
      <w:r>
        <w:rPr>
          <w:rFonts w:hint="eastAsia" w:ascii="宋体" w:hAnsi="宋体"/>
          <w:bCs/>
          <w:sz w:val="20"/>
          <w:szCs w:val="20"/>
        </w:rPr>
        <w:t>检测点分布图；</w:t>
      </w:r>
    </w:p>
    <w:p w14:paraId="33A542C1">
      <w:pPr>
        <w:adjustRightInd w:val="0"/>
        <w:snapToGrid w:val="0"/>
        <w:spacing w:line="288" w:lineRule="auto"/>
        <w:ind w:firstLine="402" w:firstLineChars="200"/>
        <w:rPr>
          <w:rFonts w:ascii="宋体" w:hAnsi="宋体"/>
          <w:bCs/>
          <w:sz w:val="20"/>
          <w:szCs w:val="20"/>
        </w:rPr>
      </w:pPr>
      <w:r>
        <w:rPr>
          <w:b/>
          <w:bCs/>
          <w:sz w:val="20"/>
          <w:szCs w:val="20"/>
        </w:rPr>
        <w:t xml:space="preserve">2  </w:t>
      </w:r>
      <w:r>
        <w:rPr>
          <w:rFonts w:hint="eastAsia" w:ascii="宋体" w:hAnsi="宋体"/>
          <w:bCs/>
          <w:sz w:val="20"/>
          <w:szCs w:val="20"/>
        </w:rPr>
        <w:t>检测方法、仪器设备型号及有效计量周期；</w:t>
      </w:r>
    </w:p>
    <w:p w14:paraId="47DC9166">
      <w:pPr>
        <w:adjustRightInd w:val="0"/>
        <w:snapToGrid w:val="0"/>
        <w:spacing w:line="288" w:lineRule="auto"/>
        <w:ind w:firstLine="402" w:firstLineChars="200"/>
        <w:rPr>
          <w:rFonts w:ascii="宋体" w:hAnsi="宋体"/>
          <w:bCs/>
          <w:sz w:val="20"/>
          <w:szCs w:val="20"/>
        </w:rPr>
      </w:pPr>
      <w:r>
        <w:rPr>
          <w:b/>
          <w:bCs/>
          <w:sz w:val="20"/>
          <w:szCs w:val="20"/>
        </w:rPr>
        <w:t>3</w:t>
      </w:r>
      <w:r>
        <w:rPr>
          <w:rFonts w:hint="eastAsia" w:ascii="宋体" w:hAnsi="宋体"/>
          <w:sz w:val="20"/>
          <w:szCs w:val="20"/>
        </w:rPr>
        <w:t xml:space="preserve">  </w:t>
      </w:r>
      <w:r>
        <w:rPr>
          <w:rFonts w:hint="eastAsia" w:ascii="宋体" w:hAnsi="宋体"/>
          <w:bCs/>
          <w:sz w:val="20"/>
          <w:szCs w:val="20"/>
        </w:rPr>
        <w:t xml:space="preserve">资料整理及分析的方法； </w:t>
      </w:r>
    </w:p>
    <w:p w14:paraId="213340F6">
      <w:pPr>
        <w:adjustRightInd w:val="0"/>
        <w:snapToGrid w:val="0"/>
        <w:spacing w:line="288" w:lineRule="auto"/>
        <w:ind w:firstLine="402" w:firstLineChars="200"/>
        <w:rPr>
          <w:rFonts w:ascii="宋体" w:hAnsi="宋体"/>
          <w:bCs/>
          <w:sz w:val="20"/>
          <w:szCs w:val="20"/>
        </w:rPr>
      </w:pPr>
      <w:r>
        <w:rPr>
          <w:b/>
          <w:bCs/>
          <w:sz w:val="20"/>
          <w:szCs w:val="20"/>
        </w:rPr>
        <w:t>4</w:t>
      </w:r>
      <w:r>
        <w:rPr>
          <w:rFonts w:hint="eastAsia" w:ascii="宋体" w:hAnsi="宋体"/>
          <w:bCs/>
          <w:sz w:val="20"/>
          <w:szCs w:val="20"/>
        </w:rPr>
        <w:t xml:space="preserve">  结论及处理意见。</w:t>
      </w:r>
    </w:p>
    <w:p w14:paraId="25930B65">
      <w:pPr>
        <w:adjustRightInd w:val="0"/>
        <w:snapToGrid w:val="0"/>
        <w:spacing w:line="288" w:lineRule="auto"/>
        <w:rPr>
          <w:rFonts w:ascii="宋体" w:hAnsi="宋体"/>
          <w:bCs/>
          <w:sz w:val="20"/>
          <w:szCs w:val="20"/>
        </w:rPr>
      </w:pPr>
      <w:r>
        <w:rPr>
          <w:b/>
          <w:sz w:val="20"/>
          <w:szCs w:val="20"/>
        </w:rPr>
        <w:t>3.4.4</w:t>
      </w:r>
      <w:r>
        <w:rPr>
          <w:rFonts w:hint="eastAsia" w:ascii="宋体" w:hAnsi="宋体"/>
          <w:bCs/>
          <w:sz w:val="20"/>
          <w:szCs w:val="20"/>
        </w:rPr>
        <w:t xml:space="preserve">  土方开挖时，应对土层实际分层厚度、土性状态、地下水情况等与勘察报告的一致性进行核实。</w:t>
      </w:r>
    </w:p>
    <w:p w14:paraId="1A8ED5EF">
      <w:pPr>
        <w:pStyle w:val="2"/>
      </w:pPr>
      <w:r>
        <w:br w:type="page"/>
      </w:r>
    </w:p>
    <w:p w14:paraId="2D36E6C4">
      <w:pPr>
        <w:pStyle w:val="5"/>
        <w:keepNext w:val="0"/>
        <w:keepLines w:val="0"/>
        <w:adjustRightInd w:val="0"/>
        <w:snapToGrid w:val="0"/>
        <w:spacing w:before="156" w:beforeLines="50" w:after="312" w:afterLines="100" w:line="288" w:lineRule="auto"/>
        <w:jc w:val="center"/>
        <w:rPr>
          <w:rFonts w:ascii="Times New Roman" w:hAnsi="Times New Roman"/>
          <w:b w:val="0"/>
          <w:bCs w:val="0"/>
          <w:sz w:val="26"/>
          <w:szCs w:val="26"/>
        </w:rPr>
      </w:pPr>
      <w:bookmarkStart w:id="27" w:name="_Toc139613711"/>
      <w:r>
        <w:rPr>
          <w:rFonts w:ascii="Times New Roman" w:hAnsi="Times New Roman"/>
          <w:sz w:val="26"/>
          <w:szCs w:val="26"/>
        </w:rPr>
        <w:t xml:space="preserve">4 </w:t>
      </w:r>
      <w:r>
        <w:rPr>
          <w:rFonts w:ascii="Times New Roman" w:hAnsi="Times New Roman"/>
          <w:b w:val="0"/>
          <w:bCs w:val="0"/>
          <w:sz w:val="26"/>
          <w:szCs w:val="26"/>
        </w:rPr>
        <w:t xml:space="preserve"> 勘察</w:t>
      </w:r>
      <w:r>
        <w:rPr>
          <w:rFonts w:hint="eastAsia" w:ascii="Times New Roman" w:hAnsi="Times New Roman"/>
          <w:b w:val="0"/>
          <w:bCs w:val="0"/>
          <w:sz w:val="26"/>
          <w:szCs w:val="26"/>
        </w:rPr>
        <w:t>与周边环境调查</w:t>
      </w:r>
      <w:bookmarkEnd w:id="27"/>
    </w:p>
    <w:p w14:paraId="24EE8436">
      <w:pPr>
        <w:pStyle w:val="7"/>
        <w:keepNext w:val="0"/>
        <w:keepLines w:val="0"/>
        <w:adjustRightInd w:val="0"/>
        <w:snapToGrid w:val="0"/>
        <w:spacing w:before="312" w:beforeLines="100" w:after="312" w:afterLines="100" w:line="288" w:lineRule="auto"/>
        <w:jc w:val="center"/>
        <w:rPr>
          <w:rFonts w:eastAsia="黑体"/>
          <w:b w:val="0"/>
          <w:bCs w:val="0"/>
          <w:sz w:val="20"/>
          <w:szCs w:val="20"/>
        </w:rPr>
      </w:pPr>
      <w:bookmarkStart w:id="28" w:name="_Toc139613712"/>
      <w:r>
        <w:rPr>
          <w:rFonts w:eastAsia="黑体"/>
          <w:sz w:val="20"/>
          <w:szCs w:val="20"/>
        </w:rPr>
        <w:t>4.1</w:t>
      </w:r>
      <w:r>
        <w:rPr>
          <w:rFonts w:eastAsia="黑体"/>
          <w:b w:val="0"/>
          <w:bCs w:val="0"/>
          <w:sz w:val="20"/>
          <w:szCs w:val="20"/>
        </w:rPr>
        <w:t xml:space="preserve"> 一般规定</w:t>
      </w:r>
      <w:bookmarkEnd w:id="28"/>
      <w:r>
        <w:rPr>
          <w:rFonts w:eastAsia="黑体"/>
          <w:b w:val="0"/>
          <w:bCs w:val="0"/>
          <w:sz w:val="20"/>
          <w:szCs w:val="20"/>
        </w:rPr>
        <w:t xml:space="preserve"> </w:t>
      </w:r>
    </w:p>
    <w:p w14:paraId="6EAC546E">
      <w:pPr>
        <w:adjustRightInd w:val="0"/>
        <w:snapToGrid w:val="0"/>
        <w:spacing w:line="288" w:lineRule="auto"/>
        <w:rPr>
          <w:sz w:val="20"/>
          <w:szCs w:val="20"/>
        </w:rPr>
      </w:pPr>
      <w:r>
        <w:rPr>
          <w:b/>
          <w:bCs/>
          <w:kern w:val="0"/>
          <w:sz w:val="20"/>
          <w:szCs w:val="20"/>
        </w:rPr>
        <w:t>4.1.1</w:t>
      </w:r>
      <w:r>
        <w:rPr>
          <w:sz w:val="20"/>
          <w:szCs w:val="20"/>
        </w:rPr>
        <w:t xml:space="preserve">  岩土工程勘察应包括基坑工程勘察的内容，并最终提供满足基坑工程设计要求的勘察成果。 </w:t>
      </w:r>
    </w:p>
    <w:p w14:paraId="04394BB4">
      <w:pPr>
        <w:adjustRightInd w:val="0"/>
        <w:snapToGrid w:val="0"/>
        <w:spacing w:line="288" w:lineRule="auto"/>
        <w:rPr>
          <w:sz w:val="20"/>
          <w:szCs w:val="20"/>
        </w:rPr>
      </w:pPr>
      <w:r>
        <w:rPr>
          <w:b/>
          <w:bCs/>
          <w:kern w:val="0"/>
          <w:sz w:val="20"/>
          <w:szCs w:val="20"/>
        </w:rPr>
        <w:t xml:space="preserve">4.1.2 </w:t>
      </w:r>
      <w:r>
        <w:rPr>
          <w:sz w:val="20"/>
          <w:szCs w:val="20"/>
        </w:rPr>
        <w:t xml:space="preserve"> 在拟建工程的初步勘察阶段，应搜集拟建场区及周围的工程地质和水文地质资料，进行工程地质调查，在现场勘测与室内试验工作基础上，对岩土工程条件进行初步分析，预测基坑工程中可能产生的主要岩土工程问题。</w:t>
      </w:r>
    </w:p>
    <w:p w14:paraId="25A129F6">
      <w:pPr>
        <w:adjustRightInd w:val="0"/>
        <w:snapToGrid w:val="0"/>
        <w:spacing w:line="288" w:lineRule="auto"/>
        <w:rPr>
          <w:sz w:val="20"/>
          <w:szCs w:val="20"/>
        </w:rPr>
      </w:pPr>
      <w:r>
        <w:rPr>
          <w:b/>
          <w:bCs/>
          <w:kern w:val="0"/>
          <w:sz w:val="20"/>
          <w:szCs w:val="20"/>
        </w:rPr>
        <w:t>4.1.3</w:t>
      </w:r>
      <w:r>
        <w:rPr>
          <w:bCs/>
          <w:sz w:val="20"/>
          <w:szCs w:val="20"/>
        </w:rPr>
        <w:t xml:space="preserve">  </w:t>
      </w:r>
      <w:r>
        <w:rPr>
          <w:sz w:val="20"/>
          <w:szCs w:val="20"/>
        </w:rPr>
        <w:t>详细勘察成果应包括基坑工程设计、施工所需的场地、岩土地层和地下水等基础资料，对基坑工程支护和地下水控制方案提出建议。当已完成的详勘资料不能满足基坑工程设计和施工需要时，应为基坑设计专门进行补充勘察或专项勘察。施工开挖揭露地质条件存在重大变化或有特殊要求的工程，应进行施工勘察。</w:t>
      </w:r>
    </w:p>
    <w:p w14:paraId="4B8B9BE0">
      <w:pPr>
        <w:adjustRightInd w:val="0"/>
        <w:snapToGrid w:val="0"/>
        <w:spacing w:line="288" w:lineRule="auto"/>
        <w:rPr>
          <w:sz w:val="20"/>
          <w:szCs w:val="20"/>
        </w:rPr>
      </w:pPr>
      <w:r>
        <w:rPr>
          <w:b/>
          <w:bCs/>
          <w:kern w:val="0"/>
          <w:sz w:val="20"/>
          <w:szCs w:val="20"/>
        </w:rPr>
        <w:t>4.1.4</w:t>
      </w:r>
      <w:r>
        <w:rPr>
          <w:bCs/>
          <w:sz w:val="20"/>
          <w:szCs w:val="20"/>
        </w:rPr>
        <w:t xml:space="preserve">  当场地水文地质条件复杂，在基坑开挖过程中需要对地下水进行控制，且已有资料不能满足要求时，应</w:t>
      </w:r>
      <w:r>
        <w:rPr>
          <w:sz w:val="20"/>
          <w:szCs w:val="20"/>
        </w:rPr>
        <w:t>进行专门的水文地质勘察。</w:t>
      </w:r>
    </w:p>
    <w:p w14:paraId="51EAD5B6">
      <w:pPr>
        <w:pStyle w:val="2"/>
        <w:ind w:left="0" w:leftChars="0" w:firstLine="0" w:firstLineChars="0"/>
      </w:pPr>
      <w:r>
        <w:rPr>
          <w:b/>
          <w:bCs/>
          <w:kern w:val="0"/>
          <w:sz w:val="20"/>
          <w:szCs w:val="20"/>
        </w:rPr>
        <w:t>4.1.5</w:t>
      </w:r>
      <w:r>
        <w:t xml:space="preserve">  </w:t>
      </w:r>
      <w:r>
        <w:rPr>
          <w:rFonts w:hint="eastAsia"/>
        </w:rPr>
        <w:t>当勘察时间与基坑工程开工时间不在同一季节时，或开工时间相距勘察时间超过1年时，宜对场地地下水水位进行评价或复核。</w:t>
      </w:r>
    </w:p>
    <w:p w14:paraId="1CE1BFB3">
      <w:pPr>
        <w:adjustRightInd w:val="0"/>
        <w:snapToGrid w:val="0"/>
        <w:spacing w:line="288" w:lineRule="auto"/>
        <w:rPr>
          <w:sz w:val="20"/>
          <w:szCs w:val="20"/>
        </w:rPr>
      </w:pPr>
      <w:r>
        <w:rPr>
          <w:b/>
          <w:bCs/>
          <w:kern w:val="0"/>
          <w:sz w:val="20"/>
          <w:szCs w:val="20"/>
        </w:rPr>
        <w:t xml:space="preserve">4.1.6 </w:t>
      </w:r>
      <w:r>
        <w:rPr>
          <w:sz w:val="20"/>
          <w:szCs w:val="20"/>
        </w:rPr>
        <w:t xml:space="preserve"> 在基坑工程的勘察、设计、施工前应开展</w:t>
      </w:r>
      <w:r>
        <w:rPr>
          <w:rFonts w:hint="eastAsia"/>
          <w:sz w:val="20"/>
          <w:szCs w:val="20"/>
        </w:rPr>
        <w:t>周边</w:t>
      </w:r>
      <w:r>
        <w:rPr>
          <w:sz w:val="20"/>
          <w:szCs w:val="20"/>
        </w:rPr>
        <w:t>环境调查工作。当环境条件复杂、保护要求高时，应委托开展</w:t>
      </w:r>
      <w:r>
        <w:rPr>
          <w:rFonts w:hint="eastAsia"/>
          <w:sz w:val="20"/>
          <w:szCs w:val="20"/>
        </w:rPr>
        <w:t>周边</w:t>
      </w:r>
      <w:r>
        <w:rPr>
          <w:sz w:val="20"/>
          <w:szCs w:val="20"/>
        </w:rPr>
        <w:t>环境</w:t>
      </w:r>
      <w:r>
        <w:rPr>
          <w:rFonts w:hint="eastAsia"/>
          <w:sz w:val="20"/>
          <w:szCs w:val="20"/>
        </w:rPr>
        <w:t>专项</w:t>
      </w:r>
      <w:r>
        <w:rPr>
          <w:sz w:val="20"/>
          <w:szCs w:val="20"/>
        </w:rPr>
        <w:t>调查。</w:t>
      </w:r>
    </w:p>
    <w:p w14:paraId="621DA180">
      <w:pPr>
        <w:pStyle w:val="7"/>
        <w:keepNext w:val="0"/>
        <w:keepLines w:val="0"/>
        <w:adjustRightInd w:val="0"/>
        <w:snapToGrid w:val="0"/>
        <w:spacing w:before="312" w:beforeLines="100" w:after="312" w:afterLines="100" w:line="288" w:lineRule="auto"/>
        <w:jc w:val="center"/>
        <w:rPr>
          <w:rFonts w:eastAsia="黑体"/>
          <w:b w:val="0"/>
          <w:bCs w:val="0"/>
          <w:sz w:val="20"/>
          <w:szCs w:val="20"/>
        </w:rPr>
      </w:pPr>
      <w:bookmarkStart w:id="29" w:name="_Toc139613713"/>
      <w:r>
        <w:rPr>
          <w:rFonts w:eastAsia="黑体"/>
          <w:sz w:val="20"/>
          <w:szCs w:val="20"/>
        </w:rPr>
        <w:t>4.2</w:t>
      </w:r>
      <w:r>
        <w:rPr>
          <w:rFonts w:eastAsia="黑体"/>
          <w:b w:val="0"/>
          <w:bCs w:val="0"/>
          <w:sz w:val="20"/>
          <w:szCs w:val="20"/>
        </w:rPr>
        <w:t xml:space="preserve"> 勘察</w:t>
      </w:r>
      <w:bookmarkEnd w:id="29"/>
    </w:p>
    <w:p w14:paraId="18E6249B">
      <w:pPr>
        <w:adjustRightInd w:val="0"/>
        <w:snapToGrid w:val="0"/>
        <w:spacing w:line="288" w:lineRule="auto"/>
        <w:rPr>
          <w:sz w:val="20"/>
          <w:szCs w:val="20"/>
        </w:rPr>
      </w:pPr>
      <w:r>
        <w:rPr>
          <w:b/>
          <w:bCs/>
          <w:kern w:val="0"/>
          <w:sz w:val="20"/>
          <w:szCs w:val="20"/>
        </w:rPr>
        <w:t xml:space="preserve">4.2.1 </w:t>
      </w:r>
      <w:r>
        <w:rPr>
          <w:bCs/>
          <w:sz w:val="20"/>
          <w:szCs w:val="20"/>
        </w:rPr>
        <w:t xml:space="preserve"> </w:t>
      </w:r>
      <w:r>
        <w:rPr>
          <w:rFonts w:hint="eastAsia"/>
          <w:bCs/>
          <w:sz w:val="20"/>
          <w:szCs w:val="20"/>
        </w:rPr>
        <w:t>岩土工程勘察的</w:t>
      </w:r>
      <w:r>
        <w:rPr>
          <w:sz w:val="20"/>
          <w:szCs w:val="20"/>
        </w:rPr>
        <w:t>勘探范围应按场地和地基的复杂程度以及周边环境条件确定。对于水平方向分布稳定的地层单元，勘探测试范围不应小于基坑周边范围。当地层空间分布不稳定、跨越工程地质单元或需查明专门问题时，勘探范围应根据支护设计需要扩大，查明基坑影响范围内的不利岩土层的分布或查明锚杆设计所需的土层参数，外扩范围可达到基坑深度的1倍～2倍。</w:t>
      </w:r>
    </w:p>
    <w:p w14:paraId="77F98850">
      <w:pPr>
        <w:adjustRightInd w:val="0"/>
        <w:snapToGrid w:val="0"/>
        <w:spacing w:line="288" w:lineRule="auto"/>
        <w:rPr>
          <w:sz w:val="20"/>
          <w:szCs w:val="20"/>
        </w:rPr>
      </w:pPr>
      <w:r>
        <w:rPr>
          <w:b/>
          <w:bCs/>
          <w:kern w:val="0"/>
          <w:sz w:val="20"/>
          <w:szCs w:val="20"/>
        </w:rPr>
        <w:t xml:space="preserve">4.2.2 </w:t>
      </w:r>
      <w:r>
        <w:rPr>
          <w:bCs/>
          <w:sz w:val="20"/>
          <w:szCs w:val="20"/>
        </w:rPr>
        <w:t xml:space="preserve"> </w:t>
      </w:r>
      <w:r>
        <w:rPr>
          <w:rFonts w:hint="eastAsia"/>
          <w:bCs/>
          <w:sz w:val="20"/>
          <w:szCs w:val="20"/>
        </w:rPr>
        <w:t>岩土工程勘察的</w:t>
      </w:r>
      <w:r>
        <w:rPr>
          <w:sz w:val="20"/>
          <w:szCs w:val="20"/>
        </w:rPr>
        <w:t>勘探点宜沿基坑边线布置，控制性勘探点不少于勘探点总数的1/3，且每一基坑侧边不宜少于2个控制性勘探点。勘探点间距应按场地和地基的复杂程度确定，当地层水平方向变化大，有相对不利的岩土层或软弱结构面，或遇古河道、沟坑、填土厚度或地层变化大时，应增加勘探点。</w:t>
      </w:r>
    </w:p>
    <w:p w14:paraId="43B52D99">
      <w:pPr>
        <w:adjustRightInd w:val="0"/>
        <w:snapToGrid w:val="0"/>
        <w:spacing w:line="288" w:lineRule="auto"/>
        <w:rPr>
          <w:sz w:val="20"/>
          <w:szCs w:val="20"/>
        </w:rPr>
      </w:pPr>
      <w:r>
        <w:rPr>
          <w:b/>
          <w:bCs/>
          <w:kern w:val="0"/>
          <w:sz w:val="20"/>
          <w:szCs w:val="20"/>
        </w:rPr>
        <w:t xml:space="preserve">4.2.3 </w:t>
      </w:r>
      <w:r>
        <w:rPr>
          <w:bCs/>
          <w:sz w:val="20"/>
          <w:szCs w:val="20"/>
        </w:rPr>
        <w:t xml:space="preserve"> </w:t>
      </w:r>
      <w:r>
        <w:rPr>
          <w:rFonts w:hint="eastAsia"/>
          <w:bCs/>
          <w:sz w:val="20"/>
          <w:szCs w:val="20"/>
        </w:rPr>
        <w:t>岩土工程勘察的</w:t>
      </w:r>
      <w:r>
        <w:rPr>
          <w:sz w:val="20"/>
          <w:szCs w:val="20"/>
        </w:rPr>
        <w:t>勘探孔深度应按场地和地基的复杂程度以及拟建物设计条件确定，并应满足设计计算的要求，其深度不宜小于基坑深度的2倍。在基坑工程勘探深度内遇中等风化及微风化岩石时，可根据岩石类别及支护要求减少深度，岩质基坑的钻孔深度应穿过潜在滑动面并进入稳定岩体3m~5m。</w:t>
      </w:r>
      <w:r>
        <w:rPr>
          <w:rFonts w:hint="eastAsia"/>
          <w:sz w:val="20"/>
          <w:szCs w:val="20"/>
        </w:rPr>
        <w:t>为满足</w:t>
      </w:r>
      <w:r>
        <w:rPr>
          <w:sz w:val="20"/>
          <w:szCs w:val="20"/>
        </w:rPr>
        <w:t>地下水控制</w:t>
      </w:r>
      <w:r>
        <w:rPr>
          <w:rFonts w:hint="eastAsia"/>
          <w:sz w:val="20"/>
          <w:szCs w:val="20"/>
        </w:rPr>
        <w:t>要求</w:t>
      </w:r>
      <w:r>
        <w:rPr>
          <w:sz w:val="20"/>
          <w:szCs w:val="20"/>
        </w:rPr>
        <w:t>，控制性勘探孔应穿透</w:t>
      </w:r>
      <w:r>
        <w:rPr>
          <w:rFonts w:hint="eastAsia"/>
          <w:sz w:val="20"/>
          <w:szCs w:val="20"/>
        </w:rPr>
        <w:t>基底下方影响基坑稳定性最深</w:t>
      </w:r>
      <w:r>
        <w:rPr>
          <w:sz w:val="20"/>
          <w:szCs w:val="20"/>
        </w:rPr>
        <w:t>含水层进入隔水层2m~3m。</w:t>
      </w:r>
    </w:p>
    <w:p w14:paraId="164CAADD">
      <w:pPr>
        <w:adjustRightInd w:val="0"/>
        <w:snapToGrid w:val="0"/>
        <w:spacing w:line="288" w:lineRule="auto"/>
        <w:rPr>
          <w:rFonts w:ascii="宋体" w:hAnsi="宋体"/>
          <w:sz w:val="20"/>
          <w:szCs w:val="20"/>
        </w:rPr>
      </w:pPr>
      <w:r>
        <w:rPr>
          <w:b/>
          <w:bCs/>
          <w:kern w:val="0"/>
          <w:sz w:val="20"/>
          <w:szCs w:val="20"/>
        </w:rPr>
        <w:t xml:space="preserve">4.2.4  </w:t>
      </w:r>
      <w:r>
        <w:rPr>
          <w:rFonts w:hint="eastAsia"/>
          <w:sz w:val="20"/>
          <w:szCs w:val="20"/>
        </w:rPr>
        <w:t>岩土</w:t>
      </w:r>
      <w:r>
        <w:rPr>
          <w:rFonts w:hint="eastAsia" w:ascii="宋体" w:hAnsi="宋体"/>
          <w:sz w:val="20"/>
          <w:szCs w:val="20"/>
        </w:rPr>
        <w:t>工程勘察应开展土的常规物理试验、抗剪强度试验、</w:t>
      </w:r>
      <w:r>
        <w:rPr>
          <w:rFonts w:ascii="宋体" w:hAnsi="宋体"/>
          <w:sz w:val="20"/>
          <w:szCs w:val="20"/>
        </w:rPr>
        <w:t>土</w:t>
      </w:r>
      <w:r>
        <w:rPr>
          <w:rFonts w:hint="eastAsia" w:ascii="宋体" w:hAnsi="宋体"/>
          <w:sz w:val="20"/>
          <w:szCs w:val="20"/>
        </w:rPr>
        <w:t>的渗透性试验和其他基坑工程设计所需的试验。</w:t>
      </w:r>
      <w:r>
        <w:rPr>
          <w:rFonts w:ascii="宋体" w:hAnsi="宋体"/>
          <w:sz w:val="20"/>
          <w:szCs w:val="20"/>
        </w:rPr>
        <w:t>必要时</w:t>
      </w:r>
      <w:r>
        <w:rPr>
          <w:rFonts w:hint="eastAsia" w:ascii="宋体" w:hAnsi="宋体"/>
          <w:sz w:val="20"/>
          <w:szCs w:val="20"/>
        </w:rPr>
        <w:t>应进行回弹再压缩试验、</w:t>
      </w:r>
      <w:r>
        <w:rPr>
          <w:rFonts w:ascii="宋体" w:hAnsi="宋体"/>
          <w:sz w:val="20"/>
          <w:szCs w:val="20"/>
        </w:rPr>
        <w:t>基床系数</w:t>
      </w:r>
      <w:r>
        <w:rPr>
          <w:rFonts w:hint="eastAsia" w:ascii="宋体" w:hAnsi="宋体"/>
          <w:sz w:val="20"/>
          <w:szCs w:val="20"/>
        </w:rPr>
        <w:t>试验、静止土压力系数等指标。对特殊性岩土应作专门性试验。</w:t>
      </w:r>
    </w:p>
    <w:p w14:paraId="36505243">
      <w:pPr>
        <w:adjustRightInd w:val="0"/>
        <w:snapToGrid w:val="0"/>
        <w:spacing w:line="288" w:lineRule="auto"/>
        <w:rPr>
          <w:rFonts w:ascii="宋体" w:hAnsi="宋体"/>
          <w:sz w:val="20"/>
          <w:szCs w:val="20"/>
        </w:rPr>
      </w:pPr>
      <w:r>
        <w:rPr>
          <w:b/>
          <w:bCs/>
          <w:kern w:val="0"/>
          <w:sz w:val="20"/>
          <w:szCs w:val="20"/>
        </w:rPr>
        <w:t>4.2.5</w:t>
      </w:r>
      <w:r>
        <w:rPr>
          <w:rFonts w:hint="eastAsia"/>
          <w:b/>
          <w:bCs/>
          <w:kern w:val="0"/>
          <w:sz w:val="20"/>
          <w:szCs w:val="20"/>
        </w:rPr>
        <w:t xml:space="preserve"> </w:t>
      </w:r>
      <w:r>
        <w:rPr>
          <w:rFonts w:hint="eastAsia" w:ascii="宋体" w:hAnsi="宋体"/>
          <w:bCs/>
          <w:sz w:val="20"/>
          <w:szCs w:val="20"/>
        </w:rPr>
        <w:t xml:space="preserve"> </w:t>
      </w:r>
      <w:r>
        <w:rPr>
          <w:rFonts w:hint="eastAsia" w:ascii="宋体" w:hAnsi="宋体"/>
          <w:sz w:val="20"/>
          <w:szCs w:val="20"/>
        </w:rPr>
        <w:t>抗剪强度指标可根据设计需要或工程经验，采用以下试验方法：</w:t>
      </w:r>
    </w:p>
    <w:p w14:paraId="10CE006B">
      <w:pPr>
        <w:adjustRightInd w:val="0"/>
        <w:snapToGrid w:val="0"/>
        <w:spacing w:line="288" w:lineRule="auto"/>
        <w:ind w:firstLine="405"/>
        <w:rPr>
          <w:rFonts w:ascii="宋体" w:hAnsi="宋体"/>
          <w:sz w:val="20"/>
          <w:szCs w:val="20"/>
        </w:rPr>
      </w:pPr>
      <w:r>
        <w:rPr>
          <w:b/>
          <w:sz w:val="20"/>
          <w:szCs w:val="20"/>
        </w:rPr>
        <w:t>1</w:t>
      </w:r>
      <w:r>
        <w:rPr>
          <w:rFonts w:ascii="宋体" w:hAnsi="宋体"/>
          <w:sz w:val="20"/>
          <w:szCs w:val="20"/>
        </w:rPr>
        <w:t xml:space="preserve">  </w:t>
      </w:r>
      <w:r>
        <w:rPr>
          <w:rFonts w:hint="eastAsia" w:ascii="宋体" w:hAnsi="宋体"/>
          <w:sz w:val="20"/>
          <w:szCs w:val="20"/>
        </w:rPr>
        <w:t>可选择静三轴压缩试验或直接剪切试验。静三轴压缩试验可采用固结不排水（CU</w:t>
      </w:r>
      <w:r>
        <w:rPr>
          <w:rFonts w:ascii="宋体" w:hAnsi="宋体"/>
          <w:sz w:val="20"/>
          <w:szCs w:val="20"/>
        </w:rPr>
        <w:t>）</w:t>
      </w:r>
      <w:r>
        <w:rPr>
          <w:rFonts w:hint="eastAsia" w:ascii="宋体" w:hAnsi="宋体"/>
          <w:sz w:val="20"/>
          <w:szCs w:val="20"/>
        </w:rPr>
        <w:t>试验，直接剪切试验可采用快剪、固结快剪方法；</w:t>
      </w:r>
    </w:p>
    <w:p w14:paraId="2B100432">
      <w:pPr>
        <w:adjustRightInd w:val="0"/>
        <w:snapToGrid w:val="0"/>
        <w:spacing w:line="288" w:lineRule="auto"/>
        <w:ind w:firstLine="405"/>
        <w:rPr>
          <w:rFonts w:ascii="宋体" w:hAnsi="宋体"/>
          <w:sz w:val="20"/>
          <w:szCs w:val="20"/>
        </w:rPr>
      </w:pPr>
      <w:r>
        <w:rPr>
          <w:rFonts w:hint="eastAsia"/>
          <w:b/>
          <w:sz w:val="20"/>
          <w:szCs w:val="20"/>
        </w:rPr>
        <w:t>2</w:t>
      </w:r>
      <w:r>
        <w:rPr>
          <w:rFonts w:ascii="宋体" w:hAnsi="宋体"/>
          <w:sz w:val="20"/>
          <w:szCs w:val="20"/>
        </w:rPr>
        <w:t xml:space="preserve">  </w:t>
      </w:r>
      <w:r>
        <w:rPr>
          <w:rFonts w:hint="eastAsia" w:ascii="宋体" w:hAnsi="宋体"/>
          <w:sz w:val="20"/>
          <w:szCs w:val="20"/>
        </w:rPr>
        <w:t>工况分析需要时，应做残余抗剪强度试验及侧压力系数试验；</w:t>
      </w:r>
    </w:p>
    <w:p w14:paraId="5F140799">
      <w:pPr>
        <w:adjustRightInd w:val="0"/>
        <w:snapToGrid w:val="0"/>
        <w:spacing w:line="288" w:lineRule="auto"/>
        <w:ind w:firstLine="405"/>
        <w:rPr>
          <w:rFonts w:ascii="宋体" w:hAnsi="宋体"/>
          <w:sz w:val="20"/>
          <w:szCs w:val="20"/>
        </w:rPr>
      </w:pPr>
      <w:r>
        <w:rPr>
          <w:rFonts w:hint="eastAsia"/>
          <w:b/>
          <w:sz w:val="20"/>
          <w:szCs w:val="20"/>
        </w:rPr>
        <w:t>3</w:t>
      </w:r>
      <w:r>
        <w:rPr>
          <w:rFonts w:ascii="宋体" w:hAnsi="宋体"/>
          <w:sz w:val="20"/>
          <w:szCs w:val="20"/>
        </w:rPr>
        <w:t xml:space="preserve">  </w:t>
      </w:r>
      <w:r>
        <w:rPr>
          <w:rFonts w:hint="eastAsia" w:ascii="宋体" w:hAnsi="宋体"/>
          <w:sz w:val="20"/>
          <w:szCs w:val="20"/>
        </w:rPr>
        <w:t>对岩质基坑，当存在顺层软弱结构面时，有条件时可进行现场原位剪切试验，</w:t>
      </w:r>
      <w:r>
        <w:rPr>
          <w:rFonts w:ascii="宋体" w:hAnsi="宋体"/>
          <w:sz w:val="20"/>
          <w:szCs w:val="20"/>
        </w:rPr>
        <w:t>或</w:t>
      </w:r>
      <w:r>
        <w:rPr>
          <w:rFonts w:hint="eastAsia" w:ascii="宋体" w:hAnsi="宋体"/>
          <w:sz w:val="20"/>
          <w:szCs w:val="20"/>
        </w:rPr>
        <w:t>进行室内试验，合理确定结构面的抗剪强度指标。</w:t>
      </w:r>
    </w:p>
    <w:p w14:paraId="3A83CF36">
      <w:pPr>
        <w:adjustRightInd w:val="0"/>
        <w:snapToGrid w:val="0"/>
        <w:spacing w:line="288" w:lineRule="auto"/>
        <w:rPr>
          <w:rFonts w:ascii="宋体" w:hAnsi="宋体"/>
          <w:sz w:val="20"/>
          <w:szCs w:val="20"/>
        </w:rPr>
      </w:pPr>
      <w:r>
        <w:rPr>
          <w:rFonts w:hint="eastAsia"/>
          <w:b/>
          <w:bCs/>
          <w:kern w:val="0"/>
          <w:sz w:val="20"/>
          <w:szCs w:val="20"/>
        </w:rPr>
        <w:t>4.2.6</w:t>
      </w:r>
      <w:r>
        <w:rPr>
          <w:rFonts w:hint="eastAsia" w:ascii="宋体" w:hAnsi="宋体"/>
          <w:bCs/>
          <w:sz w:val="20"/>
          <w:szCs w:val="20"/>
        </w:rPr>
        <w:t xml:space="preserve">  针对地下水条件，岩土</w:t>
      </w:r>
      <w:r>
        <w:rPr>
          <w:rFonts w:ascii="宋体" w:hAnsi="宋体"/>
          <w:bCs/>
          <w:sz w:val="20"/>
          <w:szCs w:val="20"/>
        </w:rPr>
        <w:t>工程</w:t>
      </w:r>
      <w:r>
        <w:rPr>
          <w:rFonts w:hint="eastAsia" w:ascii="宋体" w:hAnsi="宋体"/>
          <w:bCs/>
          <w:sz w:val="20"/>
          <w:szCs w:val="20"/>
        </w:rPr>
        <w:t>勘察或</w:t>
      </w:r>
      <w:r>
        <w:rPr>
          <w:rFonts w:hint="eastAsia" w:ascii="宋体" w:hAnsi="宋体"/>
          <w:sz w:val="20"/>
          <w:szCs w:val="20"/>
        </w:rPr>
        <w:t>水文地质勘察工作应符合以下要求：</w:t>
      </w:r>
    </w:p>
    <w:p w14:paraId="56E604E4">
      <w:pPr>
        <w:adjustRightInd w:val="0"/>
        <w:snapToGrid w:val="0"/>
        <w:spacing w:line="288" w:lineRule="auto"/>
        <w:ind w:firstLine="405"/>
        <w:rPr>
          <w:rFonts w:ascii="宋体" w:hAnsi="宋体"/>
          <w:sz w:val="20"/>
          <w:szCs w:val="20"/>
        </w:rPr>
      </w:pPr>
      <w:r>
        <w:rPr>
          <w:b/>
          <w:sz w:val="20"/>
          <w:szCs w:val="20"/>
        </w:rPr>
        <w:t>1</w:t>
      </w:r>
      <w:r>
        <w:rPr>
          <w:rFonts w:ascii="宋体" w:hAnsi="宋体"/>
          <w:sz w:val="20"/>
          <w:szCs w:val="20"/>
        </w:rPr>
        <w:t xml:space="preserve">  </w:t>
      </w:r>
      <w:r>
        <w:rPr>
          <w:rFonts w:hint="eastAsia" w:ascii="宋体" w:hAnsi="宋体"/>
          <w:sz w:val="20"/>
          <w:szCs w:val="20"/>
        </w:rPr>
        <w:t>当地质条件复杂、基坑面积大、降水深时，宜采用现场抽水或注水试验方法确定含水层的水文地质参数。抽水试验应合理布置水位观测孔。</w:t>
      </w:r>
    </w:p>
    <w:p w14:paraId="726EC517">
      <w:pPr>
        <w:adjustRightInd w:val="0"/>
        <w:snapToGrid w:val="0"/>
        <w:spacing w:line="288" w:lineRule="auto"/>
        <w:ind w:firstLine="402" w:firstLineChars="200"/>
        <w:rPr>
          <w:rFonts w:ascii="宋体" w:hAnsi="宋体"/>
          <w:sz w:val="20"/>
          <w:szCs w:val="20"/>
        </w:rPr>
      </w:pPr>
      <w:r>
        <w:rPr>
          <w:b/>
          <w:sz w:val="20"/>
          <w:szCs w:val="20"/>
        </w:rPr>
        <w:t>2</w:t>
      </w:r>
      <w:r>
        <w:rPr>
          <w:rFonts w:ascii="宋体" w:hAnsi="宋体"/>
          <w:bCs/>
          <w:sz w:val="20"/>
          <w:szCs w:val="20"/>
        </w:rPr>
        <w:t xml:space="preserve">  </w:t>
      </w:r>
      <w:r>
        <w:rPr>
          <w:rFonts w:hint="eastAsia" w:ascii="宋体" w:hAnsi="宋体"/>
          <w:sz w:val="20"/>
          <w:szCs w:val="20"/>
        </w:rPr>
        <w:t>查明地下水含水层和隔水层的层位、埋深和分布情况，分层量测地下水位，查明各含水层的补给条件和水力联系；</w:t>
      </w:r>
    </w:p>
    <w:p w14:paraId="483DCE47">
      <w:pPr>
        <w:adjustRightInd w:val="0"/>
        <w:snapToGrid w:val="0"/>
        <w:spacing w:line="288" w:lineRule="auto"/>
        <w:ind w:firstLine="402" w:firstLineChars="200"/>
        <w:rPr>
          <w:rFonts w:ascii="宋体" w:hAnsi="宋体"/>
          <w:sz w:val="20"/>
          <w:szCs w:val="20"/>
        </w:rPr>
      </w:pPr>
      <w:r>
        <w:rPr>
          <w:b/>
          <w:sz w:val="20"/>
          <w:szCs w:val="20"/>
        </w:rPr>
        <w:t xml:space="preserve">3  </w:t>
      </w:r>
      <w:r>
        <w:rPr>
          <w:rFonts w:hint="eastAsia" w:ascii="宋体" w:hAnsi="宋体"/>
          <w:sz w:val="20"/>
          <w:szCs w:val="20"/>
        </w:rPr>
        <w:t>对于含水层以及截水帷幕涉及的主要隔水层，应分层提供渗透系数，</w:t>
      </w:r>
      <w:r>
        <w:rPr>
          <w:rFonts w:ascii="宋体" w:hAnsi="宋体"/>
          <w:sz w:val="20"/>
          <w:szCs w:val="20"/>
        </w:rPr>
        <w:t>必要时</w:t>
      </w:r>
      <w:r>
        <w:rPr>
          <w:rFonts w:hint="eastAsia" w:ascii="宋体" w:hAnsi="宋体"/>
          <w:sz w:val="20"/>
          <w:szCs w:val="20"/>
        </w:rPr>
        <w:t>提供不同降深的涌水量和影响半径；</w:t>
      </w:r>
    </w:p>
    <w:p w14:paraId="2E0C0EC2">
      <w:pPr>
        <w:adjustRightInd w:val="0"/>
        <w:snapToGrid w:val="0"/>
        <w:spacing w:line="288" w:lineRule="auto"/>
        <w:ind w:firstLine="402" w:firstLineChars="200"/>
        <w:rPr>
          <w:rFonts w:ascii="宋体" w:hAnsi="宋体"/>
          <w:sz w:val="20"/>
          <w:szCs w:val="20"/>
        </w:rPr>
      </w:pPr>
      <w:r>
        <w:rPr>
          <w:b/>
          <w:sz w:val="20"/>
          <w:szCs w:val="20"/>
        </w:rPr>
        <w:t>4</w:t>
      </w:r>
      <w:r>
        <w:rPr>
          <w:rFonts w:hint="eastAsia" w:ascii="宋体" w:hAnsi="宋体"/>
          <w:bCs/>
          <w:sz w:val="20"/>
          <w:szCs w:val="20"/>
        </w:rPr>
        <w:t xml:space="preserve">  </w:t>
      </w:r>
      <w:r>
        <w:rPr>
          <w:rFonts w:hint="eastAsia" w:ascii="宋体" w:hAnsi="宋体"/>
          <w:sz w:val="20"/>
          <w:szCs w:val="20"/>
        </w:rPr>
        <w:t>分析施工过程中地下水位变化对支护结构和基坑周边环境的影响，提出应采取的措施；</w:t>
      </w:r>
    </w:p>
    <w:p w14:paraId="1B089853">
      <w:pPr>
        <w:adjustRightInd w:val="0"/>
        <w:snapToGrid w:val="0"/>
        <w:spacing w:line="288" w:lineRule="auto"/>
        <w:ind w:firstLine="402" w:firstLineChars="200"/>
        <w:rPr>
          <w:rFonts w:ascii="宋体" w:hAnsi="宋体"/>
          <w:sz w:val="20"/>
          <w:szCs w:val="20"/>
        </w:rPr>
      </w:pPr>
      <w:r>
        <w:rPr>
          <w:b/>
          <w:sz w:val="20"/>
          <w:szCs w:val="20"/>
        </w:rPr>
        <w:t>5</w: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当基坑附近有地表水体时，</w:t>
      </w:r>
      <w:r>
        <w:rPr>
          <w:rFonts w:ascii="宋体" w:hAnsi="宋体"/>
          <w:sz w:val="20"/>
          <w:szCs w:val="20"/>
        </w:rPr>
        <w:t>宜</w:t>
      </w:r>
      <w:r>
        <w:rPr>
          <w:rFonts w:hint="eastAsia" w:ascii="宋体" w:hAnsi="宋体"/>
          <w:sz w:val="20"/>
          <w:szCs w:val="20"/>
        </w:rPr>
        <w:t>查明</w:t>
      </w:r>
      <w:r>
        <w:rPr>
          <w:rFonts w:ascii="宋体" w:hAnsi="宋体"/>
          <w:sz w:val="20"/>
          <w:szCs w:val="20"/>
        </w:rPr>
        <w:t>地下水</w:t>
      </w:r>
      <w:r>
        <w:rPr>
          <w:rFonts w:hint="eastAsia" w:ascii="宋体" w:hAnsi="宋体"/>
          <w:sz w:val="20"/>
          <w:szCs w:val="20"/>
        </w:rPr>
        <w:t>与地表水的水力联系；</w:t>
      </w:r>
    </w:p>
    <w:p w14:paraId="7FDDCE0A">
      <w:pPr>
        <w:adjustRightInd w:val="0"/>
        <w:snapToGrid w:val="0"/>
        <w:spacing w:line="288" w:lineRule="auto"/>
        <w:ind w:firstLine="402" w:firstLineChars="200"/>
        <w:rPr>
          <w:rFonts w:ascii="宋体" w:hAnsi="宋体"/>
          <w:sz w:val="20"/>
          <w:szCs w:val="20"/>
        </w:rPr>
      </w:pPr>
      <w:r>
        <w:rPr>
          <w:b/>
          <w:sz w:val="20"/>
          <w:szCs w:val="20"/>
        </w:rPr>
        <w:t>6</w:t>
      </w:r>
      <w:r>
        <w:rPr>
          <w:rFonts w:ascii="宋体" w:hAnsi="宋体"/>
          <w:sz w:val="20"/>
          <w:szCs w:val="20"/>
        </w:rPr>
        <w:t xml:space="preserve">  </w:t>
      </w:r>
      <w:r>
        <w:rPr>
          <w:rFonts w:hint="eastAsia" w:ascii="宋体" w:hAnsi="宋体"/>
          <w:sz w:val="20"/>
          <w:szCs w:val="20"/>
        </w:rPr>
        <w:t>需要回灌的工程，可开展回灌试验。</w:t>
      </w:r>
    </w:p>
    <w:p w14:paraId="1AFE7BED">
      <w:pPr>
        <w:adjustRightInd w:val="0"/>
        <w:snapToGrid w:val="0"/>
        <w:spacing w:line="288" w:lineRule="auto"/>
        <w:rPr>
          <w:rFonts w:ascii="宋体" w:hAnsi="宋体"/>
          <w:sz w:val="20"/>
          <w:szCs w:val="20"/>
        </w:rPr>
      </w:pPr>
      <w:r>
        <w:rPr>
          <w:rFonts w:hint="eastAsia"/>
          <w:b/>
          <w:bCs/>
          <w:kern w:val="0"/>
          <w:sz w:val="20"/>
          <w:szCs w:val="20"/>
        </w:rPr>
        <w:t>4.2.7</w:t>
      </w:r>
      <w:r>
        <w:rPr>
          <w:rFonts w:ascii="宋体" w:hAnsi="宋体"/>
          <w:sz w:val="20"/>
          <w:szCs w:val="20"/>
        </w:rPr>
        <w:t xml:space="preserve">  </w:t>
      </w:r>
      <w:r>
        <w:rPr>
          <w:rFonts w:hint="eastAsia" w:ascii="宋体" w:hAnsi="宋体"/>
          <w:sz w:val="20"/>
          <w:szCs w:val="20"/>
        </w:rPr>
        <w:t>基坑内钻探孔进入开挖深度以下承压含水层且承压水对基坑工程有影响时，</w:t>
      </w:r>
      <w:r>
        <w:rPr>
          <w:rFonts w:ascii="宋体" w:hAnsi="宋体"/>
          <w:sz w:val="20"/>
          <w:szCs w:val="20"/>
        </w:rPr>
        <w:t>钻探</w:t>
      </w:r>
      <w:r>
        <w:rPr>
          <w:rFonts w:hint="eastAsia" w:ascii="宋体" w:hAnsi="宋体"/>
          <w:sz w:val="20"/>
          <w:szCs w:val="20"/>
        </w:rPr>
        <w:t>结束后应及时用黏土球等不透水材料封孔。</w:t>
      </w:r>
    </w:p>
    <w:p w14:paraId="1B70A480">
      <w:pPr>
        <w:adjustRightInd w:val="0"/>
        <w:snapToGrid w:val="0"/>
        <w:spacing w:line="288" w:lineRule="auto"/>
        <w:rPr>
          <w:rFonts w:ascii="宋体" w:hAnsi="宋体"/>
          <w:sz w:val="20"/>
          <w:szCs w:val="20"/>
        </w:rPr>
      </w:pPr>
      <w:r>
        <w:rPr>
          <w:rFonts w:hint="eastAsia"/>
          <w:b/>
          <w:bCs/>
          <w:kern w:val="0"/>
          <w:sz w:val="20"/>
          <w:szCs w:val="20"/>
        </w:rPr>
        <w:t>4.2.8</w:t>
      </w:r>
      <w:r>
        <w:rPr>
          <w:rFonts w:ascii="宋体" w:hAnsi="宋体"/>
          <w:bCs/>
          <w:sz w:val="20"/>
          <w:szCs w:val="20"/>
        </w:rPr>
        <w:t xml:space="preserve">  </w:t>
      </w:r>
      <w:r>
        <w:rPr>
          <w:rFonts w:hint="eastAsia" w:ascii="宋体" w:hAnsi="宋体"/>
          <w:sz w:val="20"/>
          <w:szCs w:val="20"/>
        </w:rPr>
        <w:t>勘察成果除应符合一般岩土工程勘察的要求外，针对基坑工程尚应包括下列内容：</w:t>
      </w:r>
    </w:p>
    <w:p w14:paraId="728412A4">
      <w:pPr>
        <w:adjustRightInd w:val="0"/>
        <w:snapToGrid w:val="0"/>
        <w:spacing w:line="288" w:lineRule="auto"/>
        <w:ind w:firstLine="402" w:firstLineChars="200"/>
        <w:rPr>
          <w:rFonts w:ascii="宋体" w:hAnsi="宋体"/>
          <w:sz w:val="20"/>
          <w:szCs w:val="20"/>
        </w:rPr>
      </w:pPr>
      <w:r>
        <w:rPr>
          <w:rFonts w:hint="eastAsia"/>
          <w:b/>
          <w:sz w:val="20"/>
          <w:szCs w:val="20"/>
        </w:rPr>
        <w:t>1</w:t>
      </w:r>
      <w:r>
        <w:rPr>
          <w:rFonts w:hint="eastAsia" w:ascii="宋体" w:hAnsi="宋体"/>
          <w:sz w:val="20"/>
          <w:szCs w:val="20"/>
        </w:rPr>
        <w:t xml:space="preserve">  提供基坑工程设计所需的地层结构、岩土的物理力学性质指标以及含水层水文地质参数；</w:t>
      </w:r>
    </w:p>
    <w:p w14:paraId="432CE519">
      <w:pPr>
        <w:adjustRightInd w:val="0"/>
        <w:snapToGrid w:val="0"/>
        <w:spacing w:line="288" w:lineRule="auto"/>
        <w:ind w:firstLine="402" w:firstLineChars="200"/>
        <w:rPr>
          <w:rFonts w:ascii="宋体" w:hAnsi="宋体"/>
          <w:sz w:val="20"/>
          <w:szCs w:val="20"/>
        </w:rPr>
      </w:pPr>
      <w:r>
        <w:rPr>
          <w:rFonts w:hint="eastAsia"/>
          <w:b/>
          <w:sz w:val="20"/>
          <w:szCs w:val="20"/>
        </w:rPr>
        <w:t xml:space="preserve">2 </w:t>
      </w:r>
      <w:r>
        <w:rPr>
          <w:rFonts w:hint="eastAsia" w:ascii="宋体" w:hAnsi="宋体"/>
          <w:sz w:val="20"/>
          <w:szCs w:val="20"/>
        </w:rPr>
        <w:t xml:space="preserve"> 评价地下水对基坑工程的影响，提出地下水控制方法的建议；</w:t>
      </w:r>
    </w:p>
    <w:p w14:paraId="521C9CEF">
      <w:pPr>
        <w:adjustRightInd w:val="0"/>
        <w:snapToGrid w:val="0"/>
        <w:spacing w:line="288" w:lineRule="auto"/>
        <w:ind w:firstLine="402" w:firstLineChars="200"/>
        <w:rPr>
          <w:rFonts w:ascii="宋体" w:hAnsi="宋体"/>
          <w:sz w:val="20"/>
          <w:szCs w:val="20"/>
        </w:rPr>
      </w:pPr>
      <w:r>
        <w:rPr>
          <w:b/>
          <w:sz w:val="20"/>
          <w:szCs w:val="20"/>
        </w:rPr>
        <w:t>3</w:t>
      </w:r>
      <w:r>
        <w:rPr>
          <w:rFonts w:hint="eastAsia" w:ascii="宋体" w:hAnsi="宋体"/>
          <w:bCs/>
          <w:sz w:val="20"/>
          <w:szCs w:val="20"/>
        </w:rPr>
        <w:t xml:space="preserve">  </w:t>
      </w:r>
      <w:r>
        <w:rPr>
          <w:rFonts w:hint="eastAsia" w:ascii="宋体" w:hAnsi="宋体"/>
          <w:sz w:val="20"/>
          <w:szCs w:val="20"/>
        </w:rPr>
        <w:t>对施工过程中形成的流砂、流土、管涌及整体失稳等现象的可能性进行评价并提出预防措施；对具有特殊性质的岩土，应分析其对基坑工程的影响，并提出对设计施工等相应措施的建议；</w:t>
      </w:r>
    </w:p>
    <w:p w14:paraId="11645545">
      <w:pPr>
        <w:adjustRightInd w:val="0"/>
        <w:snapToGrid w:val="0"/>
        <w:spacing w:line="288" w:lineRule="auto"/>
        <w:ind w:firstLine="402" w:firstLineChars="200"/>
        <w:rPr>
          <w:b/>
          <w:bCs/>
          <w:kern w:val="0"/>
          <w:sz w:val="24"/>
          <w:szCs w:val="24"/>
        </w:rPr>
      </w:pPr>
      <w:r>
        <w:rPr>
          <w:b/>
          <w:sz w:val="20"/>
          <w:szCs w:val="20"/>
        </w:rPr>
        <w:t>4</w:t>
      </w:r>
      <w:r>
        <w:rPr>
          <w:rFonts w:hint="eastAsia"/>
          <w:b/>
          <w:sz w:val="20"/>
          <w:szCs w:val="20"/>
        </w:rPr>
        <w:t xml:space="preserve"> </w:t>
      </w:r>
      <w:r>
        <w:rPr>
          <w:rFonts w:hint="eastAsia" w:ascii="宋体" w:hAnsi="宋体"/>
          <w:bCs/>
          <w:sz w:val="20"/>
          <w:szCs w:val="20"/>
        </w:rPr>
        <w:t xml:space="preserve"> </w:t>
      </w:r>
      <w:r>
        <w:rPr>
          <w:rFonts w:hint="eastAsia" w:ascii="宋体" w:hAnsi="宋体"/>
          <w:sz w:val="20"/>
          <w:szCs w:val="20"/>
        </w:rPr>
        <w:t>评价基坑工程与周边环境的相互影响并提出设计、施工应注意的事项和必要的保护措施的建议</w:t>
      </w:r>
      <w:r>
        <w:rPr>
          <w:rFonts w:hint="eastAsia" w:ascii="宋体" w:hAnsi="宋体"/>
          <w:bCs/>
          <w:sz w:val="20"/>
          <w:szCs w:val="20"/>
        </w:rPr>
        <w:t>。</w:t>
      </w:r>
    </w:p>
    <w:p w14:paraId="269A3CB1">
      <w:pPr>
        <w:pStyle w:val="7"/>
        <w:keepNext w:val="0"/>
        <w:keepLines w:val="0"/>
        <w:adjustRightInd w:val="0"/>
        <w:snapToGrid w:val="0"/>
        <w:spacing w:before="312" w:beforeLines="100" w:after="312" w:afterLines="100" w:line="288" w:lineRule="auto"/>
        <w:jc w:val="center"/>
        <w:rPr>
          <w:rFonts w:eastAsia="黑体"/>
          <w:b w:val="0"/>
          <w:bCs w:val="0"/>
          <w:sz w:val="20"/>
          <w:szCs w:val="20"/>
        </w:rPr>
      </w:pPr>
      <w:bookmarkStart w:id="30" w:name="_Toc139613714"/>
      <w:r>
        <w:rPr>
          <w:rFonts w:eastAsia="黑体"/>
          <w:sz w:val="20"/>
          <w:szCs w:val="20"/>
        </w:rPr>
        <w:t>4.3</w:t>
      </w:r>
      <w:r>
        <w:rPr>
          <w:rFonts w:eastAsia="黑体"/>
          <w:b w:val="0"/>
          <w:bCs w:val="0"/>
          <w:sz w:val="20"/>
          <w:szCs w:val="20"/>
        </w:rPr>
        <w:t xml:space="preserve"> </w:t>
      </w:r>
      <w:r>
        <w:rPr>
          <w:rFonts w:hint="eastAsia" w:eastAsia="黑体"/>
          <w:b w:val="0"/>
          <w:bCs w:val="0"/>
          <w:sz w:val="20"/>
          <w:szCs w:val="20"/>
        </w:rPr>
        <w:t>周边环境调查</w:t>
      </w:r>
      <w:bookmarkEnd w:id="30"/>
    </w:p>
    <w:p w14:paraId="03414C62">
      <w:pPr>
        <w:adjustRightInd w:val="0"/>
        <w:snapToGrid w:val="0"/>
        <w:spacing w:line="288" w:lineRule="auto"/>
        <w:rPr>
          <w:sz w:val="20"/>
          <w:szCs w:val="20"/>
        </w:rPr>
      </w:pPr>
      <w:r>
        <w:rPr>
          <w:b/>
          <w:sz w:val="20"/>
          <w:szCs w:val="20"/>
        </w:rPr>
        <w:t xml:space="preserve">4.3.1  </w:t>
      </w:r>
      <w:r>
        <w:rPr>
          <w:rFonts w:hint="eastAsia"/>
          <w:sz w:val="20"/>
          <w:szCs w:val="20"/>
        </w:rPr>
        <w:t>周边</w:t>
      </w:r>
      <w:r>
        <w:rPr>
          <w:sz w:val="20"/>
          <w:szCs w:val="20"/>
        </w:rPr>
        <w:t>环境调查范围应综合考虑基坑开挖深度、可能采用的</w:t>
      </w:r>
      <w:r>
        <w:rPr>
          <w:rFonts w:hint="eastAsia"/>
          <w:sz w:val="20"/>
          <w:szCs w:val="20"/>
        </w:rPr>
        <w:t>支护结构</w:t>
      </w:r>
      <w:r>
        <w:rPr>
          <w:sz w:val="20"/>
          <w:szCs w:val="20"/>
        </w:rPr>
        <w:t>的影响范围、降水影响范围等因素确定，且不应小于基坑开挖深度的2倍。对邻近铁路、地铁、高等级公路或其他有特殊保护要求的工程，调查范围的确定应按有关规定执行。</w:t>
      </w:r>
    </w:p>
    <w:p w14:paraId="6CF411E4">
      <w:pPr>
        <w:adjustRightInd w:val="0"/>
        <w:snapToGrid w:val="0"/>
        <w:spacing w:line="288" w:lineRule="auto"/>
        <w:rPr>
          <w:sz w:val="20"/>
          <w:szCs w:val="20"/>
        </w:rPr>
      </w:pPr>
      <w:r>
        <w:rPr>
          <w:b/>
          <w:sz w:val="20"/>
          <w:szCs w:val="20"/>
        </w:rPr>
        <w:t xml:space="preserve">4.3.2  </w:t>
      </w:r>
      <w:r>
        <w:rPr>
          <w:rFonts w:hint="eastAsia"/>
          <w:sz w:val="20"/>
          <w:szCs w:val="20"/>
        </w:rPr>
        <w:t>应</w:t>
      </w:r>
      <w:r>
        <w:rPr>
          <w:sz w:val="20"/>
          <w:szCs w:val="20"/>
        </w:rPr>
        <w:t>在基坑工程的勘察、设计、施工阶段各自开展</w:t>
      </w:r>
      <w:r>
        <w:rPr>
          <w:rFonts w:hint="eastAsia"/>
          <w:sz w:val="20"/>
          <w:szCs w:val="20"/>
        </w:rPr>
        <w:t>周边</w:t>
      </w:r>
      <w:r>
        <w:rPr>
          <w:sz w:val="20"/>
          <w:szCs w:val="20"/>
        </w:rPr>
        <w:t>环境调查工作，调查内容及工作深度应符合该阶段基坑工程工作的要求，具体可参照4.3.3条相关要求确定。</w:t>
      </w:r>
    </w:p>
    <w:p w14:paraId="1B35ACC8">
      <w:pPr>
        <w:adjustRightInd w:val="0"/>
        <w:snapToGrid w:val="0"/>
        <w:spacing w:line="288" w:lineRule="auto"/>
        <w:rPr>
          <w:sz w:val="20"/>
          <w:szCs w:val="20"/>
        </w:rPr>
      </w:pPr>
      <w:r>
        <w:rPr>
          <w:b/>
          <w:sz w:val="20"/>
          <w:szCs w:val="20"/>
        </w:rPr>
        <w:t xml:space="preserve">4.3.3 </w:t>
      </w:r>
      <w:r>
        <w:rPr>
          <w:sz w:val="20"/>
          <w:szCs w:val="20"/>
        </w:rPr>
        <w:t xml:space="preserve"> </w:t>
      </w:r>
      <w:r>
        <w:rPr>
          <w:rFonts w:hint="eastAsia"/>
          <w:sz w:val="20"/>
          <w:szCs w:val="20"/>
        </w:rPr>
        <w:t>周边</w:t>
      </w:r>
      <w:r>
        <w:rPr>
          <w:sz w:val="20"/>
          <w:szCs w:val="20"/>
        </w:rPr>
        <w:t xml:space="preserve">环境专项调查工作宜包括以下内容： </w:t>
      </w:r>
    </w:p>
    <w:p w14:paraId="4AC0F72E">
      <w:pPr>
        <w:adjustRightInd w:val="0"/>
        <w:snapToGrid w:val="0"/>
        <w:spacing w:line="288" w:lineRule="auto"/>
        <w:ind w:firstLine="402" w:firstLineChars="200"/>
        <w:rPr>
          <w:sz w:val="20"/>
          <w:szCs w:val="20"/>
        </w:rPr>
      </w:pPr>
      <w:r>
        <w:rPr>
          <w:b/>
          <w:sz w:val="20"/>
          <w:szCs w:val="20"/>
        </w:rPr>
        <w:t>1</w:t>
      </w:r>
      <w:r>
        <w:rPr>
          <w:sz w:val="20"/>
          <w:szCs w:val="20"/>
        </w:rPr>
        <w:t xml:space="preserve">  基坑工程影响范围内或有明确保护要求的既有建筑物的高度、结构类型、层数、基础（含桩基）型式、尺寸、埋深、地基处理设计施工情况和建成时间、沉降变形、损坏情况等使用现状；</w:t>
      </w:r>
    </w:p>
    <w:p w14:paraId="7A3FEDC2">
      <w:pPr>
        <w:adjustRightInd w:val="0"/>
        <w:snapToGrid w:val="0"/>
        <w:spacing w:line="288" w:lineRule="auto"/>
        <w:ind w:firstLine="402" w:firstLineChars="200"/>
        <w:rPr>
          <w:sz w:val="20"/>
          <w:szCs w:val="20"/>
        </w:rPr>
      </w:pPr>
      <w:r>
        <w:rPr>
          <w:b/>
          <w:sz w:val="20"/>
          <w:szCs w:val="20"/>
        </w:rPr>
        <w:t>2</w:t>
      </w:r>
      <w:r>
        <w:rPr>
          <w:sz w:val="20"/>
          <w:szCs w:val="20"/>
        </w:rPr>
        <w:t xml:space="preserve">  保护范围内既有轨道交通工程、铁路工程的设计和施工条件，包括车站及区间的埋深、尺寸、基础型式、施工工法、损坏情况等，以及变形或受力控制要求；</w:t>
      </w:r>
    </w:p>
    <w:p w14:paraId="0B465AE8">
      <w:pPr>
        <w:adjustRightInd w:val="0"/>
        <w:snapToGrid w:val="0"/>
        <w:spacing w:line="288" w:lineRule="auto"/>
        <w:ind w:firstLine="402" w:firstLineChars="200"/>
        <w:rPr>
          <w:sz w:val="20"/>
          <w:szCs w:val="20"/>
        </w:rPr>
      </w:pPr>
      <w:r>
        <w:rPr>
          <w:b/>
          <w:sz w:val="20"/>
          <w:szCs w:val="20"/>
        </w:rPr>
        <w:t xml:space="preserve">3 </w:t>
      </w:r>
      <w:r>
        <w:rPr>
          <w:sz w:val="20"/>
          <w:szCs w:val="20"/>
        </w:rPr>
        <w:t xml:space="preserve"> 文物建筑等保护性建筑的平面位置、名称、保护等级、结构形式等；</w:t>
      </w:r>
    </w:p>
    <w:p w14:paraId="1DD8389D">
      <w:pPr>
        <w:adjustRightInd w:val="0"/>
        <w:snapToGrid w:val="0"/>
        <w:spacing w:line="288" w:lineRule="auto"/>
        <w:ind w:firstLine="402" w:firstLineChars="200"/>
        <w:rPr>
          <w:sz w:val="20"/>
          <w:szCs w:val="20"/>
        </w:rPr>
      </w:pPr>
      <w:r>
        <w:rPr>
          <w:b/>
          <w:sz w:val="20"/>
          <w:szCs w:val="20"/>
        </w:rPr>
        <w:t>4</w:t>
      </w:r>
      <w:r>
        <w:rPr>
          <w:sz w:val="20"/>
          <w:szCs w:val="20"/>
        </w:rPr>
        <w:t xml:space="preserve">  各类地下障碍物的情况及其对施工的影响；</w:t>
      </w:r>
    </w:p>
    <w:p w14:paraId="4872600D">
      <w:pPr>
        <w:adjustRightInd w:val="0"/>
        <w:snapToGrid w:val="0"/>
        <w:spacing w:line="288" w:lineRule="auto"/>
        <w:ind w:firstLine="402" w:firstLineChars="200"/>
        <w:rPr>
          <w:sz w:val="20"/>
          <w:szCs w:val="20"/>
        </w:rPr>
      </w:pPr>
      <w:r>
        <w:rPr>
          <w:b/>
          <w:sz w:val="20"/>
          <w:szCs w:val="20"/>
        </w:rPr>
        <w:t>5</w:t>
      </w:r>
      <w:r>
        <w:rPr>
          <w:sz w:val="20"/>
          <w:szCs w:val="20"/>
        </w:rPr>
        <w:t xml:space="preserve">  各类地下管线的平面位置及埋深、类型、材质、铺设方式、使用情况，对施工振动和变形的承受能力，各类供水、雨水、污水管线的使用情况及其渗漏情况，并分析其对基坑工程的影响程度；</w:t>
      </w:r>
    </w:p>
    <w:p w14:paraId="7144B15F">
      <w:pPr>
        <w:adjustRightInd w:val="0"/>
        <w:snapToGrid w:val="0"/>
        <w:spacing w:line="288" w:lineRule="auto"/>
        <w:ind w:firstLine="402" w:firstLineChars="200"/>
        <w:rPr>
          <w:sz w:val="20"/>
          <w:szCs w:val="20"/>
        </w:rPr>
      </w:pPr>
      <w:r>
        <w:rPr>
          <w:b/>
          <w:sz w:val="20"/>
          <w:szCs w:val="20"/>
        </w:rPr>
        <w:t>6</w:t>
      </w:r>
      <w:r>
        <w:rPr>
          <w:sz w:val="20"/>
          <w:szCs w:val="20"/>
        </w:rPr>
        <w:t xml:space="preserve">  施工可能使用的道路的类型、宽度、限高及最大的车辆载重情况；</w:t>
      </w:r>
    </w:p>
    <w:p w14:paraId="6335AF2A">
      <w:pPr>
        <w:adjustRightInd w:val="0"/>
        <w:snapToGrid w:val="0"/>
        <w:spacing w:line="288" w:lineRule="auto"/>
        <w:ind w:firstLine="402" w:firstLineChars="200"/>
        <w:rPr>
          <w:sz w:val="20"/>
          <w:szCs w:val="20"/>
        </w:rPr>
      </w:pPr>
      <w:r>
        <w:rPr>
          <w:b/>
          <w:sz w:val="20"/>
          <w:szCs w:val="20"/>
        </w:rPr>
        <w:t>7</w:t>
      </w:r>
      <w:r>
        <w:rPr>
          <w:sz w:val="20"/>
          <w:szCs w:val="20"/>
        </w:rPr>
        <w:t xml:space="preserve">  周边可能存在的垃圾填埋场、工业污染场地等污染源及其污染程度，了解污染土主要的污染成分及其可能对施工人员产生的影响；</w:t>
      </w:r>
    </w:p>
    <w:p w14:paraId="7C71A95B">
      <w:pPr>
        <w:adjustRightInd w:val="0"/>
        <w:snapToGrid w:val="0"/>
        <w:spacing w:line="288" w:lineRule="auto"/>
        <w:ind w:firstLine="402" w:firstLineChars="200"/>
        <w:rPr>
          <w:sz w:val="20"/>
          <w:szCs w:val="20"/>
        </w:rPr>
      </w:pPr>
      <w:r>
        <w:rPr>
          <w:b/>
          <w:sz w:val="20"/>
          <w:szCs w:val="20"/>
        </w:rPr>
        <w:t>8</w:t>
      </w:r>
      <w:r>
        <w:rPr>
          <w:sz w:val="20"/>
          <w:szCs w:val="20"/>
        </w:rPr>
        <w:t xml:space="preserve">  邻近既有的</w:t>
      </w:r>
      <w:r>
        <w:rPr>
          <w:rFonts w:hint="eastAsia"/>
          <w:sz w:val="20"/>
          <w:szCs w:val="20"/>
        </w:rPr>
        <w:t>、</w:t>
      </w:r>
      <w:r>
        <w:rPr>
          <w:sz w:val="20"/>
          <w:szCs w:val="20"/>
        </w:rPr>
        <w:t>正在施工的</w:t>
      </w:r>
      <w:r>
        <w:rPr>
          <w:rFonts w:hint="eastAsia"/>
          <w:sz w:val="20"/>
          <w:szCs w:val="20"/>
        </w:rPr>
        <w:t>或即将施工的</w:t>
      </w:r>
      <w:r>
        <w:rPr>
          <w:sz w:val="20"/>
          <w:szCs w:val="20"/>
        </w:rPr>
        <w:t>基坑与地下工程的支护及地下水控制</w:t>
      </w:r>
      <w:r>
        <w:rPr>
          <w:rFonts w:hint="eastAsia"/>
          <w:sz w:val="20"/>
          <w:szCs w:val="20"/>
        </w:rPr>
        <w:t>方案</w:t>
      </w:r>
      <w:r>
        <w:rPr>
          <w:sz w:val="20"/>
          <w:szCs w:val="20"/>
        </w:rPr>
        <w:t>，</w:t>
      </w:r>
      <w:r>
        <w:rPr>
          <w:rFonts w:hint="eastAsia"/>
          <w:sz w:val="20"/>
          <w:szCs w:val="20"/>
        </w:rPr>
        <w:t>以及其</w:t>
      </w:r>
      <w:r>
        <w:rPr>
          <w:sz w:val="20"/>
          <w:szCs w:val="20"/>
        </w:rPr>
        <w:t>施工和使用对本基坑工程的影响；</w:t>
      </w:r>
    </w:p>
    <w:p w14:paraId="064DAE89">
      <w:pPr>
        <w:adjustRightInd w:val="0"/>
        <w:snapToGrid w:val="0"/>
        <w:spacing w:line="288" w:lineRule="auto"/>
        <w:ind w:firstLine="402" w:firstLineChars="200"/>
        <w:rPr>
          <w:sz w:val="20"/>
          <w:szCs w:val="20"/>
        </w:rPr>
      </w:pPr>
      <w:r>
        <w:rPr>
          <w:b/>
          <w:sz w:val="20"/>
          <w:szCs w:val="20"/>
        </w:rPr>
        <w:t xml:space="preserve">9  </w:t>
      </w:r>
      <w:r>
        <w:rPr>
          <w:sz w:val="20"/>
          <w:szCs w:val="20"/>
        </w:rPr>
        <w:t>地表水的汇集和排泄情况，雨季场地周围地表水汇流情况，周边的排水设施及其排放能力及其使用情况；</w:t>
      </w:r>
    </w:p>
    <w:p w14:paraId="69DCFFED">
      <w:pPr>
        <w:adjustRightInd w:val="0"/>
        <w:snapToGrid w:val="0"/>
        <w:spacing w:line="288" w:lineRule="auto"/>
        <w:ind w:firstLine="402" w:firstLineChars="200"/>
        <w:rPr>
          <w:sz w:val="20"/>
          <w:szCs w:val="20"/>
        </w:rPr>
      </w:pPr>
      <w:r>
        <w:rPr>
          <w:b/>
          <w:sz w:val="20"/>
          <w:szCs w:val="20"/>
        </w:rPr>
        <w:t xml:space="preserve">10 </w:t>
      </w:r>
      <w:r>
        <w:rPr>
          <w:sz w:val="20"/>
          <w:szCs w:val="20"/>
        </w:rPr>
        <w:t>基坑周边的各类附加荷载情况</w:t>
      </w:r>
      <w:r>
        <w:rPr>
          <w:rFonts w:hint="eastAsia"/>
          <w:sz w:val="20"/>
          <w:szCs w:val="20"/>
        </w:rPr>
        <w:t>，</w:t>
      </w:r>
      <w:r>
        <w:rPr>
          <w:sz w:val="20"/>
          <w:szCs w:val="20"/>
        </w:rPr>
        <w:t>地上高压线</w:t>
      </w:r>
      <w:r>
        <w:rPr>
          <w:rFonts w:hint="eastAsia"/>
          <w:sz w:val="20"/>
          <w:szCs w:val="20"/>
        </w:rPr>
        <w:t>、</w:t>
      </w:r>
      <w:r>
        <w:rPr>
          <w:sz w:val="20"/>
          <w:szCs w:val="20"/>
        </w:rPr>
        <w:t>结构</w:t>
      </w:r>
      <w:r>
        <w:rPr>
          <w:rFonts w:hint="eastAsia"/>
          <w:sz w:val="20"/>
          <w:szCs w:val="20"/>
        </w:rPr>
        <w:t>外凸等情况对施工形成的限制条件等</w:t>
      </w:r>
      <w:r>
        <w:rPr>
          <w:sz w:val="20"/>
          <w:szCs w:val="20"/>
        </w:rPr>
        <w:t>。</w:t>
      </w:r>
    </w:p>
    <w:p w14:paraId="10D49225">
      <w:pPr>
        <w:pStyle w:val="2"/>
      </w:pPr>
      <w:r>
        <w:br w:type="page"/>
      </w:r>
    </w:p>
    <w:bookmarkEnd w:id="26"/>
    <w:p w14:paraId="470334B5">
      <w:pPr>
        <w:pStyle w:val="5"/>
        <w:keepNext w:val="0"/>
        <w:keepLines w:val="0"/>
        <w:adjustRightInd w:val="0"/>
        <w:snapToGrid w:val="0"/>
        <w:spacing w:before="156" w:beforeLines="50" w:after="312" w:afterLines="100" w:line="288" w:lineRule="auto"/>
        <w:jc w:val="center"/>
        <w:rPr>
          <w:rFonts w:ascii="宋体" w:hAnsi="宋体"/>
          <w:b w:val="0"/>
          <w:sz w:val="20"/>
          <w:szCs w:val="20"/>
        </w:rPr>
      </w:pPr>
      <w:bookmarkStart w:id="31" w:name="_Toc139613715"/>
      <w:bookmarkStart w:id="32" w:name="_Toc413157296"/>
      <w:bookmarkStart w:id="33" w:name="_Toc428777563"/>
      <w:bookmarkStart w:id="34" w:name="_Toc468104704"/>
      <w:bookmarkStart w:id="35" w:name="_Toc413756026"/>
      <w:r>
        <w:rPr>
          <w:rFonts w:ascii="Times New Roman" w:hAnsi="Times New Roman"/>
          <w:bCs w:val="0"/>
          <w:sz w:val="26"/>
          <w:szCs w:val="26"/>
        </w:rPr>
        <w:t>5</w:t>
      </w:r>
      <w:r>
        <w:rPr>
          <w:rFonts w:ascii="Times New Roman" w:hAnsi="Times New Roman"/>
          <w:b w:val="0"/>
          <w:sz w:val="26"/>
          <w:szCs w:val="26"/>
        </w:rPr>
        <w:t xml:space="preserve">  地下水控制</w:t>
      </w:r>
      <w:bookmarkEnd w:id="31"/>
      <w:r>
        <w:rPr>
          <w:rFonts w:hint="eastAsia" w:ascii="Times New Roman" w:hAnsi="Times New Roman"/>
          <w:b w:val="0"/>
          <w:sz w:val="26"/>
          <w:szCs w:val="26"/>
        </w:rPr>
        <w:t xml:space="preserve"> </w:t>
      </w:r>
    </w:p>
    <w:p w14:paraId="0262462F">
      <w:pPr>
        <w:pStyle w:val="7"/>
        <w:keepNext w:val="0"/>
        <w:keepLines w:val="0"/>
        <w:adjustRightInd w:val="0"/>
        <w:snapToGrid w:val="0"/>
        <w:spacing w:before="312" w:beforeLines="100" w:after="312" w:afterLines="100" w:line="288" w:lineRule="auto"/>
        <w:jc w:val="center"/>
        <w:rPr>
          <w:rFonts w:ascii="黑体" w:hAnsi="黑体" w:eastAsia="黑体"/>
          <w:b w:val="0"/>
          <w:sz w:val="20"/>
          <w:szCs w:val="20"/>
        </w:rPr>
      </w:pPr>
      <w:bookmarkStart w:id="36" w:name="_Toc139613716"/>
      <w:r>
        <w:rPr>
          <w:rFonts w:eastAsia="黑体"/>
          <w:sz w:val="20"/>
          <w:szCs w:val="20"/>
        </w:rPr>
        <w:t>5.1</w:t>
      </w:r>
      <w:r>
        <w:rPr>
          <w:rFonts w:hint="eastAsia" w:ascii="黑体" w:hAnsi="黑体" w:eastAsia="黑体"/>
          <w:b w:val="0"/>
          <w:sz w:val="20"/>
          <w:szCs w:val="20"/>
        </w:rPr>
        <w:t xml:space="preserve"> </w:t>
      </w:r>
      <w:r>
        <w:rPr>
          <w:rFonts w:ascii="黑体" w:hAnsi="黑体" w:eastAsia="黑体"/>
          <w:b w:val="0"/>
          <w:sz w:val="20"/>
          <w:szCs w:val="20"/>
        </w:rPr>
        <w:t xml:space="preserve"> </w:t>
      </w:r>
      <w:r>
        <w:rPr>
          <w:rFonts w:hint="eastAsia" w:ascii="黑体" w:hAnsi="黑体" w:eastAsia="黑体"/>
          <w:b w:val="0"/>
          <w:sz w:val="20"/>
          <w:szCs w:val="20"/>
        </w:rPr>
        <w:t>一般规定</w:t>
      </w:r>
      <w:bookmarkEnd w:id="36"/>
    </w:p>
    <w:p w14:paraId="44366AEA">
      <w:pPr>
        <w:adjustRightInd w:val="0"/>
        <w:snapToGrid w:val="0"/>
        <w:spacing w:line="288" w:lineRule="auto"/>
        <w:rPr>
          <w:rFonts w:ascii="宋体" w:hAnsi="宋体"/>
          <w:sz w:val="20"/>
          <w:szCs w:val="20"/>
        </w:rPr>
      </w:pPr>
      <w:r>
        <w:rPr>
          <w:b/>
          <w:bCs/>
          <w:kern w:val="0"/>
          <w:sz w:val="20"/>
          <w:szCs w:val="20"/>
        </w:rPr>
        <w:t>5.1.1</w:t>
      </w:r>
      <w:r>
        <w:rPr>
          <w:rFonts w:ascii="宋体" w:hAnsi="宋体"/>
          <w:bCs/>
          <w:sz w:val="20"/>
          <w:szCs w:val="20"/>
        </w:rPr>
        <w:t xml:space="preserve"> </w:t>
      </w:r>
      <w:r>
        <w:rPr>
          <w:rFonts w:hint="eastAsia" w:ascii="宋体" w:hAnsi="宋体"/>
          <w:bCs/>
          <w:sz w:val="20"/>
          <w:szCs w:val="20"/>
        </w:rPr>
        <w:t xml:space="preserve"> </w:t>
      </w:r>
      <w:r>
        <w:rPr>
          <w:rFonts w:ascii="宋体" w:hAnsi="宋体"/>
          <w:sz w:val="20"/>
          <w:szCs w:val="20"/>
        </w:rPr>
        <w:t>地下水控制应满足下列要求：</w:t>
      </w:r>
    </w:p>
    <w:p w14:paraId="44F533F3">
      <w:pPr>
        <w:adjustRightInd w:val="0"/>
        <w:snapToGrid w:val="0"/>
        <w:spacing w:line="288" w:lineRule="auto"/>
        <w:ind w:firstLine="402" w:firstLineChars="200"/>
        <w:rPr>
          <w:rFonts w:ascii="宋体" w:hAnsi="宋体"/>
          <w:sz w:val="20"/>
          <w:szCs w:val="20"/>
        </w:rPr>
      </w:pPr>
      <w:r>
        <w:rPr>
          <w:b/>
          <w:bCs/>
          <w:sz w:val="20"/>
          <w:szCs w:val="20"/>
        </w:rPr>
        <w:t>1</w:t>
      </w:r>
      <w:r>
        <w:rPr>
          <w:rFonts w:ascii="宋体" w:hAnsi="宋体"/>
          <w:sz w:val="20"/>
          <w:szCs w:val="20"/>
        </w:rPr>
        <w:t xml:space="preserve"> </w:t>
      </w:r>
      <w:r>
        <w:rPr>
          <w:rFonts w:hint="eastAsia" w:ascii="宋体" w:hAnsi="宋体"/>
          <w:sz w:val="20"/>
          <w:szCs w:val="20"/>
        </w:rPr>
        <w:t xml:space="preserve"> </w:t>
      </w:r>
      <w:r>
        <w:rPr>
          <w:rFonts w:ascii="宋体" w:hAnsi="宋体"/>
          <w:sz w:val="20"/>
          <w:szCs w:val="20"/>
        </w:rPr>
        <w:t>基坑支护、土方开挖、地下结构正常施工</w:t>
      </w:r>
      <w:r>
        <w:rPr>
          <w:rFonts w:hint="eastAsia" w:ascii="宋体" w:hAnsi="宋体"/>
          <w:sz w:val="20"/>
          <w:szCs w:val="20"/>
        </w:rPr>
        <w:t>；</w:t>
      </w:r>
    </w:p>
    <w:p w14:paraId="087CA41B">
      <w:pPr>
        <w:adjustRightInd w:val="0"/>
        <w:snapToGrid w:val="0"/>
        <w:spacing w:line="288" w:lineRule="auto"/>
        <w:ind w:firstLine="402" w:firstLineChars="200"/>
        <w:rPr>
          <w:rFonts w:ascii="宋体" w:hAnsi="宋体"/>
          <w:sz w:val="20"/>
          <w:szCs w:val="20"/>
        </w:rPr>
      </w:pPr>
      <w:r>
        <w:rPr>
          <w:b/>
          <w:bCs/>
          <w:sz w:val="20"/>
          <w:szCs w:val="20"/>
        </w:rPr>
        <w:t>2</w:t>
      </w:r>
      <w:r>
        <w:rPr>
          <w:rFonts w:ascii="宋体" w:hAnsi="宋体"/>
          <w:sz w:val="20"/>
          <w:szCs w:val="20"/>
        </w:rPr>
        <w:t xml:space="preserve"> </w:t>
      </w:r>
      <w:r>
        <w:rPr>
          <w:rFonts w:hint="eastAsia" w:ascii="宋体" w:hAnsi="宋体"/>
          <w:sz w:val="20"/>
          <w:szCs w:val="20"/>
        </w:rPr>
        <w:t xml:space="preserve"> </w:t>
      </w:r>
      <w:r>
        <w:rPr>
          <w:rFonts w:ascii="宋体" w:hAnsi="宋体"/>
          <w:sz w:val="20"/>
          <w:szCs w:val="20"/>
        </w:rPr>
        <w:t>基坑或地下工程周边环境不受损害</w:t>
      </w:r>
      <w:r>
        <w:rPr>
          <w:rFonts w:hint="eastAsia" w:ascii="宋体" w:hAnsi="宋体"/>
          <w:sz w:val="20"/>
          <w:szCs w:val="20"/>
        </w:rPr>
        <w:t>；</w:t>
      </w:r>
    </w:p>
    <w:p w14:paraId="6DDBEB68">
      <w:pPr>
        <w:adjustRightInd w:val="0"/>
        <w:snapToGrid w:val="0"/>
        <w:spacing w:line="288" w:lineRule="auto"/>
        <w:ind w:firstLine="402" w:firstLineChars="200"/>
        <w:rPr>
          <w:rFonts w:ascii="宋体" w:hAnsi="宋体"/>
          <w:sz w:val="20"/>
          <w:szCs w:val="20"/>
        </w:rPr>
      </w:pPr>
      <w:r>
        <w:rPr>
          <w:b/>
          <w:bCs/>
          <w:sz w:val="20"/>
          <w:szCs w:val="20"/>
        </w:rPr>
        <w:t>3</w:t>
      </w:r>
      <w:r>
        <w:rPr>
          <w:rFonts w:ascii="宋体" w:hAnsi="宋体"/>
          <w:sz w:val="20"/>
          <w:szCs w:val="20"/>
        </w:rPr>
        <w:t xml:space="preserve"> </w:t>
      </w:r>
      <w:r>
        <w:rPr>
          <w:rFonts w:hint="eastAsia" w:ascii="宋体" w:hAnsi="宋体"/>
          <w:sz w:val="20"/>
          <w:szCs w:val="20"/>
        </w:rPr>
        <w:t xml:space="preserve"> </w:t>
      </w:r>
      <w:r>
        <w:rPr>
          <w:rFonts w:ascii="宋体" w:hAnsi="宋体"/>
          <w:sz w:val="20"/>
          <w:szCs w:val="20"/>
        </w:rPr>
        <w:t>符合地下水资源保护法规规定。</w:t>
      </w:r>
    </w:p>
    <w:p w14:paraId="366217ED">
      <w:pPr>
        <w:adjustRightInd w:val="0"/>
        <w:snapToGrid w:val="0"/>
        <w:spacing w:line="288" w:lineRule="auto"/>
        <w:rPr>
          <w:rFonts w:ascii="宋体" w:hAnsi="宋体"/>
          <w:sz w:val="20"/>
          <w:szCs w:val="20"/>
        </w:rPr>
      </w:pPr>
      <w:r>
        <w:rPr>
          <w:b/>
          <w:bCs/>
          <w:kern w:val="0"/>
          <w:sz w:val="20"/>
          <w:szCs w:val="20"/>
        </w:rPr>
        <w:t>5.1.2</w:t>
      </w:r>
      <w:r>
        <w:rPr>
          <w:rFonts w:hint="eastAsia" w:ascii="宋体" w:hAnsi="宋体"/>
          <w:bCs/>
          <w:sz w:val="20"/>
          <w:szCs w:val="20"/>
        </w:rPr>
        <w:t xml:space="preserve">  </w:t>
      </w:r>
      <w:r>
        <w:rPr>
          <w:rFonts w:hint="eastAsia" w:ascii="宋体" w:hAnsi="宋体"/>
          <w:sz w:val="20"/>
          <w:szCs w:val="20"/>
        </w:rPr>
        <w:t>地下水控制方法分为集水明排、降水、截水和回灌等类型，可单独或组合使用</w:t>
      </w:r>
      <w:r>
        <w:rPr>
          <w:rFonts w:ascii="宋体" w:hAnsi="宋体"/>
          <w:sz w:val="20"/>
          <w:szCs w:val="20"/>
        </w:rPr>
        <w:t>，</w:t>
      </w:r>
      <w:r>
        <w:rPr>
          <w:rFonts w:hint="eastAsia" w:ascii="宋体" w:hAnsi="宋体"/>
          <w:sz w:val="20"/>
          <w:szCs w:val="20"/>
        </w:rPr>
        <w:t>并宜按表</w:t>
      </w:r>
      <w:r>
        <w:rPr>
          <w:sz w:val="20"/>
          <w:szCs w:val="20"/>
        </w:rPr>
        <w:t>5.1.2</w:t>
      </w:r>
      <w:r>
        <w:rPr>
          <w:rFonts w:hint="eastAsia" w:ascii="宋体" w:hAnsi="宋体"/>
          <w:sz w:val="20"/>
          <w:szCs w:val="20"/>
        </w:rPr>
        <w:t>选用。</w:t>
      </w:r>
    </w:p>
    <w:p w14:paraId="70371239">
      <w:pPr>
        <w:adjustRightInd w:val="0"/>
        <w:snapToGrid w:val="0"/>
        <w:spacing w:before="156" w:beforeLines="50" w:after="156" w:afterLines="50" w:line="288" w:lineRule="auto"/>
        <w:jc w:val="center"/>
        <w:rPr>
          <w:rFonts w:ascii="宋体" w:hAnsi="宋体"/>
          <w:b/>
          <w:sz w:val="18"/>
          <w:szCs w:val="18"/>
        </w:rPr>
      </w:pPr>
      <w:r>
        <w:rPr>
          <w:rFonts w:hint="eastAsia" w:ascii="宋体" w:hAnsi="宋体"/>
          <w:b/>
          <w:sz w:val="18"/>
          <w:szCs w:val="18"/>
        </w:rPr>
        <w:t>表</w:t>
      </w:r>
      <w:r>
        <w:rPr>
          <w:b/>
          <w:bCs/>
          <w:sz w:val="18"/>
          <w:szCs w:val="18"/>
        </w:rPr>
        <w:t>5.1.2</w:t>
      </w:r>
      <w:r>
        <w:rPr>
          <w:rFonts w:hint="eastAsia" w:ascii="宋体" w:hAnsi="宋体"/>
          <w:b/>
          <w:sz w:val="18"/>
          <w:szCs w:val="18"/>
        </w:rPr>
        <w:t xml:space="preserve">  地下水控制方法及适用条件</w:t>
      </w:r>
    </w:p>
    <w:tbl>
      <w:tblPr>
        <w:tblStyle w:val="34"/>
        <w:tblW w:w="58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45" w:type="dxa"/>
          <w:left w:w="28" w:type="dxa"/>
          <w:bottom w:w="45" w:type="dxa"/>
          <w:right w:w="28" w:type="dxa"/>
        </w:tblCellMar>
      </w:tblPr>
      <w:tblGrid>
        <w:gridCol w:w="417"/>
        <w:gridCol w:w="815"/>
        <w:gridCol w:w="2702"/>
        <w:gridCol w:w="980"/>
        <w:gridCol w:w="926"/>
      </w:tblGrid>
      <w:tr w14:paraId="412BEE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232" w:type="dxa"/>
            <w:gridSpan w:val="2"/>
            <w:tcBorders>
              <w:top w:val="single" w:color="auto" w:sz="6" w:space="0"/>
              <w:left w:val="single" w:color="auto" w:sz="6" w:space="0"/>
              <w:bottom w:val="single" w:color="auto" w:sz="2" w:space="0"/>
              <w:right w:val="single" w:color="auto" w:sz="2" w:space="0"/>
              <w:tl2br w:val="single" w:color="auto" w:sz="4" w:space="0"/>
            </w:tcBorders>
            <w:vAlign w:val="center"/>
          </w:tcPr>
          <w:p w14:paraId="4E227AD0">
            <w:pPr>
              <w:adjustRightInd w:val="0"/>
              <w:snapToGrid w:val="0"/>
              <w:spacing w:line="264" w:lineRule="auto"/>
              <w:jc w:val="center"/>
              <w:rPr>
                <w:sz w:val="15"/>
                <w:szCs w:val="15"/>
              </w:rPr>
            </w:pPr>
            <w:r>
              <w:rPr>
                <w:sz w:val="15"/>
                <w:szCs w:val="15"/>
              </w:rPr>
              <w:t xml:space="preserve">      适用条件</w:t>
            </w:r>
          </w:p>
          <w:p w14:paraId="295145CC">
            <w:pPr>
              <w:adjustRightInd w:val="0"/>
              <w:snapToGrid w:val="0"/>
              <w:spacing w:line="264" w:lineRule="auto"/>
              <w:ind w:firstLine="150" w:firstLineChars="100"/>
              <w:rPr>
                <w:sz w:val="15"/>
                <w:szCs w:val="15"/>
              </w:rPr>
            </w:pPr>
            <w:r>
              <w:rPr>
                <w:sz w:val="15"/>
                <w:szCs w:val="15"/>
              </w:rPr>
              <w:t>方法</w:t>
            </w:r>
          </w:p>
        </w:tc>
        <w:tc>
          <w:tcPr>
            <w:tcW w:w="2702" w:type="dxa"/>
            <w:tcBorders>
              <w:top w:val="single" w:color="auto" w:sz="6" w:space="0"/>
              <w:left w:val="single" w:color="auto" w:sz="2" w:space="0"/>
              <w:bottom w:val="single" w:color="auto" w:sz="2" w:space="0"/>
              <w:right w:val="single" w:color="auto" w:sz="2" w:space="0"/>
            </w:tcBorders>
            <w:vAlign w:val="center"/>
          </w:tcPr>
          <w:p w14:paraId="57A6F629">
            <w:pPr>
              <w:adjustRightInd w:val="0"/>
              <w:snapToGrid w:val="0"/>
              <w:spacing w:line="264" w:lineRule="auto"/>
              <w:jc w:val="center"/>
              <w:rPr>
                <w:sz w:val="15"/>
                <w:szCs w:val="15"/>
              </w:rPr>
            </w:pPr>
            <w:r>
              <w:rPr>
                <w:sz w:val="15"/>
                <w:szCs w:val="15"/>
              </w:rPr>
              <w:t>土质类别</w:t>
            </w:r>
          </w:p>
        </w:tc>
        <w:tc>
          <w:tcPr>
            <w:tcW w:w="980" w:type="dxa"/>
            <w:tcBorders>
              <w:top w:val="single" w:color="auto" w:sz="6" w:space="0"/>
              <w:left w:val="single" w:color="auto" w:sz="2" w:space="0"/>
              <w:bottom w:val="single" w:color="auto" w:sz="2" w:space="0"/>
              <w:right w:val="single" w:color="auto" w:sz="2" w:space="0"/>
            </w:tcBorders>
            <w:vAlign w:val="center"/>
          </w:tcPr>
          <w:p w14:paraId="43516AE8">
            <w:pPr>
              <w:adjustRightInd w:val="0"/>
              <w:snapToGrid w:val="0"/>
              <w:spacing w:line="264" w:lineRule="auto"/>
              <w:jc w:val="center"/>
              <w:rPr>
                <w:sz w:val="15"/>
                <w:szCs w:val="15"/>
              </w:rPr>
            </w:pPr>
            <w:r>
              <w:rPr>
                <w:sz w:val="15"/>
                <w:szCs w:val="15"/>
              </w:rPr>
              <w:t>渗透系数</w:t>
            </w:r>
          </w:p>
          <w:p w14:paraId="646BE4CB">
            <w:pPr>
              <w:adjustRightInd w:val="0"/>
              <w:snapToGrid w:val="0"/>
              <w:spacing w:line="264" w:lineRule="auto"/>
              <w:jc w:val="center"/>
              <w:rPr>
                <w:sz w:val="15"/>
                <w:szCs w:val="15"/>
              </w:rPr>
            </w:pPr>
            <w:r>
              <w:rPr>
                <w:sz w:val="15"/>
                <w:szCs w:val="15"/>
              </w:rPr>
              <w:t>（m/d）</w:t>
            </w:r>
          </w:p>
        </w:tc>
        <w:tc>
          <w:tcPr>
            <w:tcW w:w="926" w:type="dxa"/>
            <w:tcBorders>
              <w:top w:val="single" w:color="auto" w:sz="6" w:space="0"/>
              <w:left w:val="single" w:color="auto" w:sz="2" w:space="0"/>
              <w:bottom w:val="single" w:color="auto" w:sz="2" w:space="0"/>
              <w:right w:val="single" w:color="auto" w:sz="6" w:space="0"/>
            </w:tcBorders>
            <w:vAlign w:val="center"/>
          </w:tcPr>
          <w:p w14:paraId="250F28D3">
            <w:pPr>
              <w:adjustRightInd w:val="0"/>
              <w:snapToGrid w:val="0"/>
              <w:spacing w:line="264" w:lineRule="auto"/>
              <w:jc w:val="center"/>
              <w:rPr>
                <w:sz w:val="15"/>
                <w:szCs w:val="15"/>
              </w:rPr>
            </w:pPr>
            <w:r>
              <w:rPr>
                <w:sz w:val="15"/>
                <w:szCs w:val="15"/>
              </w:rPr>
              <w:t>降水深度</w:t>
            </w:r>
          </w:p>
          <w:p w14:paraId="606645D5">
            <w:pPr>
              <w:adjustRightInd w:val="0"/>
              <w:snapToGrid w:val="0"/>
              <w:spacing w:line="264" w:lineRule="auto"/>
              <w:jc w:val="center"/>
              <w:rPr>
                <w:sz w:val="15"/>
                <w:szCs w:val="15"/>
              </w:rPr>
            </w:pPr>
            <w:r>
              <w:rPr>
                <w:sz w:val="15"/>
                <w:szCs w:val="15"/>
              </w:rPr>
              <w:t>（m）</w:t>
            </w:r>
          </w:p>
        </w:tc>
      </w:tr>
      <w:tr w14:paraId="25EE5B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232" w:type="dxa"/>
            <w:gridSpan w:val="2"/>
            <w:tcBorders>
              <w:top w:val="single" w:color="auto" w:sz="2" w:space="0"/>
              <w:left w:val="single" w:color="auto" w:sz="6" w:space="0"/>
              <w:bottom w:val="single" w:color="auto" w:sz="2" w:space="0"/>
              <w:right w:val="single" w:color="auto" w:sz="2" w:space="0"/>
            </w:tcBorders>
            <w:vAlign w:val="center"/>
          </w:tcPr>
          <w:p w14:paraId="6350815F">
            <w:pPr>
              <w:adjustRightInd w:val="0"/>
              <w:snapToGrid w:val="0"/>
              <w:spacing w:line="264" w:lineRule="auto"/>
              <w:jc w:val="center"/>
              <w:rPr>
                <w:sz w:val="15"/>
                <w:szCs w:val="15"/>
              </w:rPr>
            </w:pPr>
            <w:r>
              <w:rPr>
                <w:sz w:val="15"/>
                <w:szCs w:val="15"/>
              </w:rPr>
              <w:t>截    水</w:t>
            </w:r>
          </w:p>
        </w:tc>
        <w:tc>
          <w:tcPr>
            <w:tcW w:w="2702" w:type="dxa"/>
            <w:tcBorders>
              <w:top w:val="single" w:color="auto" w:sz="2" w:space="0"/>
              <w:left w:val="single" w:color="auto" w:sz="2" w:space="0"/>
              <w:bottom w:val="single" w:color="auto" w:sz="2" w:space="0"/>
              <w:right w:val="single" w:color="auto" w:sz="2" w:space="0"/>
            </w:tcBorders>
            <w:vAlign w:val="center"/>
          </w:tcPr>
          <w:p w14:paraId="26C33C73">
            <w:pPr>
              <w:adjustRightInd w:val="0"/>
              <w:snapToGrid w:val="0"/>
              <w:spacing w:line="264" w:lineRule="auto"/>
              <w:jc w:val="center"/>
              <w:rPr>
                <w:sz w:val="15"/>
                <w:szCs w:val="15"/>
              </w:rPr>
            </w:pPr>
            <w:r>
              <w:rPr>
                <w:sz w:val="15"/>
                <w:szCs w:val="15"/>
              </w:rPr>
              <w:t>黏性土、粉土、砂土、碎石土、岩石</w:t>
            </w:r>
          </w:p>
        </w:tc>
        <w:tc>
          <w:tcPr>
            <w:tcW w:w="980" w:type="dxa"/>
            <w:tcBorders>
              <w:top w:val="single" w:color="auto" w:sz="2" w:space="0"/>
              <w:left w:val="single" w:color="auto" w:sz="2" w:space="0"/>
              <w:bottom w:val="single" w:color="auto" w:sz="2" w:space="0"/>
              <w:right w:val="single" w:color="auto" w:sz="2" w:space="0"/>
            </w:tcBorders>
            <w:vAlign w:val="center"/>
          </w:tcPr>
          <w:p w14:paraId="10834CD8">
            <w:pPr>
              <w:adjustRightInd w:val="0"/>
              <w:snapToGrid w:val="0"/>
              <w:spacing w:line="264" w:lineRule="auto"/>
              <w:jc w:val="center"/>
              <w:rPr>
                <w:sz w:val="15"/>
                <w:szCs w:val="15"/>
              </w:rPr>
            </w:pPr>
            <w:r>
              <w:rPr>
                <w:sz w:val="15"/>
                <w:szCs w:val="15"/>
              </w:rPr>
              <w:t>不限</w:t>
            </w:r>
          </w:p>
        </w:tc>
        <w:tc>
          <w:tcPr>
            <w:tcW w:w="926" w:type="dxa"/>
            <w:tcBorders>
              <w:top w:val="single" w:color="auto" w:sz="2" w:space="0"/>
              <w:left w:val="single" w:color="auto" w:sz="2" w:space="0"/>
              <w:bottom w:val="single" w:color="auto" w:sz="2" w:space="0"/>
              <w:right w:val="single" w:color="auto" w:sz="6" w:space="0"/>
            </w:tcBorders>
            <w:vAlign w:val="center"/>
          </w:tcPr>
          <w:p w14:paraId="39A4788C">
            <w:pPr>
              <w:adjustRightInd w:val="0"/>
              <w:snapToGrid w:val="0"/>
              <w:spacing w:line="264" w:lineRule="auto"/>
              <w:jc w:val="center"/>
              <w:rPr>
                <w:sz w:val="15"/>
                <w:szCs w:val="15"/>
              </w:rPr>
            </w:pPr>
            <w:r>
              <w:rPr>
                <w:sz w:val="15"/>
                <w:szCs w:val="15"/>
              </w:rPr>
              <w:t>─</w:t>
            </w:r>
          </w:p>
        </w:tc>
      </w:tr>
      <w:tr w14:paraId="6B843B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417" w:type="dxa"/>
            <w:vMerge w:val="restart"/>
            <w:tcBorders>
              <w:top w:val="single" w:color="auto" w:sz="2" w:space="0"/>
              <w:left w:val="single" w:color="auto" w:sz="6" w:space="0"/>
              <w:right w:val="single" w:color="auto" w:sz="2" w:space="0"/>
            </w:tcBorders>
            <w:vAlign w:val="center"/>
          </w:tcPr>
          <w:p w14:paraId="75F11E4C">
            <w:pPr>
              <w:adjustRightInd w:val="0"/>
              <w:snapToGrid w:val="0"/>
              <w:spacing w:line="264" w:lineRule="auto"/>
              <w:jc w:val="center"/>
              <w:rPr>
                <w:sz w:val="15"/>
                <w:szCs w:val="15"/>
              </w:rPr>
            </w:pPr>
            <w:r>
              <w:rPr>
                <w:sz w:val="15"/>
                <w:szCs w:val="15"/>
              </w:rPr>
              <w:t>降</w:t>
            </w:r>
          </w:p>
          <w:p w14:paraId="791DE335">
            <w:pPr>
              <w:adjustRightInd w:val="0"/>
              <w:snapToGrid w:val="0"/>
              <w:spacing w:line="264" w:lineRule="auto"/>
              <w:jc w:val="center"/>
              <w:rPr>
                <w:sz w:val="15"/>
                <w:szCs w:val="15"/>
              </w:rPr>
            </w:pPr>
          </w:p>
          <w:p w14:paraId="4A6550EE">
            <w:pPr>
              <w:adjustRightInd w:val="0"/>
              <w:snapToGrid w:val="0"/>
              <w:spacing w:line="264" w:lineRule="auto"/>
              <w:jc w:val="center"/>
              <w:rPr>
                <w:sz w:val="15"/>
                <w:szCs w:val="15"/>
              </w:rPr>
            </w:pPr>
            <w:r>
              <w:rPr>
                <w:sz w:val="15"/>
                <w:szCs w:val="15"/>
              </w:rPr>
              <w:t>水</w:t>
            </w:r>
          </w:p>
        </w:tc>
        <w:tc>
          <w:tcPr>
            <w:tcW w:w="815" w:type="dxa"/>
            <w:tcBorders>
              <w:top w:val="single" w:color="auto" w:sz="2" w:space="0"/>
              <w:left w:val="single" w:color="auto" w:sz="2" w:space="0"/>
              <w:bottom w:val="single" w:color="auto" w:sz="2" w:space="0"/>
              <w:right w:val="single" w:color="auto" w:sz="2" w:space="0"/>
            </w:tcBorders>
            <w:vAlign w:val="center"/>
          </w:tcPr>
          <w:p w14:paraId="11D75070">
            <w:pPr>
              <w:adjustRightInd w:val="0"/>
              <w:snapToGrid w:val="0"/>
              <w:spacing w:line="264" w:lineRule="auto"/>
              <w:jc w:val="center"/>
              <w:rPr>
                <w:sz w:val="15"/>
                <w:szCs w:val="15"/>
              </w:rPr>
            </w:pPr>
            <w:r>
              <w:rPr>
                <w:sz w:val="15"/>
                <w:szCs w:val="15"/>
              </w:rPr>
              <w:t>真空井点</w:t>
            </w:r>
          </w:p>
        </w:tc>
        <w:tc>
          <w:tcPr>
            <w:tcW w:w="2702" w:type="dxa"/>
            <w:tcBorders>
              <w:top w:val="single" w:color="auto" w:sz="2" w:space="0"/>
              <w:left w:val="single" w:color="auto" w:sz="2" w:space="0"/>
              <w:bottom w:val="single" w:color="auto" w:sz="2" w:space="0"/>
              <w:right w:val="single" w:color="auto" w:sz="2" w:space="0"/>
            </w:tcBorders>
            <w:vAlign w:val="center"/>
          </w:tcPr>
          <w:p w14:paraId="7391A2F7">
            <w:pPr>
              <w:adjustRightInd w:val="0"/>
              <w:snapToGrid w:val="0"/>
              <w:spacing w:line="264" w:lineRule="auto"/>
              <w:jc w:val="center"/>
              <w:rPr>
                <w:sz w:val="15"/>
                <w:szCs w:val="15"/>
              </w:rPr>
            </w:pPr>
            <w:r>
              <w:rPr>
                <w:sz w:val="15"/>
                <w:szCs w:val="15"/>
              </w:rPr>
              <w:t>粉质黏土、粉土、细砂、中细砂</w:t>
            </w:r>
          </w:p>
        </w:tc>
        <w:tc>
          <w:tcPr>
            <w:tcW w:w="980" w:type="dxa"/>
            <w:tcBorders>
              <w:top w:val="single" w:color="auto" w:sz="2" w:space="0"/>
              <w:left w:val="single" w:color="auto" w:sz="2" w:space="0"/>
              <w:bottom w:val="single" w:color="auto" w:sz="2" w:space="0"/>
              <w:right w:val="single" w:color="auto" w:sz="2" w:space="0"/>
            </w:tcBorders>
            <w:vAlign w:val="center"/>
          </w:tcPr>
          <w:p w14:paraId="33769492">
            <w:pPr>
              <w:adjustRightInd w:val="0"/>
              <w:snapToGrid w:val="0"/>
              <w:spacing w:line="264" w:lineRule="auto"/>
              <w:jc w:val="center"/>
              <w:rPr>
                <w:sz w:val="15"/>
                <w:szCs w:val="15"/>
              </w:rPr>
            </w:pPr>
            <w:r>
              <w:rPr>
                <w:sz w:val="15"/>
                <w:szCs w:val="15"/>
              </w:rPr>
              <w:t>0.1～20.0</w:t>
            </w:r>
          </w:p>
        </w:tc>
        <w:tc>
          <w:tcPr>
            <w:tcW w:w="926" w:type="dxa"/>
            <w:tcBorders>
              <w:top w:val="single" w:color="auto" w:sz="2" w:space="0"/>
              <w:left w:val="single" w:color="auto" w:sz="2" w:space="0"/>
              <w:bottom w:val="single" w:color="auto" w:sz="2" w:space="0"/>
              <w:right w:val="single" w:color="auto" w:sz="6" w:space="0"/>
            </w:tcBorders>
            <w:vAlign w:val="center"/>
          </w:tcPr>
          <w:p w14:paraId="2880F303">
            <w:pPr>
              <w:adjustRightInd w:val="0"/>
              <w:snapToGrid w:val="0"/>
              <w:spacing w:line="264" w:lineRule="auto"/>
              <w:jc w:val="center"/>
              <w:rPr>
                <w:sz w:val="15"/>
                <w:szCs w:val="15"/>
              </w:rPr>
            </w:pPr>
            <w:r>
              <w:rPr>
                <w:sz w:val="15"/>
                <w:szCs w:val="15"/>
              </w:rPr>
              <w:t>单级＜6</w:t>
            </w:r>
          </w:p>
          <w:p w14:paraId="380BE2D2">
            <w:pPr>
              <w:adjustRightInd w:val="0"/>
              <w:snapToGrid w:val="0"/>
              <w:spacing w:line="264" w:lineRule="auto"/>
              <w:jc w:val="center"/>
              <w:rPr>
                <w:sz w:val="15"/>
                <w:szCs w:val="15"/>
              </w:rPr>
            </w:pPr>
            <w:r>
              <w:rPr>
                <w:sz w:val="15"/>
                <w:szCs w:val="15"/>
              </w:rPr>
              <w:t>多级＜12</w:t>
            </w:r>
          </w:p>
        </w:tc>
      </w:tr>
      <w:tr w14:paraId="03ADFD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417" w:type="dxa"/>
            <w:vMerge w:val="continue"/>
            <w:tcBorders>
              <w:left w:val="single" w:color="auto" w:sz="6" w:space="0"/>
              <w:right w:val="single" w:color="auto" w:sz="2" w:space="0"/>
            </w:tcBorders>
            <w:vAlign w:val="center"/>
          </w:tcPr>
          <w:p w14:paraId="6E12E518">
            <w:pPr>
              <w:adjustRightInd w:val="0"/>
              <w:snapToGrid w:val="0"/>
              <w:spacing w:line="264" w:lineRule="auto"/>
              <w:jc w:val="center"/>
              <w:rPr>
                <w:sz w:val="15"/>
                <w:szCs w:val="15"/>
              </w:rPr>
            </w:pPr>
          </w:p>
        </w:tc>
        <w:tc>
          <w:tcPr>
            <w:tcW w:w="815" w:type="dxa"/>
            <w:tcBorders>
              <w:top w:val="single" w:color="auto" w:sz="2" w:space="0"/>
              <w:left w:val="single" w:color="auto" w:sz="2" w:space="0"/>
              <w:bottom w:val="single" w:color="auto" w:sz="2" w:space="0"/>
              <w:right w:val="single" w:color="auto" w:sz="2" w:space="0"/>
            </w:tcBorders>
            <w:vAlign w:val="center"/>
          </w:tcPr>
          <w:p w14:paraId="642D4838">
            <w:pPr>
              <w:adjustRightInd w:val="0"/>
              <w:snapToGrid w:val="0"/>
              <w:spacing w:line="264" w:lineRule="auto"/>
              <w:jc w:val="center"/>
              <w:rPr>
                <w:sz w:val="15"/>
                <w:szCs w:val="15"/>
              </w:rPr>
            </w:pPr>
            <w:r>
              <w:rPr>
                <w:sz w:val="15"/>
                <w:szCs w:val="15"/>
              </w:rPr>
              <w:t>喷射井点</w:t>
            </w:r>
          </w:p>
        </w:tc>
        <w:tc>
          <w:tcPr>
            <w:tcW w:w="2702" w:type="dxa"/>
            <w:tcBorders>
              <w:top w:val="single" w:color="auto" w:sz="2" w:space="0"/>
              <w:left w:val="single" w:color="auto" w:sz="2" w:space="0"/>
              <w:bottom w:val="single" w:color="auto" w:sz="2" w:space="0"/>
              <w:right w:val="single" w:color="auto" w:sz="2" w:space="0"/>
            </w:tcBorders>
            <w:vAlign w:val="center"/>
          </w:tcPr>
          <w:p w14:paraId="0290ACDE">
            <w:pPr>
              <w:adjustRightInd w:val="0"/>
              <w:snapToGrid w:val="0"/>
              <w:spacing w:line="264" w:lineRule="auto"/>
              <w:jc w:val="center"/>
              <w:rPr>
                <w:sz w:val="15"/>
                <w:szCs w:val="15"/>
              </w:rPr>
            </w:pPr>
            <w:r>
              <w:rPr>
                <w:sz w:val="15"/>
                <w:szCs w:val="15"/>
              </w:rPr>
              <w:t>粉土、砂土</w:t>
            </w:r>
          </w:p>
        </w:tc>
        <w:tc>
          <w:tcPr>
            <w:tcW w:w="980" w:type="dxa"/>
            <w:tcBorders>
              <w:top w:val="single" w:color="auto" w:sz="2" w:space="0"/>
              <w:left w:val="single" w:color="auto" w:sz="2" w:space="0"/>
              <w:bottom w:val="single" w:color="auto" w:sz="2" w:space="0"/>
              <w:right w:val="single" w:color="auto" w:sz="2" w:space="0"/>
            </w:tcBorders>
            <w:vAlign w:val="center"/>
          </w:tcPr>
          <w:p w14:paraId="2E2990E2">
            <w:pPr>
              <w:adjustRightInd w:val="0"/>
              <w:snapToGrid w:val="0"/>
              <w:spacing w:line="264" w:lineRule="auto"/>
              <w:jc w:val="center"/>
              <w:rPr>
                <w:sz w:val="15"/>
                <w:szCs w:val="15"/>
              </w:rPr>
            </w:pPr>
            <w:r>
              <w:rPr>
                <w:sz w:val="15"/>
                <w:szCs w:val="15"/>
              </w:rPr>
              <w:t>0.1～20.0</w:t>
            </w:r>
          </w:p>
        </w:tc>
        <w:tc>
          <w:tcPr>
            <w:tcW w:w="926" w:type="dxa"/>
            <w:tcBorders>
              <w:top w:val="single" w:color="auto" w:sz="2" w:space="0"/>
              <w:left w:val="single" w:color="auto" w:sz="2" w:space="0"/>
              <w:bottom w:val="single" w:color="auto" w:sz="2" w:space="0"/>
              <w:right w:val="single" w:color="auto" w:sz="6" w:space="0"/>
            </w:tcBorders>
            <w:vAlign w:val="center"/>
          </w:tcPr>
          <w:p w14:paraId="4D58DCC7">
            <w:pPr>
              <w:adjustRightInd w:val="0"/>
              <w:snapToGrid w:val="0"/>
              <w:spacing w:line="264" w:lineRule="auto"/>
              <w:jc w:val="center"/>
              <w:rPr>
                <w:sz w:val="15"/>
                <w:szCs w:val="15"/>
              </w:rPr>
            </w:pPr>
            <w:r>
              <w:rPr>
                <w:sz w:val="15"/>
                <w:szCs w:val="15"/>
              </w:rPr>
              <w:t>＜20</w:t>
            </w:r>
          </w:p>
        </w:tc>
      </w:tr>
      <w:tr w14:paraId="6B22EF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417" w:type="dxa"/>
            <w:vMerge w:val="continue"/>
            <w:tcBorders>
              <w:left w:val="single" w:color="auto" w:sz="6" w:space="0"/>
              <w:right w:val="single" w:color="auto" w:sz="2" w:space="0"/>
            </w:tcBorders>
            <w:vAlign w:val="center"/>
          </w:tcPr>
          <w:p w14:paraId="509743D2">
            <w:pPr>
              <w:adjustRightInd w:val="0"/>
              <w:snapToGrid w:val="0"/>
              <w:spacing w:line="264" w:lineRule="auto"/>
              <w:jc w:val="center"/>
              <w:rPr>
                <w:sz w:val="15"/>
                <w:szCs w:val="15"/>
              </w:rPr>
            </w:pPr>
          </w:p>
        </w:tc>
        <w:tc>
          <w:tcPr>
            <w:tcW w:w="815" w:type="dxa"/>
            <w:tcBorders>
              <w:top w:val="single" w:color="auto" w:sz="2" w:space="0"/>
              <w:left w:val="single" w:color="auto" w:sz="2" w:space="0"/>
              <w:bottom w:val="single" w:color="auto" w:sz="2" w:space="0"/>
              <w:right w:val="single" w:color="auto" w:sz="2" w:space="0"/>
            </w:tcBorders>
            <w:vAlign w:val="center"/>
          </w:tcPr>
          <w:p w14:paraId="7DB78C3F">
            <w:pPr>
              <w:adjustRightInd w:val="0"/>
              <w:snapToGrid w:val="0"/>
              <w:spacing w:line="264" w:lineRule="auto"/>
              <w:jc w:val="center"/>
              <w:rPr>
                <w:sz w:val="15"/>
                <w:szCs w:val="15"/>
              </w:rPr>
            </w:pPr>
            <w:r>
              <w:rPr>
                <w:sz w:val="15"/>
                <w:szCs w:val="15"/>
              </w:rPr>
              <w:t>管    井</w:t>
            </w:r>
          </w:p>
        </w:tc>
        <w:tc>
          <w:tcPr>
            <w:tcW w:w="2702" w:type="dxa"/>
            <w:tcBorders>
              <w:top w:val="single" w:color="auto" w:sz="2" w:space="0"/>
              <w:left w:val="single" w:color="auto" w:sz="2" w:space="0"/>
              <w:bottom w:val="single" w:color="auto" w:sz="2" w:space="0"/>
              <w:right w:val="single" w:color="auto" w:sz="2" w:space="0"/>
            </w:tcBorders>
            <w:vAlign w:val="center"/>
          </w:tcPr>
          <w:p w14:paraId="7357888A">
            <w:pPr>
              <w:adjustRightInd w:val="0"/>
              <w:snapToGrid w:val="0"/>
              <w:spacing w:line="264" w:lineRule="auto"/>
              <w:jc w:val="center"/>
              <w:rPr>
                <w:sz w:val="15"/>
                <w:szCs w:val="15"/>
              </w:rPr>
            </w:pPr>
            <w:r>
              <w:rPr>
                <w:sz w:val="15"/>
                <w:szCs w:val="15"/>
              </w:rPr>
              <w:t>粉质黏土、粉土、砂土、碎石土、岩石</w:t>
            </w:r>
          </w:p>
        </w:tc>
        <w:tc>
          <w:tcPr>
            <w:tcW w:w="980" w:type="dxa"/>
            <w:tcBorders>
              <w:top w:val="single" w:color="auto" w:sz="2" w:space="0"/>
              <w:left w:val="single" w:color="auto" w:sz="2" w:space="0"/>
              <w:bottom w:val="single" w:color="auto" w:sz="2" w:space="0"/>
              <w:right w:val="single" w:color="auto" w:sz="2" w:space="0"/>
            </w:tcBorders>
            <w:vAlign w:val="center"/>
          </w:tcPr>
          <w:p w14:paraId="6EBEAC71">
            <w:pPr>
              <w:adjustRightInd w:val="0"/>
              <w:snapToGrid w:val="0"/>
              <w:spacing w:line="264" w:lineRule="auto"/>
              <w:jc w:val="center"/>
              <w:rPr>
                <w:sz w:val="15"/>
                <w:szCs w:val="15"/>
              </w:rPr>
            </w:pPr>
            <w:r>
              <w:rPr>
                <w:sz w:val="15"/>
                <w:szCs w:val="15"/>
              </w:rPr>
              <w:t>＞1</w:t>
            </w:r>
          </w:p>
        </w:tc>
        <w:tc>
          <w:tcPr>
            <w:tcW w:w="926" w:type="dxa"/>
            <w:tcBorders>
              <w:top w:val="single" w:color="auto" w:sz="2" w:space="0"/>
              <w:left w:val="single" w:color="auto" w:sz="2" w:space="0"/>
              <w:bottom w:val="single" w:color="auto" w:sz="2" w:space="0"/>
              <w:right w:val="single" w:color="auto" w:sz="6" w:space="0"/>
            </w:tcBorders>
            <w:vAlign w:val="center"/>
          </w:tcPr>
          <w:p w14:paraId="346CF60D">
            <w:pPr>
              <w:adjustRightInd w:val="0"/>
              <w:snapToGrid w:val="0"/>
              <w:spacing w:line="264" w:lineRule="auto"/>
              <w:jc w:val="center"/>
              <w:rPr>
                <w:sz w:val="15"/>
                <w:szCs w:val="15"/>
              </w:rPr>
            </w:pPr>
            <w:r>
              <w:rPr>
                <w:sz w:val="15"/>
                <w:szCs w:val="15"/>
              </w:rPr>
              <w:t>不限</w:t>
            </w:r>
          </w:p>
        </w:tc>
      </w:tr>
      <w:tr w14:paraId="3EC22C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417" w:type="dxa"/>
            <w:vMerge w:val="continue"/>
            <w:tcBorders>
              <w:left w:val="single" w:color="auto" w:sz="6" w:space="0"/>
              <w:right w:val="single" w:color="auto" w:sz="2" w:space="0"/>
            </w:tcBorders>
            <w:vAlign w:val="center"/>
          </w:tcPr>
          <w:p w14:paraId="6B0ABE04">
            <w:pPr>
              <w:adjustRightInd w:val="0"/>
              <w:snapToGrid w:val="0"/>
              <w:spacing w:line="264" w:lineRule="auto"/>
              <w:jc w:val="center"/>
              <w:rPr>
                <w:sz w:val="15"/>
                <w:szCs w:val="15"/>
              </w:rPr>
            </w:pPr>
          </w:p>
        </w:tc>
        <w:tc>
          <w:tcPr>
            <w:tcW w:w="815" w:type="dxa"/>
            <w:tcBorders>
              <w:top w:val="single" w:color="auto" w:sz="2" w:space="0"/>
              <w:left w:val="single" w:color="auto" w:sz="2" w:space="0"/>
              <w:bottom w:val="single" w:color="auto" w:sz="2" w:space="0"/>
              <w:right w:val="single" w:color="auto" w:sz="2" w:space="0"/>
            </w:tcBorders>
            <w:vAlign w:val="center"/>
          </w:tcPr>
          <w:p w14:paraId="56FF2314">
            <w:pPr>
              <w:adjustRightInd w:val="0"/>
              <w:snapToGrid w:val="0"/>
              <w:spacing w:line="264" w:lineRule="auto"/>
              <w:jc w:val="center"/>
              <w:rPr>
                <w:sz w:val="15"/>
                <w:szCs w:val="15"/>
              </w:rPr>
            </w:pPr>
            <w:r>
              <w:rPr>
                <w:sz w:val="15"/>
                <w:szCs w:val="15"/>
              </w:rPr>
              <w:t>真空管井</w:t>
            </w:r>
          </w:p>
        </w:tc>
        <w:tc>
          <w:tcPr>
            <w:tcW w:w="2702" w:type="dxa"/>
            <w:tcBorders>
              <w:top w:val="single" w:color="auto" w:sz="2" w:space="0"/>
              <w:left w:val="single" w:color="auto" w:sz="2" w:space="0"/>
              <w:bottom w:val="single" w:color="auto" w:sz="2" w:space="0"/>
              <w:right w:val="single" w:color="auto" w:sz="2" w:space="0"/>
            </w:tcBorders>
            <w:vAlign w:val="center"/>
          </w:tcPr>
          <w:p w14:paraId="55259BFA">
            <w:pPr>
              <w:adjustRightInd w:val="0"/>
              <w:snapToGrid w:val="0"/>
              <w:spacing w:line="264" w:lineRule="auto"/>
              <w:jc w:val="center"/>
              <w:rPr>
                <w:sz w:val="15"/>
                <w:szCs w:val="15"/>
              </w:rPr>
            </w:pPr>
            <w:r>
              <w:rPr>
                <w:sz w:val="15"/>
                <w:szCs w:val="15"/>
              </w:rPr>
              <w:t>粉质黏土、粉土、粉细砂</w:t>
            </w:r>
          </w:p>
        </w:tc>
        <w:tc>
          <w:tcPr>
            <w:tcW w:w="980" w:type="dxa"/>
            <w:tcBorders>
              <w:top w:val="single" w:color="auto" w:sz="2" w:space="0"/>
              <w:left w:val="single" w:color="auto" w:sz="2" w:space="0"/>
              <w:bottom w:val="single" w:color="auto" w:sz="2" w:space="0"/>
              <w:right w:val="single" w:color="auto" w:sz="2" w:space="0"/>
            </w:tcBorders>
            <w:vAlign w:val="center"/>
          </w:tcPr>
          <w:p w14:paraId="54ABA4E0">
            <w:pPr>
              <w:adjustRightInd w:val="0"/>
              <w:snapToGrid w:val="0"/>
              <w:spacing w:line="264" w:lineRule="auto"/>
              <w:jc w:val="center"/>
              <w:rPr>
                <w:sz w:val="15"/>
                <w:szCs w:val="15"/>
              </w:rPr>
            </w:pPr>
            <w:r>
              <w:rPr>
                <w:sz w:val="15"/>
                <w:szCs w:val="15"/>
              </w:rPr>
              <w:t>0.1～20.0</w:t>
            </w:r>
          </w:p>
        </w:tc>
        <w:tc>
          <w:tcPr>
            <w:tcW w:w="926" w:type="dxa"/>
            <w:tcBorders>
              <w:top w:val="single" w:color="auto" w:sz="2" w:space="0"/>
              <w:left w:val="single" w:color="auto" w:sz="2" w:space="0"/>
              <w:bottom w:val="single" w:color="auto" w:sz="2" w:space="0"/>
              <w:right w:val="single" w:color="auto" w:sz="6" w:space="0"/>
            </w:tcBorders>
            <w:vAlign w:val="center"/>
          </w:tcPr>
          <w:p w14:paraId="49B2785A">
            <w:pPr>
              <w:adjustRightInd w:val="0"/>
              <w:snapToGrid w:val="0"/>
              <w:spacing w:line="264" w:lineRule="auto"/>
              <w:jc w:val="center"/>
              <w:rPr>
                <w:sz w:val="15"/>
                <w:szCs w:val="15"/>
              </w:rPr>
            </w:pPr>
            <w:r>
              <w:rPr>
                <w:sz w:val="15"/>
                <w:szCs w:val="15"/>
              </w:rPr>
              <w:t>不限</w:t>
            </w:r>
          </w:p>
        </w:tc>
      </w:tr>
      <w:tr w14:paraId="3A9E70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417" w:type="dxa"/>
            <w:vMerge w:val="continue"/>
            <w:tcBorders>
              <w:left w:val="single" w:color="auto" w:sz="6" w:space="0"/>
              <w:right w:val="single" w:color="auto" w:sz="2" w:space="0"/>
            </w:tcBorders>
            <w:vAlign w:val="center"/>
          </w:tcPr>
          <w:p w14:paraId="5134DF3D">
            <w:pPr>
              <w:adjustRightInd w:val="0"/>
              <w:snapToGrid w:val="0"/>
              <w:spacing w:line="264" w:lineRule="auto"/>
              <w:jc w:val="center"/>
              <w:rPr>
                <w:sz w:val="15"/>
                <w:szCs w:val="15"/>
              </w:rPr>
            </w:pPr>
          </w:p>
        </w:tc>
        <w:tc>
          <w:tcPr>
            <w:tcW w:w="815" w:type="dxa"/>
            <w:tcBorders>
              <w:top w:val="single" w:color="auto" w:sz="2" w:space="0"/>
              <w:left w:val="single" w:color="auto" w:sz="2" w:space="0"/>
              <w:bottom w:val="single" w:color="auto" w:sz="2" w:space="0"/>
              <w:right w:val="single" w:color="auto" w:sz="2" w:space="0"/>
            </w:tcBorders>
            <w:vAlign w:val="center"/>
          </w:tcPr>
          <w:p w14:paraId="5CB41507">
            <w:pPr>
              <w:adjustRightInd w:val="0"/>
              <w:snapToGrid w:val="0"/>
              <w:spacing w:line="264" w:lineRule="auto"/>
              <w:jc w:val="center"/>
              <w:rPr>
                <w:sz w:val="15"/>
                <w:szCs w:val="15"/>
              </w:rPr>
            </w:pPr>
            <w:r>
              <w:rPr>
                <w:sz w:val="15"/>
                <w:szCs w:val="15"/>
              </w:rPr>
              <w:t>渗    井</w:t>
            </w:r>
          </w:p>
        </w:tc>
        <w:tc>
          <w:tcPr>
            <w:tcW w:w="2702" w:type="dxa"/>
            <w:tcBorders>
              <w:top w:val="single" w:color="auto" w:sz="2" w:space="0"/>
              <w:left w:val="single" w:color="auto" w:sz="2" w:space="0"/>
              <w:bottom w:val="single" w:color="auto" w:sz="2" w:space="0"/>
              <w:right w:val="single" w:color="auto" w:sz="2" w:space="0"/>
            </w:tcBorders>
            <w:vAlign w:val="center"/>
          </w:tcPr>
          <w:p w14:paraId="0C47AEF0">
            <w:pPr>
              <w:adjustRightInd w:val="0"/>
              <w:snapToGrid w:val="0"/>
              <w:spacing w:line="264" w:lineRule="auto"/>
              <w:jc w:val="center"/>
              <w:rPr>
                <w:sz w:val="15"/>
                <w:szCs w:val="15"/>
              </w:rPr>
            </w:pPr>
            <w:r>
              <w:rPr>
                <w:sz w:val="15"/>
                <w:szCs w:val="15"/>
              </w:rPr>
              <w:t>粉质黏土、粉土、粉细砂、碎石土</w:t>
            </w:r>
          </w:p>
        </w:tc>
        <w:tc>
          <w:tcPr>
            <w:tcW w:w="980" w:type="dxa"/>
            <w:tcBorders>
              <w:top w:val="single" w:color="auto" w:sz="2" w:space="0"/>
              <w:left w:val="single" w:color="auto" w:sz="2" w:space="0"/>
              <w:bottom w:val="single" w:color="auto" w:sz="2" w:space="0"/>
              <w:right w:val="single" w:color="auto" w:sz="2" w:space="0"/>
            </w:tcBorders>
            <w:vAlign w:val="center"/>
          </w:tcPr>
          <w:p w14:paraId="0DC007CD">
            <w:pPr>
              <w:adjustRightInd w:val="0"/>
              <w:snapToGrid w:val="0"/>
              <w:spacing w:line="264" w:lineRule="auto"/>
              <w:jc w:val="center"/>
              <w:rPr>
                <w:sz w:val="15"/>
                <w:szCs w:val="15"/>
              </w:rPr>
            </w:pPr>
            <w:r>
              <w:rPr>
                <w:sz w:val="15"/>
                <w:szCs w:val="15"/>
              </w:rPr>
              <w:t>＞0.1</w:t>
            </w:r>
          </w:p>
        </w:tc>
        <w:tc>
          <w:tcPr>
            <w:tcW w:w="926" w:type="dxa"/>
            <w:tcBorders>
              <w:top w:val="single" w:color="auto" w:sz="2" w:space="0"/>
              <w:left w:val="single" w:color="auto" w:sz="2" w:space="0"/>
              <w:bottom w:val="single" w:color="auto" w:sz="2" w:space="0"/>
              <w:right w:val="single" w:color="auto" w:sz="6" w:space="0"/>
            </w:tcBorders>
            <w:vAlign w:val="center"/>
          </w:tcPr>
          <w:p w14:paraId="4396F658">
            <w:pPr>
              <w:adjustRightInd w:val="0"/>
              <w:snapToGrid w:val="0"/>
              <w:spacing w:line="264" w:lineRule="auto"/>
              <w:jc w:val="center"/>
              <w:rPr>
                <w:sz w:val="15"/>
                <w:szCs w:val="15"/>
              </w:rPr>
            </w:pPr>
            <w:r>
              <w:rPr>
                <w:sz w:val="15"/>
                <w:szCs w:val="15"/>
              </w:rPr>
              <w:t>不限</w:t>
            </w:r>
          </w:p>
        </w:tc>
      </w:tr>
      <w:tr w14:paraId="036F93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417" w:type="dxa"/>
            <w:vMerge w:val="continue"/>
            <w:tcBorders>
              <w:left w:val="single" w:color="auto" w:sz="6" w:space="0"/>
              <w:right w:val="single" w:color="auto" w:sz="2" w:space="0"/>
            </w:tcBorders>
            <w:vAlign w:val="center"/>
          </w:tcPr>
          <w:p w14:paraId="2C645F27">
            <w:pPr>
              <w:adjustRightInd w:val="0"/>
              <w:snapToGrid w:val="0"/>
              <w:spacing w:line="264" w:lineRule="auto"/>
              <w:jc w:val="center"/>
              <w:rPr>
                <w:sz w:val="15"/>
                <w:szCs w:val="15"/>
              </w:rPr>
            </w:pPr>
          </w:p>
        </w:tc>
        <w:tc>
          <w:tcPr>
            <w:tcW w:w="815" w:type="dxa"/>
            <w:tcBorders>
              <w:top w:val="single" w:color="auto" w:sz="2" w:space="0"/>
              <w:left w:val="single" w:color="auto" w:sz="2" w:space="0"/>
              <w:bottom w:val="single" w:color="auto" w:sz="2" w:space="0"/>
              <w:right w:val="single" w:color="auto" w:sz="2" w:space="0"/>
            </w:tcBorders>
            <w:vAlign w:val="center"/>
          </w:tcPr>
          <w:p w14:paraId="396A5CB1">
            <w:pPr>
              <w:adjustRightInd w:val="0"/>
              <w:snapToGrid w:val="0"/>
              <w:spacing w:line="264" w:lineRule="auto"/>
              <w:jc w:val="center"/>
              <w:rPr>
                <w:sz w:val="15"/>
                <w:szCs w:val="15"/>
              </w:rPr>
            </w:pPr>
            <w:r>
              <w:rPr>
                <w:sz w:val="15"/>
                <w:szCs w:val="15"/>
              </w:rPr>
              <w:t>辐 射 井</w:t>
            </w:r>
          </w:p>
        </w:tc>
        <w:tc>
          <w:tcPr>
            <w:tcW w:w="2702" w:type="dxa"/>
            <w:tcBorders>
              <w:top w:val="single" w:color="auto" w:sz="2" w:space="0"/>
              <w:left w:val="single" w:color="auto" w:sz="2" w:space="0"/>
              <w:bottom w:val="single" w:color="auto" w:sz="2" w:space="0"/>
              <w:right w:val="single" w:color="auto" w:sz="2" w:space="0"/>
            </w:tcBorders>
            <w:vAlign w:val="center"/>
          </w:tcPr>
          <w:p w14:paraId="185B3BD1">
            <w:pPr>
              <w:adjustRightInd w:val="0"/>
              <w:snapToGrid w:val="0"/>
              <w:spacing w:line="264" w:lineRule="auto"/>
              <w:jc w:val="center"/>
              <w:rPr>
                <w:sz w:val="15"/>
                <w:szCs w:val="15"/>
              </w:rPr>
            </w:pPr>
            <w:r>
              <w:rPr>
                <w:sz w:val="15"/>
                <w:szCs w:val="15"/>
              </w:rPr>
              <w:t>粉砂、细砂、中砂、粗砂、卵石和黏性土</w:t>
            </w:r>
          </w:p>
        </w:tc>
        <w:tc>
          <w:tcPr>
            <w:tcW w:w="980" w:type="dxa"/>
            <w:tcBorders>
              <w:top w:val="single" w:color="auto" w:sz="2" w:space="0"/>
              <w:left w:val="single" w:color="auto" w:sz="2" w:space="0"/>
              <w:bottom w:val="single" w:color="auto" w:sz="2" w:space="0"/>
              <w:right w:val="single" w:color="auto" w:sz="2" w:space="0"/>
            </w:tcBorders>
            <w:vAlign w:val="center"/>
          </w:tcPr>
          <w:p w14:paraId="46FE0B6D">
            <w:pPr>
              <w:adjustRightInd w:val="0"/>
              <w:snapToGrid w:val="0"/>
              <w:spacing w:line="264" w:lineRule="auto"/>
              <w:jc w:val="center"/>
              <w:rPr>
                <w:sz w:val="15"/>
                <w:szCs w:val="15"/>
              </w:rPr>
            </w:pPr>
            <w:r>
              <w:rPr>
                <w:sz w:val="15"/>
                <w:szCs w:val="15"/>
              </w:rPr>
              <w:t>＞0.1</w:t>
            </w:r>
          </w:p>
        </w:tc>
        <w:tc>
          <w:tcPr>
            <w:tcW w:w="926" w:type="dxa"/>
            <w:tcBorders>
              <w:top w:val="single" w:color="auto" w:sz="2" w:space="0"/>
              <w:left w:val="single" w:color="auto" w:sz="2" w:space="0"/>
              <w:bottom w:val="single" w:color="auto" w:sz="2" w:space="0"/>
              <w:right w:val="single" w:color="auto" w:sz="6" w:space="0"/>
            </w:tcBorders>
            <w:vAlign w:val="center"/>
          </w:tcPr>
          <w:p w14:paraId="0C44B8B8">
            <w:pPr>
              <w:adjustRightInd w:val="0"/>
              <w:snapToGrid w:val="0"/>
              <w:spacing w:line="264" w:lineRule="auto"/>
              <w:jc w:val="center"/>
              <w:rPr>
                <w:sz w:val="15"/>
                <w:szCs w:val="15"/>
              </w:rPr>
            </w:pPr>
            <w:r>
              <w:rPr>
                <w:sz w:val="15"/>
                <w:szCs w:val="15"/>
              </w:rPr>
              <w:t>不限</w:t>
            </w:r>
          </w:p>
        </w:tc>
      </w:tr>
      <w:tr w14:paraId="474725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417" w:type="dxa"/>
            <w:vMerge w:val="continue"/>
            <w:tcBorders>
              <w:left w:val="single" w:color="auto" w:sz="6" w:space="0"/>
              <w:bottom w:val="single" w:color="auto" w:sz="2" w:space="0"/>
              <w:right w:val="single" w:color="auto" w:sz="2" w:space="0"/>
            </w:tcBorders>
            <w:vAlign w:val="center"/>
          </w:tcPr>
          <w:p w14:paraId="481023B0">
            <w:pPr>
              <w:adjustRightInd w:val="0"/>
              <w:snapToGrid w:val="0"/>
              <w:spacing w:line="264" w:lineRule="auto"/>
              <w:jc w:val="center"/>
              <w:rPr>
                <w:sz w:val="15"/>
                <w:szCs w:val="15"/>
              </w:rPr>
            </w:pPr>
          </w:p>
        </w:tc>
        <w:tc>
          <w:tcPr>
            <w:tcW w:w="815" w:type="dxa"/>
            <w:tcBorders>
              <w:top w:val="single" w:color="auto" w:sz="2" w:space="0"/>
              <w:left w:val="single" w:color="auto" w:sz="2" w:space="0"/>
              <w:bottom w:val="single" w:color="auto" w:sz="2" w:space="0"/>
              <w:right w:val="single" w:color="auto" w:sz="2" w:space="0"/>
            </w:tcBorders>
            <w:vAlign w:val="center"/>
          </w:tcPr>
          <w:p w14:paraId="7CEB2386">
            <w:pPr>
              <w:adjustRightInd w:val="0"/>
              <w:snapToGrid w:val="0"/>
              <w:spacing w:line="264" w:lineRule="auto"/>
              <w:jc w:val="center"/>
              <w:rPr>
                <w:sz w:val="15"/>
                <w:szCs w:val="15"/>
              </w:rPr>
            </w:pPr>
            <w:r>
              <w:rPr>
                <w:rFonts w:hint="eastAsia"/>
                <w:sz w:val="15"/>
                <w:szCs w:val="15"/>
              </w:rPr>
              <w:t>潜 埋 井</w:t>
            </w:r>
          </w:p>
        </w:tc>
        <w:tc>
          <w:tcPr>
            <w:tcW w:w="2702" w:type="dxa"/>
            <w:tcBorders>
              <w:top w:val="single" w:color="auto" w:sz="2" w:space="0"/>
              <w:left w:val="single" w:color="auto" w:sz="2" w:space="0"/>
              <w:bottom w:val="single" w:color="auto" w:sz="2" w:space="0"/>
              <w:right w:val="single" w:color="auto" w:sz="2" w:space="0"/>
            </w:tcBorders>
            <w:vAlign w:val="center"/>
          </w:tcPr>
          <w:p w14:paraId="0FA61E54">
            <w:pPr>
              <w:adjustRightInd w:val="0"/>
              <w:snapToGrid w:val="0"/>
              <w:spacing w:line="264" w:lineRule="auto"/>
              <w:jc w:val="center"/>
              <w:rPr>
                <w:sz w:val="15"/>
                <w:szCs w:val="15"/>
              </w:rPr>
            </w:pPr>
            <w:r>
              <w:rPr>
                <w:rFonts w:hint="eastAsia"/>
                <w:sz w:val="15"/>
                <w:szCs w:val="15"/>
              </w:rPr>
              <w:t>粘性土、砂土、碎石土</w:t>
            </w:r>
          </w:p>
        </w:tc>
        <w:tc>
          <w:tcPr>
            <w:tcW w:w="980" w:type="dxa"/>
            <w:tcBorders>
              <w:top w:val="single" w:color="auto" w:sz="2" w:space="0"/>
              <w:left w:val="single" w:color="auto" w:sz="2" w:space="0"/>
              <w:bottom w:val="single" w:color="auto" w:sz="2" w:space="0"/>
              <w:right w:val="single" w:color="auto" w:sz="2" w:space="0"/>
            </w:tcBorders>
            <w:vAlign w:val="center"/>
          </w:tcPr>
          <w:p w14:paraId="3A6FAE71">
            <w:pPr>
              <w:adjustRightInd w:val="0"/>
              <w:snapToGrid w:val="0"/>
              <w:spacing w:line="264" w:lineRule="auto"/>
              <w:jc w:val="center"/>
              <w:rPr>
                <w:sz w:val="15"/>
                <w:szCs w:val="15"/>
              </w:rPr>
            </w:pPr>
            <w:r>
              <w:rPr>
                <w:sz w:val="15"/>
                <w:szCs w:val="15"/>
              </w:rPr>
              <w:t>0.1~20</w:t>
            </w:r>
          </w:p>
        </w:tc>
        <w:tc>
          <w:tcPr>
            <w:tcW w:w="926" w:type="dxa"/>
            <w:tcBorders>
              <w:top w:val="single" w:color="auto" w:sz="2" w:space="0"/>
              <w:left w:val="single" w:color="auto" w:sz="2" w:space="0"/>
              <w:bottom w:val="single" w:color="auto" w:sz="2" w:space="0"/>
              <w:right w:val="single" w:color="auto" w:sz="6" w:space="0"/>
            </w:tcBorders>
            <w:vAlign w:val="center"/>
          </w:tcPr>
          <w:p w14:paraId="231009AB">
            <w:pPr>
              <w:adjustRightInd w:val="0"/>
              <w:snapToGrid w:val="0"/>
              <w:spacing w:line="264" w:lineRule="auto"/>
              <w:jc w:val="center"/>
              <w:rPr>
                <w:sz w:val="15"/>
                <w:szCs w:val="15"/>
              </w:rPr>
            </w:pPr>
            <w:r>
              <w:rPr>
                <w:rFonts w:hint="eastAsia"/>
                <w:sz w:val="15"/>
                <w:szCs w:val="15"/>
              </w:rPr>
              <w:t>＜</w:t>
            </w:r>
            <w:r>
              <w:rPr>
                <w:sz w:val="15"/>
                <w:szCs w:val="15"/>
              </w:rPr>
              <w:t>2</w:t>
            </w:r>
          </w:p>
        </w:tc>
      </w:tr>
      <w:tr w14:paraId="2104FF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232" w:type="dxa"/>
            <w:gridSpan w:val="2"/>
            <w:tcBorders>
              <w:top w:val="single" w:color="auto" w:sz="2" w:space="0"/>
              <w:left w:val="single" w:color="auto" w:sz="6" w:space="0"/>
              <w:bottom w:val="single" w:color="auto" w:sz="2" w:space="0"/>
              <w:right w:val="single" w:color="auto" w:sz="2" w:space="0"/>
            </w:tcBorders>
            <w:vAlign w:val="center"/>
          </w:tcPr>
          <w:p w14:paraId="274A058C">
            <w:pPr>
              <w:adjustRightInd w:val="0"/>
              <w:snapToGrid w:val="0"/>
              <w:spacing w:line="264" w:lineRule="auto"/>
              <w:jc w:val="center"/>
              <w:rPr>
                <w:sz w:val="15"/>
                <w:szCs w:val="15"/>
              </w:rPr>
            </w:pPr>
            <w:r>
              <w:rPr>
                <w:sz w:val="15"/>
                <w:szCs w:val="15"/>
              </w:rPr>
              <w:t>集水明排</w:t>
            </w:r>
          </w:p>
        </w:tc>
        <w:tc>
          <w:tcPr>
            <w:tcW w:w="2702" w:type="dxa"/>
            <w:tcBorders>
              <w:top w:val="single" w:color="auto" w:sz="2" w:space="0"/>
              <w:left w:val="single" w:color="auto" w:sz="2" w:space="0"/>
              <w:bottom w:val="single" w:color="auto" w:sz="2" w:space="0"/>
              <w:right w:val="single" w:color="auto" w:sz="2" w:space="0"/>
            </w:tcBorders>
            <w:vAlign w:val="center"/>
          </w:tcPr>
          <w:p w14:paraId="31856A84">
            <w:pPr>
              <w:adjustRightInd w:val="0"/>
              <w:snapToGrid w:val="0"/>
              <w:spacing w:line="264" w:lineRule="auto"/>
              <w:jc w:val="center"/>
              <w:rPr>
                <w:sz w:val="15"/>
                <w:szCs w:val="15"/>
              </w:rPr>
            </w:pPr>
            <w:r>
              <w:rPr>
                <w:sz w:val="15"/>
                <w:szCs w:val="15"/>
              </w:rPr>
              <w:t>填土、黏性土、粉土、砂土</w:t>
            </w:r>
          </w:p>
        </w:tc>
        <w:tc>
          <w:tcPr>
            <w:tcW w:w="980" w:type="dxa"/>
            <w:tcBorders>
              <w:top w:val="single" w:color="auto" w:sz="2" w:space="0"/>
              <w:left w:val="single" w:color="auto" w:sz="2" w:space="0"/>
              <w:bottom w:val="single" w:color="auto" w:sz="2" w:space="0"/>
              <w:right w:val="single" w:color="auto" w:sz="2" w:space="0"/>
            </w:tcBorders>
            <w:vAlign w:val="center"/>
          </w:tcPr>
          <w:p w14:paraId="3644199B">
            <w:pPr>
              <w:adjustRightInd w:val="0"/>
              <w:snapToGrid w:val="0"/>
              <w:spacing w:line="264" w:lineRule="auto"/>
              <w:jc w:val="center"/>
              <w:rPr>
                <w:sz w:val="15"/>
                <w:szCs w:val="15"/>
              </w:rPr>
            </w:pPr>
            <w:r>
              <w:rPr>
                <w:sz w:val="15"/>
                <w:szCs w:val="15"/>
              </w:rPr>
              <w:t>＜20.0</w:t>
            </w:r>
          </w:p>
        </w:tc>
        <w:tc>
          <w:tcPr>
            <w:tcW w:w="926" w:type="dxa"/>
            <w:tcBorders>
              <w:top w:val="single" w:color="auto" w:sz="2" w:space="0"/>
              <w:left w:val="single" w:color="auto" w:sz="2" w:space="0"/>
              <w:bottom w:val="single" w:color="auto" w:sz="2" w:space="0"/>
              <w:right w:val="single" w:color="auto" w:sz="6" w:space="0"/>
            </w:tcBorders>
            <w:vAlign w:val="center"/>
          </w:tcPr>
          <w:p w14:paraId="44C6D088">
            <w:pPr>
              <w:adjustRightInd w:val="0"/>
              <w:snapToGrid w:val="0"/>
              <w:spacing w:line="264" w:lineRule="auto"/>
              <w:jc w:val="center"/>
              <w:rPr>
                <w:sz w:val="15"/>
                <w:szCs w:val="15"/>
              </w:rPr>
            </w:pPr>
            <w:r>
              <w:rPr>
                <w:sz w:val="15"/>
                <w:szCs w:val="15"/>
              </w:rPr>
              <w:t>＜5</w:t>
            </w:r>
          </w:p>
        </w:tc>
      </w:tr>
      <w:tr w14:paraId="6BB66A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232" w:type="dxa"/>
            <w:gridSpan w:val="2"/>
            <w:tcBorders>
              <w:top w:val="single" w:color="auto" w:sz="2" w:space="0"/>
              <w:left w:val="single" w:color="auto" w:sz="6" w:space="0"/>
              <w:bottom w:val="single" w:color="auto" w:sz="6" w:space="0"/>
              <w:right w:val="single" w:color="auto" w:sz="2" w:space="0"/>
            </w:tcBorders>
            <w:vAlign w:val="center"/>
          </w:tcPr>
          <w:p w14:paraId="53094057">
            <w:pPr>
              <w:adjustRightInd w:val="0"/>
              <w:snapToGrid w:val="0"/>
              <w:spacing w:line="264" w:lineRule="auto"/>
              <w:jc w:val="center"/>
              <w:rPr>
                <w:sz w:val="15"/>
                <w:szCs w:val="15"/>
              </w:rPr>
            </w:pPr>
            <w:r>
              <w:rPr>
                <w:sz w:val="15"/>
                <w:szCs w:val="15"/>
              </w:rPr>
              <w:t>回    灌</w:t>
            </w:r>
          </w:p>
        </w:tc>
        <w:tc>
          <w:tcPr>
            <w:tcW w:w="2702" w:type="dxa"/>
            <w:tcBorders>
              <w:top w:val="single" w:color="auto" w:sz="2" w:space="0"/>
              <w:left w:val="single" w:color="auto" w:sz="2" w:space="0"/>
              <w:bottom w:val="single" w:color="auto" w:sz="6" w:space="0"/>
              <w:right w:val="single" w:color="auto" w:sz="2" w:space="0"/>
            </w:tcBorders>
            <w:vAlign w:val="center"/>
          </w:tcPr>
          <w:p w14:paraId="351F26B5">
            <w:pPr>
              <w:adjustRightInd w:val="0"/>
              <w:snapToGrid w:val="0"/>
              <w:spacing w:line="264" w:lineRule="auto"/>
              <w:jc w:val="center"/>
              <w:rPr>
                <w:sz w:val="15"/>
                <w:szCs w:val="15"/>
              </w:rPr>
            </w:pPr>
            <w:r>
              <w:rPr>
                <w:sz w:val="15"/>
                <w:szCs w:val="15"/>
              </w:rPr>
              <w:t>填土、粉土、砂土、碎石土</w:t>
            </w:r>
          </w:p>
        </w:tc>
        <w:tc>
          <w:tcPr>
            <w:tcW w:w="980" w:type="dxa"/>
            <w:tcBorders>
              <w:top w:val="single" w:color="auto" w:sz="2" w:space="0"/>
              <w:left w:val="single" w:color="auto" w:sz="2" w:space="0"/>
              <w:bottom w:val="single" w:color="auto" w:sz="6" w:space="0"/>
              <w:right w:val="single" w:color="auto" w:sz="2" w:space="0"/>
            </w:tcBorders>
            <w:vAlign w:val="center"/>
          </w:tcPr>
          <w:p w14:paraId="6E23D0D9">
            <w:pPr>
              <w:adjustRightInd w:val="0"/>
              <w:snapToGrid w:val="0"/>
              <w:spacing w:line="264" w:lineRule="auto"/>
              <w:jc w:val="center"/>
              <w:rPr>
                <w:sz w:val="15"/>
                <w:szCs w:val="15"/>
              </w:rPr>
            </w:pPr>
            <w:r>
              <w:rPr>
                <w:sz w:val="15"/>
                <w:szCs w:val="15"/>
              </w:rPr>
              <w:t>＞1</w:t>
            </w:r>
          </w:p>
        </w:tc>
        <w:tc>
          <w:tcPr>
            <w:tcW w:w="926" w:type="dxa"/>
            <w:tcBorders>
              <w:top w:val="single" w:color="auto" w:sz="2" w:space="0"/>
              <w:left w:val="single" w:color="auto" w:sz="2" w:space="0"/>
              <w:bottom w:val="single" w:color="auto" w:sz="6" w:space="0"/>
              <w:right w:val="single" w:color="auto" w:sz="6" w:space="0"/>
            </w:tcBorders>
            <w:vAlign w:val="center"/>
          </w:tcPr>
          <w:p w14:paraId="762F8B5B">
            <w:pPr>
              <w:adjustRightInd w:val="0"/>
              <w:snapToGrid w:val="0"/>
              <w:spacing w:line="264" w:lineRule="auto"/>
              <w:jc w:val="center"/>
              <w:rPr>
                <w:sz w:val="15"/>
                <w:szCs w:val="15"/>
              </w:rPr>
            </w:pPr>
            <w:r>
              <w:rPr>
                <w:sz w:val="15"/>
                <w:szCs w:val="15"/>
              </w:rPr>
              <w:t>─</w:t>
            </w:r>
          </w:p>
        </w:tc>
      </w:tr>
    </w:tbl>
    <w:p w14:paraId="448AF4A5">
      <w:pPr>
        <w:adjustRightInd w:val="0"/>
        <w:snapToGrid w:val="0"/>
        <w:spacing w:before="312" w:beforeLines="100" w:line="288" w:lineRule="auto"/>
        <w:rPr>
          <w:rFonts w:ascii="宋体" w:hAnsi="宋体"/>
          <w:sz w:val="20"/>
          <w:szCs w:val="20"/>
        </w:rPr>
      </w:pPr>
      <w:r>
        <w:rPr>
          <w:b/>
          <w:bCs/>
          <w:kern w:val="0"/>
          <w:sz w:val="20"/>
          <w:szCs w:val="20"/>
        </w:rPr>
        <w:t>5.1.3</w:t>
      </w:r>
      <w:r>
        <w:rPr>
          <w:rFonts w:ascii="宋体" w:hAnsi="宋体"/>
          <w:bCs/>
          <w:sz w:val="20"/>
          <w:szCs w:val="20"/>
        </w:rPr>
        <w:t xml:space="preserve">  </w:t>
      </w:r>
      <w:r>
        <w:rPr>
          <w:rFonts w:hint="eastAsia" w:ascii="宋体" w:hAnsi="宋体"/>
          <w:sz w:val="20"/>
          <w:szCs w:val="20"/>
        </w:rPr>
        <w:t>对于弱透水地层中的浅基坑，当基坑周边环境简单、含水层薄、水量小、降水深度小，且产生流砂、流土、潜蚀、管涌、淘空、塌陷等风险小时，可考虑采用集水明排；在其它情况下宜采用</w:t>
      </w:r>
      <w:r>
        <w:rPr>
          <w:rFonts w:ascii="宋体" w:hAnsi="宋体"/>
          <w:sz w:val="20"/>
          <w:szCs w:val="20"/>
        </w:rPr>
        <w:t>帷幕</w:t>
      </w:r>
      <w:r>
        <w:rPr>
          <w:rFonts w:hint="eastAsia" w:ascii="宋体" w:hAnsi="宋体"/>
          <w:sz w:val="20"/>
          <w:szCs w:val="20"/>
        </w:rPr>
        <w:t>截</w:t>
      </w:r>
      <w:r>
        <w:rPr>
          <w:rFonts w:ascii="宋体" w:hAnsi="宋体"/>
          <w:sz w:val="20"/>
          <w:szCs w:val="20"/>
        </w:rPr>
        <w:t>水方法、降水方法和帷幕</w:t>
      </w:r>
      <w:r>
        <w:rPr>
          <w:rFonts w:hint="eastAsia" w:ascii="宋体" w:hAnsi="宋体"/>
          <w:sz w:val="20"/>
          <w:szCs w:val="20"/>
        </w:rPr>
        <w:t>截</w:t>
      </w:r>
      <w:r>
        <w:rPr>
          <w:rFonts w:ascii="宋体" w:hAnsi="宋体"/>
          <w:sz w:val="20"/>
          <w:szCs w:val="20"/>
        </w:rPr>
        <w:t>水与降水</w:t>
      </w:r>
      <w:r>
        <w:rPr>
          <w:rFonts w:hint="eastAsia" w:ascii="宋体" w:hAnsi="宋体"/>
          <w:sz w:val="20"/>
          <w:szCs w:val="20"/>
        </w:rPr>
        <w:t>结</w:t>
      </w:r>
      <w:r>
        <w:rPr>
          <w:rFonts w:ascii="宋体" w:hAnsi="宋体"/>
          <w:sz w:val="20"/>
          <w:szCs w:val="20"/>
        </w:rPr>
        <w:t>合方法</w:t>
      </w:r>
      <w:r>
        <w:rPr>
          <w:rFonts w:hint="eastAsia" w:ascii="宋体" w:hAnsi="宋体"/>
          <w:sz w:val="20"/>
          <w:szCs w:val="20"/>
        </w:rPr>
        <w:t>。</w:t>
      </w:r>
    </w:p>
    <w:p w14:paraId="0AE8DEE9">
      <w:pPr>
        <w:adjustRightInd w:val="0"/>
        <w:snapToGrid w:val="0"/>
        <w:spacing w:line="288" w:lineRule="auto"/>
        <w:rPr>
          <w:rFonts w:ascii="宋体" w:hAnsi="宋体"/>
          <w:sz w:val="20"/>
          <w:szCs w:val="20"/>
        </w:rPr>
      </w:pPr>
      <w:r>
        <w:rPr>
          <w:b/>
          <w:bCs/>
          <w:kern w:val="0"/>
          <w:sz w:val="20"/>
          <w:szCs w:val="20"/>
        </w:rPr>
        <w:t>5.1.4</w:t>
      </w:r>
      <w:r>
        <w:rPr>
          <w:rFonts w:ascii="宋体" w:hAnsi="宋体"/>
          <w:sz w:val="20"/>
          <w:szCs w:val="20"/>
        </w:rPr>
        <w:t xml:space="preserve">  地下水控制</w:t>
      </w:r>
      <w:r>
        <w:rPr>
          <w:rFonts w:hint="eastAsia" w:ascii="宋体" w:hAnsi="宋体"/>
          <w:sz w:val="20"/>
          <w:szCs w:val="20"/>
        </w:rPr>
        <w:t>宜选择</w:t>
      </w:r>
      <w:r>
        <w:rPr>
          <w:rFonts w:ascii="宋体" w:hAnsi="宋体"/>
          <w:sz w:val="20"/>
          <w:szCs w:val="20"/>
        </w:rPr>
        <w:t>帷幕</w:t>
      </w:r>
      <w:r>
        <w:rPr>
          <w:rFonts w:hint="eastAsia" w:ascii="宋体" w:hAnsi="宋体"/>
          <w:sz w:val="20"/>
          <w:szCs w:val="20"/>
        </w:rPr>
        <w:t>截</w:t>
      </w:r>
      <w:r>
        <w:rPr>
          <w:rFonts w:ascii="宋体" w:hAnsi="宋体"/>
          <w:sz w:val="20"/>
          <w:szCs w:val="20"/>
        </w:rPr>
        <w:t>水方法，</w:t>
      </w:r>
      <w:r>
        <w:rPr>
          <w:rFonts w:hint="eastAsia" w:ascii="宋体" w:hAnsi="宋体"/>
          <w:sz w:val="20"/>
          <w:szCs w:val="20"/>
        </w:rPr>
        <w:t>并应符合现行地方标准《城市建设工程地下水控制技术规范》</w:t>
      </w:r>
      <w:r>
        <w:rPr>
          <w:sz w:val="20"/>
          <w:szCs w:val="20"/>
        </w:rPr>
        <w:t>DB11/1115</w:t>
      </w:r>
      <w:r>
        <w:rPr>
          <w:rFonts w:hint="eastAsia" w:ascii="宋体" w:hAnsi="宋体"/>
          <w:sz w:val="20"/>
          <w:szCs w:val="20"/>
        </w:rPr>
        <w:t>的规定。明排、回灌、渗井不宜作为独立的地下水控制方法选用。</w:t>
      </w:r>
    </w:p>
    <w:p w14:paraId="6B16B877">
      <w:pPr>
        <w:adjustRightInd w:val="0"/>
        <w:snapToGrid w:val="0"/>
        <w:spacing w:line="288" w:lineRule="auto"/>
        <w:rPr>
          <w:rFonts w:ascii="宋体" w:hAnsi="宋体"/>
          <w:sz w:val="20"/>
          <w:szCs w:val="20"/>
        </w:rPr>
      </w:pPr>
      <w:r>
        <w:rPr>
          <w:b/>
          <w:bCs/>
          <w:kern w:val="0"/>
          <w:sz w:val="20"/>
          <w:szCs w:val="20"/>
        </w:rPr>
        <w:t>5.1.5</w:t>
      </w:r>
      <w:r>
        <w:rPr>
          <w:rFonts w:ascii="宋体" w:hAnsi="宋体"/>
          <w:sz w:val="20"/>
          <w:szCs w:val="20"/>
        </w:rPr>
        <w:t xml:space="preserve"> </w:t>
      </w:r>
      <w:r>
        <w:rPr>
          <w:rFonts w:hint="eastAsia" w:ascii="宋体" w:hAnsi="宋体"/>
          <w:sz w:val="20"/>
          <w:szCs w:val="20"/>
        </w:rPr>
        <w:t xml:space="preserve"> </w:t>
      </w:r>
      <w:r>
        <w:rPr>
          <w:rFonts w:ascii="宋体" w:hAnsi="宋体"/>
          <w:sz w:val="20"/>
          <w:szCs w:val="20"/>
        </w:rPr>
        <w:t>当地下水</w:t>
      </w:r>
      <w:r>
        <w:rPr>
          <w:rFonts w:hint="eastAsia" w:ascii="宋体" w:hAnsi="宋体"/>
          <w:sz w:val="20"/>
          <w:szCs w:val="20"/>
        </w:rPr>
        <w:t>位上</w:t>
      </w:r>
      <w:r>
        <w:rPr>
          <w:rFonts w:ascii="宋体" w:hAnsi="宋体"/>
          <w:sz w:val="20"/>
          <w:szCs w:val="20"/>
        </w:rPr>
        <w:t>升</w:t>
      </w:r>
      <w:r>
        <w:rPr>
          <w:rFonts w:hint="eastAsia" w:ascii="宋体" w:hAnsi="宋体"/>
          <w:sz w:val="20"/>
          <w:szCs w:val="20"/>
        </w:rPr>
        <w:t>，</w:t>
      </w:r>
      <w:r>
        <w:rPr>
          <w:rFonts w:ascii="宋体" w:hAnsi="宋体"/>
          <w:sz w:val="20"/>
          <w:szCs w:val="20"/>
        </w:rPr>
        <w:t>既有地下水控制</w:t>
      </w:r>
      <w:r>
        <w:rPr>
          <w:rFonts w:hint="eastAsia" w:ascii="宋体" w:hAnsi="宋体"/>
          <w:sz w:val="20"/>
          <w:szCs w:val="20"/>
        </w:rPr>
        <w:t>工程措施</w:t>
      </w:r>
      <w:r>
        <w:rPr>
          <w:rFonts w:ascii="宋体" w:hAnsi="宋体"/>
          <w:sz w:val="20"/>
          <w:szCs w:val="20"/>
        </w:rPr>
        <w:t>不能满足基坑正常施工</w:t>
      </w:r>
      <w:r>
        <w:rPr>
          <w:rFonts w:hint="eastAsia" w:ascii="宋体" w:hAnsi="宋体"/>
          <w:sz w:val="20"/>
          <w:szCs w:val="20"/>
        </w:rPr>
        <w:t>，</w:t>
      </w:r>
      <w:r>
        <w:rPr>
          <w:rFonts w:ascii="宋体" w:hAnsi="宋体"/>
          <w:sz w:val="20"/>
          <w:szCs w:val="20"/>
        </w:rPr>
        <w:t>应在预测地下水</w:t>
      </w:r>
      <w:r>
        <w:rPr>
          <w:rFonts w:hint="eastAsia" w:ascii="宋体" w:hAnsi="宋体"/>
          <w:sz w:val="20"/>
          <w:szCs w:val="20"/>
        </w:rPr>
        <w:t>位</w:t>
      </w:r>
      <w:r>
        <w:rPr>
          <w:rFonts w:ascii="宋体" w:hAnsi="宋体"/>
          <w:sz w:val="20"/>
          <w:szCs w:val="20"/>
        </w:rPr>
        <w:t>变化趋势后</w:t>
      </w:r>
      <w:r>
        <w:rPr>
          <w:rFonts w:hint="eastAsia" w:ascii="宋体" w:hAnsi="宋体"/>
          <w:sz w:val="20"/>
          <w:szCs w:val="20"/>
        </w:rPr>
        <w:t>，</w:t>
      </w:r>
      <w:r>
        <w:rPr>
          <w:rFonts w:ascii="宋体" w:hAnsi="宋体"/>
          <w:sz w:val="20"/>
          <w:szCs w:val="20"/>
        </w:rPr>
        <w:t>对地下水控制方案进行重新设计</w:t>
      </w:r>
      <w:r>
        <w:rPr>
          <w:rFonts w:hint="eastAsia" w:ascii="宋体" w:hAnsi="宋体"/>
          <w:sz w:val="20"/>
          <w:szCs w:val="20"/>
        </w:rPr>
        <w:t>。</w:t>
      </w:r>
    </w:p>
    <w:p w14:paraId="6E81D8EE">
      <w:pPr>
        <w:adjustRightInd w:val="0"/>
        <w:snapToGrid w:val="0"/>
        <w:spacing w:line="288" w:lineRule="auto"/>
        <w:rPr>
          <w:rFonts w:ascii="宋体" w:hAnsi="宋体"/>
          <w:sz w:val="20"/>
          <w:szCs w:val="20"/>
        </w:rPr>
      </w:pPr>
      <w:r>
        <w:rPr>
          <w:b/>
          <w:bCs/>
          <w:kern w:val="0"/>
          <w:sz w:val="20"/>
          <w:szCs w:val="20"/>
        </w:rPr>
        <w:t>5.1.6</w:t>
      </w:r>
      <w:r>
        <w:rPr>
          <w:rFonts w:hint="eastAsia" w:ascii="宋体" w:hAnsi="宋体"/>
          <w:bCs/>
          <w:sz w:val="20"/>
          <w:szCs w:val="20"/>
        </w:rPr>
        <w:t xml:space="preserve">  </w:t>
      </w:r>
      <w:r>
        <w:rPr>
          <w:rFonts w:hint="eastAsia" w:ascii="宋体" w:hAnsi="宋体"/>
          <w:sz w:val="20"/>
          <w:szCs w:val="20"/>
        </w:rPr>
        <w:t>地下水控制设计应具备如下资料：</w:t>
      </w:r>
    </w:p>
    <w:p w14:paraId="5C470E38">
      <w:pPr>
        <w:adjustRightInd w:val="0"/>
        <w:snapToGrid w:val="0"/>
        <w:spacing w:line="288" w:lineRule="auto"/>
        <w:ind w:firstLine="402" w:firstLineChars="200"/>
        <w:rPr>
          <w:rFonts w:ascii="宋体" w:hAnsi="宋体"/>
          <w:sz w:val="20"/>
          <w:szCs w:val="20"/>
        </w:rPr>
      </w:pPr>
      <w:r>
        <w:rPr>
          <w:rFonts w:hint="eastAsia"/>
          <w:b/>
          <w:bCs/>
          <w:sz w:val="20"/>
          <w:szCs w:val="20"/>
        </w:rPr>
        <w:t>1</w:t>
      </w:r>
      <w:r>
        <w:rPr>
          <w:rFonts w:hint="eastAsia" w:ascii="宋体" w:hAnsi="宋体"/>
          <w:sz w:val="20"/>
          <w:szCs w:val="20"/>
        </w:rPr>
        <w:t xml:space="preserve">  含水层岩性、厚度及顶、底板标高；              </w:t>
      </w:r>
    </w:p>
    <w:p w14:paraId="339191BC">
      <w:pPr>
        <w:adjustRightInd w:val="0"/>
        <w:snapToGrid w:val="0"/>
        <w:spacing w:line="288" w:lineRule="auto"/>
        <w:ind w:firstLine="402" w:firstLineChars="200"/>
        <w:rPr>
          <w:rFonts w:ascii="宋体" w:hAnsi="宋体"/>
          <w:sz w:val="20"/>
          <w:szCs w:val="20"/>
        </w:rPr>
      </w:pPr>
      <w:r>
        <w:rPr>
          <w:rFonts w:hint="eastAsia"/>
          <w:b/>
          <w:bCs/>
          <w:sz w:val="20"/>
          <w:szCs w:val="20"/>
        </w:rPr>
        <w:t>2</w:t>
      </w:r>
      <w:r>
        <w:rPr>
          <w:rFonts w:hint="eastAsia" w:ascii="宋体" w:hAnsi="宋体"/>
          <w:sz w:val="20"/>
          <w:szCs w:val="20"/>
        </w:rPr>
        <w:t xml:space="preserve">  地下水类型、地下水位标高和地下水动态规律以及各含水层之间的水力联系；</w:t>
      </w:r>
    </w:p>
    <w:p w14:paraId="0F8C575D">
      <w:pPr>
        <w:adjustRightInd w:val="0"/>
        <w:snapToGrid w:val="0"/>
        <w:spacing w:line="288" w:lineRule="auto"/>
        <w:ind w:firstLine="402" w:firstLineChars="200"/>
        <w:rPr>
          <w:rFonts w:ascii="宋体" w:hAnsi="宋体"/>
          <w:sz w:val="20"/>
          <w:szCs w:val="20"/>
        </w:rPr>
      </w:pPr>
      <w:r>
        <w:rPr>
          <w:rFonts w:hint="eastAsia"/>
          <w:b/>
          <w:bCs/>
          <w:sz w:val="20"/>
          <w:szCs w:val="20"/>
        </w:rPr>
        <w:t>3</w:t>
      </w:r>
      <w:r>
        <w:rPr>
          <w:rFonts w:hint="eastAsia" w:ascii="宋体" w:hAnsi="宋体"/>
          <w:bCs/>
          <w:sz w:val="20"/>
          <w:szCs w:val="20"/>
        </w:rPr>
        <w:t xml:space="preserve">  </w:t>
      </w:r>
      <w:r>
        <w:rPr>
          <w:rFonts w:hint="eastAsia" w:ascii="宋体" w:hAnsi="宋体"/>
          <w:sz w:val="20"/>
          <w:szCs w:val="20"/>
        </w:rPr>
        <w:t>与降水有关的各含水层的水文地质参数以及工程地质参数；</w:t>
      </w:r>
    </w:p>
    <w:p w14:paraId="4DFA4810">
      <w:pPr>
        <w:adjustRightInd w:val="0"/>
        <w:snapToGrid w:val="0"/>
        <w:spacing w:line="288" w:lineRule="auto"/>
        <w:ind w:firstLine="402" w:firstLineChars="200"/>
        <w:rPr>
          <w:rFonts w:ascii="宋体" w:hAnsi="宋体"/>
          <w:sz w:val="20"/>
          <w:szCs w:val="20"/>
        </w:rPr>
      </w:pPr>
      <w:r>
        <w:rPr>
          <w:rFonts w:hint="eastAsia"/>
          <w:b/>
          <w:bCs/>
          <w:sz w:val="20"/>
          <w:szCs w:val="20"/>
        </w:rPr>
        <w:t>4</w:t>
      </w:r>
      <w:r>
        <w:rPr>
          <w:rFonts w:hint="eastAsia" w:ascii="宋体" w:hAnsi="宋体"/>
          <w:bCs/>
          <w:sz w:val="20"/>
          <w:szCs w:val="20"/>
        </w:rPr>
        <w:t xml:space="preserve">  </w:t>
      </w:r>
      <w:r>
        <w:rPr>
          <w:rFonts w:hint="eastAsia" w:ascii="宋体" w:hAnsi="宋体"/>
          <w:sz w:val="20"/>
          <w:szCs w:val="20"/>
        </w:rPr>
        <w:t>基坑与附近大型地表水源的距离及其水力联系；</w:t>
      </w:r>
    </w:p>
    <w:p w14:paraId="005AEC7B">
      <w:pPr>
        <w:adjustRightInd w:val="0"/>
        <w:snapToGrid w:val="0"/>
        <w:spacing w:line="288" w:lineRule="auto"/>
        <w:ind w:firstLine="402" w:firstLineChars="200"/>
        <w:rPr>
          <w:rFonts w:ascii="宋体" w:hAnsi="宋体"/>
          <w:sz w:val="20"/>
          <w:szCs w:val="20"/>
        </w:rPr>
      </w:pPr>
      <w:r>
        <w:rPr>
          <w:rFonts w:hint="eastAsia"/>
          <w:b/>
          <w:bCs/>
          <w:sz w:val="20"/>
          <w:szCs w:val="20"/>
        </w:rPr>
        <w:t>5</w:t>
      </w:r>
      <w:r>
        <w:rPr>
          <w:rFonts w:hint="eastAsia" w:ascii="宋体" w:hAnsi="宋体"/>
          <w:sz w:val="20"/>
          <w:szCs w:val="20"/>
        </w:rPr>
        <w:t xml:space="preserve">  各含水层的水质及地下水控制方法对地下水环境的影响；</w:t>
      </w:r>
    </w:p>
    <w:p w14:paraId="503303BF">
      <w:pPr>
        <w:adjustRightInd w:val="0"/>
        <w:snapToGrid w:val="0"/>
        <w:spacing w:line="288" w:lineRule="auto"/>
        <w:ind w:firstLine="402" w:firstLineChars="200"/>
        <w:rPr>
          <w:rFonts w:ascii="宋体" w:hAnsi="宋体"/>
          <w:sz w:val="20"/>
          <w:szCs w:val="20"/>
        </w:rPr>
      </w:pPr>
      <w:r>
        <w:rPr>
          <w:rFonts w:hint="eastAsia"/>
          <w:b/>
          <w:bCs/>
          <w:sz w:val="20"/>
          <w:szCs w:val="20"/>
        </w:rPr>
        <w:t>6</w:t>
      </w:r>
      <w:r>
        <w:rPr>
          <w:rFonts w:hint="eastAsia" w:ascii="宋体" w:hAnsi="宋体"/>
          <w:sz w:val="20"/>
          <w:szCs w:val="20"/>
        </w:rPr>
        <w:t xml:space="preserve">  降水对基坑周边环境的影响；</w:t>
      </w:r>
    </w:p>
    <w:p w14:paraId="4990666C">
      <w:pPr>
        <w:adjustRightInd w:val="0"/>
        <w:snapToGrid w:val="0"/>
        <w:spacing w:line="288" w:lineRule="auto"/>
        <w:ind w:firstLine="402" w:firstLineChars="200"/>
        <w:rPr>
          <w:rFonts w:ascii="宋体" w:hAnsi="宋体"/>
          <w:sz w:val="20"/>
          <w:szCs w:val="20"/>
        </w:rPr>
      </w:pPr>
      <w:r>
        <w:rPr>
          <w:rFonts w:hint="eastAsia"/>
          <w:b/>
          <w:bCs/>
          <w:sz w:val="20"/>
          <w:szCs w:val="20"/>
        </w:rPr>
        <w:t>7</w:t>
      </w:r>
      <w:r>
        <w:rPr>
          <w:rFonts w:hint="eastAsia" w:ascii="宋体" w:hAnsi="宋体"/>
          <w:sz w:val="20"/>
          <w:szCs w:val="20"/>
        </w:rPr>
        <w:t xml:space="preserve">  </w:t>
      </w:r>
      <w:r>
        <w:rPr>
          <w:rFonts w:hint="eastAsia"/>
        </w:rPr>
        <w:t>基坑平面尺寸、基坑深度、支护结构类型等；</w:t>
      </w:r>
    </w:p>
    <w:p w14:paraId="7ED503C5">
      <w:pPr>
        <w:adjustRightInd w:val="0"/>
        <w:snapToGrid w:val="0"/>
        <w:spacing w:line="288" w:lineRule="auto"/>
        <w:ind w:firstLine="402" w:firstLineChars="200"/>
        <w:rPr>
          <w:rFonts w:ascii="宋体" w:hAnsi="宋体"/>
          <w:sz w:val="20"/>
          <w:szCs w:val="20"/>
        </w:rPr>
      </w:pPr>
      <w:r>
        <w:rPr>
          <w:b/>
          <w:bCs/>
          <w:sz w:val="20"/>
          <w:szCs w:val="20"/>
        </w:rPr>
        <w:t>8</w:t>
      </w:r>
      <w:r>
        <w:rPr>
          <w:rFonts w:ascii="宋体" w:hAnsi="宋体"/>
          <w:sz w:val="20"/>
          <w:szCs w:val="20"/>
        </w:rPr>
        <w:t xml:space="preserve">  </w:t>
      </w:r>
      <w:r>
        <w:rPr>
          <w:rFonts w:hint="eastAsia" w:ascii="宋体" w:hAnsi="宋体"/>
          <w:sz w:val="20"/>
          <w:szCs w:val="20"/>
        </w:rPr>
        <w:t>基坑开挖和基础施工的工期安排及地下水控制维持时间。</w:t>
      </w:r>
    </w:p>
    <w:p w14:paraId="2D4857C8">
      <w:pPr>
        <w:adjustRightInd w:val="0"/>
        <w:snapToGrid w:val="0"/>
        <w:spacing w:line="288" w:lineRule="auto"/>
        <w:rPr>
          <w:rFonts w:ascii="宋体" w:hAnsi="宋体"/>
          <w:sz w:val="20"/>
          <w:szCs w:val="20"/>
        </w:rPr>
      </w:pPr>
      <w:r>
        <w:rPr>
          <w:b/>
          <w:bCs/>
          <w:kern w:val="0"/>
          <w:sz w:val="20"/>
          <w:szCs w:val="20"/>
        </w:rPr>
        <w:t>5.1.7</w:t>
      </w:r>
      <w:r>
        <w:rPr>
          <w:rFonts w:hint="eastAsia" w:ascii="宋体" w:hAnsi="宋体"/>
          <w:bCs/>
          <w:sz w:val="20"/>
          <w:szCs w:val="20"/>
        </w:rPr>
        <w:t xml:space="preserve">  </w:t>
      </w:r>
      <w:r>
        <w:rPr>
          <w:rFonts w:hint="eastAsia" w:ascii="宋体" w:hAnsi="宋体"/>
          <w:sz w:val="20"/>
          <w:szCs w:val="20"/>
        </w:rPr>
        <w:t>当降水影响基坑周边环境正常使用的安全或对地下水资源产生较大影响时</w:t>
      </w:r>
      <w:r>
        <w:rPr>
          <w:rFonts w:ascii="宋体" w:hAnsi="宋体"/>
          <w:sz w:val="20"/>
          <w:szCs w:val="20"/>
        </w:rPr>
        <w:t>，</w:t>
      </w:r>
      <w:r>
        <w:rPr>
          <w:rFonts w:hint="eastAsia" w:ascii="宋体" w:hAnsi="宋体"/>
          <w:sz w:val="20"/>
          <w:szCs w:val="20"/>
        </w:rPr>
        <w:t xml:space="preserve">宜采用截水或回灌方法。回灌不得恶化地下水水质。 </w:t>
      </w:r>
    </w:p>
    <w:p w14:paraId="3DE222B5">
      <w:pPr>
        <w:adjustRightInd w:val="0"/>
        <w:snapToGrid w:val="0"/>
        <w:spacing w:line="288" w:lineRule="auto"/>
        <w:rPr>
          <w:sz w:val="20"/>
          <w:szCs w:val="20"/>
        </w:rPr>
      </w:pPr>
      <w:r>
        <w:rPr>
          <w:b/>
          <w:bCs/>
          <w:kern w:val="0"/>
          <w:sz w:val="20"/>
          <w:szCs w:val="20"/>
        </w:rPr>
        <w:t>5.1.8</w:t>
      </w:r>
      <w:r>
        <w:rPr>
          <w:rFonts w:hint="eastAsia" w:ascii="宋体" w:hAnsi="宋体"/>
          <w:bCs/>
          <w:sz w:val="20"/>
          <w:szCs w:val="20"/>
        </w:rPr>
        <w:t xml:space="preserve">  </w:t>
      </w:r>
      <w:r>
        <w:rPr>
          <w:rFonts w:hint="eastAsia" w:ascii="宋体" w:hAnsi="宋体"/>
          <w:sz w:val="20"/>
          <w:szCs w:val="20"/>
        </w:rPr>
        <w:t>当基坑底以下存在承压水含水层，且承压水头高于坑底，应依据附录</w:t>
      </w:r>
      <w:r>
        <w:rPr>
          <w:sz w:val="20"/>
          <w:szCs w:val="20"/>
        </w:rPr>
        <w:t>B.0.1</w:t>
      </w:r>
      <w:r>
        <w:rPr>
          <w:rFonts w:hint="eastAsia" w:ascii="宋体" w:hAnsi="宋体"/>
          <w:sz w:val="20"/>
          <w:szCs w:val="20"/>
        </w:rPr>
        <w:t>进行坑底抗突涌验算。</w:t>
      </w:r>
    </w:p>
    <w:p w14:paraId="166B87BA">
      <w:pPr>
        <w:pStyle w:val="7"/>
        <w:keepNext w:val="0"/>
        <w:keepLines w:val="0"/>
        <w:adjustRightInd w:val="0"/>
        <w:snapToGrid w:val="0"/>
        <w:spacing w:before="312" w:beforeLines="100" w:after="312" w:afterLines="100" w:line="288" w:lineRule="auto"/>
        <w:jc w:val="center"/>
        <w:rPr>
          <w:b w:val="0"/>
          <w:sz w:val="20"/>
          <w:szCs w:val="20"/>
        </w:rPr>
      </w:pPr>
      <w:bookmarkStart w:id="37" w:name="_Toc139613717"/>
      <w:r>
        <w:rPr>
          <w:sz w:val="20"/>
          <w:szCs w:val="20"/>
        </w:rPr>
        <w:t xml:space="preserve">5.2  </w:t>
      </w:r>
      <w:r>
        <w:rPr>
          <w:rFonts w:eastAsia="黑体"/>
          <w:b w:val="0"/>
          <w:sz w:val="20"/>
          <w:szCs w:val="20"/>
        </w:rPr>
        <w:t>截    水</w:t>
      </w:r>
      <w:bookmarkEnd w:id="37"/>
      <w:r>
        <w:rPr>
          <w:rFonts w:eastAsia="黑体"/>
          <w:b w:val="0"/>
          <w:sz w:val="20"/>
          <w:szCs w:val="20"/>
        </w:rPr>
        <w:t xml:space="preserve"> </w:t>
      </w:r>
    </w:p>
    <w:p w14:paraId="3DA6F13D">
      <w:pPr>
        <w:adjustRightInd w:val="0"/>
        <w:snapToGrid w:val="0"/>
        <w:spacing w:line="288" w:lineRule="auto"/>
        <w:rPr>
          <w:sz w:val="20"/>
          <w:szCs w:val="20"/>
        </w:rPr>
      </w:pPr>
      <w:r>
        <w:rPr>
          <w:b/>
          <w:bCs/>
          <w:kern w:val="0"/>
          <w:sz w:val="20"/>
          <w:szCs w:val="20"/>
        </w:rPr>
        <w:t>5.2.1</w:t>
      </w:r>
      <w:r>
        <w:rPr>
          <w:sz w:val="20"/>
          <w:szCs w:val="20"/>
        </w:rPr>
        <w:t xml:space="preserve">  截水帷幕设计应根据场地及邻近场地的地层结构、水文地质特征分析地下水渗流规律和基坑支护形式进行，并应在施工现场进行工艺性试验。</w:t>
      </w:r>
    </w:p>
    <w:p w14:paraId="0E29CC87">
      <w:pPr>
        <w:adjustRightInd w:val="0"/>
        <w:snapToGrid w:val="0"/>
        <w:spacing w:line="288" w:lineRule="auto"/>
        <w:rPr>
          <w:sz w:val="20"/>
          <w:szCs w:val="20"/>
        </w:rPr>
      </w:pPr>
      <w:r>
        <w:rPr>
          <w:b/>
          <w:bCs/>
          <w:kern w:val="0"/>
          <w:sz w:val="20"/>
          <w:szCs w:val="20"/>
        </w:rPr>
        <w:t>5.2.2</w:t>
      </w:r>
      <w:r>
        <w:rPr>
          <w:sz w:val="20"/>
          <w:szCs w:val="20"/>
        </w:rPr>
        <w:t xml:space="preserve">  落底式竖向截水帷幕应插入下卧</w:t>
      </w:r>
      <w:r>
        <w:rPr>
          <w:rFonts w:hint="eastAsia"/>
          <w:sz w:val="20"/>
          <w:szCs w:val="20"/>
        </w:rPr>
        <w:t>隔</w:t>
      </w:r>
      <w:r>
        <w:rPr>
          <w:sz w:val="20"/>
          <w:szCs w:val="20"/>
        </w:rPr>
        <w:t>水层，其插入深度宜按下式计算且不小于1.5m。当帷幕进入下卧隔水层深</w:t>
      </w:r>
      <w:r>
        <w:rPr>
          <w:rFonts w:hint="eastAsia"/>
          <w:sz w:val="20"/>
          <w:szCs w:val="20"/>
        </w:rPr>
        <w:t>、</w:t>
      </w:r>
      <w:r>
        <w:rPr>
          <w:sz w:val="20"/>
          <w:szCs w:val="20"/>
        </w:rPr>
        <w:t>隔水层之下承压水头高时，应验算帷幕底以下薄层隔水层的渗透稳定。</w:t>
      </w:r>
    </w:p>
    <w:p w14:paraId="5B84FF9C">
      <w:pPr>
        <w:adjustRightInd w:val="0"/>
        <w:snapToGrid w:val="0"/>
        <w:spacing w:line="288" w:lineRule="auto"/>
        <w:ind w:firstLine="400" w:firstLineChars="200"/>
        <w:jc w:val="center"/>
        <w:rPr>
          <w:sz w:val="20"/>
          <w:szCs w:val="20"/>
        </w:rPr>
      </w:pPr>
      <w:r>
        <w:rPr>
          <w:i/>
          <w:sz w:val="20"/>
          <w:szCs w:val="20"/>
        </w:rPr>
        <w:t>l=0.2Δh</w:t>
      </w:r>
      <w:r>
        <w:rPr>
          <w:iCs/>
          <w:sz w:val="20"/>
          <w:szCs w:val="20"/>
          <w:vertAlign w:val="subscript"/>
        </w:rPr>
        <w:t>w</w:t>
      </w:r>
      <w:r>
        <w:rPr>
          <w:i/>
          <w:sz w:val="20"/>
          <w:szCs w:val="20"/>
        </w:rPr>
        <w:t>- 0.5b</w:t>
      </w:r>
      <w:r>
        <w:rPr>
          <w:i/>
          <w:sz w:val="20"/>
          <w:szCs w:val="20"/>
        </w:rPr>
        <w:tab/>
      </w:r>
      <w:r>
        <w:rPr>
          <w:i/>
          <w:sz w:val="20"/>
          <w:szCs w:val="20"/>
        </w:rPr>
        <w:tab/>
      </w:r>
      <w:r>
        <w:rPr>
          <w:i/>
          <w:sz w:val="20"/>
          <w:szCs w:val="20"/>
        </w:rPr>
        <w:t xml:space="preserve">     </w:t>
      </w:r>
      <w:r>
        <w:rPr>
          <w:i/>
          <w:sz w:val="20"/>
          <w:szCs w:val="20"/>
        </w:rPr>
        <w:tab/>
      </w:r>
      <w:r>
        <w:rPr>
          <w:i/>
          <w:sz w:val="20"/>
          <w:szCs w:val="20"/>
        </w:rPr>
        <w:tab/>
      </w:r>
      <w:r>
        <w:rPr>
          <w:sz w:val="20"/>
          <w:szCs w:val="20"/>
        </w:rPr>
        <w:t>（5.2.2）</w:t>
      </w:r>
    </w:p>
    <w:p w14:paraId="72BD24D1">
      <w:pPr>
        <w:adjustRightInd w:val="0"/>
        <w:snapToGrid w:val="0"/>
        <w:spacing w:line="288" w:lineRule="auto"/>
        <w:rPr>
          <w:sz w:val="20"/>
          <w:szCs w:val="20"/>
        </w:rPr>
      </w:pPr>
      <w:r>
        <w:rPr>
          <w:sz w:val="20"/>
          <w:szCs w:val="20"/>
        </w:rPr>
        <w:t>式中：</w:t>
      </w:r>
      <w:r>
        <w:rPr>
          <w:i/>
          <w:iCs/>
          <w:sz w:val="20"/>
          <w:szCs w:val="20"/>
        </w:rPr>
        <w:t xml:space="preserve">l </w:t>
      </w:r>
      <w:r>
        <w:rPr>
          <w:iCs/>
        </w:rPr>
        <w:t>——</w:t>
      </w:r>
      <w:r>
        <w:rPr>
          <w:sz w:val="20"/>
          <w:szCs w:val="20"/>
        </w:rPr>
        <w:t>帷幕插入</w:t>
      </w:r>
      <w:r>
        <w:rPr>
          <w:rFonts w:hint="eastAsia"/>
          <w:sz w:val="20"/>
          <w:szCs w:val="20"/>
        </w:rPr>
        <w:t>隔</w:t>
      </w:r>
      <w:r>
        <w:rPr>
          <w:sz w:val="20"/>
          <w:szCs w:val="20"/>
        </w:rPr>
        <w:t xml:space="preserve">水层的深度（m）； </w:t>
      </w:r>
    </w:p>
    <w:p w14:paraId="61CABDE1">
      <w:pPr>
        <w:adjustRightInd w:val="0"/>
        <w:snapToGrid w:val="0"/>
        <w:spacing w:line="288" w:lineRule="auto"/>
        <w:ind w:firstLine="378" w:firstLineChars="189"/>
        <w:rPr>
          <w:sz w:val="20"/>
          <w:szCs w:val="20"/>
        </w:rPr>
      </w:pPr>
      <w:r>
        <w:rPr>
          <w:i/>
          <w:sz w:val="20"/>
          <w:szCs w:val="20"/>
        </w:rPr>
        <w:t>Δ</w:t>
      </w:r>
      <w:r>
        <w:rPr>
          <w:i/>
          <w:iCs/>
          <w:sz w:val="20"/>
          <w:szCs w:val="20"/>
        </w:rPr>
        <w:t>h</w:t>
      </w:r>
      <w:r>
        <w:rPr>
          <w:sz w:val="20"/>
          <w:szCs w:val="20"/>
          <w:vertAlign w:val="subscript"/>
        </w:rPr>
        <w:t>w</w:t>
      </w:r>
      <w:r>
        <w:rPr>
          <w:iCs/>
        </w:rPr>
        <w:t>——</w:t>
      </w:r>
      <w:r>
        <w:rPr>
          <w:sz w:val="20"/>
          <w:szCs w:val="20"/>
        </w:rPr>
        <w:t>基坑内外地下水位之差（m）；</w:t>
      </w:r>
    </w:p>
    <w:p w14:paraId="41A3F6F6">
      <w:pPr>
        <w:adjustRightInd w:val="0"/>
        <w:snapToGrid w:val="0"/>
        <w:spacing w:line="288" w:lineRule="auto"/>
        <w:ind w:firstLine="560" w:firstLineChars="280"/>
        <w:rPr>
          <w:sz w:val="20"/>
          <w:szCs w:val="20"/>
        </w:rPr>
      </w:pPr>
      <w:r>
        <w:rPr>
          <w:i/>
          <w:iCs/>
          <w:sz w:val="20"/>
          <w:szCs w:val="20"/>
        </w:rPr>
        <w:t>b</w:t>
      </w:r>
      <w:r>
        <w:rPr>
          <w:iCs/>
        </w:rPr>
        <w:t>——</w:t>
      </w:r>
      <w:r>
        <w:rPr>
          <w:sz w:val="20"/>
          <w:szCs w:val="20"/>
        </w:rPr>
        <w:t>帷幕厚度（m）。</w:t>
      </w:r>
    </w:p>
    <w:p w14:paraId="18196B10">
      <w:pPr>
        <w:adjustRightInd w:val="0"/>
        <w:snapToGrid w:val="0"/>
        <w:spacing w:line="288" w:lineRule="auto"/>
        <w:rPr>
          <w:sz w:val="20"/>
          <w:szCs w:val="20"/>
        </w:rPr>
      </w:pPr>
      <w:r>
        <w:rPr>
          <w:b/>
          <w:bCs/>
          <w:kern w:val="0"/>
          <w:sz w:val="20"/>
          <w:szCs w:val="20"/>
        </w:rPr>
        <w:t xml:space="preserve">5.2.3 </w:t>
      </w:r>
      <w:r>
        <w:rPr>
          <w:sz w:val="20"/>
          <w:szCs w:val="20"/>
        </w:rPr>
        <w:t xml:space="preserve"> 截水帷幕的搭接宽度应考虑施工偏差以及施工高度，最小搭接宽度不宜小于150mm。</w:t>
      </w:r>
    </w:p>
    <w:p w14:paraId="2B32F9BA">
      <w:pPr>
        <w:adjustRightInd w:val="0"/>
        <w:snapToGrid w:val="0"/>
        <w:spacing w:line="288" w:lineRule="auto"/>
        <w:rPr>
          <w:sz w:val="20"/>
          <w:szCs w:val="20"/>
        </w:rPr>
      </w:pPr>
      <w:r>
        <w:rPr>
          <w:b/>
          <w:bCs/>
          <w:kern w:val="0"/>
          <w:sz w:val="20"/>
          <w:szCs w:val="20"/>
        </w:rPr>
        <w:t>5.2.4</w:t>
      </w:r>
      <w:r>
        <w:rPr>
          <w:b/>
          <w:bCs/>
          <w:sz w:val="20"/>
          <w:szCs w:val="20"/>
        </w:rPr>
        <w:t xml:space="preserve"> </w:t>
      </w:r>
      <w:r>
        <w:rPr>
          <w:sz w:val="20"/>
          <w:szCs w:val="20"/>
        </w:rPr>
        <w:t xml:space="preserve"> 当含水层厚度大时，可采用悬挂式竖向截水与坑内降水相结合或采用悬挂式竖向截水与水平封底相结合的方案。悬挂式截水帷幕插入深度应根据涌水量及坑外水位降深控制目标确定，并应进行基坑渗流稳定分析或基坑抗隆起分析。</w:t>
      </w:r>
    </w:p>
    <w:p w14:paraId="1930D1F6">
      <w:pPr>
        <w:adjustRightInd w:val="0"/>
        <w:snapToGrid w:val="0"/>
        <w:spacing w:line="288" w:lineRule="auto"/>
        <w:rPr>
          <w:sz w:val="20"/>
          <w:szCs w:val="20"/>
        </w:rPr>
      </w:pPr>
      <w:r>
        <w:rPr>
          <w:b/>
          <w:bCs/>
          <w:kern w:val="0"/>
          <w:sz w:val="20"/>
          <w:szCs w:val="20"/>
        </w:rPr>
        <w:t>5.2.5</w:t>
      </w:r>
      <w:r>
        <w:rPr>
          <w:sz w:val="20"/>
          <w:szCs w:val="20"/>
        </w:rPr>
        <w:t xml:space="preserve">  当坑底之下存在多层承压水含水层，且各承压水</w:t>
      </w:r>
      <w:r>
        <w:rPr>
          <w:rFonts w:hint="eastAsia"/>
          <w:sz w:val="20"/>
          <w:szCs w:val="20"/>
        </w:rPr>
        <w:t>位</w:t>
      </w:r>
      <w:r>
        <w:rPr>
          <w:sz w:val="20"/>
          <w:szCs w:val="20"/>
        </w:rPr>
        <w:t>高于坑底时，应分别评价承压水作用下坑底发生突涌的风险。当不满足基坑底抗突涌稳定性要求时，可采用加深截水帷幕深度和减压井或采用单独的减压井控制地下水位。</w:t>
      </w:r>
    </w:p>
    <w:p w14:paraId="527A5D69">
      <w:pPr>
        <w:adjustRightInd w:val="0"/>
        <w:snapToGrid w:val="0"/>
        <w:spacing w:line="288" w:lineRule="auto"/>
        <w:rPr>
          <w:kern w:val="0"/>
          <w:sz w:val="20"/>
          <w:szCs w:val="20"/>
        </w:rPr>
      </w:pPr>
      <w:r>
        <w:rPr>
          <w:b/>
          <w:bCs/>
          <w:kern w:val="0"/>
          <w:sz w:val="20"/>
          <w:szCs w:val="20"/>
        </w:rPr>
        <w:t xml:space="preserve">5.2.6  </w:t>
      </w:r>
      <w:r>
        <w:rPr>
          <w:kern w:val="0"/>
          <w:sz w:val="20"/>
          <w:szCs w:val="20"/>
        </w:rPr>
        <w:t>截水帷幕可采用地下连续墙、</w:t>
      </w:r>
      <w:r>
        <w:rPr>
          <w:rFonts w:hint="eastAsia"/>
          <w:kern w:val="0"/>
          <w:sz w:val="20"/>
          <w:szCs w:val="20"/>
        </w:rPr>
        <w:t>等厚度水泥土墙</w:t>
      </w:r>
      <w:r>
        <w:rPr>
          <w:kern w:val="0"/>
          <w:sz w:val="20"/>
          <w:szCs w:val="20"/>
        </w:rPr>
        <w:t>和冷冻法</w:t>
      </w:r>
      <w:r>
        <w:rPr>
          <w:rFonts w:hint="eastAsia"/>
          <w:kern w:val="0"/>
          <w:sz w:val="20"/>
          <w:szCs w:val="20"/>
        </w:rPr>
        <w:t>、</w:t>
      </w:r>
      <w:r>
        <w:rPr>
          <w:kern w:val="0"/>
          <w:sz w:val="20"/>
          <w:szCs w:val="20"/>
        </w:rPr>
        <w:t>搅拌桩、旋喷桩、旋喷搅拌桩、冲击旋喷桩、</w:t>
      </w:r>
      <w:r>
        <w:rPr>
          <w:rFonts w:hint="eastAsia"/>
          <w:kern w:val="0"/>
          <w:sz w:val="20"/>
          <w:szCs w:val="20"/>
        </w:rPr>
        <w:t>高能超高压旋喷桩、</w:t>
      </w:r>
      <w:r>
        <w:rPr>
          <w:kern w:val="0"/>
          <w:sz w:val="20"/>
          <w:szCs w:val="20"/>
        </w:rPr>
        <w:t>咬合桩、三轴（多轴）搅拌桩、三轴（多轴）喷搅桩、钢板桩</w:t>
      </w:r>
      <w:r>
        <w:rPr>
          <w:rFonts w:hint="eastAsia"/>
          <w:kern w:val="0"/>
          <w:sz w:val="20"/>
          <w:szCs w:val="20"/>
        </w:rPr>
        <w:t>、</w:t>
      </w:r>
      <w:r>
        <w:rPr>
          <w:kern w:val="0"/>
          <w:sz w:val="20"/>
          <w:szCs w:val="20"/>
        </w:rPr>
        <w:t>注浆法等形成的帷幕。施工方法、工艺和机具的选择应根据场地工程地质、水文地质及施工条件等综合确定。</w:t>
      </w:r>
    </w:p>
    <w:p w14:paraId="0AC73BA1">
      <w:pPr>
        <w:pStyle w:val="7"/>
        <w:keepNext w:val="0"/>
        <w:keepLines w:val="0"/>
        <w:adjustRightInd w:val="0"/>
        <w:snapToGrid w:val="0"/>
        <w:spacing w:before="312" w:beforeLines="100" w:after="312" w:afterLines="100" w:line="288" w:lineRule="auto"/>
        <w:jc w:val="center"/>
        <w:rPr>
          <w:rFonts w:eastAsia="黑体"/>
          <w:b w:val="0"/>
          <w:sz w:val="20"/>
          <w:szCs w:val="20"/>
        </w:rPr>
      </w:pPr>
      <w:bookmarkStart w:id="38" w:name="_Toc139613718"/>
      <w:r>
        <w:rPr>
          <w:rFonts w:eastAsia="黑体"/>
          <w:b w:val="0"/>
          <w:sz w:val="20"/>
          <w:szCs w:val="20"/>
        </w:rPr>
        <w:t xml:space="preserve">5.3  </w:t>
      </w:r>
      <w:r>
        <w:rPr>
          <w:rFonts w:hint="eastAsia" w:eastAsia="黑体"/>
          <w:b w:val="0"/>
          <w:sz w:val="20"/>
          <w:szCs w:val="20"/>
        </w:rPr>
        <w:t>降    水</w:t>
      </w:r>
      <w:bookmarkEnd w:id="38"/>
      <w:r>
        <w:rPr>
          <w:rFonts w:hint="eastAsia" w:eastAsia="黑体"/>
          <w:b w:val="0"/>
          <w:sz w:val="20"/>
          <w:szCs w:val="20"/>
        </w:rPr>
        <w:t xml:space="preserve"> </w:t>
      </w:r>
    </w:p>
    <w:p w14:paraId="789C2CD4">
      <w:pPr>
        <w:adjustRightInd w:val="0"/>
        <w:snapToGrid w:val="0"/>
        <w:spacing w:line="288" w:lineRule="auto"/>
        <w:rPr>
          <w:rFonts w:ascii="宋体" w:hAnsi="宋体"/>
          <w:sz w:val="20"/>
          <w:szCs w:val="20"/>
        </w:rPr>
      </w:pPr>
      <w:r>
        <w:rPr>
          <w:b/>
          <w:bCs/>
          <w:kern w:val="0"/>
          <w:sz w:val="20"/>
          <w:szCs w:val="20"/>
        </w:rPr>
        <w:t>5.3.1</w:t>
      </w:r>
      <w:r>
        <w:rPr>
          <w:rFonts w:hint="eastAsia" w:ascii="宋体" w:hAnsi="宋体"/>
          <w:sz w:val="20"/>
          <w:szCs w:val="20"/>
        </w:rPr>
        <w:t xml:space="preserve">  降水井宜在基坑外采用封闭式布置，在地下水补给方向降水井间距应加密。当基坑面积大、开挖深时</w:t>
      </w:r>
      <w:r>
        <w:rPr>
          <w:rFonts w:ascii="宋体" w:hAnsi="宋体"/>
          <w:sz w:val="20"/>
          <w:szCs w:val="20"/>
        </w:rPr>
        <w:t>，</w:t>
      </w:r>
      <w:r>
        <w:rPr>
          <w:rFonts w:hint="eastAsia" w:ascii="宋体" w:hAnsi="宋体"/>
          <w:sz w:val="20"/>
          <w:szCs w:val="20"/>
        </w:rPr>
        <w:t>可在基坑内增设降水井。</w:t>
      </w:r>
    </w:p>
    <w:p w14:paraId="419FA2ED">
      <w:pPr>
        <w:adjustRightInd w:val="0"/>
        <w:snapToGrid w:val="0"/>
        <w:spacing w:line="288" w:lineRule="auto"/>
        <w:rPr>
          <w:rFonts w:ascii="宋体" w:hAnsi="宋体"/>
          <w:sz w:val="20"/>
          <w:szCs w:val="20"/>
        </w:rPr>
      </w:pPr>
      <w:r>
        <w:rPr>
          <w:b/>
          <w:bCs/>
          <w:kern w:val="0"/>
          <w:sz w:val="20"/>
          <w:szCs w:val="20"/>
        </w:rPr>
        <w:t>5.3.2</w:t>
      </w:r>
      <w:r>
        <w:rPr>
          <w:rFonts w:hint="eastAsia"/>
          <w:b/>
          <w:bCs/>
          <w:sz w:val="20"/>
          <w:szCs w:val="20"/>
        </w:rPr>
        <w:t xml:space="preserve"> </w:t>
      </w:r>
      <w:r>
        <w:rPr>
          <w:rFonts w:hint="eastAsia" w:ascii="宋体" w:hAnsi="宋体"/>
          <w:sz w:val="20"/>
          <w:szCs w:val="20"/>
        </w:rPr>
        <w:t xml:space="preserve"> 降水井的深度应根据设计降水深度、含水层的埋藏条件和降水井的出水量确定。设计降水深度在基坑范围内不宜小于基坑底面以下</w:t>
      </w:r>
      <w:r>
        <w:rPr>
          <w:sz w:val="20"/>
          <w:szCs w:val="20"/>
        </w:rPr>
        <w:t>0.5m</w:t>
      </w:r>
      <w:r>
        <w:rPr>
          <w:rFonts w:hAnsi="宋体"/>
          <w:sz w:val="20"/>
          <w:szCs w:val="20"/>
        </w:rPr>
        <w:t>～</w:t>
      </w:r>
      <w:r>
        <w:rPr>
          <w:sz w:val="20"/>
          <w:szCs w:val="20"/>
        </w:rPr>
        <w:t>1.0m</w:t>
      </w:r>
      <w:r>
        <w:rPr>
          <w:rFonts w:hint="eastAsia" w:ascii="宋体" w:hAnsi="宋体"/>
          <w:sz w:val="20"/>
          <w:szCs w:val="20"/>
        </w:rPr>
        <w:t>。</w:t>
      </w:r>
      <w:r>
        <w:rPr>
          <w:rFonts w:hint="eastAsia"/>
          <w:sz w:val="20"/>
          <w:szCs w:val="20"/>
        </w:rPr>
        <w:t>当主体结构有加深的电梯井、集水井时，宜采取局部地下水控制措施。</w:t>
      </w:r>
      <w:r>
        <w:rPr>
          <w:rFonts w:hint="eastAsia" w:ascii="宋体" w:hAnsi="宋体"/>
          <w:sz w:val="20"/>
          <w:szCs w:val="20"/>
        </w:rPr>
        <w:t>位于基底之上的含水层的设计降水深度宜按疏干考虑。</w:t>
      </w:r>
    </w:p>
    <w:p w14:paraId="1A5AC9EC">
      <w:pPr>
        <w:adjustRightInd w:val="0"/>
        <w:snapToGrid w:val="0"/>
        <w:spacing w:line="288" w:lineRule="auto"/>
        <w:rPr>
          <w:rFonts w:ascii="宋体" w:hAnsi="宋体"/>
          <w:sz w:val="20"/>
          <w:szCs w:val="20"/>
        </w:rPr>
      </w:pPr>
      <w:r>
        <w:rPr>
          <w:b/>
          <w:bCs/>
          <w:kern w:val="0"/>
          <w:sz w:val="20"/>
          <w:szCs w:val="20"/>
        </w:rPr>
        <w:t>5.3.3</w:t>
      </w:r>
      <w:r>
        <w:rPr>
          <w:rFonts w:hint="eastAsia"/>
          <w:b/>
          <w:bCs/>
          <w:sz w:val="20"/>
          <w:szCs w:val="20"/>
        </w:rPr>
        <w:t xml:space="preserve"> </w:t>
      </w:r>
      <w:r>
        <w:rPr>
          <w:rFonts w:hint="eastAsia" w:ascii="宋体" w:hAnsi="宋体"/>
          <w:sz w:val="20"/>
          <w:szCs w:val="20"/>
        </w:rPr>
        <w:t xml:space="preserve"> 降水井的数量（</w:t>
      </w:r>
      <w:r>
        <w:rPr>
          <w:i/>
          <w:iCs/>
          <w:sz w:val="20"/>
          <w:szCs w:val="20"/>
        </w:rPr>
        <w:t>n</w:t>
      </w:r>
      <w:r>
        <w:rPr>
          <w:rFonts w:hint="eastAsia" w:ascii="宋体" w:hAnsi="宋体"/>
          <w:sz w:val="20"/>
          <w:szCs w:val="20"/>
        </w:rPr>
        <w:t>）、井点间距（</w:t>
      </w:r>
      <w:r>
        <w:rPr>
          <w:rFonts w:hint="eastAsia"/>
          <w:iCs/>
          <w:sz w:val="20"/>
          <w:szCs w:val="20"/>
        </w:rPr>
        <w:t>a</w:t>
      </w:r>
      <w:r>
        <w:rPr>
          <w:rFonts w:hint="eastAsia" w:ascii="宋体" w:hAnsi="宋体"/>
          <w:sz w:val="20"/>
          <w:szCs w:val="20"/>
        </w:rPr>
        <w:t>）可按下列公式计算，并应进行降水方案优化。</w:t>
      </w:r>
    </w:p>
    <w:p w14:paraId="72185341">
      <w:pPr>
        <w:adjustRightInd w:val="0"/>
        <w:snapToGrid w:val="0"/>
        <w:spacing w:line="288" w:lineRule="auto"/>
        <w:ind w:right="-10" w:rightChars="-5" w:firstLine="1900" w:firstLineChars="950"/>
        <w:jc w:val="center"/>
        <w:rPr>
          <w:rFonts w:ascii="宋体" w:hAnsi="宋体"/>
          <w:sz w:val="20"/>
          <w:szCs w:val="20"/>
        </w:rPr>
      </w:pPr>
      <w:r>
        <w:rPr>
          <w:rFonts w:ascii="宋体" w:hAnsi="宋体"/>
          <w:position w:val="-14"/>
          <w:sz w:val="20"/>
          <w:szCs w:val="20"/>
        </w:rPr>
        <w:object>
          <v:shape id="_x0000_i1047" o:spt="75" type="#_x0000_t75" style="height:20.4pt;width:34.65pt;" o:ole="t" filled="f" o:preferrelative="t" stroked="f" coordsize="21600,21600">
            <v:path/>
            <v:fill on="f" focussize="0,0"/>
            <v:stroke on="f" joinstyle="miter"/>
            <v:imagedata r:id="rId60" o:title=""/>
            <o:lock v:ext="edit" aspectratio="t"/>
            <w10:wrap type="none"/>
            <w10:anchorlock/>
          </v:shape>
          <o:OLEObject Type="Embed" ProgID="Equation.3" ShapeID="_x0000_i1047" DrawAspect="Content" ObjectID="_1468075749" r:id="rId59">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5.3.3-1</w:t>
      </w:r>
      <w:r>
        <w:rPr>
          <w:rFonts w:hint="eastAsia" w:ascii="宋体" w:hAnsi="宋体"/>
          <w:sz w:val="20"/>
          <w:szCs w:val="20"/>
        </w:rPr>
        <w:t>）</w:t>
      </w:r>
    </w:p>
    <w:p w14:paraId="6249C032">
      <w:pPr>
        <w:adjustRightInd w:val="0"/>
        <w:snapToGrid w:val="0"/>
        <w:spacing w:line="288" w:lineRule="auto"/>
        <w:ind w:firstLine="1700" w:firstLineChars="850"/>
        <w:jc w:val="center"/>
        <w:rPr>
          <w:rFonts w:ascii="宋体" w:hAnsi="宋体"/>
          <w:sz w:val="20"/>
          <w:szCs w:val="20"/>
        </w:rPr>
      </w:pPr>
      <w:r>
        <w:rPr>
          <w:rFonts w:hint="eastAsia" w:ascii="宋体" w:hAnsi="宋体"/>
          <w:sz w:val="20"/>
          <w:szCs w:val="20"/>
        </w:rPr>
        <w:t>线形基坑：</w:t>
      </w:r>
      <w:r>
        <w:rPr>
          <w:rFonts w:ascii="宋体" w:hAnsi="宋体"/>
          <w:position w:val="-18"/>
          <w:sz w:val="20"/>
          <w:szCs w:val="20"/>
        </w:rPr>
        <w:object>
          <v:shape id="_x0000_i1048" o:spt="75" type="#_x0000_t75" style="height:22.4pt;width:27.15pt;" o:ole="t" filled="f" o:preferrelative="t" stroked="f" coordsize="21600,21600">
            <v:path/>
            <v:fill on="f" focussize="0,0"/>
            <v:stroke on="f" joinstyle="miter"/>
            <v:imagedata r:id="rId62" o:title=""/>
            <o:lock v:ext="edit" aspectratio="t"/>
            <w10:wrap type="none"/>
            <w10:anchorlock/>
          </v:shape>
          <o:OLEObject Type="Embed" ProgID="Equation.DSMT4" ShapeID="_x0000_i1048" DrawAspect="Content" ObjectID="_1468075750" r:id="rId61">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 xml:space="preserve">  </w:t>
      </w:r>
      <w:r>
        <w:rPr>
          <w:rFonts w:hint="eastAsia" w:ascii="宋体" w:hAnsi="宋体"/>
          <w:sz w:val="20"/>
          <w:szCs w:val="20"/>
        </w:rPr>
        <w:t xml:space="preserve">   （</w:t>
      </w:r>
      <w:r>
        <w:rPr>
          <w:sz w:val="20"/>
          <w:szCs w:val="20"/>
        </w:rPr>
        <w:t>5.3.</w:t>
      </w:r>
      <w:r>
        <w:rPr>
          <w:rFonts w:hint="eastAsia"/>
          <w:sz w:val="20"/>
          <w:szCs w:val="20"/>
        </w:rPr>
        <w:t>3-2</w:t>
      </w:r>
      <w:r>
        <w:rPr>
          <w:rFonts w:hint="eastAsia" w:ascii="宋体" w:hAnsi="宋体"/>
          <w:sz w:val="20"/>
          <w:szCs w:val="20"/>
        </w:rPr>
        <w:t>）</w:t>
      </w:r>
    </w:p>
    <w:p w14:paraId="0AF0123D">
      <w:pPr>
        <w:adjustRightInd w:val="0"/>
        <w:snapToGrid w:val="0"/>
        <w:spacing w:line="288" w:lineRule="auto"/>
        <w:ind w:firstLine="1700" w:firstLineChars="850"/>
        <w:jc w:val="center"/>
        <w:rPr>
          <w:rFonts w:ascii="宋体" w:hAnsi="宋体"/>
          <w:sz w:val="20"/>
          <w:szCs w:val="20"/>
        </w:rPr>
      </w:pPr>
      <w:r>
        <w:rPr>
          <w:rFonts w:hint="eastAsia" w:ascii="宋体" w:hAnsi="宋体"/>
          <w:sz w:val="20"/>
          <w:szCs w:val="20"/>
        </w:rPr>
        <w:t>圆形基坑：</w:t>
      </w:r>
      <w:r>
        <w:rPr>
          <w:rFonts w:ascii="宋体" w:hAnsi="宋体"/>
          <w:position w:val="-18"/>
          <w:sz w:val="20"/>
          <w:szCs w:val="20"/>
        </w:rPr>
        <w:object>
          <v:shape id="_x0000_i1049" o:spt="75" type="#_x0000_t75" style="height:22.4pt;width:22.4pt;" o:ole="t" filled="f" o:preferrelative="t" stroked="f" coordsize="21600,21600">
            <v:path/>
            <v:fill on="f" focussize="0,0"/>
            <v:stroke on="f" joinstyle="miter"/>
            <v:imagedata r:id="rId64" o:title=""/>
            <o:lock v:ext="edit" aspectratio="t"/>
            <w10:wrap type="none"/>
            <w10:anchorlock/>
          </v:shape>
          <o:OLEObject Type="Embed" ProgID="Equation.DSMT4" ShapeID="_x0000_i1049" DrawAspect="Content" ObjectID="_1468075751" r:id="rId63">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 xml:space="preserve">  </w:t>
      </w:r>
      <w:r>
        <w:rPr>
          <w:rFonts w:hint="eastAsia" w:ascii="宋体" w:hAnsi="宋体"/>
          <w:sz w:val="20"/>
          <w:szCs w:val="20"/>
        </w:rPr>
        <w:t xml:space="preserve">   （</w:t>
      </w:r>
      <w:r>
        <w:rPr>
          <w:sz w:val="20"/>
          <w:szCs w:val="20"/>
        </w:rPr>
        <w:t>5.3.</w:t>
      </w:r>
      <w:r>
        <w:rPr>
          <w:rFonts w:hint="eastAsia"/>
          <w:sz w:val="20"/>
          <w:szCs w:val="20"/>
        </w:rPr>
        <w:t>3-3</w:t>
      </w:r>
      <w:r>
        <w:rPr>
          <w:rFonts w:hint="eastAsia" w:ascii="宋体" w:hAnsi="宋体"/>
          <w:sz w:val="20"/>
          <w:szCs w:val="20"/>
        </w:rPr>
        <w:t>）</w:t>
      </w:r>
    </w:p>
    <w:p w14:paraId="18D35466">
      <w:pPr>
        <w:adjustRightInd w:val="0"/>
        <w:snapToGrid w:val="0"/>
        <w:spacing w:line="288" w:lineRule="auto"/>
        <w:rPr>
          <w:rFonts w:ascii="宋体" w:hAnsi="宋体"/>
          <w:sz w:val="20"/>
          <w:szCs w:val="20"/>
        </w:rPr>
      </w:pPr>
      <w:r>
        <w:rPr>
          <w:rFonts w:hint="eastAsia" w:ascii="宋体" w:hAnsi="宋体"/>
          <w:sz w:val="20"/>
          <w:szCs w:val="20"/>
        </w:rPr>
        <w:t>式中：</w:t>
      </w:r>
      <w:r>
        <w:rPr>
          <w:i/>
          <w:iCs/>
          <w:sz w:val="20"/>
          <w:szCs w:val="20"/>
        </w:rPr>
        <w:t>Q</w:t>
      </w:r>
      <w:r>
        <w:rPr>
          <w:iCs/>
        </w:rPr>
        <w:t>——</w:t>
      </w:r>
      <w:r>
        <w:rPr>
          <w:rFonts w:hint="eastAsia" w:ascii="宋体" w:hAnsi="宋体"/>
          <w:sz w:val="20"/>
          <w:szCs w:val="20"/>
        </w:rPr>
        <w:t>基坑总涌水量（</w:t>
      </w:r>
      <w:r>
        <w:rPr>
          <w:rFonts w:hint="eastAsia"/>
          <w:sz w:val="20"/>
          <w:szCs w:val="20"/>
        </w:rPr>
        <w:t>m</w:t>
      </w:r>
      <w:r>
        <w:rPr>
          <w:sz w:val="20"/>
          <w:szCs w:val="20"/>
          <w:vertAlign w:val="superscript"/>
        </w:rPr>
        <w:t>3</w:t>
      </w:r>
      <w:r>
        <w:rPr>
          <w:rFonts w:hint="eastAsia" w:ascii="宋体" w:hAnsi="宋体"/>
          <w:sz w:val="20"/>
          <w:szCs w:val="20"/>
        </w:rPr>
        <w:t>），均质无界含水层可按表</w:t>
      </w:r>
      <w:r>
        <w:rPr>
          <w:sz w:val="20"/>
          <w:szCs w:val="20"/>
        </w:rPr>
        <w:t>5.3.3</w:t>
      </w:r>
      <w:r>
        <w:rPr>
          <w:rFonts w:hint="eastAsia" w:ascii="宋体" w:hAnsi="宋体"/>
          <w:sz w:val="20"/>
          <w:szCs w:val="20"/>
        </w:rPr>
        <w:t>计算</w:t>
      </w:r>
      <w:r>
        <w:rPr>
          <w:rFonts w:ascii="宋体" w:hAnsi="宋体"/>
          <w:sz w:val="20"/>
          <w:szCs w:val="20"/>
        </w:rPr>
        <w:t>；</w:t>
      </w:r>
    </w:p>
    <w:p w14:paraId="71FAF17E">
      <w:pPr>
        <w:adjustRightInd w:val="0"/>
        <w:snapToGrid w:val="0"/>
        <w:spacing w:line="288" w:lineRule="auto"/>
        <w:ind w:left="1" w:firstLine="544" w:firstLineChars="272"/>
        <w:rPr>
          <w:rFonts w:ascii="宋体" w:hAnsi="宋体"/>
          <w:sz w:val="20"/>
          <w:szCs w:val="20"/>
        </w:rPr>
      </w:pPr>
      <w:r>
        <w:rPr>
          <w:i/>
          <w:iCs/>
          <w:sz w:val="20"/>
          <w:szCs w:val="20"/>
        </w:rPr>
        <w:t>q</w:t>
      </w:r>
      <w:r>
        <w:rPr>
          <w:iCs/>
        </w:rPr>
        <w:t>——</w:t>
      </w:r>
      <w:r>
        <w:rPr>
          <w:rFonts w:hint="eastAsia" w:ascii="宋体" w:hAnsi="宋体"/>
          <w:sz w:val="20"/>
          <w:szCs w:val="20"/>
        </w:rPr>
        <w:t>设计单井出水量（</w:t>
      </w:r>
      <w:r>
        <w:rPr>
          <w:rFonts w:hint="eastAsia"/>
          <w:sz w:val="20"/>
          <w:szCs w:val="20"/>
        </w:rPr>
        <w:t>m</w:t>
      </w:r>
      <w:r>
        <w:rPr>
          <w:sz w:val="20"/>
          <w:szCs w:val="20"/>
          <w:vertAlign w:val="superscript"/>
        </w:rPr>
        <w:t>3</w:t>
      </w:r>
      <w:r>
        <w:rPr>
          <w:sz w:val="20"/>
          <w:szCs w:val="20"/>
        </w:rPr>
        <w:t>/d</w:t>
      </w:r>
      <w:r>
        <w:rPr>
          <w:rFonts w:hint="eastAsia" w:ascii="宋体" w:hAnsi="宋体"/>
          <w:sz w:val="20"/>
          <w:szCs w:val="20"/>
        </w:rPr>
        <w:t>），可按本规程第</w:t>
      </w:r>
      <w:r>
        <w:rPr>
          <w:sz w:val="20"/>
          <w:szCs w:val="20"/>
        </w:rPr>
        <w:t>5.3.4</w:t>
      </w:r>
      <w:r>
        <w:rPr>
          <w:rFonts w:hint="eastAsia" w:ascii="宋体" w:hAnsi="宋体"/>
          <w:sz w:val="20"/>
          <w:szCs w:val="20"/>
        </w:rPr>
        <w:t>条确定；</w:t>
      </w:r>
    </w:p>
    <w:p w14:paraId="7E3118CE">
      <w:pPr>
        <w:adjustRightInd w:val="0"/>
        <w:snapToGrid w:val="0"/>
        <w:spacing w:line="288" w:lineRule="auto"/>
        <w:ind w:firstLine="546" w:firstLineChars="273"/>
        <w:rPr>
          <w:rFonts w:ascii="宋体" w:hAnsi="宋体"/>
          <w:sz w:val="20"/>
          <w:szCs w:val="20"/>
        </w:rPr>
      </w:pPr>
      <w:r>
        <w:rPr>
          <w:rFonts w:hint="eastAsia"/>
          <w:i/>
          <w:iCs/>
          <w:sz w:val="20"/>
          <w:szCs w:val="20"/>
        </w:rPr>
        <w:t>L</w:t>
      </w:r>
      <w:r>
        <w:rPr>
          <w:iCs/>
        </w:rPr>
        <w:t>——</w:t>
      </w:r>
      <w:r>
        <w:rPr>
          <w:rFonts w:hint="eastAsia" w:ascii="宋体" w:hAnsi="宋体"/>
          <w:sz w:val="20"/>
          <w:szCs w:val="20"/>
        </w:rPr>
        <w:t>沿基坑周边布置降水井的总长度（</w:t>
      </w:r>
      <w:r>
        <w:rPr>
          <w:sz w:val="20"/>
          <w:szCs w:val="20"/>
        </w:rPr>
        <w:t>m</w:t>
      </w:r>
      <w:r>
        <w:rPr>
          <w:rFonts w:hint="eastAsia" w:ascii="宋体" w:hAnsi="宋体"/>
          <w:sz w:val="20"/>
          <w:szCs w:val="20"/>
        </w:rPr>
        <w:t>）；</w:t>
      </w:r>
    </w:p>
    <w:p w14:paraId="46D2DB9D">
      <w:pPr>
        <w:adjustRightInd w:val="0"/>
        <w:snapToGrid w:val="0"/>
        <w:spacing w:line="288" w:lineRule="auto"/>
        <w:ind w:left="1076" w:leftChars="120" w:hanging="824" w:hangingChars="412"/>
        <w:rPr>
          <w:rFonts w:ascii="宋体" w:hAnsi="宋体"/>
          <w:sz w:val="20"/>
          <w:szCs w:val="20"/>
        </w:rPr>
      </w:pPr>
      <w:r>
        <w:rPr>
          <w:rFonts w:hint="eastAsia"/>
          <w:i/>
          <w:iCs/>
          <w:sz w:val="20"/>
          <w:szCs w:val="20"/>
        </w:rPr>
        <w:t xml:space="preserve">  </w:t>
      </w:r>
      <w:r>
        <w:rPr>
          <w:i/>
          <w:iCs/>
          <w:sz w:val="20"/>
          <w:szCs w:val="20"/>
        </w:rPr>
        <w:t>ｍ</w:t>
      </w:r>
      <w:r>
        <w:rPr>
          <w:iCs/>
        </w:rPr>
        <w:t>——</w:t>
      </w:r>
      <w:r>
        <w:rPr>
          <w:rFonts w:hint="eastAsia" w:ascii="宋体" w:hAnsi="宋体"/>
          <w:sz w:val="20"/>
          <w:szCs w:val="20"/>
        </w:rPr>
        <w:t>调增系数，可根据场地水文地质条件、水头降深和周边环境条件按</w:t>
      </w:r>
      <w:r>
        <w:rPr>
          <w:sz w:val="20"/>
          <w:szCs w:val="20"/>
        </w:rPr>
        <w:t>1.0</w:t>
      </w:r>
      <w:r>
        <w:rPr>
          <w:rFonts w:hAnsi="宋体"/>
          <w:sz w:val="20"/>
          <w:szCs w:val="20"/>
        </w:rPr>
        <w:t>～</w:t>
      </w:r>
      <w:r>
        <w:rPr>
          <w:sz w:val="20"/>
          <w:szCs w:val="20"/>
        </w:rPr>
        <w:t>1.2</w:t>
      </w:r>
      <w:r>
        <w:rPr>
          <w:rFonts w:hint="eastAsia" w:ascii="宋体" w:hAnsi="宋体"/>
          <w:sz w:val="20"/>
          <w:szCs w:val="20"/>
        </w:rPr>
        <w:t>取值。</w:t>
      </w:r>
    </w:p>
    <w:p w14:paraId="1A4CB858">
      <w:pPr>
        <w:adjustRightInd w:val="0"/>
        <w:snapToGrid w:val="0"/>
        <w:spacing w:before="156" w:beforeLines="50" w:line="288" w:lineRule="auto"/>
        <w:jc w:val="center"/>
        <w:rPr>
          <w:rFonts w:ascii="宋体" w:hAnsi="宋体"/>
          <w:b/>
          <w:sz w:val="18"/>
          <w:szCs w:val="18"/>
        </w:rPr>
      </w:pPr>
      <w:r>
        <w:rPr>
          <w:rFonts w:hint="eastAsia" w:ascii="宋体" w:hAnsi="宋体"/>
          <w:b/>
          <w:sz w:val="18"/>
          <w:szCs w:val="18"/>
        </w:rPr>
        <w:t>表</w:t>
      </w:r>
      <w:r>
        <w:rPr>
          <w:b/>
          <w:bCs/>
          <w:sz w:val="18"/>
          <w:szCs w:val="18"/>
        </w:rPr>
        <w:t>5.3.3</w:t>
      </w:r>
      <w:r>
        <w:rPr>
          <w:rFonts w:hint="eastAsia" w:ascii="宋体" w:hAnsi="宋体"/>
          <w:b/>
          <w:bCs/>
          <w:sz w:val="18"/>
          <w:szCs w:val="18"/>
        </w:rPr>
        <w:t xml:space="preserve"> </w:t>
      </w:r>
      <w:r>
        <w:rPr>
          <w:rFonts w:hint="eastAsia" w:ascii="宋体" w:hAnsi="宋体"/>
          <w:b/>
          <w:sz w:val="18"/>
          <w:szCs w:val="18"/>
        </w:rPr>
        <w:t xml:space="preserve"> 基坑涌水量计算表</w:t>
      </w:r>
    </w:p>
    <w:tbl>
      <w:tblPr>
        <w:tblStyle w:val="34"/>
        <w:tblW w:w="0" w:type="auto"/>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45" w:type="dxa"/>
          <w:left w:w="28" w:type="dxa"/>
          <w:bottom w:w="45" w:type="dxa"/>
          <w:right w:w="28" w:type="dxa"/>
        </w:tblCellMar>
      </w:tblPr>
      <w:tblGrid>
        <w:gridCol w:w="356"/>
        <w:gridCol w:w="1256"/>
        <w:gridCol w:w="5383"/>
      </w:tblGrid>
      <w:tr w14:paraId="5E9DEE2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424" w:hRule="atLeast"/>
          <w:jc w:val="center"/>
        </w:trPr>
        <w:tc>
          <w:tcPr>
            <w:tcW w:w="0" w:type="auto"/>
            <w:vAlign w:val="center"/>
          </w:tcPr>
          <w:p w14:paraId="38A3ACE8">
            <w:pPr>
              <w:adjustRightInd w:val="0"/>
              <w:snapToGrid w:val="0"/>
              <w:spacing w:line="264" w:lineRule="auto"/>
              <w:jc w:val="center"/>
              <w:rPr>
                <w:rFonts w:ascii="宋体" w:hAnsi="宋体"/>
                <w:sz w:val="15"/>
                <w:szCs w:val="15"/>
              </w:rPr>
            </w:pPr>
            <w:r>
              <w:rPr>
                <w:rFonts w:hint="eastAsia" w:ascii="宋体" w:hAnsi="宋体"/>
                <w:sz w:val="15"/>
                <w:szCs w:val="15"/>
              </w:rPr>
              <w:t>基坑</w:t>
            </w:r>
          </w:p>
          <w:p w14:paraId="5D01AA5F">
            <w:pPr>
              <w:adjustRightInd w:val="0"/>
              <w:snapToGrid w:val="0"/>
              <w:spacing w:line="264" w:lineRule="auto"/>
              <w:jc w:val="center"/>
              <w:rPr>
                <w:rFonts w:ascii="宋体" w:hAnsi="宋体"/>
                <w:sz w:val="15"/>
                <w:szCs w:val="15"/>
              </w:rPr>
            </w:pPr>
            <w:r>
              <w:rPr>
                <w:rFonts w:hint="eastAsia" w:ascii="宋体" w:hAnsi="宋体"/>
                <w:sz w:val="15"/>
                <w:szCs w:val="15"/>
              </w:rPr>
              <w:t>类型</w:t>
            </w:r>
          </w:p>
        </w:tc>
        <w:tc>
          <w:tcPr>
            <w:tcW w:w="0" w:type="auto"/>
            <w:vAlign w:val="center"/>
          </w:tcPr>
          <w:p w14:paraId="48E4EE45">
            <w:pPr>
              <w:adjustRightInd w:val="0"/>
              <w:snapToGrid w:val="0"/>
              <w:spacing w:line="264" w:lineRule="auto"/>
              <w:jc w:val="center"/>
              <w:rPr>
                <w:rFonts w:ascii="宋体" w:hAnsi="宋体"/>
                <w:sz w:val="15"/>
                <w:szCs w:val="15"/>
              </w:rPr>
            </w:pPr>
            <w:r>
              <w:rPr>
                <w:rFonts w:hint="eastAsia" w:ascii="宋体" w:hAnsi="宋体"/>
                <w:sz w:val="15"/>
                <w:szCs w:val="15"/>
              </w:rPr>
              <w:t>降水井</w:t>
            </w:r>
          </w:p>
          <w:p w14:paraId="6664A50F">
            <w:pPr>
              <w:adjustRightInd w:val="0"/>
              <w:snapToGrid w:val="0"/>
              <w:spacing w:line="264" w:lineRule="auto"/>
              <w:jc w:val="center"/>
              <w:rPr>
                <w:rFonts w:ascii="宋体" w:hAnsi="宋体"/>
                <w:sz w:val="15"/>
                <w:szCs w:val="15"/>
              </w:rPr>
            </w:pPr>
            <w:r>
              <w:rPr>
                <w:rFonts w:hint="eastAsia" w:ascii="宋体" w:hAnsi="宋体"/>
                <w:sz w:val="15"/>
                <w:szCs w:val="15"/>
              </w:rPr>
              <w:t>类别</w:t>
            </w:r>
          </w:p>
        </w:tc>
        <w:tc>
          <w:tcPr>
            <w:tcW w:w="0" w:type="auto"/>
            <w:vAlign w:val="center"/>
          </w:tcPr>
          <w:p w14:paraId="774BE904">
            <w:pPr>
              <w:adjustRightInd w:val="0"/>
              <w:snapToGrid w:val="0"/>
              <w:spacing w:line="264" w:lineRule="auto"/>
              <w:jc w:val="center"/>
              <w:rPr>
                <w:rFonts w:ascii="宋体" w:hAnsi="宋体"/>
                <w:sz w:val="15"/>
                <w:szCs w:val="15"/>
              </w:rPr>
            </w:pPr>
            <w:r>
              <w:rPr>
                <w:rFonts w:hint="eastAsia" w:ascii="宋体" w:hAnsi="宋体"/>
                <w:sz w:val="15"/>
                <w:szCs w:val="15"/>
              </w:rPr>
              <w:t>涌水量公式</w:t>
            </w:r>
          </w:p>
        </w:tc>
      </w:tr>
      <w:tr w14:paraId="0E675095">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0" w:type="auto"/>
            <w:vMerge w:val="restart"/>
            <w:vAlign w:val="center"/>
          </w:tcPr>
          <w:p w14:paraId="5D15F1D6">
            <w:pPr>
              <w:adjustRightInd w:val="0"/>
              <w:snapToGrid w:val="0"/>
              <w:spacing w:line="264" w:lineRule="auto"/>
              <w:jc w:val="center"/>
              <w:rPr>
                <w:rFonts w:ascii="宋体" w:hAnsi="宋体"/>
                <w:sz w:val="15"/>
                <w:szCs w:val="15"/>
              </w:rPr>
            </w:pPr>
            <w:r>
              <w:rPr>
                <w:rFonts w:hint="eastAsia" w:ascii="宋体" w:hAnsi="宋体"/>
                <w:sz w:val="15"/>
                <w:szCs w:val="15"/>
              </w:rPr>
              <w:t>圆形</w:t>
            </w:r>
          </w:p>
          <w:p w14:paraId="3A73B43F">
            <w:pPr>
              <w:adjustRightInd w:val="0"/>
              <w:snapToGrid w:val="0"/>
              <w:spacing w:line="264" w:lineRule="auto"/>
              <w:jc w:val="center"/>
              <w:rPr>
                <w:rFonts w:ascii="宋体" w:hAnsi="宋体"/>
                <w:sz w:val="15"/>
                <w:szCs w:val="15"/>
              </w:rPr>
            </w:pPr>
            <w:r>
              <w:rPr>
                <w:rFonts w:hint="eastAsia" w:ascii="宋体" w:hAnsi="宋体"/>
                <w:sz w:val="15"/>
                <w:szCs w:val="15"/>
              </w:rPr>
              <w:t>基坑</w:t>
            </w:r>
          </w:p>
        </w:tc>
        <w:tc>
          <w:tcPr>
            <w:tcW w:w="0" w:type="auto"/>
            <w:vAlign w:val="center"/>
          </w:tcPr>
          <w:p w14:paraId="694499CA">
            <w:pPr>
              <w:adjustRightInd w:val="0"/>
              <w:snapToGrid w:val="0"/>
              <w:spacing w:line="264" w:lineRule="auto"/>
              <w:jc w:val="center"/>
              <w:rPr>
                <w:rFonts w:ascii="宋体" w:hAnsi="宋体"/>
                <w:sz w:val="15"/>
                <w:szCs w:val="15"/>
              </w:rPr>
            </w:pPr>
            <w:r>
              <w:rPr>
                <w:rFonts w:hint="eastAsia" w:ascii="宋体" w:hAnsi="宋体"/>
                <w:sz w:val="15"/>
                <w:szCs w:val="15"/>
              </w:rPr>
              <w:t>潜水</w:t>
            </w:r>
          </w:p>
          <w:p w14:paraId="6677ECE4">
            <w:pPr>
              <w:adjustRightInd w:val="0"/>
              <w:snapToGrid w:val="0"/>
              <w:spacing w:line="264" w:lineRule="auto"/>
              <w:jc w:val="center"/>
              <w:rPr>
                <w:rFonts w:ascii="宋体" w:hAnsi="宋体"/>
                <w:sz w:val="15"/>
                <w:szCs w:val="15"/>
              </w:rPr>
            </w:pPr>
            <w:r>
              <w:rPr>
                <w:rFonts w:hint="eastAsia" w:ascii="宋体" w:hAnsi="宋体"/>
                <w:sz w:val="15"/>
                <w:szCs w:val="15"/>
              </w:rPr>
              <w:t>完整井</w:t>
            </w:r>
          </w:p>
        </w:tc>
        <w:tc>
          <w:tcPr>
            <w:tcW w:w="0" w:type="auto"/>
            <w:vAlign w:val="center"/>
          </w:tcPr>
          <w:p w14:paraId="41AD44B4">
            <w:pPr>
              <w:adjustRightInd w:val="0"/>
              <w:snapToGrid w:val="0"/>
              <w:spacing w:line="264" w:lineRule="auto"/>
              <w:jc w:val="center"/>
              <w:rPr>
                <w:rFonts w:ascii="宋体" w:hAnsi="宋体"/>
                <w:sz w:val="15"/>
                <w:szCs w:val="15"/>
              </w:rPr>
            </w:pPr>
            <w:r>
              <w:rPr>
                <w:rFonts w:ascii="宋体" w:hAnsi="宋体"/>
                <w:position w:val="-30"/>
                <w:sz w:val="15"/>
                <w:szCs w:val="15"/>
              </w:rPr>
              <w:object>
                <v:shape id="_x0000_i1050" o:spt="75" type="#_x0000_t75" style="height:22.4pt;width:68.6pt;" o:ole="t" filled="f" o:preferrelative="t" stroked="f" coordsize="21600,21600">
                  <v:path/>
                  <v:fill on="f" focussize="0,0"/>
                  <v:stroke on="f" joinstyle="miter"/>
                  <v:imagedata r:id="rId66" o:title=""/>
                  <o:lock v:ext="edit" aspectratio="t"/>
                  <w10:wrap type="none"/>
                  <w10:anchorlock/>
                </v:shape>
                <o:OLEObject Type="Embed" ProgID="Equation.3" ShapeID="_x0000_i1050" DrawAspect="Content" ObjectID="_1468075752" r:id="rId65">
                  <o:LockedField>false</o:LockedField>
                </o:OLEObject>
              </w:object>
            </w:r>
          </w:p>
        </w:tc>
      </w:tr>
      <w:tr w14:paraId="2503E90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0" w:type="auto"/>
            <w:vMerge w:val="continue"/>
            <w:vAlign w:val="center"/>
          </w:tcPr>
          <w:p w14:paraId="0CDEB916">
            <w:pPr>
              <w:adjustRightInd w:val="0"/>
              <w:snapToGrid w:val="0"/>
              <w:spacing w:line="264" w:lineRule="auto"/>
              <w:jc w:val="center"/>
              <w:rPr>
                <w:rFonts w:ascii="宋体" w:hAnsi="宋体"/>
                <w:sz w:val="15"/>
                <w:szCs w:val="15"/>
              </w:rPr>
            </w:pPr>
          </w:p>
        </w:tc>
        <w:tc>
          <w:tcPr>
            <w:tcW w:w="0" w:type="auto"/>
            <w:vAlign w:val="center"/>
          </w:tcPr>
          <w:p w14:paraId="511F6C92">
            <w:pPr>
              <w:adjustRightInd w:val="0"/>
              <w:snapToGrid w:val="0"/>
              <w:spacing w:line="264" w:lineRule="auto"/>
              <w:jc w:val="center"/>
              <w:rPr>
                <w:rFonts w:ascii="宋体" w:hAnsi="宋体"/>
                <w:sz w:val="15"/>
                <w:szCs w:val="15"/>
              </w:rPr>
            </w:pPr>
            <w:r>
              <w:rPr>
                <w:rFonts w:hint="eastAsia" w:ascii="宋体" w:hAnsi="宋体"/>
                <w:sz w:val="15"/>
                <w:szCs w:val="15"/>
              </w:rPr>
              <w:t>承压水</w:t>
            </w:r>
          </w:p>
          <w:p w14:paraId="7F9BA673">
            <w:pPr>
              <w:adjustRightInd w:val="0"/>
              <w:snapToGrid w:val="0"/>
              <w:spacing w:line="264" w:lineRule="auto"/>
              <w:jc w:val="center"/>
              <w:rPr>
                <w:rFonts w:ascii="宋体" w:hAnsi="宋体"/>
                <w:sz w:val="15"/>
                <w:szCs w:val="15"/>
              </w:rPr>
            </w:pPr>
            <w:r>
              <w:rPr>
                <w:rFonts w:hint="eastAsia" w:ascii="宋体" w:hAnsi="宋体"/>
                <w:sz w:val="15"/>
                <w:szCs w:val="15"/>
              </w:rPr>
              <w:t>完整井</w:t>
            </w:r>
          </w:p>
        </w:tc>
        <w:tc>
          <w:tcPr>
            <w:tcW w:w="0" w:type="auto"/>
            <w:vAlign w:val="center"/>
          </w:tcPr>
          <w:p w14:paraId="17CAC526">
            <w:pPr>
              <w:adjustRightInd w:val="0"/>
              <w:snapToGrid w:val="0"/>
              <w:spacing w:line="264" w:lineRule="auto"/>
              <w:ind w:firstLine="1500" w:firstLineChars="1000"/>
              <w:rPr>
                <w:rFonts w:ascii="宋体" w:hAnsi="宋体"/>
                <w:sz w:val="15"/>
                <w:szCs w:val="15"/>
              </w:rPr>
            </w:pPr>
            <w:r>
              <w:rPr>
                <w:rFonts w:ascii="宋体" w:hAnsi="宋体"/>
                <w:position w:val="-30"/>
                <w:sz w:val="15"/>
                <w:szCs w:val="15"/>
              </w:rPr>
              <w:object>
                <v:shape id="_x0000_i1051" o:spt="75" type="#_x0000_t75" style="height:22.4pt;width:59.1pt;" o:ole="t" filled="f" o:preferrelative="t" stroked="f" coordsize="21600,21600">
                  <v:path/>
                  <v:fill on="f" focussize="0,0"/>
                  <v:stroke on="f" joinstyle="miter"/>
                  <v:imagedata r:id="rId68" o:title=""/>
                  <o:lock v:ext="edit" aspectratio="t"/>
                  <w10:wrap type="none"/>
                  <w10:anchorlock/>
                </v:shape>
                <o:OLEObject Type="Embed" ProgID="Equation.3" ShapeID="_x0000_i1051" DrawAspect="Content" ObjectID="_1468075753" r:id="rId67">
                  <o:LockedField>false</o:LockedField>
                </o:OLEObject>
              </w:object>
            </w:r>
          </w:p>
        </w:tc>
      </w:tr>
      <w:tr w14:paraId="4539517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0" w:type="auto"/>
            <w:vMerge w:val="continue"/>
            <w:vAlign w:val="center"/>
          </w:tcPr>
          <w:p w14:paraId="2F2094D4">
            <w:pPr>
              <w:adjustRightInd w:val="0"/>
              <w:snapToGrid w:val="0"/>
              <w:spacing w:line="264" w:lineRule="auto"/>
              <w:jc w:val="center"/>
              <w:rPr>
                <w:rFonts w:ascii="宋体" w:hAnsi="宋体"/>
                <w:sz w:val="15"/>
                <w:szCs w:val="15"/>
              </w:rPr>
            </w:pPr>
          </w:p>
        </w:tc>
        <w:tc>
          <w:tcPr>
            <w:tcW w:w="0" w:type="auto"/>
            <w:vAlign w:val="center"/>
          </w:tcPr>
          <w:p w14:paraId="4B7E16D1">
            <w:pPr>
              <w:adjustRightInd w:val="0"/>
              <w:snapToGrid w:val="0"/>
              <w:spacing w:line="264" w:lineRule="auto"/>
              <w:jc w:val="center"/>
              <w:rPr>
                <w:rFonts w:ascii="宋体" w:hAnsi="宋体"/>
                <w:sz w:val="15"/>
                <w:szCs w:val="15"/>
              </w:rPr>
            </w:pPr>
            <w:r>
              <w:rPr>
                <w:rFonts w:hint="eastAsia" w:ascii="宋体" w:hAnsi="宋体"/>
                <w:sz w:val="15"/>
                <w:szCs w:val="15"/>
              </w:rPr>
              <w:t>承压转无压完整井</w:t>
            </w:r>
          </w:p>
        </w:tc>
        <w:tc>
          <w:tcPr>
            <w:tcW w:w="0" w:type="auto"/>
            <w:vAlign w:val="center"/>
          </w:tcPr>
          <w:p w14:paraId="716E2CF3">
            <w:pPr>
              <w:adjustRightInd w:val="0"/>
              <w:snapToGrid w:val="0"/>
              <w:spacing w:line="264" w:lineRule="auto"/>
              <w:jc w:val="center"/>
              <w:rPr>
                <w:rFonts w:ascii="宋体" w:hAnsi="宋体"/>
                <w:sz w:val="15"/>
                <w:szCs w:val="15"/>
              </w:rPr>
            </w:pPr>
            <w:r>
              <w:rPr>
                <w:rFonts w:ascii="宋体" w:hAnsi="宋体"/>
                <w:position w:val="-30"/>
                <w:sz w:val="15"/>
                <w:szCs w:val="15"/>
              </w:rPr>
              <w:object>
                <v:shape id="_x0000_i1052" o:spt="75" type="#_x0000_t75" style="height:22.4pt;width:92.4pt;" o:ole="t" filled="f" o:preferrelative="t" stroked="f" coordsize="21600,21600">
                  <v:path/>
                  <v:fill on="f" focussize="0,0"/>
                  <v:stroke on="f" joinstyle="miter"/>
                  <v:imagedata r:id="rId70" o:title=""/>
                  <o:lock v:ext="edit" aspectratio="t"/>
                  <w10:wrap type="none"/>
                  <w10:anchorlock/>
                </v:shape>
                <o:OLEObject Type="Embed" ProgID="Equation.3" ShapeID="_x0000_i1052" DrawAspect="Content" ObjectID="_1468075754" r:id="rId69">
                  <o:LockedField>false</o:LockedField>
                </o:OLEObject>
              </w:object>
            </w:r>
          </w:p>
        </w:tc>
      </w:tr>
      <w:tr w14:paraId="2EACBCC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0" w:type="auto"/>
            <w:vMerge w:val="continue"/>
            <w:vAlign w:val="center"/>
          </w:tcPr>
          <w:p w14:paraId="5884453A">
            <w:pPr>
              <w:adjustRightInd w:val="0"/>
              <w:snapToGrid w:val="0"/>
              <w:spacing w:line="264" w:lineRule="auto"/>
              <w:jc w:val="center"/>
              <w:rPr>
                <w:rFonts w:ascii="宋体" w:hAnsi="宋体"/>
                <w:sz w:val="15"/>
                <w:szCs w:val="15"/>
              </w:rPr>
            </w:pPr>
          </w:p>
        </w:tc>
        <w:tc>
          <w:tcPr>
            <w:tcW w:w="0" w:type="auto"/>
            <w:vAlign w:val="center"/>
          </w:tcPr>
          <w:p w14:paraId="67DF71AE">
            <w:pPr>
              <w:adjustRightInd w:val="0"/>
              <w:snapToGrid w:val="0"/>
              <w:spacing w:line="264" w:lineRule="auto"/>
              <w:jc w:val="center"/>
              <w:rPr>
                <w:rFonts w:ascii="宋体" w:hAnsi="宋体"/>
                <w:sz w:val="15"/>
                <w:szCs w:val="15"/>
              </w:rPr>
            </w:pPr>
            <w:r>
              <w:rPr>
                <w:rFonts w:hint="eastAsia" w:ascii="宋体" w:hAnsi="宋体"/>
                <w:sz w:val="15"/>
                <w:szCs w:val="15"/>
              </w:rPr>
              <w:t>潜水</w:t>
            </w:r>
          </w:p>
          <w:p w14:paraId="54CACDEE">
            <w:pPr>
              <w:adjustRightInd w:val="0"/>
              <w:snapToGrid w:val="0"/>
              <w:spacing w:line="264" w:lineRule="auto"/>
              <w:jc w:val="center"/>
              <w:rPr>
                <w:rFonts w:ascii="宋体" w:hAnsi="宋体"/>
                <w:sz w:val="15"/>
                <w:szCs w:val="15"/>
              </w:rPr>
            </w:pPr>
            <w:r>
              <w:rPr>
                <w:rFonts w:hint="eastAsia" w:ascii="宋体" w:hAnsi="宋体"/>
                <w:sz w:val="15"/>
                <w:szCs w:val="15"/>
              </w:rPr>
              <w:t>非完整井</w:t>
            </w:r>
          </w:p>
        </w:tc>
        <w:tc>
          <w:tcPr>
            <w:tcW w:w="0" w:type="auto"/>
            <w:vAlign w:val="center"/>
          </w:tcPr>
          <w:p w14:paraId="6E70AA35">
            <w:pPr>
              <w:adjustRightInd w:val="0"/>
              <w:snapToGrid w:val="0"/>
              <w:spacing w:line="264" w:lineRule="auto"/>
              <w:jc w:val="center"/>
              <w:rPr>
                <w:rFonts w:ascii="宋体" w:hAnsi="宋体"/>
                <w:sz w:val="15"/>
                <w:szCs w:val="15"/>
              </w:rPr>
            </w:pPr>
            <w:r>
              <w:rPr>
                <w:rFonts w:ascii="宋体" w:hAnsi="宋体"/>
                <w:position w:val="-30"/>
                <w:sz w:val="15"/>
                <w:szCs w:val="15"/>
              </w:rPr>
              <w:object>
                <v:shape id="_x0000_i1053" o:spt="75" type="#_x0000_t75" style="height:24.45pt;width:266.35pt;" o:ole="t" filled="f" o:preferrelative="t" stroked="f" coordsize="21600,21600">
                  <v:path/>
                  <v:fill on="f" focussize="0,0"/>
                  <v:stroke on="f" joinstyle="miter"/>
                  <v:imagedata r:id="rId72" o:title=""/>
                  <o:lock v:ext="edit" aspectratio="t"/>
                  <w10:wrap type="none"/>
                  <w10:anchorlock/>
                </v:shape>
                <o:OLEObject Type="Embed" ProgID="Equation.3" ShapeID="_x0000_i1053" DrawAspect="Content" ObjectID="_1468075755" r:id="rId71">
                  <o:LockedField>false</o:LockedField>
                </o:OLEObject>
              </w:object>
            </w:r>
          </w:p>
        </w:tc>
      </w:tr>
      <w:tr w14:paraId="13C4B1C5">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0" w:type="auto"/>
            <w:vMerge w:val="continue"/>
            <w:vAlign w:val="center"/>
          </w:tcPr>
          <w:p w14:paraId="3A1D12C0">
            <w:pPr>
              <w:adjustRightInd w:val="0"/>
              <w:snapToGrid w:val="0"/>
              <w:spacing w:line="264" w:lineRule="auto"/>
              <w:jc w:val="center"/>
              <w:rPr>
                <w:rFonts w:ascii="宋体" w:hAnsi="宋体"/>
                <w:sz w:val="15"/>
                <w:szCs w:val="15"/>
              </w:rPr>
            </w:pPr>
          </w:p>
        </w:tc>
        <w:tc>
          <w:tcPr>
            <w:tcW w:w="0" w:type="auto"/>
            <w:vAlign w:val="center"/>
          </w:tcPr>
          <w:p w14:paraId="443FC404">
            <w:pPr>
              <w:adjustRightInd w:val="0"/>
              <w:snapToGrid w:val="0"/>
              <w:spacing w:line="264" w:lineRule="auto"/>
              <w:jc w:val="center"/>
              <w:rPr>
                <w:rFonts w:ascii="宋体" w:hAnsi="宋体"/>
                <w:sz w:val="15"/>
                <w:szCs w:val="15"/>
              </w:rPr>
            </w:pPr>
            <w:r>
              <w:rPr>
                <w:rFonts w:hint="eastAsia" w:ascii="宋体" w:hAnsi="宋体"/>
                <w:sz w:val="15"/>
                <w:szCs w:val="15"/>
              </w:rPr>
              <w:t>承压水</w:t>
            </w:r>
          </w:p>
          <w:p w14:paraId="11B65787">
            <w:pPr>
              <w:adjustRightInd w:val="0"/>
              <w:snapToGrid w:val="0"/>
              <w:spacing w:line="264" w:lineRule="auto"/>
              <w:jc w:val="center"/>
              <w:rPr>
                <w:rFonts w:ascii="宋体" w:hAnsi="宋体"/>
                <w:sz w:val="15"/>
                <w:szCs w:val="15"/>
              </w:rPr>
            </w:pPr>
            <w:r>
              <w:rPr>
                <w:rFonts w:hint="eastAsia" w:ascii="宋体" w:hAnsi="宋体"/>
                <w:sz w:val="15"/>
                <w:szCs w:val="15"/>
              </w:rPr>
              <w:t>非完整井</w:t>
            </w:r>
          </w:p>
        </w:tc>
        <w:tc>
          <w:tcPr>
            <w:tcW w:w="0" w:type="auto"/>
            <w:vAlign w:val="center"/>
          </w:tcPr>
          <w:p w14:paraId="7D701B9A">
            <w:pPr>
              <w:adjustRightInd w:val="0"/>
              <w:snapToGrid w:val="0"/>
              <w:spacing w:line="264" w:lineRule="auto"/>
              <w:jc w:val="center"/>
              <w:rPr>
                <w:rFonts w:ascii="宋体" w:hAnsi="宋体"/>
                <w:sz w:val="15"/>
                <w:szCs w:val="15"/>
              </w:rPr>
            </w:pPr>
            <w:r>
              <w:rPr>
                <w:rFonts w:ascii="宋体" w:hAnsi="宋体"/>
                <w:position w:val="-30"/>
                <w:sz w:val="15"/>
                <w:szCs w:val="15"/>
              </w:rPr>
              <w:object>
                <v:shape id="_x0000_i1054" o:spt="75" type="#_x0000_t75" style="height:22.4pt;width:149.4pt;" o:ole="t" filled="f" o:preferrelative="t" stroked="f" coordsize="21600,21600">
                  <v:path/>
                  <v:fill on="f" focussize="0,0"/>
                  <v:stroke on="f" joinstyle="miter"/>
                  <v:imagedata r:id="rId74" o:title=""/>
                  <o:lock v:ext="edit" aspectratio="t"/>
                  <w10:wrap type="none"/>
                  <w10:anchorlock/>
                </v:shape>
                <o:OLEObject Type="Embed" ProgID="Equation.3" ShapeID="_x0000_i1054" DrawAspect="Content" ObjectID="_1468075756" r:id="rId73">
                  <o:LockedField>false</o:LockedField>
                </o:OLEObject>
              </w:object>
            </w:r>
          </w:p>
        </w:tc>
      </w:tr>
      <w:tr w14:paraId="7F31B980">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449" w:hRule="atLeast"/>
          <w:jc w:val="center"/>
        </w:trPr>
        <w:tc>
          <w:tcPr>
            <w:tcW w:w="0" w:type="auto"/>
            <w:vMerge w:val="restart"/>
            <w:vAlign w:val="center"/>
          </w:tcPr>
          <w:p w14:paraId="2D9291BD">
            <w:pPr>
              <w:adjustRightInd w:val="0"/>
              <w:snapToGrid w:val="0"/>
              <w:spacing w:line="264" w:lineRule="auto"/>
              <w:jc w:val="center"/>
              <w:rPr>
                <w:rFonts w:ascii="宋体" w:hAnsi="宋体"/>
                <w:sz w:val="15"/>
                <w:szCs w:val="15"/>
              </w:rPr>
            </w:pPr>
            <w:r>
              <w:rPr>
                <w:rFonts w:hint="eastAsia" w:ascii="宋体" w:hAnsi="宋体"/>
                <w:sz w:val="15"/>
                <w:szCs w:val="15"/>
              </w:rPr>
              <w:t>条形</w:t>
            </w:r>
          </w:p>
          <w:p w14:paraId="3CB44ED3">
            <w:pPr>
              <w:adjustRightInd w:val="0"/>
              <w:snapToGrid w:val="0"/>
              <w:spacing w:line="264" w:lineRule="auto"/>
              <w:jc w:val="center"/>
              <w:rPr>
                <w:rFonts w:ascii="宋体" w:hAnsi="宋体"/>
                <w:sz w:val="15"/>
                <w:szCs w:val="15"/>
              </w:rPr>
            </w:pPr>
            <w:r>
              <w:rPr>
                <w:rFonts w:hint="eastAsia" w:ascii="宋体" w:hAnsi="宋体"/>
                <w:sz w:val="15"/>
                <w:szCs w:val="15"/>
              </w:rPr>
              <w:t>基坑</w:t>
            </w:r>
          </w:p>
        </w:tc>
        <w:tc>
          <w:tcPr>
            <w:tcW w:w="0" w:type="auto"/>
            <w:vAlign w:val="center"/>
          </w:tcPr>
          <w:p w14:paraId="1E7E77C2">
            <w:pPr>
              <w:adjustRightInd w:val="0"/>
              <w:snapToGrid w:val="0"/>
              <w:spacing w:line="264" w:lineRule="auto"/>
              <w:jc w:val="center"/>
              <w:rPr>
                <w:rFonts w:ascii="宋体" w:hAnsi="宋体"/>
                <w:sz w:val="15"/>
                <w:szCs w:val="15"/>
              </w:rPr>
            </w:pPr>
            <w:r>
              <w:rPr>
                <w:rFonts w:hint="eastAsia" w:ascii="宋体" w:hAnsi="宋体"/>
                <w:sz w:val="15"/>
                <w:szCs w:val="15"/>
              </w:rPr>
              <w:t>潜水</w:t>
            </w:r>
          </w:p>
          <w:p w14:paraId="3095F1FB">
            <w:pPr>
              <w:adjustRightInd w:val="0"/>
              <w:snapToGrid w:val="0"/>
              <w:spacing w:line="264" w:lineRule="auto"/>
              <w:jc w:val="center"/>
              <w:rPr>
                <w:rFonts w:ascii="宋体" w:hAnsi="宋体"/>
                <w:sz w:val="15"/>
                <w:szCs w:val="15"/>
              </w:rPr>
            </w:pPr>
            <w:r>
              <w:rPr>
                <w:rFonts w:hint="eastAsia" w:ascii="宋体" w:hAnsi="宋体"/>
                <w:sz w:val="15"/>
                <w:szCs w:val="15"/>
              </w:rPr>
              <w:t>完整井</w:t>
            </w:r>
          </w:p>
        </w:tc>
        <w:tc>
          <w:tcPr>
            <w:tcW w:w="0" w:type="auto"/>
            <w:vAlign w:val="center"/>
          </w:tcPr>
          <w:p w14:paraId="15545E9F">
            <w:pPr>
              <w:adjustRightInd w:val="0"/>
              <w:snapToGrid w:val="0"/>
              <w:spacing w:line="264" w:lineRule="auto"/>
              <w:jc w:val="center"/>
              <w:rPr>
                <w:rFonts w:ascii="宋体" w:hAnsi="宋体"/>
                <w:sz w:val="15"/>
                <w:szCs w:val="15"/>
              </w:rPr>
            </w:pPr>
            <w:r>
              <w:rPr>
                <w:rFonts w:ascii="宋体" w:hAnsi="宋体"/>
                <w:position w:val="-54"/>
                <w:sz w:val="15"/>
                <w:szCs w:val="15"/>
              </w:rPr>
              <w:object>
                <v:shape id="_x0000_i1055" o:spt="75" type="#_x0000_t75" style="height:29.2pt;width:106.6pt;" o:ole="t" filled="f" o:preferrelative="t" stroked="f" coordsize="21600,21600">
                  <v:path/>
                  <v:fill on="f" focussize="0,0"/>
                  <v:stroke on="f" joinstyle="miter"/>
                  <v:imagedata r:id="rId76" o:title=""/>
                  <o:lock v:ext="edit" aspectratio="t"/>
                  <w10:wrap type="none"/>
                  <w10:anchorlock/>
                </v:shape>
                <o:OLEObject Type="Embed" ProgID="Equation.3" ShapeID="_x0000_i1055" DrawAspect="Content" ObjectID="_1468075757" r:id="rId75">
                  <o:LockedField>false</o:LockedField>
                </o:OLEObject>
              </w:object>
            </w:r>
          </w:p>
        </w:tc>
      </w:tr>
      <w:tr w14:paraId="5A79235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566" w:hRule="atLeast"/>
          <w:jc w:val="center"/>
        </w:trPr>
        <w:tc>
          <w:tcPr>
            <w:tcW w:w="0" w:type="auto"/>
            <w:vMerge w:val="continue"/>
            <w:vAlign w:val="center"/>
          </w:tcPr>
          <w:p w14:paraId="1FA73DC5">
            <w:pPr>
              <w:adjustRightInd w:val="0"/>
              <w:snapToGrid w:val="0"/>
              <w:spacing w:line="264" w:lineRule="auto"/>
              <w:jc w:val="center"/>
              <w:rPr>
                <w:rFonts w:ascii="宋体" w:hAnsi="宋体"/>
                <w:sz w:val="15"/>
                <w:szCs w:val="15"/>
              </w:rPr>
            </w:pPr>
          </w:p>
        </w:tc>
        <w:tc>
          <w:tcPr>
            <w:tcW w:w="0" w:type="auto"/>
            <w:vAlign w:val="center"/>
          </w:tcPr>
          <w:p w14:paraId="122AA684">
            <w:pPr>
              <w:adjustRightInd w:val="0"/>
              <w:snapToGrid w:val="0"/>
              <w:spacing w:line="264" w:lineRule="auto"/>
              <w:jc w:val="center"/>
              <w:rPr>
                <w:rFonts w:ascii="宋体" w:hAnsi="宋体"/>
                <w:sz w:val="15"/>
                <w:szCs w:val="15"/>
              </w:rPr>
            </w:pPr>
            <w:r>
              <w:rPr>
                <w:rFonts w:hint="eastAsia" w:ascii="宋体" w:hAnsi="宋体"/>
                <w:sz w:val="15"/>
                <w:szCs w:val="15"/>
              </w:rPr>
              <w:t>承压水</w:t>
            </w:r>
          </w:p>
          <w:p w14:paraId="5D24B533">
            <w:pPr>
              <w:adjustRightInd w:val="0"/>
              <w:snapToGrid w:val="0"/>
              <w:spacing w:line="264" w:lineRule="auto"/>
              <w:jc w:val="center"/>
              <w:rPr>
                <w:rFonts w:ascii="宋体" w:hAnsi="宋体"/>
                <w:sz w:val="15"/>
                <w:szCs w:val="15"/>
              </w:rPr>
            </w:pPr>
            <w:r>
              <w:rPr>
                <w:rFonts w:hint="eastAsia" w:ascii="宋体" w:hAnsi="宋体"/>
                <w:sz w:val="15"/>
                <w:szCs w:val="15"/>
              </w:rPr>
              <w:t>完整井</w:t>
            </w:r>
          </w:p>
        </w:tc>
        <w:tc>
          <w:tcPr>
            <w:tcW w:w="0" w:type="auto"/>
            <w:vAlign w:val="center"/>
          </w:tcPr>
          <w:p w14:paraId="774C7149">
            <w:pPr>
              <w:adjustRightInd w:val="0"/>
              <w:snapToGrid w:val="0"/>
              <w:spacing w:line="264" w:lineRule="auto"/>
              <w:jc w:val="center"/>
              <w:rPr>
                <w:rFonts w:ascii="宋体" w:hAnsi="宋体"/>
                <w:sz w:val="15"/>
                <w:szCs w:val="15"/>
              </w:rPr>
            </w:pPr>
            <w:r>
              <w:rPr>
                <w:rFonts w:ascii="宋体" w:hAnsi="宋体"/>
                <w:position w:val="-54"/>
                <w:sz w:val="15"/>
                <w:szCs w:val="15"/>
              </w:rPr>
              <w:object>
                <v:shape id="_x0000_i1056" o:spt="75" type="#_x0000_t75" style="height:29.2pt;width:80.8pt;" o:ole="t" filled="f" o:preferrelative="t" stroked="f" coordsize="21600,21600">
                  <v:path/>
                  <v:fill on="f" focussize="0,0"/>
                  <v:stroke on="f" joinstyle="miter"/>
                  <v:imagedata r:id="rId78" cropbottom="4473f" o:title=""/>
                  <o:lock v:ext="edit" aspectratio="t"/>
                  <w10:wrap type="none"/>
                  <w10:anchorlock/>
                </v:shape>
                <o:OLEObject Type="Embed" ProgID="Equation.3" ShapeID="_x0000_i1056" DrawAspect="Content" ObjectID="_1468075758" r:id="rId77">
                  <o:LockedField>false</o:LockedField>
                </o:OLEObject>
              </w:object>
            </w:r>
          </w:p>
        </w:tc>
      </w:tr>
      <w:tr w14:paraId="69E2817A">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566" w:hRule="atLeast"/>
          <w:jc w:val="center"/>
        </w:trPr>
        <w:tc>
          <w:tcPr>
            <w:tcW w:w="0" w:type="auto"/>
            <w:vMerge w:val="restart"/>
            <w:vAlign w:val="center"/>
          </w:tcPr>
          <w:p w14:paraId="672EBB5A">
            <w:pPr>
              <w:adjustRightInd w:val="0"/>
              <w:snapToGrid w:val="0"/>
              <w:spacing w:line="264" w:lineRule="auto"/>
              <w:jc w:val="center"/>
              <w:rPr>
                <w:rFonts w:ascii="宋体" w:hAnsi="宋体"/>
                <w:sz w:val="15"/>
                <w:szCs w:val="15"/>
              </w:rPr>
            </w:pPr>
            <w:r>
              <w:rPr>
                <w:rFonts w:hint="eastAsia" w:ascii="宋体" w:hAnsi="宋体"/>
                <w:sz w:val="15"/>
                <w:szCs w:val="15"/>
              </w:rPr>
              <w:t>线形</w:t>
            </w:r>
          </w:p>
          <w:p w14:paraId="4407317A">
            <w:pPr>
              <w:adjustRightInd w:val="0"/>
              <w:snapToGrid w:val="0"/>
              <w:spacing w:line="264" w:lineRule="auto"/>
              <w:jc w:val="center"/>
              <w:rPr>
                <w:rFonts w:ascii="宋体" w:hAnsi="宋体"/>
                <w:sz w:val="15"/>
                <w:szCs w:val="15"/>
              </w:rPr>
            </w:pPr>
            <w:r>
              <w:rPr>
                <w:rFonts w:hint="eastAsia" w:ascii="宋体" w:hAnsi="宋体"/>
                <w:sz w:val="15"/>
                <w:szCs w:val="15"/>
              </w:rPr>
              <w:t>基坑</w:t>
            </w:r>
          </w:p>
        </w:tc>
        <w:tc>
          <w:tcPr>
            <w:tcW w:w="0" w:type="auto"/>
            <w:vAlign w:val="center"/>
          </w:tcPr>
          <w:p w14:paraId="75D055BD">
            <w:pPr>
              <w:adjustRightInd w:val="0"/>
              <w:snapToGrid w:val="0"/>
              <w:spacing w:line="264" w:lineRule="auto"/>
              <w:jc w:val="center"/>
              <w:rPr>
                <w:rFonts w:ascii="宋体" w:hAnsi="宋体"/>
                <w:sz w:val="15"/>
                <w:szCs w:val="15"/>
              </w:rPr>
            </w:pPr>
            <w:r>
              <w:rPr>
                <w:rFonts w:hint="eastAsia" w:ascii="宋体" w:hAnsi="宋体"/>
                <w:sz w:val="15"/>
                <w:szCs w:val="15"/>
              </w:rPr>
              <w:t>潜水</w:t>
            </w:r>
          </w:p>
          <w:p w14:paraId="3C271781">
            <w:pPr>
              <w:adjustRightInd w:val="0"/>
              <w:snapToGrid w:val="0"/>
              <w:spacing w:line="264" w:lineRule="auto"/>
              <w:jc w:val="center"/>
              <w:rPr>
                <w:rFonts w:ascii="宋体" w:hAnsi="宋体"/>
                <w:sz w:val="15"/>
                <w:szCs w:val="15"/>
              </w:rPr>
            </w:pPr>
            <w:r>
              <w:rPr>
                <w:rFonts w:hint="eastAsia" w:ascii="宋体" w:hAnsi="宋体"/>
                <w:sz w:val="15"/>
                <w:szCs w:val="15"/>
              </w:rPr>
              <w:t>完整井</w:t>
            </w:r>
          </w:p>
        </w:tc>
        <w:tc>
          <w:tcPr>
            <w:tcW w:w="0" w:type="auto"/>
            <w:vAlign w:val="center"/>
          </w:tcPr>
          <w:p w14:paraId="496B9875">
            <w:pPr>
              <w:adjustRightInd w:val="0"/>
              <w:snapToGrid w:val="0"/>
              <w:spacing w:line="264" w:lineRule="auto"/>
              <w:jc w:val="center"/>
              <w:rPr>
                <w:rFonts w:ascii="宋体" w:hAnsi="宋体"/>
                <w:sz w:val="15"/>
                <w:szCs w:val="15"/>
              </w:rPr>
            </w:pPr>
            <w:r>
              <w:rPr>
                <w:rFonts w:ascii="宋体" w:hAnsi="宋体"/>
                <w:position w:val="-24"/>
                <w:sz w:val="15"/>
                <w:szCs w:val="15"/>
              </w:rPr>
              <w:object>
                <v:shape id="_x0000_i1057" o:spt="75" type="#_x0000_t75" style="height:21.75pt;width:55pt;" o:ole="t" filled="f" o:preferrelative="t" stroked="f" coordsize="21600,21600">
                  <v:path/>
                  <v:fill on="f" focussize="0,0"/>
                  <v:stroke on="f" joinstyle="miter"/>
                  <v:imagedata r:id="rId80" o:title=""/>
                  <o:lock v:ext="edit" aspectratio="t"/>
                  <w10:wrap type="none"/>
                  <w10:anchorlock/>
                </v:shape>
                <o:OLEObject Type="Embed" ProgID="Equation.3" ShapeID="_x0000_i1057" DrawAspect="Content" ObjectID="_1468075759" r:id="rId79">
                  <o:LockedField>false</o:LockedField>
                </o:OLEObject>
              </w:object>
            </w:r>
          </w:p>
        </w:tc>
      </w:tr>
      <w:tr w14:paraId="0709500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566" w:hRule="atLeast"/>
          <w:jc w:val="center"/>
        </w:trPr>
        <w:tc>
          <w:tcPr>
            <w:tcW w:w="0" w:type="auto"/>
            <w:vMerge w:val="continue"/>
            <w:vAlign w:val="center"/>
          </w:tcPr>
          <w:p w14:paraId="7BD37067">
            <w:pPr>
              <w:adjustRightInd w:val="0"/>
              <w:snapToGrid w:val="0"/>
              <w:spacing w:line="264" w:lineRule="auto"/>
              <w:jc w:val="center"/>
              <w:rPr>
                <w:rFonts w:ascii="宋体" w:hAnsi="宋体"/>
                <w:sz w:val="15"/>
                <w:szCs w:val="15"/>
              </w:rPr>
            </w:pPr>
          </w:p>
        </w:tc>
        <w:tc>
          <w:tcPr>
            <w:tcW w:w="0" w:type="auto"/>
            <w:vAlign w:val="center"/>
          </w:tcPr>
          <w:p w14:paraId="62A82E9B">
            <w:pPr>
              <w:adjustRightInd w:val="0"/>
              <w:snapToGrid w:val="0"/>
              <w:spacing w:line="264" w:lineRule="auto"/>
              <w:jc w:val="center"/>
              <w:rPr>
                <w:rFonts w:ascii="宋体" w:hAnsi="宋体"/>
                <w:sz w:val="15"/>
                <w:szCs w:val="15"/>
              </w:rPr>
            </w:pPr>
            <w:r>
              <w:rPr>
                <w:rFonts w:hint="eastAsia" w:ascii="宋体" w:hAnsi="宋体"/>
                <w:sz w:val="15"/>
                <w:szCs w:val="15"/>
              </w:rPr>
              <w:t>承压水</w:t>
            </w:r>
          </w:p>
          <w:p w14:paraId="3A6DC6B6">
            <w:pPr>
              <w:adjustRightInd w:val="0"/>
              <w:snapToGrid w:val="0"/>
              <w:spacing w:line="264" w:lineRule="auto"/>
              <w:jc w:val="center"/>
              <w:rPr>
                <w:rFonts w:ascii="宋体" w:hAnsi="宋体"/>
                <w:sz w:val="15"/>
                <w:szCs w:val="15"/>
              </w:rPr>
            </w:pPr>
            <w:r>
              <w:rPr>
                <w:rFonts w:hint="eastAsia" w:ascii="宋体" w:hAnsi="宋体"/>
                <w:sz w:val="15"/>
                <w:szCs w:val="15"/>
              </w:rPr>
              <w:t>完整井</w:t>
            </w:r>
          </w:p>
        </w:tc>
        <w:tc>
          <w:tcPr>
            <w:tcW w:w="0" w:type="auto"/>
            <w:vAlign w:val="center"/>
          </w:tcPr>
          <w:p w14:paraId="39910AD3">
            <w:pPr>
              <w:adjustRightInd w:val="0"/>
              <w:snapToGrid w:val="0"/>
              <w:spacing w:line="264" w:lineRule="auto"/>
              <w:jc w:val="center"/>
              <w:rPr>
                <w:rFonts w:ascii="宋体" w:hAnsi="宋体"/>
                <w:sz w:val="15"/>
                <w:szCs w:val="15"/>
              </w:rPr>
            </w:pPr>
            <w:r>
              <w:rPr>
                <w:rFonts w:ascii="宋体" w:hAnsi="宋体"/>
                <w:position w:val="-24"/>
                <w:sz w:val="15"/>
                <w:szCs w:val="15"/>
              </w:rPr>
              <w:object>
                <v:shape id="_x0000_i1058" o:spt="75" type="#_x0000_t75" style="height:22.4pt;width:42.1pt;" o:ole="t" filled="f" o:preferrelative="t" stroked="f" coordsize="21600,21600">
                  <v:path/>
                  <v:fill on="f" focussize="0,0"/>
                  <v:stroke on="f" joinstyle="miter"/>
                  <v:imagedata r:id="rId82" o:title=""/>
                  <o:lock v:ext="edit" aspectratio="t"/>
                  <w10:wrap type="none"/>
                  <w10:anchorlock/>
                </v:shape>
                <o:OLEObject Type="Embed" ProgID="Equation.3" ShapeID="_x0000_i1058" DrawAspect="Content" ObjectID="_1468075760" r:id="rId81">
                  <o:LockedField>false</o:LockedField>
                </o:OLEObject>
              </w:object>
            </w:r>
          </w:p>
        </w:tc>
      </w:tr>
    </w:tbl>
    <w:p w14:paraId="306F13D7">
      <w:pPr>
        <w:adjustRightInd w:val="0"/>
        <w:snapToGrid w:val="0"/>
        <w:spacing w:line="264" w:lineRule="auto"/>
        <w:ind w:firstLine="300" w:firstLineChars="200"/>
        <w:rPr>
          <w:sz w:val="15"/>
          <w:szCs w:val="15"/>
        </w:rPr>
      </w:pPr>
      <w:r>
        <w:rPr>
          <w:rFonts w:hAnsi="宋体"/>
          <w:sz w:val="15"/>
          <w:szCs w:val="15"/>
        </w:rPr>
        <w:t>注：</w:t>
      </w:r>
      <w:r>
        <w:rPr>
          <w:bCs/>
          <w:sz w:val="15"/>
          <w:szCs w:val="15"/>
        </w:rPr>
        <w:t>1</w:t>
      </w:r>
      <w:r>
        <w:rPr>
          <w:sz w:val="15"/>
          <w:szCs w:val="15"/>
        </w:rPr>
        <w:t xml:space="preserve"> </w:t>
      </w:r>
      <w:r>
        <w:rPr>
          <w:rFonts w:hAnsi="宋体"/>
          <w:sz w:val="15"/>
          <w:szCs w:val="15"/>
        </w:rPr>
        <w:t>式中：</w:t>
      </w:r>
      <w:r>
        <w:rPr>
          <w:i/>
          <w:iCs/>
          <w:sz w:val="15"/>
          <w:szCs w:val="15"/>
        </w:rPr>
        <w:t>Q</w:t>
      </w:r>
      <w:r>
        <w:rPr>
          <w:iCs/>
        </w:rPr>
        <w:t>——</w:t>
      </w:r>
      <w:r>
        <w:rPr>
          <w:rFonts w:hAnsi="宋体"/>
          <w:sz w:val="15"/>
          <w:szCs w:val="15"/>
        </w:rPr>
        <w:t>基坑计算涌水量（</w:t>
      </w:r>
      <w:r>
        <w:rPr>
          <w:sz w:val="15"/>
          <w:szCs w:val="15"/>
        </w:rPr>
        <w:t>m</w:t>
      </w:r>
      <w:r>
        <w:rPr>
          <w:sz w:val="15"/>
          <w:szCs w:val="15"/>
          <w:vertAlign w:val="superscript"/>
        </w:rPr>
        <w:t>3</w:t>
      </w:r>
      <w:r>
        <w:rPr>
          <w:sz w:val="15"/>
          <w:szCs w:val="15"/>
        </w:rPr>
        <w:t>/d</w:t>
      </w:r>
      <w:r>
        <w:rPr>
          <w:rFonts w:hAnsi="宋体"/>
          <w:sz w:val="15"/>
          <w:szCs w:val="15"/>
        </w:rPr>
        <w:t>）；</w:t>
      </w:r>
    </w:p>
    <w:p w14:paraId="181BFC5A">
      <w:pPr>
        <w:adjustRightInd w:val="0"/>
        <w:snapToGrid w:val="0"/>
        <w:spacing w:line="264" w:lineRule="auto"/>
        <w:ind w:firstLine="1209" w:firstLineChars="806"/>
        <w:rPr>
          <w:sz w:val="15"/>
          <w:szCs w:val="15"/>
        </w:rPr>
      </w:pPr>
      <w:r>
        <w:rPr>
          <w:i/>
          <w:iCs/>
          <w:sz w:val="15"/>
          <w:szCs w:val="15"/>
        </w:rPr>
        <w:t>k</w:t>
      </w:r>
      <w:r>
        <w:rPr>
          <w:rFonts w:hint="eastAsia"/>
          <w:i/>
          <w:iCs/>
          <w:sz w:val="15"/>
          <w:szCs w:val="15"/>
        </w:rPr>
        <w:t xml:space="preserve"> </w:t>
      </w:r>
      <w:r>
        <w:rPr>
          <w:iCs/>
        </w:rPr>
        <w:t>——</w:t>
      </w:r>
      <w:r>
        <w:rPr>
          <w:rFonts w:hAnsi="宋体"/>
          <w:sz w:val="15"/>
          <w:szCs w:val="15"/>
        </w:rPr>
        <w:t>含水层的渗透系数（</w:t>
      </w:r>
      <w:r>
        <w:rPr>
          <w:sz w:val="15"/>
          <w:szCs w:val="15"/>
        </w:rPr>
        <w:t>m/d</w:t>
      </w:r>
      <w:r>
        <w:rPr>
          <w:rFonts w:hAnsi="宋体"/>
          <w:sz w:val="15"/>
          <w:szCs w:val="15"/>
        </w:rPr>
        <w:t>）；</w:t>
      </w:r>
    </w:p>
    <w:p w14:paraId="59AFAB7A">
      <w:pPr>
        <w:adjustRightInd w:val="0"/>
        <w:snapToGrid w:val="0"/>
        <w:spacing w:line="264" w:lineRule="auto"/>
        <w:ind w:firstLine="1209" w:firstLineChars="806"/>
        <w:rPr>
          <w:sz w:val="15"/>
          <w:szCs w:val="15"/>
        </w:rPr>
      </w:pPr>
      <w:r>
        <w:rPr>
          <w:i/>
          <w:iCs/>
          <w:sz w:val="15"/>
          <w:szCs w:val="15"/>
        </w:rPr>
        <w:t>H</w:t>
      </w:r>
      <w:r>
        <w:rPr>
          <w:iCs/>
        </w:rPr>
        <w:t>——</w:t>
      </w:r>
      <w:r>
        <w:rPr>
          <w:rFonts w:hAnsi="宋体"/>
          <w:sz w:val="15"/>
          <w:szCs w:val="15"/>
        </w:rPr>
        <w:t>潜水含水层厚度（</w:t>
      </w:r>
      <w:r>
        <w:rPr>
          <w:sz w:val="15"/>
          <w:szCs w:val="15"/>
        </w:rPr>
        <w:t>m</w:t>
      </w:r>
      <w:r>
        <w:rPr>
          <w:rFonts w:hAnsi="宋体"/>
          <w:sz w:val="15"/>
          <w:szCs w:val="15"/>
        </w:rPr>
        <w:t>）；</w:t>
      </w:r>
    </w:p>
    <w:p w14:paraId="21BDAD2E">
      <w:pPr>
        <w:adjustRightInd w:val="0"/>
        <w:snapToGrid w:val="0"/>
        <w:spacing w:line="264" w:lineRule="auto"/>
        <w:ind w:firstLine="1147" w:firstLineChars="765"/>
        <w:rPr>
          <w:sz w:val="15"/>
          <w:szCs w:val="15"/>
        </w:rPr>
      </w:pPr>
      <w:r>
        <w:rPr>
          <w:i/>
          <w:sz w:val="15"/>
          <w:szCs w:val="15"/>
        </w:rPr>
        <w:t>H</w:t>
      </w:r>
      <w:r>
        <w:rPr>
          <w:sz w:val="15"/>
          <w:szCs w:val="15"/>
          <w:vertAlign w:val="subscript"/>
        </w:rPr>
        <w:t>0</w:t>
      </w:r>
      <w:r>
        <w:rPr>
          <w:iCs/>
        </w:rPr>
        <w:t>——</w:t>
      </w:r>
      <w:r>
        <w:rPr>
          <w:rFonts w:hAnsi="宋体"/>
          <w:sz w:val="15"/>
          <w:szCs w:val="15"/>
        </w:rPr>
        <w:t>承压水头与承压含水层厚度之和（</w:t>
      </w:r>
      <w:r>
        <w:rPr>
          <w:sz w:val="15"/>
          <w:szCs w:val="15"/>
        </w:rPr>
        <w:t>m</w:t>
      </w:r>
      <w:r>
        <w:rPr>
          <w:rFonts w:hAnsi="宋体"/>
          <w:sz w:val="15"/>
          <w:szCs w:val="15"/>
        </w:rPr>
        <w:t>）；</w:t>
      </w:r>
    </w:p>
    <w:p w14:paraId="39789744">
      <w:pPr>
        <w:adjustRightInd w:val="0"/>
        <w:snapToGrid w:val="0"/>
        <w:spacing w:line="264" w:lineRule="auto"/>
        <w:ind w:firstLine="1143" w:firstLineChars="762"/>
        <w:rPr>
          <w:sz w:val="15"/>
          <w:szCs w:val="15"/>
        </w:rPr>
      </w:pPr>
      <w:r>
        <w:rPr>
          <w:i/>
          <w:iCs/>
          <w:sz w:val="15"/>
          <w:szCs w:val="15"/>
        </w:rPr>
        <w:t>M</w:t>
      </w:r>
      <w:r>
        <w:rPr>
          <w:rFonts w:hint="eastAsia"/>
          <w:i/>
          <w:iCs/>
          <w:sz w:val="15"/>
          <w:szCs w:val="15"/>
        </w:rPr>
        <w:t xml:space="preserve"> </w:t>
      </w:r>
      <w:r>
        <w:rPr>
          <w:iCs/>
        </w:rPr>
        <w:t>——</w:t>
      </w:r>
      <w:r>
        <w:rPr>
          <w:rFonts w:hAnsi="宋体"/>
          <w:sz w:val="15"/>
          <w:szCs w:val="15"/>
        </w:rPr>
        <w:t>承压水含水层厚度（</w:t>
      </w:r>
      <w:r>
        <w:rPr>
          <w:sz w:val="15"/>
          <w:szCs w:val="15"/>
        </w:rPr>
        <w:t>m</w:t>
      </w:r>
      <w:r>
        <w:rPr>
          <w:rFonts w:hAnsi="宋体"/>
          <w:sz w:val="15"/>
          <w:szCs w:val="15"/>
        </w:rPr>
        <w:t>）；</w:t>
      </w:r>
    </w:p>
    <w:p w14:paraId="6449C645">
      <w:pPr>
        <w:adjustRightInd w:val="0"/>
        <w:snapToGrid w:val="0"/>
        <w:spacing w:line="264" w:lineRule="auto"/>
        <w:ind w:firstLine="1189" w:firstLineChars="661"/>
        <w:rPr>
          <w:sz w:val="15"/>
          <w:szCs w:val="15"/>
        </w:rPr>
      </w:pPr>
      <w:r>
        <w:rPr>
          <w:rFonts w:hint="eastAsia"/>
          <w:i/>
          <w:sz w:val="18"/>
          <w:szCs w:val="18"/>
        </w:rPr>
        <w:t>s</w:t>
      </w:r>
      <w:r>
        <w:rPr>
          <w:rFonts w:hint="eastAsia"/>
          <w:i/>
          <w:sz w:val="15"/>
          <w:szCs w:val="15"/>
        </w:rPr>
        <w:t xml:space="preserve"> </w:t>
      </w:r>
      <w:r>
        <w:rPr>
          <w:iCs/>
        </w:rPr>
        <w:t>——</w:t>
      </w:r>
      <w:r>
        <w:rPr>
          <w:rFonts w:hAnsi="宋体"/>
          <w:sz w:val="15"/>
          <w:szCs w:val="15"/>
        </w:rPr>
        <w:t>设计水位降深（</w:t>
      </w:r>
      <w:r>
        <w:rPr>
          <w:sz w:val="15"/>
          <w:szCs w:val="15"/>
        </w:rPr>
        <w:t>m</w:t>
      </w:r>
      <w:r>
        <w:rPr>
          <w:rFonts w:hAnsi="宋体"/>
          <w:sz w:val="15"/>
          <w:szCs w:val="15"/>
        </w:rPr>
        <w:t>）；</w:t>
      </w:r>
    </w:p>
    <w:p w14:paraId="2EB225A6">
      <w:pPr>
        <w:adjustRightInd w:val="0"/>
        <w:snapToGrid w:val="0"/>
        <w:spacing w:line="264" w:lineRule="auto"/>
        <w:ind w:left="1735" w:leftChars="560" w:hanging="559" w:hangingChars="373"/>
        <w:rPr>
          <w:sz w:val="15"/>
          <w:szCs w:val="15"/>
        </w:rPr>
      </w:pPr>
      <w:r>
        <w:rPr>
          <w:i/>
          <w:iCs/>
          <w:sz w:val="15"/>
          <w:szCs w:val="15"/>
        </w:rPr>
        <w:t>R</w:t>
      </w:r>
      <w:r>
        <w:rPr>
          <w:rFonts w:hint="eastAsia"/>
          <w:i/>
          <w:iCs/>
          <w:sz w:val="15"/>
          <w:szCs w:val="15"/>
        </w:rPr>
        <w:t xml:space="preserve"> </w:t>
      </w:r>
      <w:r>
        <w:rPr>
          <w:iCs/>
        </w:rPr>
        <w:t>——</w:t>
      </w:r>
      <w:r>
        <w:rPr>
          <w:rFonts w:hAnsi="宋体"/>
          <w:sz w:val="15"/>
          <w:szCs w:val="15"/>
        </w:rPr>
        <w:t>引用影响半径（</w:t>
      </w:r>
      <w:r>
        <w:rPr>
          <w:sz w:val="15"/>
          <w:szCs w:val="15"/>
        </w:rPr>
        <w:t>m</w:t>
      </w:r>
      <w:r>
        <w:rPr>
          <w:rFonts w:hAnsi="宋体"/>
          <w:sz w:val="15"/>
          <w:szCs w:val="15"/>
        </w:rPr>
        <w:t>）</w:t>
      </w:r>
      <w:r>
        <w:rPr>
          <w:rFonts w:hint="eastAsia" w:hAnsi="宋体"/>
          <w:sz w:val="15"/>
          <w:szCs w:val="15"/>
        </w:rPr>
        <w:t>，对于潜水含水层，</w:t>
      </w:r>
      <w:r>
        <w:rPr>
          <w:rFonts w:hint="eastAsia" w:hAnsi="宋体"/>
          <w:i/>
          <w:sz w:val="15"/>
          <w:szCs w:val="15"/>
        </w:rPr>
        <w:t>R</w:t>
      </w:r>
      <w:r>
        <w:rPr>
          <w:rFonts w:hint="eastAsia" w:hAnsi="宋体"/>
          <w:sz w:val="15"/>
          <w:szCs w:val="15"/>
        </w:rPr>
        <w:t>=2</w:t>
      </w:r>
      <w:r>
        <w:rPr>
          <w:rFonts w:hint="eastAsia" w:hAnsi="宋体"/>
          <w:i/>
          <w:sz w:val="15"/>
          <w:szCs w:val="15"/>
        </w:rPr>
        <w:t>S</w:t>
      </w:r>
      <w:r>
        <w:rPr>
          <w:rFonts w:ascii="宋体" w:hAnsi="宋体"/>
          <w:position w:val="-8"/>
          <w:sz w:val="20"/>
          <w:szCs w:val="20"/>
        </w:rPr>
        <w:object>
          <v:shape id="_x0000_i1059" o:spt="75" type="#_x0000_t75" style="height:12.9pt;width:14.95pt;" o:ole="t" filled="f" o:preferrelative="t" stroked="f" coordsize="21600,21600">
            <v:path/>
            <v:fill on="f" focussize="0,0"/>
            <v:stroke on="f" joinstyle="miter"/>
            <v:imagedata r:id="rId84" o:title=""/>
            <o:lock v:ext="edit" aspectratio="t"/>
            <w10:wrap type="none"/>
            <w10:anchorlock/>
          </v:shape>
          <o:OLEObject Type="Embed" ProgID="Equation.3" ShapeID="_x0000_i1059" DrawAspect="Content" ObjectID="_1468075761" r:id="rId83">
            <o:LockedField>false</o:LockedField>
          </o:OLEObject>
        </w:object>
      </w:r>
      <w:r>
        <w:rPr>
          <w:rFonts w:hint="eastAsia" w:ascii="宋体" w:hAnsi="宋体"/>
          <w:sz w:val="20"/>
          <w:szCs w:val="20"/>
        </w:rPr>
        <w:t>，</w:t>
      </w:r>
      <w:r>
        <w:rPr>
          <w:rFonts w:hint="eastAsia" w:hAnsi="宋体"/>
          <w:sz w:val="15"/>
          <w:szCs w:val="15"/>
        </w:rPr>
        <w:t>对于承压含水层，</w:t>
      </w:r>
      <w:r>
        <w:rPr>
          <w:rFonts w:hint="eastAsia" w:hAnsi="宋体"/>
          <w:i/>
          <w:sz w:val="15"/>
          <w:szCs w:val="15"/>
        </w:rPr>
        <w:t>R</w:t>
      </w:r>
      <w:r>
        <w:rPr>
          <w:rFonts w:hint="eastAsia" w:hAnsi="宋体"/>
          <w:sz w:val="15"/>
          <w:szCs w:val="15"/>
        </w:rPr>
        <w:t>=10</w:t>
      </w:r>
      <w:r>
        <w:rPr>
          <w:rFonts w:hint="eastAsia" w:hAnsi="宋体"/>
          <w:i/>
          <w:sz w:val="15"/>
          <w:szCs w:val="15"/>
        </w:rPr>
        <w:t>S</w:t>
      </w:r>
      <w:r>
        <w:rPr>
          <w:rFonts w:ascii="宋体" w:hAnsi="宋体"/>
          <w:position w:val="-8"/>
          <w:sz w:val="20"/>
          <w:szCs w:val="20"/>
        </w:rPr>
        <w:object>
          <v:shape id="_x0000_i1060" o:spt="75" type="#_x0000_t75" style="height:12.9pt;width:12.9pt;" o:ole="t" filled="f" o:preferrelative="t" stroked="f" coordsize="21600,21600">
            <v:path/>
            <v:fill on="f" focussize="0,0"/>
            <v:stroke on="f" joinstyle="miter"/>
            <v:imagedata r:id="rId86" o:title=""/>
            <o:lock v:ext="edit" aspectratio="t"/>
            <w10:wrap type="none"/>
            <w10:anchorlock/>
          </v:shape>
          <o:OLEObject Type="Embed" ProgID="Equation.3" ShapeID="_x0000_i1060" DrawAspect="Content" ObjectID="_1468075762" r:id="rId85">
            <o:LockedField>false</o:LockedField>
          </o:OLEObject>
        </w:object>
      </w:r>
      <w:r>
        <w:rPr>
          <w:rFonts w:hAnsi="宋体"/>
          <w:sz w:val="15"/>
          <w:szCs w:val="15"/>
        </w:rPr>
        <w:t>；</w:t>
      </w:r>
    </w:p>
    <w:p w14:paraId="2F169085">
      <w:pPr>
        <w:adjustRightInd w:val="0"/>
        <w:snapToGrid w:val="0"/>
        <w:spacing w:line="264" w:lineRule="auto"/>
        <w:ind w:firstLine="1203" w:firstLineChars="802"/>
        <w:rPr>
          <w:sz w:val="15"/>
          <w:szCs w:val="15"/>
        </w:rPr>
      </w:pPr>
      <w:r>
        <w:rPr>
          <w:i/>
          <w:iCs/>
          <w:sz w:val="15"/>
          <w:szCs w:val="15"/>
        </w:rPr>
        <w:t>h</w:t>
      </w:r>
      <w:r>
        <w:rPr>
          <w:rFonts w:hint="eastAsia"/>
          <w:i/>
          <w:iCs/>
          <w:sz w:val="15"/>
          <w:szCs w:val="15"/>
        </w:rPr>
        <w:t xml:space="preserve"> </w:t>
      </w:r>
      <w:r>
        <w:rPr>
          <w:iCs/>
        </w:rPr>
        <w:t>——</w:t>
      </w:r>
      <w:r>
        <w:rPr>
          <w:rFonts w:hAnsi="宋体"/>
          <w:sz w:val="15"/>
          <w:szCs w:val="15"/>
        </w:rPr>
        <w:t>基坑动水位至含水层底板的深度（</w:t>
      </w:r>
      <w:r>
        <w:rPr>
          <w:sz w:val="15"/>
          <w:szCs w:val="15"/>
        </w:rPr>
        <w:t>m</w:t>
      </w:r>
      <w:r>
        <w:rPr>
          <w:rFonts w:hAnsi="宋体"/>
          <w:sz w:val="15"/>
          <w:szCs w:val="15"/>
        </w:rPr>
        <w:t>）；</w:t>
      </w:r>
      <w:r>
        <w:rPr>
          <w:sz w:val="15"/>
          <w:szCs w:val="15"/>
        </w:rPr>
        <w:t xml:space="preserve">            </w:t>
      </w:r>
    </w:p>
    <w:p w14:paraId="5720ECB2">
      <w:pPr>
        <w:adjustRightInd w:val="0"/>
        <w:snapToGrid w:val="0"/>
        <w:spacing w:line="264" w:lineRule="auto"/>
        <w:ind w:firstLine="1231" w:firstLineChars="821"/>
        <w:rPr>
          <w:sz w:val="15"/>
          <w:szCs w:val="15"/>
        </w:rPr>
      </w:pPr>
      <w:r>
        <w:rPr>
          <w:i/>
          <w:iCs/>
          <w:sz w:val="15"/>
          <w:szCs w:val="15"/>
        </w:rPr>
        <w:t>l</w:t>
      </w:r>
      <w:r>
        <w:rPr>
          <w:rFonts w:hint="eastAsia"/>
          <w:i/>
          <w:iCs/>
          <w:sz w:val="15"/>
          <w:szCs w:val="15"/>
        </w:rPr>
        <w:t xml:space="preserve"> </w:t>
      </w:r>
      <w:r>
        <w:rPr>
          <w:iCs/>
        </w:rPr>
        <w:t>——</w:t>
      </w:r>
      <w:r>
        <w:rPr>
          <w:rFonts w:hAnsi="宋体"/>
          <w:sz w:val="15"/>
          <w:szCs w:val="15"/>
        </w:rPr>
        <w:t>滤管有效工作部分长度（</w:t>
      </w:r>
      <w:r>
        <w:rPr>
          <w:sz w:val="15"/>
          <w:szCs w:val="15"/>
        </w:rPr>
        <w:t>m</w:t>
      </w:r>
      <w:r>
        <w:rPr>
          <w:rFonts w:hAnsi="宋体"/>
          <w:sz w:val="15"/>
          <w:szCs w:val="15"/>
        </w:rPr>
        <w:t>）；</w:t>
      </w:r>
    </w:p>
    <w:p w14:paraId="02E874E8">
      <w:pPr>
        <w:adjustRightInd w:val="0"/>
        <w:snapToGrid w:val="0"/>
        <w:spacing w:line="264" w:lineRule="auto"/>
        <w:ind w:firstLine="1217" w:firstLineChars="812"/>
        <w:rPr>
          <w:sz w:val="15"/>
          <w:szCs w:val="15"/>
        </w:rPr>
      </w:pPr>
      <w:r>
        <w:rPr>
          <w:i/>
          <w:iCs/>
          <w:sz w:val="15"/>
          <w:szCs w:val="15"/>
        </w:rPr>
        <w:t>L</w:t>
      </w:r>
      <w:r>
        <w:rPr>
          <w:iCs/>
        </w:rPr>
        <w:t>——</w:t>
      </w:r>
      <w:r>
        <w:rPr>
          <w:rFonts w:hAnsi="宋体"/>
          <w:sz w:val="15"/>
          <w:szCs w:val="15"/>
        </w:rPr>
        <w:t>基坑长度（</w:t>
      </w:r>
      <w:r>
        <w:rPr>
          <w:sz w:val="15"/>
          <w:szCs w:val="15"/>
        </w:rPr>
        <w:t>m</w:t>
      </w:r>
      <w:r>
        <w:rPr>
          <w:rFonts w:hAnsi="宋体"/>
          <w:sz w:val="15"/>
          <w:szCs w:val="15"/>
        </w:rPr>
        <w:t>）；</w:t>
      </w:r>
    </w:p>
    <w:p w14:paraId="2C246DD0">
      <w:pPr>
        <w:adjustRightInd w:val="0"/>
        <w:snapToGrid w:val="0"/>
        <w:spacing w:line="264" w:lineRule="auto"/>
        <w:ind w:firstLine="1200" w:firstLineChars="800"/>
        <w:rPr>
          <w:sz w:val="15"/>
          <w:szCs w:val="15"/>
        </w:rPr>
      </w:pPr>
      <w:r>
        <w:rPr>
          <w:i/>
          <w:sz w:val="15"/>
          <w:szCs w:val="15"/>
        </w:rPr>
        <w:t>B</w:t>
      </w:r>
      <w:r>
        <w:rPr>
          <w:iCs/>
        </w:rPr>
        <w:t>——</w:t>
      </w:r>
      <w:r>
        <w:rPr>
          <w:rFonts w:hAnsi="宋体"/>
          <w:sz w:val="15"/>
          <w:szCs w:val="15"/>
        </w:rPr>
        <w:t>条形基坑宽度（</w:t>
      </w:r>
      <w:r>
        <w:rPr>
          <w:sz w:val="15"/>
          <w:szCs w:val="15"/>
        </w:rPr>
        <w:t>m）</w:t>
      </w:r>
      <w:r>
        <w:rPr>
          <w:rFonts w:hAnsi="宋体"/>
          <w:sz w:val="15"/>
          <w:szCs w:val="15"/>
        </w:rPr>
        <w:t>；</w:t>
      </w:r>
    </w:p>
    <w:p w14:paraId="762B516E">
      <w:pPr>
        <w:adjustRightInd w:val="0"/>
        <w:snapToGrid w:val="0"/>
        <w:spacing w:line="264" w:lineRule="auto"/>
        <w:ind w:left="1737" w:leftChars="571" w:hanging="538" w:hangingChars="359"/>
        <w:rPr>
          <w:sz w:val="15"/>
          <w:szCs w:val="15"/>
        </w:rPr>
      </w:pPr>
      <w:r>
        <w:rPr>
          <w:i/>
          <w:iCs/>
          <w:sz w:val="15"/>
          <w:szCs w:val="15"/>
        </w:rPr>
        <w:t>r</w:t>
      </w:r>
      <w:r>
        <w:rPr>
          <w:sz w:val="15"/>
          <w:szCs w:val="15"/>
          <w:vertAlign w:val="subscript"/>
        </w:rPr>
        <w:t>0</w:t>
      </w:r>
      <w:r>
        <w:rPr>
          <w:iCs/>
        </w:rPr>
        <w:t>——</w:t>
      </w:r>
      <w:r>
        <w:rPr>
          <w:rFonts w:hAnsi="宋体"/>
          <w:sz w:val="15"/>
          <w:szCs w:val="15"/>
        </w:rPr>
        <w:t>基坑等效半径（</w:t>
      </w:r>
      <w:r>
        <w:rPr>
          <w:sz w:val="15"/>
          <w:szCs w:val="15"/>
        </w:rPr>
        <w:t>m</w:t>
      </w:r>
      <w:r>
        <w:rPr>
          <w:rFonts w:hAnsi="宋体"/>
          <w:sz w:val="15"/>
          <w:szCs w:val="15"/>
        </w:rPr>
        <w:t>），矩形或不规则形状基坑</w:t>
      </w:r>
      <w:r>
        <w:rPr>
          <w:position w:val="-10"/>
          <w:sz w:val="15"/>
          <w:szCs w:val="15"/>
        </w:rPr>
        <w:object>
          <v:shape id="_x0000_i1061" o:spt="75" type="#_x0000_t75" style="height:14.95pt;width:49.6pt;" o:ole="t" filled="f" o:preferrelative="t" stroked="f" coordsize="21600,21600">
            <v:path/>
            <v:fill on="f" focussize="0,0"/>
            <v:stroke on="f" joinstyle="miter"/>
            <v:imagedata r:id="rId88" o:title=""/>
            <o:lock v:ext="edit" aspectratio="t"/>
            <w10:wrap type="none"/>
            <w10:anchorlock/>
          </v:shape>
          <o:OLEObject Type="Embed" ProgID="Equation.DSMT4" ShapeID="_x0000_i1061" DrawAspect="Content" ObjectID="_1468075763" r:id="rId87">
            <o:LockedField>false</o:LockedField>
          </o:OLEObject>
        </w:object>
      </w:r>
      <w:r>
        <w:rPr>
          <w:rFonts w:hAnsi="宋体"/>
          <w:sz w:val="15"/>
          <w:szCs w:val="15"/>
        </w:rPr>
        <w:t>，</w:t>
      </w:r>
      <w:r>
        <w:rPr>
          <w:i/>
          <w:iCs/>
          <w:sz w:val="15"/>
          <w:szCs w:val="15"/>
        </w:rPr>
        <w:t>F</w:t>
      </w:r>
      <w:r>
        <w:rPr>
          <w:rFonts w:hAnsi="宋体"/>
          <w:sz w:val="15"/>
          <w:szCs w:val="15"/>
        </w:rPr>
        <w:t>为基坑面积（</w:t>
      </w:r>
      <w:r>
        <w:rPr>
          <w:sz w:val="15"/>
          <w:szCs w:val="15"/>
        </w:rPr>
        <w:t>m</w:t>
      </w:r>
      <w:r>
        <w:rPr>
          <w:sz w:val="15"/>
          <w:szCs w:val="15"/>
          <w:vertAlign w:val="superscript"/>
        </w:rPr>
        <w:t>2</w:t>
      </w:r>
      <w:r>
        <w:rPr>
          <w:rFonts w:hAnsi="宋体"/>
          <w:sz w:val="15"/>
          <w:szCs w:val="15"/>
        </w:rPr>
        <w:t>），如已确定井位布置，</w:t>
      </w:r>
      <w:r>
        <w:rPr>
          <w:position w:val="-10"/>
          <w:sz w:val="15"/>
          <w:szCs w:val="15"/>
        </w:rPr>
        <w:object>
          <v:shape id="_x0000_i1062" o:spt="75" type="#_x0000_t75" style="height:14.95pt;width:55pt;" o:ole="t" filled="f" o:preferrelative="t" stroked="f" coordsize="21600,21600">
            <v:path/>
            <v:fill on="f" focussize="0,0"/>
            <v:stroke on="f" joinstyle="miter"/>
            <v:imagedata r:id="rId90" o:title=""/>
            <o:lock v:ext="edit" aspectratio="t"/>
            <w10:wrap type="none"/>
            <w10:anchorlock/>
          </v:shape>
          <o:OLEObject Type="Embed" ProgID="Equation.DSMT4" ShapeID="_x0000_i1062" DrawAspect="Content" ObjectID="_1468075764" r:id="rId89">
            <o:LockedField>false</o:LockedField>
          </o:OLEObject>
        </w:object>
      </w:r>
      <w:r>
        <w:rPr>
          <w:rFonts w:hAnsi="宋体"/>
          <w:sz w:val="15"/>
          <w:szCs w:val="15"/>
        </w:rPr>
        <w:t>，</w:t>
      </w:r>
      <w:r>
        <w:rPr>
          <w:position w:val="-10"/>
          <w:sz w:val="15"/>
          <w:szCs w:val="15"/>
        </w:rPr>
        <w:object>
          <v:shape id="_x0000_i1063" o:spt="75" type="#_x0000_t75" style="height:12.9pt;width:34.65pt;" o:ole="t" filled="f" o:preferrelative="t" stroked="f" coordsize="21600,21600">
            <v:path/>
            <v:fill on="f" focussize="0,0"/>
            <v:stroke on="f" joinstyle="miter"/>
            <v:imagedata r:id="rId92" o:title=""/>
            <o:lock v:ext="edit" aspectratio="t"/>
            <w10:wrap type="none"/>
            <w10:anchorlock/>
          </v:shape>
          <o:OLEObject Type="Embed" ProgID="Equation.DSMT4" ShapeID="_x0000_i1063" DrawAspect="Content" ObjectID="_1468075765" r:id="rId91">
            <o:LockedField>false</o:LockedField>
          </o:OLEObject>
        </w:object>
      </w:r>
      <w:r>
        <w:rPr>
          <w:rFonts w:hAnsi="宋体"/>
          <w:sz w:val="15"/>
          <w:szCs w:val="15"/>
        </w:rPr>
        <w:t>为各降水井至基坑中心的距离，</w:t>
      </w:r>
      <w:r>
        <w:rPr>
          <w:i/>
          <w:iCs/>
          <w:sz w:val="15"/>
          <w:szCs w:val="15"/>
        </w:rPr>
        <w:t>n</w:t>
      </w:r>
      <w:r>
        <w:rPr>
          <w:rFonts w:hAnsi="宋体"/>
          <w:sz w:val="15"/>
          <w:szCs w:val="15"/>
        </w:rPr>
        <w:t>为井数。</w:t>
      </w:r>
    </w:p>
    <w:p w14:paraId="0FD68110">
      <w:pPr>
        <w:adjustRightInd w:val="0"/>
        <w:snapToGrid w:val="0"/>
        <w:spacing w:line="288" w:lineRule="auto"/>
        <w:ind w:left="855" w:leftChars="300" w:hanging="225" w:hangingChars="150"/>
        <w:rPr>
          <w:sz w:val="15"/>
          <w:szCs w:val="15"/>
        </w:rPr>
      </w:pPr>
      <w:r>
        <w:rPr>
          <w:sz w:val="15"/>
          <w:szCs w:val="15"/>
        </w:rPr>
        <w:t xml:space="preserve">2 </w:t>
      </w:r>
      <w:r>
        <w:rPr>
          <w:rFonts w:hint="eastAsia"/>
          <w:sz w:val="15"/>
          <w:szCs w:val="15"/>
        </w:rPr>
        <w:t xml:space="preserve"> </w:t>
      </w:r>
      <w:r>
        <w:rPr>
          <w:rFonts w:hAnsi="宋体"/>
          <w:sz w:val="15"/>
          <w:szCs w:val="15"/>
        </w:rPr>
        <w:t>基坑长宽比小于等于</w:t>
      </w:r>
      <w:r>
        <w:rPr>
          <w:sz w:val="15"/>
          <w:szCs w:val="15"/>
        </w:rPr>
        <w:t>20</w:t>
      </w:r>
      <w:r>
        <w:rPr>
          <w:rFonts w:hAnsi="宋体"/>
          <w:sz w:val="15"/>
          <w:szCs w:val="15"/>
        </w:rPr>
        <w:t>时，可采用圆形基坑大井公式计算基坑涌水量；基坑长宽比大于</w:t>
      </w:r>
      <w:r>
        <w:rPr>
          <w:sz w:val="15"/>
          <w:szCs w:val="15"/>
        </w:rPr>
        <w:t>20</w:t>
      </w:r>
      <w:r>
        <w:rPr>
          <w:rFonts w:hAnsi="宋体"/>
          <w:sz w:val="15"/>
          <w:szCs w:val="15"/>
        </w:rPr>
        <w:t>小于等于</w:t>
      </w:r>
      <w:r>
        <w:rPr>
          <w:sz w:val="15"/>
          <w:szCs w:val="15"/>
        </w:rPr>
        <w:t>50</w:t>
      </w:r>
      <w:r>
        <w:rPr>
          <w:rFonts w:hAnsi="宋体"/>
          <w:sz w:val="15"/>
          <w:szCs w:val="15"/>
        </w:rPr>
        <w:t>时，可采用条形基坑涌水量公式计算基坑涌水量；基坑长宽比大于</w:t>
      </w:r>
      <w:r>
        <w:rPr>
          <w:sz w:val="15"/>
          <w:szCs w:val="15"/>
        </w:rPr>
        <w:t>50</w:t>
      </w:r>
      <w:r>
        <w:rPr>
          <w:rFonts w:hAnsi="宋体"/>
          <w:sz w:val="15"/>
          <w:szCs w:val="15"/>
        </w:rPr>
        <w:t>时，可采用线形基坑涌水量公式计算基坑涌水量。</w:t>
      </w:r>
    </w:p>
    <w:p w14:paraId="183DDAAF">
      <w:pPr>
        <w:adjustRightInd w:val="0"/>
        <w:snapToGrid w:val="0"/>
        <w:spacing w:line="288" w:lineRule="auto"/>
        <w:ind w:firstLine="642" w:firstLineChars="428"/>
        <w:rPr>
          <w:b/>
          <w:bCs/>
          <w:sz w:val="20"/>
          <w:szCs w:val="20"/>
        </w:rPr>
      </w:pPr>
      <w:r>
        <w:rPr>
          <w:sz w:val="15"/>
          <w:szCs w:val="15"/>
        </w:rPr>
        <w:t xml:space="preserve">3 </w:t>
      </w:r>
      <w:r>
        <w:rPr>
          <w:rFonts w:hint="eastAsia"/>
          <w:sz w:val="15"/>
          <w:szCs w:val="15"/>
        </w:rPr>
        <w:t xml:space="preserve"> </w:t>
      </w:r>
      <w:r>
        <w:rPr>
          <w:rFonts w:hAnsi="宋体"/>
          <w:sz w:val="15"/>
          <w:szCs w:val="15"/>
        </w:rPr>
        <w:t>当场区水文地质条件明确时，可以采用数值法进行设计。</w:t>
      </w:r>
    </w:p>
    <w:p w14:paraId="7F114159">
      <w:pPr>
        <w:adjustRightInd w:val="0"/>
        <w:snapToGrid w:val="0"/>
        <w:spacing w:line="288" w:lineRule="auto"/>
        <w:rPr>
          <w:rFonts w:ascii="宋体" w:hAnsi="宋体"/>
          <w:sz w:val="20"/>
          <w:szCs w:val="20"/>
        </w:rPr>
      </w:pPr>
      <w:r>
        <w:rPr>
          <w:b/>
          <w:bCs/>
          <w:kern w:val="0"/>
          <w:sz w:val="20"/>
          <w:szCs w:val="20"/>
        </w:rPr>
        <w:t>5.3.4</w:t>
      </w:r>
      <w:r>
        <w:rPr>
          <w:rFonts w:hint="eastAsia" w:ascii="宋体" w:hAnsi="宋体"/>
          <w:sz w:val="20"/>
          <w:szCs w:val="20"/>
        </w:rPr>
        <w:t xml:space="preserve">  设计单井出水量可按下列规定确定：</w:t>
      </w:r>
    </w:p>
    <w:p w14:paraId="1A261A62">
      <w:pPr>
        <w:adjustRightInd w:val="0"/>
        <w:snapToGrid w:val="0"/>
        <w:spacing w:line="288" w:lineRule="auto"/>
        <w:ind w:firstLine="402" w:firstLineChars="200"/>
        <w:rPr>
          <w:rFonts w:ascii="宋体" w:hAnsi="宋体"/>
          <w:sz w:val="20"/>
          <w:szCs w:val="20"/>
        </w:rPr>
      </w:pPr>
      <w:r>
        <w:rPr>
          <w:rFonts w:hint="eastAsia"/>
          <w:b/>
          <w:bCs/>
          <w:sz w:val="20"/>
          <w:szCs w:val="20"/>
        </w:rPr>
        <w:t>1</w:t>
      </w:r>
      <w:r>
        <w:rPr>
          <w:rFonts w:hint="eastAsia" w:ascii="宋体" w:hAnsi="宋体"/>
          <w:sz w:val="20"/>
          <w:szCs w:val="20"/>
        </w:rPr>
        <w:t xml:space="preserve">  真空井点出水量可按</w:t>
      </w:r>
      <w:r>
        <w:rPr>
          <w:sz w:val="20"/>
          <w:szCs w:val="20"/>
        </w:rPr>
        <w:t>36m</w:t>
      </w:r>
      <w:r>
        <w:rPr>
          <w:sz w:val="20"/>
          <w:szCs w:val="20"/>
          <w:vertAlign w:val="superscript"/>
        </w:rPr>
        <w:t>3</w:t>
      </w:r>
      <w:r>
        <w:rPr>
          <w:sz w:val="20"/>
          <w:szCs w:val="20"/>
        </w:rPr>
        <w:t>/d</w:t>
      </w:r>
      <w:r>
        <w:rPr>
          <w:rFonts w:hAnsi="宋体"/>
          <w:sz w:val="20"/>
          <w:szCs w:val="20"/>
        </w:rPr>
        <w:t>～</w:t>
      </w:r>
      <w:r>
        <w:rPr>
          <w:sz w:val="20"/>
          <w:szCs w:val="20"/>
        </w:rPr>
        <w:t>60m</w:t>
      </w:r>
      <w:r>
        <w:rPr>
          <w:sz w:val="20"/>
          <w:szCs w:val="20"/>
          <w:vertAlign w:val="superscript"/>
        </w:rPr>
        <w:t>3</w:t>
      </w:r>
      <w:r>
        <w:rPr>
          <w:sz w:val="20"/>
          <w:szCs w:val="20"/>
        </w:rPr>
        <w:t>/d</w:t>
      </w:r>
      <w:r>
        <w:rPr>
          <w:rFonts w:hint="eastAsia" w:ascii="宋体" w:hAnsi="宋体"/>
          <w:sz w:val="20"/>
          <w:szCs w:val="20"/>
        </w:rPr>
        <w:t>确定</w:t>
      </w:r>
      <w:r>
        <w:rPr>
          <w:rFonts w:ascii="宋体" w:hAnsi="宋体"/>
          <w:sz w:val="20"/>
          <w:szCs w:val="20"/>
        </w:rPr>
        <w:t>；</w:t>
      </w:r>
    </w:p>
    <w:p w14:paraId="61B36ADF">
      <w:pPr>
        <w:adjustRightInd w:val="0"/>
        <w:snapToGrid w:val="0"/>
        <w:spacing w:line="288" w:lineRule="auto"/>
        <w:ind w:firstLine="402" w:firstLineChars="200"/>
        <w:rPr>
          <w:rFonts w:ascii="宋体" w:hAnsi="宋体"/>
          <w:sz w:val="20"/>
          <w:szCs w:val="20"/>
        </w:rPr>
      </w:pPr>
      <w:r>
        <w:rPr>
          <w:rFonts w:hint="eastAsia"/>
          <w:b/>
          <w:bCs/>
          <w:sz w:val="20"/>
          <w:szCs w:val="20"/>
        </w:rPr>
        <w:t>2</w:t>
      </w:r>
      <w:r>
        <w:rPr>
          <w:rFonts w:hint="eastAsia" w:ascii="宋体" w:hAnsi="宋体"/>
          <w:sz w:val="20"/>
          <w:szCs w:val="20"/>
        </w:rPr>
        <w:t xml:space="preserve">  真空喷射井点出水量可按表</w:t>
      </w:r>
      <w:r>
        <w:rPr>
          <w:sz w:val="20"/>
          <w:szCs w:val="20"/>
        </w:rPr>
        <w:t>5.3.4</w:t>
      </w:r>
      <w:r>
        <w:rPr>
          <w:rFonts w:hint="eastAsia" w:ascii="宋体" w:hAnsi="宋体"/>
          <w:sz w:val="20"/>
          <w:szCs w:val="20"/>
        </w:rPr>
        <w:t>确定；</w:t>
      </w:r>
    </w:p>
    <w:p w14:paraId="7753CA9F">
      <w:pPr>
        <w:adjustRightInd w:val="0"/>
        <w:snapToGrid w:val="0"/>
        <w:spacing w:before="156" w:beforeLines="50" w:after="156" w:afterLines="50" w:line="288" w:lineRule="auto"/>
        <w:jc w:val="center"/>
        <w:rPr>
          <w:b/>
          <w:sz w:val="18"/>
          <w:szCs w:val="18"/>
        </w:rPr>
      </w:pPr>
      <w:r>
        <w:rPr>
          <w:b/>
          <w:sz w:val="18"/>
          <w:szCs w:val="18"/>
        </w:rPr>
        <w:t>表5.3.4  喷射井点设计出水量</w:t>
      </w:r>
    </w:p>
    <w:tbl>
      <w:tblPr>
        <w:tblStyle w:val="34"/>
        <w:tblW w:w="58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45" w:type="dxa"/>
          <w:left w:w="28" w:type="dxa"/>
          <w:bottom w:w="45" w:type="dxa"/>
          <w:right w:w="28" w:type="dxa"/>
        </w:tblCellMar>
      </w:tblPr>
      <w:tblGrid>
        <w:gridCol w:w="924"/>
        <w:gridCol w:w="434"/>
        <w:gridCol w:w="457"/>
        <w:gridCol w:w="507"/>
        <w:gridCol w:w="700"/>
        <w:gridCol w:w="982"/>
        <w:gridCol w:w="1008"/>
        <w:gridCol w:w="828"/>
      </w:tblGrid>
      <w:tr w14:paraId="7E48C1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924" w:type="dxa"/>
            <w:vMerge w:val="restart"/>
            <w:tcBorders>
              <w:left w:val="single" w:color="auto" w:sz="4" w:space="0"/>
            </w:tcBorders>
            <w:vAlign w:val="center"/>
          </w:tcPr>
          <w:p w14:paraId="73CEA264">
            <w:pPr>
              <w:adjustRightInd w:val="0"/>
              <w:snapToGrid w:val="0"/>
              <w:spacing w:line="264" w:lineRule="auto"/>
              <w:jc w:val="center"/>
              <w:rPr>
                <w:rFonts w:ascii="宋体" w:hAnsi="宋体"/>
                <w:sz w:val="15"/>
                <w:szCs w:val="15"/>
              </w:rPr>
            </w:pPr>
            <w:r>
              <w:rPr>
                <w:rFonts w:hint="eastAsia" w:ascii="宋体" w:hAnsi="宋体"/>
                <w:sz w:val="15"/>
                <w:szCs w:val="15"/>
              </w:rPr>
              <w:t>型号</w:t>
            </w:r>
          </w:p>
        </w:tc>
        <w:tc>
          <w:tcPr>
            <w:tcW w:w="434" w:type="dxa"/>
            <w:vMerge w:val="restart"/>
            <w:vAlign w:val="center"/>
          </w:tcPr>
          <w:p w14:paraId="3DD7BA9B">
            <w:pPr>
              <w:adjustRightInd w:val="0"/>
              <w:snapToGrid w:val="0"/>
              <w:spacing w:line="264" w:lineRule="auto"/>
              <w:jc w:val="center"/>
              <w:rPr>
                <w:rFonts w:ascii="宋体" w:hAnsi="宋体"/>
                <w:sz w:val="15"/>
                <w:szCs w:val="15"/>
              </w:rPr>
            </w:pPr>
            <w:r>
              <w:rPr>
                <w:rFonts w:hint="eastAsia" w:ascii="宋体" w:hAnsi="宋体"/>
                <w:sz w:val="15"/>
                <w:szCs w:val="15"/>
              </w:rPr>
              <w:t>外管</w:t>
            </w:r>
          </w:p>
          <w:p w14:paraId="2833DE69">
            <w:pPr>
              <w:adjustRightInd w:val="0"/>
              <w:snapToGrid w:val="0"/>
              <w:spacing w:line="264" w:lineRule="auto"/>
              <w:jc w:val="center"/>
              <w:rPr>
                <w:rFonts w:ascii="宋体" w:hAnsi="宋体"/>
                <w:sz w:val="15"/>
                <w:szCs w:val="15"/>
              </w:rPr>
            </w:pPr>
            <w:r>
              <w:rPr>
                <w:rFonts w:hint="eastAsia" w:ascii="宋体" w:hAnsi="宋体"/>
                <w:sz w:val="15"/>
                <w:szCs w:val="15"/>
              </w:rPr>
              <w:t>直径</w:t>
            </w:r>
            <w:r>
              <w:rPr>
                <w:rFonts w:hAnsi="宋体"/>
                <w:sz w:val="11"/>
                <w:szCs w:val="11"/>
              </w:rPr>
              <w:t>（</w:t>
            </w:r>
            <w:r>
              <w:rPr>
                <w:sz w:val="11"/>
                <w:szCs w:val="11"/>
              </w:rPr>
              <w:t>mm</w:t>
            </w:r>
            <w:r>
              <w:rPr>
                <w:rFonts w:hAnsi="宋体"/>
                <w:sz w:val="11"/>
                <w:szCs w:val="11"/>
              </w:rPr>
              <w:t>）</w:t>
            </w:r>
          </w:p>
        </w:tc>
        <w:tc>
          <w:tcPr>
            <w:tcW w:w="964" w:type="dxa"/>
            <w:gridSpan w:val="2"/>
            <w:vAlign w:val="center"/>
          </w:tcPr>
          <w:p w14:paraId="2A3B329D">
            <w:pPr>
              <w:adjustRightInd w:val="0"/>
              <w:snapToGrid w:val="0"/>
              <w:spacing w:line="264" w:lineRule="auto"/>
              <w:jc w:val="center"/>
              <w:rPr>
                <w:rFonts w:ascii="宋体" w:hAnsi="宋体"/>
                <w:sz w:val="15"/>
                <w:szCs w:val="15"/>
              </w:rPr>
            </w:pPr>
            <w:r>
              <w:rPr>
                <w:rFonts w:hint="eastAsia" w:ascii="宋体" w:hAnsi="宋体"/>
                <w:sz w:val="15"/>
                <w:szCs w:val="15"/>
              </w:rPr>
              <w:t>喷射管</w:t>
            </w:r>
          </w:p>
        </w:tc>
        <w:tc>
          <w:tcPr>
            <w:tcW w:w="700" w:type="dxa"/>
            <w:vMerge w:val="restart"/>
            <w:vAlign w:val="center"/>
          </w:tcPr>
          <w:p w14:paraId="6000F5B4">
            <w:pPr>
              <w:adjustRightInd w:val="0"/>
              <w:snapToGrid w:val="0"/>
              <w:spacing w:line="264" w:lineRule="auto"/>
              <w:jc w:val="center"/>
              <w:rPr>
                <w:rFonts w:ascii="宋体" w:hAnsi="宋体"/>
                <w:sz w:val="15"/>
                <w:szCs w:val="15"/>
              </w:rPr>
            </w:pPr>
            <w:r>
              <w:rPr>
                <w:rFonts w:hint="eastAsia" w:ascii="宋体" w:hAnsi="宋体"/>
                <w:sz w:val="15"/>
                <w:szCs w:val="15"/>
              </w:rPr>
              <w:t>工  作</w:t>
            </w:r>
          </w:p>
          <w:p w14:paraId="2CE15A22">
            <w:pPr>
              <w:adjustRightInd w:val="0"/>
              <w:snapToGrid w:val="0"/>
              <w:spacing w:line="264" w:lineRule="auto"/>
              <w:jc w:val="center"/>
              <w:rPr>
                <w:rFonts w:ascii="宋体" w:hAnsi="宋体"/>
                <w:sz w:val="15"/>
                <w:szCs w:val="15"/>
              </w:rPr>
            </w:pPr>
            <w:r>
              <w:rPr>
                <w:rFonts w:hint="eastAsia" w:ascii="宋体" w:hAnsi="宋体"/>
                <w:sz w:val="15"/>
                <w:szCs w:val="15"/>
              </w:rPr>
              <w:t>水压力</w:t>
            </w:r>
          </w:p>
          <w:p w14:paraId="3FB45E45">
            <w:pPr>
              <w:adjustRightInd w:val="0"/>
              <w:snapToGrid w:val="0"/>
              <w:spacing w:line="264" w:lineRule="auto"/>
              <w:jc w:val="center"/>
              <w:rPr>
                <w:sz w:val="15"/>
                <w:szCs w:val="15"/>
              </w:rPr>
            </w:pPr>
            <w:r>
              <w:rPr>
                <w:rFonts w:hAnsi="宋体"/>
                <w:sz w:val="15"/>
                <w:szCs w:val="15"/>
              </w:rPr>
              <w:t>（</w:t>
            </w:r>
            <w:r>
              <w:rPr>
                <w:sz w:val="15"/>
                <w:szCs w:val="15"/>
              </w:rPr>
              <w:t>MPa</w:t>
            </w:r>
            <w:r>
              <w:rPr>
                <w:rFonts w:hAnsi="宋体"/>
                <w:sz w:val="15"/>
                <w:szCs w:val="15"/>
              </w:rPr>
              <w:t>）</w:t>
            </w:r>
          </w:p>
        </w:tc>
        <w:tc>
          <w:tcPr>
            <w:tcW w:w="982" w:type="dxa"/>
            <w:vMerge w:val="restart"/>
            <w:vAlign w:val="center"/>
          </w:tcPr>
          <w:p w14:paraId="3939D5D1">
            <w:pPr>
              <w:adjustRightInd w:val="0"/>
              <w:snapToGrid w:val="0"/>
              <w:spacing w:line="264" w:lineRule="auto"/>
              <w:jc w:val="center"/>
              <w:rPr>
                <w:rFonts w:ascii="宋体" w:hAnsi="宋体"/>
                <w:sz w:val="15"/>
                <w:szCs w:val="15"/>
              </w:rPr>
            </w:pPr>
            <w:r>
              <w:rPr>
                <w:rFonts w:hint="eastAsia" w:ascii="宋体" w:hAnsi="宋体"/>
                <w:sz w:val="15"/>
                <w:szCs w:val="15"/>
              </w:rPr>
              <w:t>工  作</w:t>
            </w:r>
          </w:p>
          <w:p w14:paraId="7AE91F5F">
            <w:pPr>
              <w:adjustRightInd w:val="0"/>
              <w:snapToGrid w:val="0"/>
              <w:spacing w:line="264" w:lineRule="auto"/>
              <w:jc w:val="center"/>
              <w:rPr>
                <w:rFonts w:ascii="宋体" w:hAnsi="宋体"/>
                <w:sz w:val="15"/>
                <w:szCs w:val="15"/>
              </w:rPr>
            </w:pPr>
            <w:r>
              <w:rPr>
                <w:rFonts w:hint="eastAsia" w:ascii="宋体" w:hAnsi="宋体"/>
                <w:sz w:val="15"/>
                <w:szCs w:val="15"/>
              </w:rPr>
              <w:t>水流量</w:t>
            </w:r>
          </w:p>
          <w:p w14:paraId="3DF57348">
            <w:pPr>
              <w:adjustRightInd w:val="0"/>
              <w:snapToGrid w:val="0"/>
              <w:spacing w:line="264" w:lineRule="auto"/>
              <w:jc w:val="center"/>
              <w:rPr>
                <w:sz w:val="15"/>
                <w:szCs w:val="15"/>
              </w:rPr>
            </w:pPr>
            <w:r>
              <w:rPr>
                <w:rFonts w:hAnsi="宋体"/>
                <w:sz w:val="15"/>
                <w:szCs w:val="15"/>
              </w:rPr>
              <w:t>（</w:t>
            </w:r>
            <w:r>
              <w:rPr>
                <w:sz w:val="15"/>
                <w:szCs w:val="15"/>
              </w:rPr>
              <w:t>m</w:t>
            </w:r>
            <w:r>
              <w:rPr>
                <w:sz w:val="15"/>
                <w:szCs w:val="15"/>
                <w:vertAlign w:val="superscript"/>
              </w:rPr>
              <w:t>3</w:t>
            </w:r>
            <w:r>
              <w:rPr>
                <w:sz w:val="15"/>
                <w:szCs w:val="15"/>
              </w:rPr>
              <w:t>/d</w:t>
            </w:r>
            <w:r>
              <w:rPr>
                <w:rFonts w:hAnsi="宋体"/>
                <w:sz w:val="15"/>
                <w:szCs w:val="15"/>
              </w:rPr>
              <w:t>）</w:t>
            </w:r>
          </w:p>
        </w:tc>
        <w:tc>
          <w:tcPr>
            <w:tcW w:w="1008" w:type="dxa"/>
            <w:vMerge w:val="restart"/>
            <w:vAlign w:val="center"/>
          </w:tcPr>
          <w:p w14:paraId="133A7C3E">
            <w:pPr>
              <w:adjustRightInd w:val="0"/>
              <w:snapToGrid w:val="0"/>
              <w:spacing w:line="264" w:lineRule="auto"/>
              <w:jc w:val="center"/>
              <w:rPr>
                <w:rFonts w:ascii="宋体" w:hAnsi="宋体"/>
                <w:sz w:val="15"/>
                <w:szCs w:val="15"/>
              </w:rPr>
            </w:pPr>
            <w:r>
              <w:rPr>
                <w:rFonts w:hint="eastAsia" w:ascii="宋体" w:hAnsi="宋体"/>
                <w:sz w:val="15"/>
                <w:szCs w:val="15"/>
              </w:rPr>
              <w:t>设计单井</w:t>
            </w:r>
          </w:p>
          <w:p w14:paraId="4181793A">
            <w:pPr>
              <w:adjustRightInd w:val="0"/>
              <w:snapToGrid w:val="0"/>
              <w:spacing w:line="264" w:lineRule="auto"/>
              <w:jc w:val="center"/>
              <w:rPr>
                <w:rFonts w:ascii="宋体" w:hAnsi="宋体"/>
                <w:sz w:val="15"/>
                <w:szCs w:val="15"/>
              </w:rPr>
            </w:pPr>
            <w:r>
              <w:rPr>
                <w:rFonts w:hint="eastAsia" w:ascii="宋体" w:hAnsi="宋体"/>
                <w:sz w:val="15"/>
                <w:szCs w:val="15"/>
              </w:rPr>
              <w:t>出水流量</w:t>
            </w:r>
          </w:p>
          <w:p w14:paraId="28AA6EA8">
            <w:pPr>
              <w:adjustRightInd w:val="0"/>
              <w:snapToGrid w:val="0"/>
              <w:spacing w:line="264" w:lineRule="auto"/>
              <w:jc w:val="center"/>
              <w:rPr>
                <w:sz w:val="15"/>
                <w:szCs w:val="15"/>
              </w:rPr>
            </w:pPr>
            <w:r>
              <w:rPr>
                <w:rFonts w:hAnsi="宋体"/>
                <w:sz w:val="15"/>
                <w:szCs w:val="15"/>
              </w:rPr>
              <w:t>（</w:t>
            </w:r>
            <w:r>
              <w:rPr>
                <w:sz w:val="15"/>
                <w:szCs w:val="15"/>
              </w:rPr>
              <w:t>m</w:t>
            </w:r>
            <w:r>
              <w:rPr>
                <w:sz w:val="15"/>
                <w:szCs w:val="15"/>
                <w:vertAlign w:val="superscript"/>
              </w:rPr>
              <w:t>3</w:t>
            </w:r>
            <w:r>
              <w:rPr>
                <w:sz w:val="15"/>
                <w:szCs w:val="15"/>
              </w:rPr>
              <w:t>/d</w:t>
            </w:r>
            <w:r>
              <w:rPr>
                <w:rFonts w:hAnsi="宋体"/>
                <w:sz w:val="15"/>
                <w:szCs w:val="15"/>
              </w:rPr>
              <w:t>）</w:t>
            </w:r>
          </w:p>
        </w:tc>
        <w:tc>
          <w:tcPr>
            <w:tcW w:w="828" w:type="dxa"/>
            <w:vMerge w:val="restart"/>
            <w:tcBorders>
              <w:right w:val="single" w:color="auto" w:sz="4" w:space="0"/>
            </w:tcBorders>
            <w:vAlign w:val="center"/>
          </w:tcPr>
          <w:p w14:paraId="4508899D">
            <w:pPr>
              <w:adjustRightInd w:val="0"/>
              <w:snapToGrid w:val="0"/>
              <w:spacing w:line="264" w:lineRule="auto"/>
              <w:jc w:val="center"/>
              <w:rPr>
                <w:rFonts w:ascii="宋体" w:hAnsi="宋体"/>
                <w:sz w:val="15"/>
                <w:szCs w:val="15"/>
              </w:rPr>
            </w:pPr>
            <w:r>
              <w:rPr>
                <w:rFonts w:hint="eastAsia" w:ascii="宋体" w:hAnsi="宋体"/>
                <w:sz w:val="15"/>
                <w:szCs w:val="15"/>
              </w:rPr>
              <w:t>适用含水层</w:t>
            </w:r>
          </w:p>
          <w:p w14:paraId="0C57DE4B">
            <w:pPr>
              <w:adjustRightInd w:val="0"/>
              <w:snapToGrid w:val="0"/>
              <w:spacing w:line="264" w:lineRule="auto"/>
              <w:jc w:val="center"/>
              <w:rPr>
                <w:rFonts w:ascii="宋体" w:hAnsi="宋体"/>
                <w:sz w:val="15"/>
                <w:szCs w:val="15"/>
              </w:rPr>
            </w:pPr>
            <w:r>
              <w:rPr>
                <w:rFonts w:hint="eastAsia" w:ascii="宋体" w:hAnsi="宋体"/>
                <w:sz w:val="15"/>
                <w:szCs w:val="15"/>
              </w:rPr>
              <w:t>渗透系数</w:t>
            </w:r>
          </w:p>
          <w:p w14:paraId="5FBE544D">
            <w:pPr>
              <w:adjustRightInd w:val="0"/>
              <w:snapToGrid w:val="0"/>
              <w:spacing w:line="264" w:lineRule="auto"/>
              <w:jc w:val="center"/>
              <w:rPr>
                <w:sz w:val="15"/>
                <w:szCs w:val="15"/>
              </w:rPr>
            </w:pPr>
            <w:r>
              <w:rPr>
                <w:rFonts w:hAnsi="宋体"/>
                <w:sz w:val="15"/>
                <w:szCs w:val="15"/>
              </w:rPr>
              <w:t>（</w:t>
            </w:r>
            <w:r>
              <w:rPr>
                <w:sz w:val="15"/>
                <w:szCs w:val="15"/>
              </w:rPr>
              <w:t>m/d</w:t>
            </w:r>
            <w:r>
              <w:rPr>
                <w:rFonts w:hAnsi="宋体"/>
                <w:sz w:val="15"/>
                <w:szCs w:val="15"/>
              </w:rPr>
              <w:t>）</w:t>
            </w:r>
          </w:p>
        </w:tc>
      </w:tr>
      <w:tr w14:paraId="6DA28A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924" w:type="dxa"/>
            <w:vMerge w:val="continue"/>
            <w:tcBorders>
              <w:left w:val="single" w:color="auto" w:sz="4" w:space="0"/>
            </w:tcBorders>
            <w:vAlign w:val="center"/>
          </w:tcPr>
          <w:p w14:paraId="78401439">
            <w:pPr>
              <w:adjustRightInd w:val="0"/>
              <w:snapToGrid w:val="0"/>
              <w:spacing w:line="264" w:lineRule="auto"/>
              <w:jc w:val="center"/>
              <w:rPr>
                <w:rFonts w:ascii="宋体" w:hAnsi="宋体"/>
                <w:sz w:val="15"/>
                <w:szCs w:val="15"/>
              </w:rPr>
            </w:pPr>
          </w:p>
        </w:tc>
        <w:tc>
          <w:tcPr>
            <w:tcW w:w="434" w:type="dxa"/>
            <w:vMerge w:val="continue"/>
            <w:vAlign w:val="center"/>
          </w:tcPr>
          <w:p w14:paraId="21298676">
            <w:pPr>
              <w:adjustRightInd w:val="0"/>
              <w:snapToGrid w:val="0"/>
              <w:spacing w:line="264" w:lineRule="auto"/>
              <w:jc w:val="center"/>
              <w:rPr>
                <w:rFonts w:ascii="宋体" w:hAnsi="宋体"/>
                <w:sz w:val="15"/>
                <w:szCs w:val="15"/>
              </w:rPr>
            </w:pPr>
          </w:p>
        </w:tc>
        <w:tc>
          <w:tcPr>
            <w:tcW w:w="457" w:type="dxa"/>
            <w:vAlign w:val="center"/>
          </w:tcPr>
          <w:p w14:paraId="3810B86A">
            <w:pPr>
              <w:adjustRightInd w:val="0"/>
              <w:snapToGrid w:val="0"/>
              <w:spacing w:line="264" w:lineRule="auto"/>
              <w:jc w:val="center"/>
              <w:rPr>
                <w:rFonts w:ascii="宋体" w:hAnsi="宋体"/>
                <w:sz w:val="15"/>
                <w:szCs w:val="15"/>
              </w:rPr>
            </w:pPr>
            <w:r>
              <w:rPr>
                <w:rFonts w:hint="eastAsia" w:ascii="宋体" w:hAnsi="宋体"/>
                <w:sz w:val="15"/>
                <w:szCs w:val="15"/>
              </w:rPr>
              <w:t>喷嘴</w:t>
            </w:r>
          </w:p>
          <w:p w14:paraId="557B17F5">
            <w:pPr>
              <w:adjustRightInd w:val="0"/>
              <w:snapToGrid w:val="0"/>
              <w:spacing w:line="264" w:lineRule="auto"/>
              <w:jc w:val="center"/>
              <w:rPr>
                <w:rFonts w:ascii="宋体" w:hAnsi="宋体"/>
                <w:sz w:val="15"/>
                <w:szCs w:val="15"/>
              </w:rPr>
            </w:pPr>
            <w:r>
              <w:rPr>
                <w:rFonts w:hint="eastAsia" w:ascii="宋体" w:hAnsi="宋体"/>
                <w:sz w:val="15"/>
                <w:szCs w:val="15"/>
              </w:rPr>
              <w:t>直径</w:t>
            </w:r>
            <w:r>
              <w:rPr>
                <w:rFonts w:hAnsi="宋体"/>
                <w:sz w:val="12"/>
                <w:szCs w:val="12"/>
              </w:rPr>
              <w:t>（mm）</w:t>
            </w:r>
          </w:p>
        </w:tc>
        <w:tc>
          <w:tcPr>
            <w:tcW w:w="507" w:type="dxa"/>
            <w:vAlign w:val="center"/>
          </w:tcPr>
          <w:p w14:paraId="5F71C2AB">
            <w:pPr>
              <w:adjustRightInd w:val="0"/>
              <w:snapToGrid w:val="0"/>
              <w:spacing w:line="264" w:lineRule="auto"/>
              <w:jc w:val="center"/>
              <w:rPr>
                <w:rFonts w:ascii="宋体" w:hAnsi="宋体"/>
                <w:sz w:val="15"/>
                <w:szCs w:val="15"/>
              </w:rPr>
            </w:pPr>
            <w:r>
              <w:rPr>
                <w:rFonts w:hint="eastAsia" w:ascii="宋体" w:hAnsi="宋体"/>
                <w:sz w:val="15"/>
                <w:szCs w:val="15"/>
              </w:rPr>
              <w:t>混合室直径</w:t>
            </w:r>
            <w:r>
              <w:rPr>
                <w:rFonts w:hAnsi="宋体"/>
                <w:sz w:val="12"/>
                <w:szCs w:val="12"/>
              </w:rPr>
              <w:t>（mm）</w:t>
            </w:r>
          </w:p>
        </w:tc>
        <w:tc>
          <w:tcPr>
            <w:tcW w:w="700" w:type="dxa"/>
            <w:vMerge w:val="continue"/>
            <w:vAlign w:val="center"/>
          </w:tcPr>
          <w:p w14:paraId="5799EC60">
            <w:pPr>
              <w:adjustRightInd w:val="0"/>
              <w:snapToGrid w:val="0"/>
              <w:spacing w:line="264" w:lineRule="auto"/>
              <w:jc w:val="center"/>
              <w:rPr>
                <w:rFonts w:ascii="宋体" w:hAnsi="宋体"/>
                <w:sz w:val="15"/>
                <w:szCs w:val="15"/>
              </w:rPr>
            </w:pPr>
          </w:p>
        </w:tc>
        <w:tc>
          <w:tcPr>
            <w:tcW w:w="982" w:type="dxa"/>
            <w:vMerge w:val="continue"/>
            <w:vAlign w:val="center"/>
          </w:tcPr>
          <w:p w14:paraId="1AFDD6E8">
            <w:pPr>
              <w:adjustRightInd w:val="0"/>
              <w:snapToGrid w:val="0"/>
              <w:spacing w:line="264" w:lineRule="auto"/>
              <w:jc w:val="center"/>
              <w:rPr>
                <w:rFonts w:ascii="宋体" w:hAnsi="宋体"/>
                <w:sz w:val="15"/>
                <w:szCs w:val="15"/>
              </w:rPr>
            </w:pPr>
          </w:p>
        </w:tc>
        <w:tc>
          <w:tcPr>
            <w:tcW w:w="1008" w:type="dxa"/>
            <w:vMerge w:val="continue"/>
            <w:vAlign w:val="center"/>
          </w:tcPr>
          <w:p w14:paraId="1EDDFF80">
            <w:pPr>
              <w:adjustRightInd w:val="0"/>
              <w:snapToGrid w:val="0"/>
              <w:spacing w:line="264" w:lineRule="auto"/>
              <w:jc w:val="center"/>
              <w:rPr>
                <w:rFonts w:ascii="宋体" w:hAnsi="宋体"/>
                <w:sz w:val="15"/>
                <w:szCs w:val="15"/>
              </w:rPr>
            </w:pPr>
          </w:p>
        </w:tc>
        <w:tc>
          <w:tcPr>
            <w:tcW w:w="828" w:type="dxa"/>
            <w:vMerge w:val="continue"/>
            <w:tcBorders>
              <w:right w:val="single" w:color="auto" w:sz="4" w:space="0"/>
            </w:tcBorders>
            <w:vAlign w:val="center"/>
          </w:tcPr>
          <w:p w14:paraId="3A80BC93">
            <w:pPr>
              <w:adjustRightInd w:val="0"/>
              <w:snapToGrid w:val="0"/>
              <w:spacing w:line="264" w:lineRule="auto"/>
              <w:jc w:val="center"/>
              <w:rPr>
                <w:rFonts w:ascii="宋体" w:hAnsi="宋体"/>
                <w:sz w:val="15"/>
                <w:szCs w:val="15"/>
              </w:rPr>
            </w:pPr>
          </w:p>
        </w:tc>
      </w:tr>
      <w:tr w14:paraId="1A51E6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924" w:type="dxa"/>
            <w:tcBorders>
              <w:left w:val="single" w:color="auto" w:sz="4" w:space="0"/>
            </w:tcBorders>
            <w:vAlign w:val="center"/>
          </w:tcPr>
          <w:p w14:paraId="31B05A0D">
            <w:pPr>
              <w:adjustRightInd w:val="0"/>
              <w:snapToGrid w:val="0"/>
              <w:spacing w:line="264" w:lineRule="auto"/>
              <w:jc w:val="center"/>
              <w:rPr>
                <w:sz w:val="15"/>
                <w:szCs w:val="15"/>
              </w:rPr>
            </w:pPr>
            <w:r>
              <w:rPr>
                <w:sz w:val="15"/>
                <w:szCs w:val="15"/>
              </w:rPr>
              <w:t>1.5</w:t>
            </w:r>
            <w:r>
              <w:rPr>
                <w:rFonts w:hAnsi="宋体"/>
                <w:sz w:val="15"/>
                <w:szCs w:val="15"/>
              </w:rPr>
              <w:t>型并列式</w:t>
            </w:r>
          </w:p>
        </w:tc>
        <w:tc>
          <w:tcPr>
            <w:tcW w:w="434" w:type="dxa"/>
            <w:vAlign w:val="center"/>
          </w:tcPr>
          <w:p w14:paraId="4CCA8609">
            <w:pPr>
              <w:adjustRightInd w:val="0"/>
              <w:snapToGrid w:val="0"/>
              <w:spacing w:line="264" w:lineRule="auto"/>
              <w:jc w:val="center"/>
              <w:rPr>
                <w:sz w:val="15"/>
                <w:szCs w:val="15"/>
              </w:rPr>
            </w:pPr>
            <w:r>
              <w:rPr>
                <w:sz w:val="15"/>
                <w:szCs w:val="15"/>
              </w:rPr>
              <w:t>38</w:t>
            </w:r>
          </w:p>
        </w:tc>
        <w:tc>
          <w:tcPr>
            <w:tcW w:w="457" w:type="dxa"/>
            <w:vAlign w:val="center"/>
          </w:tcPr>
          <w:p w14:paraId="7C483C8F">
            <w:pPr>
              <w:adjustRightInd w:val="0"/>
              <w:snapToGrid w:val="0"/>
              <w:spacing w:line="264" w:lineRule="auto"/>
              <w:jc w:val="center"/>
              <w:rPr>
                <w:sz w:val="15"/>
                <w:szCs w:val="15"/>
              </w:rPr>
            </w:pPr>
            <w:r>
              <w:rPr>
                <w:sz w:val="15"/>
                <w:szCs w:val="15"/>
              </w:rPr>
              <w:t>7</w:t>
            </w:r>
          </w:p>
        </w:tc>
        <w:tc>
          <w:tcPr>
            <w:tcW w:w="507" w:type="dxa"/>
            <w:vAlign w:val="center"/>
          </w:tcPr>
          <w:p w14:paraId="03D40B14">
            <w:pPr>
              <w:adjustRightInd w:val="0"/>
              <w:snapToGrid w:val="0"/>
              <w:spacing w:line="264" w:lineRule="auto"/>
              <w:jc w:val="center"/>
              <w:rPr>
                <w:sz w:val="15"/>
                <w:szCs w:val="15"/>
              </w:rPr>
            </w:pPr>
            <w:r>
              <w:rPr>
                <w:sz w:val="15"/>
                <w:szCs w:val="15"/>
              </w:rPr>
              <w:t>14</w:t>
            </w:r>
          </w:p>
        </w:tc>
        <w:tc>
          <w:tcPr>
            <w:tcW w:w="700" w:type="dxa"/>
            <w:vAlign w:val="center"/>
          </w:tcPr>
          <w:p w14:paraId="2AE00298">
            <w:pPr>
              <w:adjustRightInd w:val="0"/>
              <w:snapToGrid w:val="0"/>
              <w:spacing w:line="264" w:lineRule="auto"/>
              <w:jc w:val="center"/>
              <w:rPr>
                <w:sz w:val="15"/>
                <w:szCs w:val="15"/>
              </w:rPr>
            </w:pPr>
            <w:r>
              <w:rPr>
                <w:sz w:val="15"/>
                <w:szCs w:val="15"/>
              </w:rPr>
              <w:t>0.6～0.8</w:t>
            </w:r>
          </w:p>
        </w:tc>
        <w:tc>
          <w:tcPr>
            <w:tcW w:w="982" w:type="dxa"/>
            <w:vAlign w:val="center"/>
          </w:tcPr>
          <w:p w14:paraId="1C77F223">
            <w:pPr>
              <w:adjustRightInd w:val="0"/>
              <w:snapToGrid w:val="0"/>
              <w:spacing w:line="264" w:lineRule="auto"/>
              <w:jc w:val="center"/>
              <w:rPr>
                <w:sz w:val="15"/>
                <w:szCs w:val="15"/>
              </w:rPr>
            </w:pPr>
            <w:r>
              <w:rPr>
                <w:sz w:val="15"/>
                <w:szCs w:val="15"/>
              </w:rPr>
              <w:t>112.8～163.2</w:t>
            </w:r>
          </w:p>
        </w:tc>
        <w:tc>
          <w:tcPr>
            <w:tcW w:w="1008" w:type="dxa"/>
            <w:vAlign w:val="center"/>
          </w:tcPr>
          <w:p w14:paraId="68A3E08E">
            <w:pPr>
              <w:adjustRightInd w:val="0"/>
              <w:snapToGrid w:val="0"/>
              <w:spacing w:line="264" w:lineRule="auto"/>
              <w:jc w:val="center"/>
              <w:rPr>
                <w:sz w:val="15"/>
                <w:szCs w:val="15"/>
              </w:rPr>
            </w:pPr>
            <w:r>
              <w:rPr>
                <w:sz w:val="15"/>
                <w:szCs w:val="15"/>
              </w:rPr>
              <w:t>100.8～138.2</w:t>
            </w:r>
          </w:p>
        </w:tc>
        <w:tc>
          <w:tcPr>
            <w:tcW w:w="828" w:type="dxa"/>
            <w:tcBorders>
              <w:right w:val="single" w:color="auto" w:sz="4" w:space="0"/>
            </w:tcBorders>
            <w:vAlign w:val="center"/>
          </w:tcPr>
          <w:p w14:paraId="79CA43BE">
            <w:pPr>
              <w:adjustRightInd w:val="0"/>
              <w:snapToGrid w:val="0"/>
              <w:spacing w:line="264" w:lineRule="auto"/>
              <w:jc w:val="center"/>
              <w:rPr>
                <w:sz w:val="15"/>
                <w:szCs w:val="15"/>
              </w:rPr>
            </w:pPr>
            <w:r>
              <w:rPr>
                <w:sz w:val="15"/>
                <w:szCs w:val="15"/>
              </w:rPr>
              <w:t>0.1～5.0</w:t>
            </w:r>
          </w:p>
        </w:tc>
      </w:tr>
      <w:tr w14:paraId="1B6DF1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924" w:type="dxa"/>
            <w:tcBorders>
              <w:left w:val="single" w:color="auto" w:sz="4" w:space="0"/>
            </w:tcBorders>
            <w:vAlign w:val="center"/>
          </w:tcPr>
          <w:p w14:paraId="43A4E760">
            <w:pPr>
              <w:adjustRightInd w:val="0"/>
              <w:snapToGrid w:val="0"/>
              <w:spacing w:line="264" w:lineRule="auto"/>
              <w:jc w:val="center"/>
              <w:rPr>
                <w:sz w:val="15"/>
                <w:szCs w:val="15"/>
              </w:rPr>
            </w:pPr>
            <w:r>
              <w:rPr>
                <w:sz w:val="15"/>
                <w:szCs w:val="15"/>
              </w:rPr>
              <w:t>2.5</w:t>
            </w:r>
            <w:r>
              <w:rPr>
                <w:rFonts w:hAnsi="宋体"/>
                <w:sz w:val="15"/>
                <w:szCs w:val="15"/>
              </w:rPr>
              <w:t>型圆心式</w:t>
            </w:r>
          </w:p>
        </w:tc>
        <w:tc>
          <w:tcPr>
            <w:tcW w:w="434" w:type="dxa"/>
            <w:vAlign w:val="center"/>
          </w:tcPr>
          <w:p w14:paraId="71D9D200">
            <w:pPr>
              <w:adjustRightInd w:val="0"/>
              <w:snapToGrid w:val="0"/>
              <w:spacing w:line="264" w:lineRule="auto"/>
              <w:jc w:val="center"/>
              <w:rPr>
                <w:sz w:val="15"/>
                <w:szCs w:val="15"/>
              </w:rPr>
            </w:pPr>
            <w:r>
              <w:rPr>
                <w:sz w:val="15"/>
                <w:szCs w:val="15"/>
              </w:rPr>
              <w:t>68</w:t>
            </w:r>
          </w:p>
        </w:tc>
        <w:tc>
          <w:tcPr>
            <w:tcW w:w="457" w:type="dxa"/>
            <w:vAlign w:val="center"/>
          </w:tcPr>
          <w:p w14:paraId="1C7F6168">
            <w:pPr>
              <w:adjustRightInd w:val="0"/>
              <w:snapToGrid w:val="0"/>
              <w:spacing w:line="264" w:lineRule="auto"/>
              <w:jc w:val="center"/>
              <w:rPr>
                <w:sz w:val="15"/>
                <w:szCs w:val="15"/>
              </w:rPr>
            </w:pPr>
            <w:r>
              <w:rPr>
                <w:sz w:val="15"/>
                <w:szCs w:val="15"/>
              </w:rPr>
              <w:t>7</w:t>
            </w:r>
          </w:p>
        </w:tc>
        <w:tc>
          <w:tcPr>
            <w:tcW w:w="507" w:type="dxa"/>
            <w:vAlign w:val="center"/>
          </w:tcPr>
          <w:p w14:paraId="1C948997">
            <w:pPr>
              <w:adjustRightInd w:val="0"/>
              <w:snapToGrid w:val="0"/>
              <w:spacing w:line="264" w:lineRule="auto"/>
              <w:jc w:val="center"/>
              <w:rPr>
                <w:sz w:val="15"/>
                <w:szCs w:val="15"/>
              </w:rPr>
            </w:pPr>
            <w:r>
              <w:rPr>
                <w:sz w:val="15"/>
                <w:szCs w:val="15"/>
              </w:rPr>
              <w:t>14</w:t>
            </w:r>
          </w:p>
        </w:tc>
        <w:tc>
          <w:tcPr>
            <w:tcW w:w="700" w:type="dxa"/>
            <w:vAlign w:val="center"/>
          </w:tcPr>
          <w:p w14:paraId="4C4B261D">
            <w:pPr>
              <w:adjustRightInd w:val="0"/>
              <w:snapToGrid w:val="0"/>
              <w:spacing w:line="264" w:lineRule="auto"/>
              <w:jc w:val="center"/>
              <w:rPr>
                <w:sz w:val="15"/>
                <w:szCs w:val="15"/>
              </w:rPr>
            </w:pPr>
            <w:r>
              <w:rPr>
                <w:sz w:val="15"/>
                <w:szCs w:val="15"/>
              </w:rPr>
              <w:t>0.6～0.8</w:t>
            </w:r>
          </w:p>
        </w:tc>
        <w:tc>
          <w:tcPr>
            <w:tcW w:w="982" w:type="dxa"/>
            <w:vAlign w:val="center"/>
          </w:tcPr>
          <w:p w14:paraId="4A1A4D35">
            <w:pPr>
              <w:adjustRightInd w:val="0"/>
              <w:snapToGrid w:val="0"/>
              <w:spacing w:line="264" w:lineRule="auto"/>
              <w:jc w:val="center"/>
              <w:rPr>
                <w:sz w:val="15"/>
                <w:szCs w:val="15"/>
              </w:rPr>
            </w:pPr>
            <w:r>
              <w:rPr>
                <w:sz w:val="15"/>
                <w:szCs w:val="15"/>
              </w:rPr>
              <w:t>110.4～148.8</w:t>
            </w:r>
          </w:p>
        </w:tc>
        <w:tc>
          <w:tcPr>
            <w:tcW w:w="1008" w:type="dxa"/>
            <w:vAlign w:val="center"/>
          </w:tcPr>
          <w:p w14:paraId="596B1B8E">
            <w:pPr>
              <w:adjustRightInd w:val="0"/>
              <w:snapToGrid w:val="0"/>
              <w:spacing w:line="264" w:lineRule="auto"/>
              <w:jc w:val="center"/>
              <w:rPr>
                <w:sz w:val="15"/>
                <w:szCs w:val="15"/>
              </w:rPr>
            </w:pPr>
            <w:r>
              <w:rPr>
                <w:sz w:val="15"/>
                <w:szCs w:val="15"/>
              </w:rPr>
              <w:t>103.2～138.2</w:t>
            </w:r>
          </w:p>
        </w:tc>
        <w:tc>
          <w:tcPr>
            <w:tcW w:w="828" w:type="dxa"/>
            <w:tcBorders>
              <w:right w:val="single" w:color="auto" w:sz="4" w:space="0"/>
            </w:tcBorders>
            <w:vAlign w:val="center"/>
          </w:tcPr>
          <w:p w14:paraId="329F2759">
            <w:pPr>
              <w:adjustRightInd w:val="0"/>
              <w:snapToGrid w:val="0"/>
              <w:spacing w:line="264" w:lineRule="auto"/>
              <w:jc w:val="center"/>
              <w:rPr>
                <w:sz w:val="15"/>
                <w:szCs w:val="15"/>
              </w:rPr>
            </w:pPr>
            <w:r>
              <w:rPr>
                <w:sz w:val="15"/>
                <w:szCs w:val="15"/>
              </w:rPr>
              <w:t>0.1～5.0</w:t>
            </w:r>
          </w:p>
        </w:tc>
      </w:tr>
      <w:tr w14:paraId="16E313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924" w:type="dxa"/>
            <w:tcBorders>
              <w:left w:val="single" w:color="auto" w:sz="4" w:space="0"/>
            </w:tcBorders>
            <w:vAlign w:val="center"/>
          </w:tcPr>
          <w:p w14:paraId="39B04FA3">
            <w:pPr>
              <w:adjustRightInd w:val="0"/>
              <w:snapToGrid w:val="0"/>
              <w:spacing w:line="264" w:lineRule="auto"/>
              <w:jc w:val="center"/>
              <w:rPr>
                <w:sz w:val="15"/>
                <w:szCs w:val="15"/>
              </w:rPr>
            </w:pPr>
            <w:r>
              <w:rPr>
                <w:sz w:val="15"/>
                <w:szCs w:val="15"/>
              </w:rPr>
              <w:t>4.0</w:t>
            </w:r>
            <w:r>
              <w:rPr>
                <w:rFonts w:hAnsi="宋体"/>
                <w:sz w:val="15"/>
                <w:szCs w:val="15"/>
              </w:rPr>
              <w:t>型圆心式</w:t>
            </w:r>
          </w:p>
        </w:tc>
        <w:tc>
          <w:tcPr>
            <w:tcW w:w="434" w:type="dxa"/>
            <w:vAlign w:val="center"/>
          </w:tcPr>
          <w:p w14:paraId="72190D52">
            <w:pPr>
              <w:adjustRightInd w:val="0"/>
              <w:snapToGrid w:val="0"/>
              <w:spacing w:line="264" w:lineRule="auto"/>
              <w:jc w:val="center"/>
              <w:rPr>
                <w:sz w:val="15"/>
                <w:szCs w:val="15"/>
              </w:rPr>
            </w:pPr>
            <w:r>
              <w:rPr>
                <w:sz w:val="15"/>
                <w:szCs w:val="15"/>
              </w:rPr>
              <w:t>100</w:t>
            </w:r>
          </w:p>
        </w:tc>
        <w:tc>
          <w:tcPr>
            <w:tcW w:w="457" w:type="dxa"/>
            <w:vAlign w:val="center"/>
          </w:tcPr>
          <w:p w14:paraId="27B66C33">
            <w:pPr>
              <w:adjustRightInd w:val="0"/>
              <w:snapToGrid w:val="0"/>
              <w:spacing w:line="264" w:lineRule="auto"/>
              <w:jc w:val="center"/>
              <w:rPr>
                <w:sz w:val="15"/>
                <w:szCs w:val="15"/>
              </w:rPr>
            </w:pPr>
            <w:r>
              <w:rPr>
                <w:sz w:val="15"/>
                <w:szCs w:val="15"/>
              </w:rPr>
              <w:t>10</w:t>
            </w:r>
          </w:p>
        </w:tc>
        <w:tc>
          <w:tcPr>
            <w:tcW w:w="507" w:type="dxa"/>
            <w:vAlign w:val="center"/>
          </w:tcPr>
          <w:p w14:paraId="49F725AB">
            <w:pPr>
              <w:adjustRightInd w:val="0"/>
              <w:snapToGrid w:val="0"/>
              <w:spacing w:line="264" w:lineRule="auto"/>
              <w:jc w:val="center"/>
              <w:rPr>
                <w:sz w:val="15"/>
                <w:szCs w:val="15"/>
              </w:rPr>
            </w:pPr>
            <w:r>
              <w:rPr>
                <w:sz w:val="15"/>
                <w:szCs w:val="15"/>
              </w:rPr>
              <w:t>20</w:t>
            </w:r>
          </w:p>
        </w:tc>
        <w:tc>
          <w:tcPr>
            <w:tcW w:w="700" w:type="dxa"/>
            <w:vAlign w:val="center"/>
          </w:tcPr>
          <w:p w14:paraId="36DE8AC7">
            <w:pPr>
              <w:adjustRightInd w:val="0"/>
              <w:snapToGrid w:val="0"/>
              <w:spacing w:line="264" w:lineRule="auto"/>
              <w:jc w:val="center"/>
              <w:rPr>
                <w:sz w:val="15"/>
                <w:szCs w:val="15"/>
              </w:rPr>
            </w:pPr>
            <w:r>
              <w:rPr>
                <w:sz w:val="15"/>
                <w:szCs w:val="15"/>
              </w:rPr>
              <w:t>0.6～0.8</w:t>
            </w:r>
          </w:p>
        </w:tc>
        <w:tc>
          <w:tcPr>
            <w:tcW w:w="982" w:type="dxa"/>
            <w:vAlign w:val="center"/>
          </w:tcPr>
          <w:p w14:paraId="4A1810FD">
            <w:pPr>
              <w:adjustRightInd w:val="0"/>
              <w:snapToGrid w:val="0"/>
              <w:spacing w:line="264" w:lineRule="auto"/>
              <w:jc w:val="center"/>
              <w:rPr>
                <w:sz w:val="15"/>
                <w:szCs w:val="15"/>
              </w:rPr>
            </w:pPr>
            <w:r>
              <w:rPr>
                <w:sz w:val="15"/>
                <w:szCs w:val="15"/>
              </w:rPr>
              <w:t>230.4</w:t>
            </w:r>
          </w:p>
        </w:tc>
        <w:tc>
          <w:tcPr>
            <w:tcW w:w="1008" w:type="dxa"/>
            <w:vAlign w:val="center"/>
          </w:tcPr>
          <w:p w14:paraId="41C8ADE7">
            <w:pPr>
              <w:adjustRightInd w:val="0"/>
              <w:snapToGrid w:val="0"/>
              <w:spacing w:line="264" w:lineRule="auto"/>
              <w:jc w:val="center"/>
              <w:rPr>
                <w:sz w:val="15"/>
                <w:szCs w:val="15"/>
              </w:rPr>
            </w:pPr>
            <w:r>
              <w:rPr>
                <w:sz w:val="15"/>
                <w:szCs w:val="15"/>
              </w:rPr>
              <w:t>259.2～388.8</w:t>
            </w:r>
          </w:p>
        </w:tc>
        <w:tc>
          <w:tcPr>
            <w:tcW w:w="828" w:type="dxa"/>
            <w:tcBorders>
              <w:right w:val="single" w:color="auto" w:sz="4" w:space="0"/>
            </w:tcBorders>
            <w:vAlign w:val="center"/>
          </w:tcPr>
          <w:p w14:paraId="79FF4F8C">
            <w:pPr>
              <w:adjustRightInd w:val="0"/>
              <w:snapToGrid w:val="0"/>
              <w:spacing w:line="264" w:lineRule="auto"/>
              <w:jc w:val="center"/>
              <w:rPr>
                <w:sz w:val="15"/>
                <w:szCs w:val="15"/>
              </w:rPr>
            </w:pPr>
            <w:r>
              <w:rPr>
                <w:sz w:val="15"/>
                <w:szCs w:val="15"/>
              </w:rPr>
              <w:t>5.0～10.0</w:t>
            </w:r>
          </w:p>
        </w:tc>
      </w:tr>
      <w:tr w14:paraId="3C8ECF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924" w:type="dxa"/>
            <w:tcBorders>
              <w:left w:val="single" w:color="auto" w:sz="4" w:space="0"/>
            </w:tcBorders>
            <w:vAlign w:val="center"/>
          </w:tcPr>
          <w:p w14:paraId="19102D04">
            <w:pPr>
              <w:adjustRightInd w:val="0"/>
              <w:snapToGrid w:val="0"/>
              <w:spacing w:line="264" w:lineRule="auto"/>
              <w:jc w:val="center"/>
              <w:rPr>
                <w:sz w:val="15"/>
                <w:szCs w:val="15"/>
              </w:rPr>
            </w:pPr>
            <w:r>
              <w:rPr>
                <w:sz w:val="15"/>
                <w:szCs w:val="15"/>
              </w:rPr>
              <w:t>6.0</w:t>
            </w:r>
            <w:r>
              <w:rPr>
                <w:rFonts w:hAnsi="宋体"/>
                <w:sz w:val="15"/>
                <w:szCs w:val="15"/>
              </w:rPr>
              <w:t>型圆心式</w:t>
            </w:r>
          </w:p>
        </w:tc>
        <w:tc>
          <w:tcPr>
            <w:tcW w:w="434" w:type="dxa"/>
            <w:vAlign w:val="center"/>
          </w:tcPr>
          <w:p w14:paraId="1391177F">
            <w:pPr>
              <w:adjustRightInd w:val="0"/>
              <w:snapToGrid w:val="0"/>
              <w:spacing w:line="264" w:lineRule="auto"/>
              <w:jc w:val="center"/>
              <w:rPr>
                <w:sz w:val="15"/>
                <w:szCs w:val="15"/>
              </w:rPr>
            </w:pPr>
            <w:r>
              <w:rPr>
                <w:sz w:val="15"/>
                <w:szCs w:val="15"/>
              </w:rPr>
              <w:t>162</w:t>
            </w:r>
          </w:p>
        </w:tc>
        <w:tc>
          <w:tcPr>
            <w:tcW w:w="457" w:type="dxa"/>
            <w:vAlign w:val="center"/>
          </w:tcPr>
          <w:p w14:paraId="1AFFC1D3">
            <w:pPr>
              <w:adjustRightInd w:val="0"/>
              <w:snapToGrid w:val="0"/>
              <w:spacing w:line="264" w:lineRule="auto"/>
              <w:jc w:val="center"/>
              <w:rPr>
                <w:sz w:val="15"/>
                <w:szCs w:val="15"/>
              </w:rPr>
            </w:pPr>
            <w:r>
              <w:rPr>
                <w:sz w:val="15"/>
                <w:szCs w:val="15"/>
              </w:rPr>
              <w:t>19</w:t>
            </w:r>
          </w:p>
        </w:tc>
        <w:tc>
          <w:tcPr>
            <w:tcW w:w="507" w:type="dxa"/>
            <w:vAlign w:val="center"/>
          </w:tcPr>
          <w:p w14:paraId="10BBA9CC">
            <w:pPr>
              <w:adjustRightInd w:val="0"/>
              <w:snapToGrid w:val="0"/>
              <w:spacing w:line="264" w:lineRule="auto"/>
              <w:jc w:val="center"/>
              <w:rPr>
                <w:sz w:val="15"/>
                <w:szCs w:val="15"/>
              </w:rPr>
            </w:pPr>
            <w:r>
              <w:rPr>
                <w:sz w:val="15"/>
                <w:szCs w:val="15"/>
              </w:rPr>
              <w:t>40</w:t>
            </w:r>
          </w:p>
        </w:tc>
        <w:tc>
          <w:tcPr>
            <w:tcW w:w="700" w:type="dxa"/>
            <w:vAlign w:val="center"/>
          </w:tcPr>
          <w:p w14:paraId="19DA8135">
            <w:pPr>
              <w:adjustRightInd w:val="0"/>
              <w:snapToGrid w:val="0"/>
              <w:spacing w:line="264" w:lineRule="auto"/>
              <w:jc w:val="center"/>
              <w:rPr>
                <w:sz w:val="15"/>
                <w:szCs w:val="15"/>
              </w:rPr>
            </w:pPr>
            <w:r>
              <w:rPr>
                <w:sz w:val="15"/>
                <w:szCs w:val="15"/>
              </w:rPr>
              <w:t>0.6～0.8</w:t>
            </w:r>
          </w:p>
        </w:tc>
        <w:tc>
          <w:tcPr>
            <w:tcW w:w="982" w:type="dxa"/>
            <w:vAlign w:val="center"/>
          </w:tcPr>
          <w:p w14:paraId="16E315AF">
            <w:pPr>
              <w:adjustRightInd w:val="0"/>
              <w:snapToGrid w:val="0"/>
              <w:spacing w:line="264" w:lineRule="auto"/>
              <w:jc w:val="center"/>
              <w:rPr>
                <w:sz w:val="15"/>
                <w:szCs w:val="15"/>
              </w:rPr>
            </w:pPr>
            <w:r>
              <w:rPr>
                <w:sz w:val="15"/>
                <w:szCs w:val="15"/>
              </w:rPr>
              <w:t>720</w:t>
            </w:r>
          </w:p>
        </w:tc>
        <w:tc>
          <w:tcPr>
            <w:tcW w:w="1008" w:type="dxa"/>
            <w:vAlign w:val="center"/>
          </w:tcPr>
          <w:p w14:paraId="085A4BD6">
            <w:pPr>
              <w:adjustRightInd w:val="0"/>
              <w:snapToGrid w:val="0"/>
              <w:spacing w:line="264" w:lineRule="auto"/>
              <w:jc w:val="center"/>
              <w:rPr>
                <w:sz w:val="15"/>
                <w:szCs w:val="15"/>
              </w:rPr>
            </w:pPr>
            <w:r>
              <w:rPr>
                <w:sz w:val="15"/>
                <w:szCs w:val="15"/>
              </w:rPr>
              <w:t>600～720</w:t>
            </w:r>
          </w:p>
        </w:tc>
        <w:tc>
          <w:tcPr>
            <w:tcW w:w="828" w:type="dxa"/>
            <w:tcBorders>
              <w:right w:val="single" w:color="auto" w:sz="4" w:space="0"/>
            </w:tcBorders>
            <w:vAlign w:val="center"/>
          </w:tcPr>
          <w:p w14:paraId="1A7CFD43">
            <w:pPr>
              <w:adjustRightInd w:val="0"/>
              <w:snapToGrid w:val="0"/>
              <w:spacing w:line="264" w:lineRule="auto"/>
              <w:jc w:val="center"/>
              <w:rPr>
                <w:sz w:val="15"/>
                <w:szCs w:val="15"/>
              </w:rPr>
            </w:pPr>
            <w:r>
              <w:rPr>
                <w:sz w:val="15"/>
                <w:szCs w:val="15"/>
              </w:rPr>
              <w:t>10.0～20.0</w:t>
            </w:r>
          </w:p>
        </w:tc>
      </w:tr>
    </w:tbl>
    <w:p w14:paraId="76747B41">
      <w:pPr>
        <w:adjustRightInd w:val="0"/>
        <w:snapToGrid w:val="0"/>
        <w:spacing w:before="156" w:beforeLines="50" w:line="288" w:lineRule="auto"/>
        <w:ind w:firstLine="402" w:firstLineChars="200"/>
        <w:rPr>
          <w:rFonts w:ascii="宋体" w:hAnsi="宋体"/>
          <w:sz w:val="20"/>
          <w:szCs w:val="20"/>
        </w:rPr>
      </w:pPr>
      <w:r>
        <w:rPr>
          <w:b/>
          <w:sz w:val="20"/>
          <w:szCs w:val="20"/>
        </w:rPr>
        <w:t>3</w:t>
      </w:r>
      <w:r>
        <w:rPr>
          <w:rFonts w:ascii="宋体" w:hAnsi="宋体"/>
          <w:sz w:val="20"/>
          <w:szCs w:val="20"/>
        </w:rPr>
        <w:t xml:space="preserve"> </w:t>
      </w:r>
      <w:r>
        <w:rPr>
          <w:rFonts w:hint="eastAsia" w:ascii="宋体" w:hAnsi="宋体"/>
          <w:sz w:val="20"/>
          <w:szCs w:val="20"/>
        </w:rPr>
        <w:t xml:space="preserve"> 当管井的出水量相等、影响半径一致时，干扰井群的单井出水量可按下列公式计算：</w:t>
      </w:r>
    </w:p>
    <w:p w14:paraId="0F5F708A">
      <w:pPr>
        <w:adjustRightInd w:val="0"/>
        <w:snapToGrid w:val="0"/>
        <w:spacing w:line="288" w:lineRule="auto"/>
        <w:ind w:firstLine="600" w:firstLineChars="300"/>
        <w:rPr>
          <w:rFonts w:ascii="宋体" w:hAnsi="宋体"/>
          <w:sz w:val="20"/>
          <w:szCs w:val="20"/>
        </w:rPr>
      </w:pPr>
      <w:r>
        <w:rPr>
          <w:rFonts w:ascii="宋体" w:hAnsi="宋体"/>
          <w:sz w:val="20"/>
          <w:szCs w:val="20"/>
        </w:rPr>
        <w:t>1）承压水完整井</w:t>
      </w:r>
    </w:p>
    <w:p w14:paraId="650587AA">
      <w:pPr>
        <w:adjustRightInd w:val="0"/>
        <w:snapToGrid w:val="0"/>
        <w:spacing w:line="288" w:lineRule="auto"/>
        <w:ind w:firstLine="400" w:firstLineChars="200"/>
        <w:jc w:val="center"/>
        <w:rPr>
          <w:rFonts w:ascii="宋体" w:hAnsi="宋体"/>
          <w:sz w:val="20"/>
          <w:szCs w:val="20"/>
        </w:rPr>
      </w:pPr>
      <w:r>
        <w:rPr>
          <w:rFonts w:ascii="宋体" w:hAnsi="宋体"/>
          <w:position w:val="-58"/>
          <w:sz w:val="20"/>
          <w:szCs w:val="20"/>
        </w:rPr>
        <w:object>
          <v:shape id="_x0000_i1064" o:spt="75" type="#_x0000_t75" style="height:42.1pt;width:89pt;" o:ole="t" filled="f" o:preferrelative="t" stroked="f" coordsize="21600,21600">
            <v:path/>
            <v:fill on="f" focussize="0,0"/>
            <v:stroke on="f" joinstyle="miter"/>
            <v:imagedata r:id="rId94" o:title=""/>
            <o:lock v:ext="edit" aspectratio="t"/>
            <w10:wrap type="none"/>
            <w10:anchorlock/>
          </v:shape>
          <o:OLEObject Type="Embed" ProgID="Equation.DSMT4" ShapeID="_x0000_i1064" DrawAspect="Content" ObjectID="_1468075766" r:id="rId93">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w:t>
      </w:r>
      <w:r>
        <w:rPr>
          <w:sz w:val="20"/>
          <w:szCs w:val="20"/>
        </w:rPr>
        <w:t>5.3.4-1</w:t>
      </w:r>
      <w:r>
        <w:rPr>
          <w:rFonts w:ascii="宋体" w:hAnsi="宋体"/>
          <w:sz w:val="20"/>
          <w:szCs w:val="20"/>
        </w:rPr>
        <w:t>）</w:t>
      </w:r>
    </w:p>
    <w:p w14:paraId="622019F6">
      <w:pPr>
        <w:adjustRightInd w:val="0"/>
        <w:snapToGrid w:val="0"/>
        <w:spacing w:line="288" w:lineRule="auto"/>
        <w:ind w:firstLine="600" w:firstLineChars="300"/>
        <w:rPr>
          <w:rFonts w:ascii="宋体" w:hAnsi="宋体"/>
          <w:sz w:val="20"/>
          <w:szCs w:val="20"/>
        </w:rPr>
      </w:pPr>
      <w:r>
        <w:rPr>
          <w:rFonts w:ascii="宋体" w:hAnsi="宋体"/>
          <w:sz w:val="20"/>
          <w:szCs w:val="20"/>
        </w:rPr>
        <w:t>2）潜水完整井</w:t>
      </w:r>
      <w:r>
        <w:rPr>
          <w:rFonts w:ascii="宋体" w:hAnsi="宋体"/>
          <w:position w:val="-62"/>
          <w:sz w:val="20"/>
          <w:szCs w:val="20"/>
        </w:rPr>
        <w:t xml:space="preserve">                        </w:t>
      </w:r>
    </w:p>
    <w:p w14:paraId="3B10B7FE">
      <w:pPr>
        <w:adjustRightInd w:val="0"/>
        <w:snapToGrid w:val="0"/>
        <w:spacing w:line="288" w:lineRule="auto"/>
        <w:ind w:firstLine="400" w:firstLineChars="200"/>
        <w:jc w:val="center"/>
        <w:rPr>
          <w:rFonts w:ascii="宋体" w:hAnsi="宋体"/>
          <w:sz w:val="20"/>
          <w:szCs w:val="20"/>
        </w:rPr>
      </w:pPr>
      <w:r>
        <w:rPr>
          <w:rFonts w:ascii="宋体" w:hAnsi="宋体"/>
          <w:position w:val="-58"/>
          <w:sz w:val="20"/>
          <w:szCs w:val="20"/>
        </w:rPr>
        <w:object>
          <v:shape id="_x0000_i1065" o:spt="75" type="#_x0000_t75" style="height:44.15pt;width:89pt;" o:ole="t" filled="f" o:preferrelative="t" stroked="f" coordsize="21600,21600">
            <v:path/>
            <v:fill on="f" focussize="0,0"/>
            <v:stroke on="f" joinstyle="miter"/>
            <v:imagedata r:id="rId96" o:title=""/>
            <o:lock v:ext="edit" aspectratio="t"/>
            <w10:wrap type="none"/>
            <w10:anchorlock/>
          </v:shape>
          <o:OLEObject Type="Embed" ProgID="Equation.DSMT4" ShapeID="_x0000_i1065" DrawAspect="Content" ObjectID="_1468075767" r:id="rId95">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w:t>
      </w:r>
      <w:r>
        <w:rPr>
          <w:sz w:val="20"/>
          <w:szCs w:val="20"/>
        </w:rPr>
        <w:t>5.3.4-2</w:t>
      </w:r>
      <w:r>
        <w:rPr>
          <w:rFonts w:ascii="宋体" w:hAnsi="宋体"/>
          <w:sz w:val="20"/>
          <w:szCs w:val="20"/>
        </w:rPr>
        <w:t>）</w:t>
      </w:r>
    </w:p>
    <w:p w14:paraId="2FE379D3">
      <w:pPr>
        <w:adjustRightInd w:val="0"/>
        <w:snapToGrid w:val="0"/>
        <w:spacing w:line="288" w:lineRule="auto"/>
        <w:ind w:left="1037" w:leftChars="7" w:hanging="1022" w:hangingChars="511"/>
        <w:rPr>
          <w:rFonts w:ascii="宋体" w:hAnsi="宋体"/>
          <w:sz w:val="20"/>
          <w:szCs w:val="20"/>
        </w:rPr>
      </w:pPr>
      <w:r>
        <w:rPr>
          <w:rFonts w:ascii="宋体" w:hAnsi="宋体"/>
          <w:sz w:val="20"/>
          <w:szCs w:val="20"/>
        </w:rPr>
        <w:t>式中：</w:t>
      </w:r>
      <w:r>
        <w:rPr>
          <w:i/>
          <w:sz w:val="20"/>
          <w:szCs w:val="20"/>
        </w:rPr>
        <w:t xml:space="preserve">q </w:t>
      </w:r>
      <w:r>
        <w:rPr>
          <w:iCs/>
        </w:rPr>
        <w:t>——</w:t>
      </w:r>
      <w:r>
        <w:rPr>
          <w:rFonts w:ascii="宋体" w:hAnsi="宋体"/>
          <w:sz w:val="20"/>
          <w:szCs w:val="20"/>
        </w:rPr>
        <w:t>单井出水量（</w:t>
      </w:r>
      <w:r>
        <w:rPr>
          <w:sz w:val="20"/>
          <w:szCs w:val="20"/>
        </w:rPr>
        <w:t>m</w:t>
      </w:r>
      <w:r>
        <w:rPr>
          <w:sz w:val="20"/>
          <w:szCs w:val="20"/>
          <w:vertAlign w:val="superscript"/>
        </w:rPr>
        <w:t>3</w:t>
      </w:r>
      <w:r>
        <w:rPr>
          <w:rFonts w:ascii="宋体" w:hAnsi="宋体"/>
          <w:sz w:val="20"/>
          <w:szCs w:val="20"/>
        </w:rPr>
        <w:t>/d）；</w:t>
      </w:r>
    </w:p>
    <w:p w14:paraId="182FB4A6">
      <w:pPr>
        <w:adjustRightInd w:val="0"/>
        <w:snapToGrid w:val="0"/>
        <w:spacing w:line="288" w:lineRule="auto"/>
        <w:ind w:left="565" w:leftChars="269" w:firstLine="36" w:firstLineChars="18"/>
        <w:rPr>
          <w:rFonts w:ascii="宋体" w:hAnsi="宋体"/>
          <w:sz w:val="20"/>
          <w:szCs w:val="20"/>
        </w:rPr>
      </w:pPr>
      <w:r>
        <w:rPr>
          <w:i/>
          <w:sz w:val="20"/>
          <w:szCs w:val="20"/>
        </w:rPr>
        <w:t>r</w:t>
      </w:r>
      <w:r>
        <w:rPr>
          <w:sz w:val="20"/>
          <w:szCs w:val="20"/>
          <w:vertAlign w:val="subscript"/>
        </w:rPr>
        <w:t>0</w:t>
      </w:r>
      <w:r>
        <w:rPr>
          <w:iCs/>
        </w:rPr>
        <w:t>——</w:t>
      </w:r>
      <w:r>
        <w:rPr>
          <w:rFonts w:hint="eastAsia" w:ascii="宋体" w:hAnsi="宋体"/>
          <w:sz w:val="20"/>
          <w:szCs w:val="20"/>
        </w:rPr>
        <w:t>大井等效半径（</w:t>
      </w:r>
      <w:r>
        <w:rPr>
          <w:sz w:val="20"/>
          <w:szCs w:val="20"/>
        </w:rPr>
        <w:t>m</w:t>
      </w:r>
      <w:r>
        <w:rPr>
          <w:rFonts w:hint="eastAsia" w:ascii="宋体" w:hAnsi="宋体"/>
          <w:sz w:val="20"/>
          <w:szCs w:val="20"/>
        </w:rPr>
        <w:t>）</w:t>
      </w:r>
      <w:r>
        <w:rPr>
          <w:rFonts w:ascii="宋体" w:hAnsi="宋体"/>
          <w:sz w:val="20"/>
          <w:szCs w:val="20"/>
        </w:rPr>
        <w:t>；</w:t>
      </w:r>
    </w:p>
    <w:p w14:paraId="27D7C783">
      <w:pPr>
        <w:adjustRightInd w:val="0"/>
        <w:snapToGrid w:val="0"/>
        <w:spacing w:line="288" w:lineRule="auto"/>
        <w:ind w:left="1034" w:leftChars="279" w:hanging="448" w:hangingChars="224"/>
        <w:rPr>
          <w:rFonts w:ascii="宋体" w:hAnsi="宋体"/>
          <w:sz w:val="20"/>
          <w:szCs w:val="20"/>
        </w:rPr>
      </w:pPr>
      <w:r>
        <w:rPr>
          <w:i/>
          <w:sz w:val="20"/>
          <w:szCs w:val="20"/>
        </w:rPr>
        <w:t>r</w:t>
      </w:r>
      <w:r>
        <w:rPr>
          <w:sz w:val="20"/>
          <w:szCs w:val="20"/>
          <w:vertAlign w:val="subscript"/>
        </w:rPr>
        <w:t>w</w:t>
      </w:r>
      <w:r>
        <w:rPr>
          <w:iCs/>
        </w:rPr>
        <w:t>——</w:t>
      </w:r>
      <w:r>
        <w:rPr>
          <w:rFonts w:hint="eastAsia" w:ascii="宋体" w:hAnsi="宋体"/>
          <w:sz w:val="20"/>
          <w:szCs w:val="20"/>
        </w:rPr>
        <w:t>降水井半径（</w:t>
      </w:r>
      <w:r>
        <w:rPr>
          <w:rFonts w:hint="eastAsia"/>
          <w:sz w:val="20"/>
          <w:szCs w:val="20"/>
        </w:rPr>
        <w:t>m</w:t>
      </w:r>
      <w:r>
        <w:rPr>
          <w:rFonts w:hint="eastAsia" w:ascii="宋体" w:hAnsi="宋体"/>
          <w:sz w:val="20"/>
          <w:szCs w:val="20"/>
        </w:rPr>
        <w:t>）；</w:t>
      </w:r>
    </w:p>
    <w:p w14:paraId="1B29A994">
      <w:pPr>
        <w:adjustRightInd w:val="0"/>
        <w:snapToGrid w:val="0"/>
        <w:spacing w:line="288" w:lineRule="auto"/>
        <w:ind w:left="1034" w:leftChars="274" w:hanging="459" w:hangingChars="230"/>
        <w:rPr>
          <w:rFonts w:ascii="宋体" w:hAnsi="宋体"/>
          <w:sz w:val="20"/>
          <w:szCs w:val="20"/>
        </w:rPr>
      </w:pPr>
      <w:r>
        <w:rPr>
          <w:i/>
          <w:sz w:val="20"/>
          <w:szCs w:val="20"/>
        </w:rPr>
        <w:t>M</w:t>
      </w:r>
      <w:r>
        <w:rPr>
          <w:iCs/>
        </w:rPr>
        <w:t>——</w:t>
      </w:r>
      <w:r>
        <w:rPr>
          <w:rFonts w:ascii="宋体" w:hAnsi="宋体"/>
          <w:sz w:val="20"/>
          <w:szCs w:val="20"/>
        </w:rPr>
        <w:t>承压水含水层的厚度</w:t>
      </w:r>
      <w:r>
        <w:rPr>
          <w:rFonts w:hint="eastAsia" w:ascii="宋体" w:hAnsi="宋体"/>
          <w:sz w:val="20"/>
          <w:szCs w:val="20"/>
        </w:rPr>
        <w:t>（</w:t>
      </w:r>
      <w:r>
        <w:rPr>
          <w:sz w:val="20"/>
          <w:szCs w:val="20"/>
        </w:rPr>
        <w:t>m</w:t>
      </w:r>
      <w:r>
        <w:rPr>
          <w:rFonts w:hint="eastAsia" w:ascii="宋体" w:hAnsi="宋体"/>
          <w:sz w:val="20"/>
          <w:szCs w:val="20"/>
        </w:rPr>
        <w:t>）</w:t>
      </w:r>
      <w:r>
        <w:rPr>
          <w:rFonts w:ascii="宋体" w:hAnsi="宋体"/>
          <w:sz w:val="20"/>
          <w:szCs w:val="20"/>
        </w:rPr>
        <w:t>；</w:t>
      </w:r>
    </w:p>
    <w:p w14:paraId="3EBE6D54">
      <w:pPr>
        <w:adjustRightInd w:val="0"/>
        <w:snapToGrid w:val="0"/>
        <w:spacing w:line="288" w:lineRule="auto"/>
        <w:ind w:left="1035" w:leftChars="267" w:hanging="474" w:hangingChars="237"/>
        <w:rPr>
          <w:rFonts w:ascii="宋体" w:hAnsi="宋体"/>
          <w:sz w:val="20"/>
          <w:szCs w:val="20"/>
        </w:rPr>
      </w:pPr>
      <w:r>
        <w:rPr>
          <w:i/>
          <w:sz w:val="20"/>
          <w:szCs w:val="20"/>
        </w:rPr>
        <w:t>H</w:t>
      </w:r>
      <w:r>
        <w:rPr>
          <w:rFonts w:hint="eastAsia"/>
          <w:i/>
          <w:sz w:val="20"/>
          <w:szCs w:val="20"/>
        </w:rPr>
        <w:t xml:space="preserve"> </w:t>
      </w:r>
      <w:r>
        <w:rPr>
          <w:iCs/>
        </w:rPr>
        <w:t>——</w:t>
      </w:r>
      <w:r>
        <w:rPr>
          <w:rFonts w:hint="eastAsia" w:ascii="宋体" w:hAnsi="宋体"/>
          <w:sz w:val="20"/>
          <w:szCs w:val="20"/>
        </w:rPr>
        <w:t>潜</w:t>
      </w:r>
      <w:r>
        <w:rPr>
          <w:rFonts w:ascii="宋体" w:hAnsi="宋体"/>
          <w:sz w:val="20"/>
          <w:szCs w:val="20"/>
        </w:rPr>
        <w:t>水含水层的厚度</w:t>
      </w:r>
      <w:r>
        <w:rPr>
          <w:rFonts w:hint="eastAsia" w:ascii="宋体" w:hAnsi="宋体"/>
          <w:sz w:val="20"/>
          <w:szCs w:val="20"/>
        </w:rPr>
        <w:t>（</w:t>
      </w:r>
      <w:r>
        <w:rPr>
          <w:sz w:val="20"/>
          <w:szCs w:val="20"/>
        </w:rPr>
        <w:t>m</w:t>
      </w:r>
      <w:r>
        <w:rPr>
          <w:rFonts w:hint="eastAsia" w:ascii="宋体" w:hAnsi="宋体"/>
          <w:sz w:val="20"/>
          <w:szCs w:val="20"/>
        </w:rPr>
        <w:t>）</w:t>
      </w:r>
      <w:r>
        <w:rPr>
          <w:rFonts w:ascii="宋体" w:hAnsi="宋体"/>
          <w:sz w:val="20"/>
          <w:szCs w:val="20"/>
        </w:rPr>
        <w:t>；</w:t>
      </w:r>
    </w:p>
    <w:p w14:paraId="328EA0E9">
      <w:pPr>
        <w:adjustRightInd w:val="0"/>
        <w:snapToGrid w:val="0"/>
        <w:spacing w:line="288" w:lineRule="auto"/>
        <w:ind w:left="1032" w:leftChars="273" w:hanging="459" w:hangingChars="230"/>
        <w:rPr>
          <w:rFonts w:ascii="宋体" w:hAnsi="宋体"/>
          <w:sz w:val="20"/>
          <w:szCs w:val="20"/>
        </w:rPr>
      </w:pPr>
      <w:r>
        <w:rPr>
          <w:i/>
          <w:sz w:val="20"/>
          <w:szCs w:val="20"/>
        </w:rPr>
        <w:t>s</w:t>
      </w:r>
      <w:r>
        <w:rPr>
          <w:sz w:val="20"/>
          <w:szCs w:val="20"/>
          <w:vertAlign w:val="subscript"/>
        </w:rPr>
        <w:t>w</w:t>
      </w:r>
      <w:r>
        <w:rPr>
          <w:iCs/>
        </w:rPr>
        <w:t>——</w:t>
      </w:r>
      <w:r>
        <w:rPr>
          <w:rFonts w:hint="eastAsia" w:ascii="宋体" w:hAnsi="宋体"/>
          <w:sz w:val="20"/>
          <w:szCs w:val="20"/>
        </w:rPr>
        <w:t>设计水位降深（</w:t>
      </w:r>
      <w:r>
        <w:rPr>
          <w:sz w:val="20"/>
          <w:szCs w:val="20"/>
        </w:rPr>
        <w:t>m</w:t>
      </w:r>
      <w:r>
        <w:rPr>
          <w:rFonts w:hint="eastAsia" w:ascii="宋体" w:hAnsi="宋体"/>
          <w:sz w:val="20"/>
          <w:szCs w:val="20"/>
        </w:rPr>
        <w:t>）；</w:t>
      </w:r>
    </w:p>
    <w:p w14:paraId="28F6B6FD">
      <w:pPr>
        <w:adjustRightInd w:val="0"/>
        <w:snapToGrid w:val="0"/>
        <w:spacing w:line="288" w:lineRule="auto"/>
        <w:ind w:left="1035" w:leftChars="314" w:hanging="376" w:hangingChars="188"/>
        <w:rPr>
          <w:rFonts w:ascii="宋体" w:hAnsi="宋体"/>
          <w:sz w:val="20"/>
          <w:szCs w:val="20"/>
        </w:rPr>
      </w:pPr>
      <w:r>
        <w:rPr>
          <w:i/>
          <w:sz w:val="20"/>
          <w:szCs w:val="20"/>
        </w:rPr>
        <w:t>n</w:t>
      </w:r>
      <w:r>
        <w:rPr>
          <w:iCs/>
        </w:rPr>
        <w:t>——</w:t>
      </w:r>
      <w:r>
        <w:rPr>
          <w:rFonts w:ascii="宋体" w:hAnsi="宋体"/>
          <w:sz w:val="20"/>
          <w:szCs w:val="20"/>
        </w:rPr>
        <w:t>降水井数量。</w:t>
      </w:r>
    </w:p>
    <w:p w14:paraId="14DBAA87">
      <w:pPr>
        <w:adjustRightInd w:val="0"/>
        <w:snapToGrid w:val="0"/>
        <w:spacing w:line="288" w:lineRule="auto"/>
        <w:ind w:firstLine="402" w:firstLineChars="200"/>
        <w:rPr>
          <w:rFonts w:ascii="宋体" w:hAnsi="宋体"/>
          <w:sz w:val="20"/>
          <w:szCs w:val="20"/>
        </w:rPr>
      </w:pPr>
      <w:r>
        <w:rPr>
          <w:rFonts w:hint="eastAsia"/>
          <w:b/>
          <w:bCs/>
          <w:sz w:val="20"/>
          <w:szCs w:val="20"/>
        </w:rPr>
        <w:t>4</w:t>
      </w:r>
      <w:r>
        <w:rPr>
          <w:rFonts w:ascii="宋体" w:hAnsi="宋体"/>
          <w:sz w:val="20"/>
          <w:szCs w:val="20"/>
        </w:rPr>
        <w:t xml:space="preserve"> </w:t>
      </w:r>
      <w:r>
        <w:rPr>
          <w:rFonts w:hint="eastAsia" w:ascii="宋体" w:hAnsi="宋体"/>
          <w:sz w:val="20"/>
          <w:szCs w:val="20"/>
        </w:rPr>
        <w:t>管井出水量应小于过滤管的进水能力。过滤管的进水能力应按照下式计算：</w:t>
      </w:r>
    </w:p>
    <w:p w14:paraId="112BDDA7">
      <w:pPr>
        <w:autoSpaceDE w:val="0"/>
        <w:autoSpaceDN w:val="0"/>
        <w:adjustRightInd w:val="0"/>
        <w:snapToGrid w:val="0"/>
        <w:spacing w:line="288" w:lineRule="auto"/>
        <w:ind w:firstLine="400" w:firstLineChars="200"/>
        <w:jc w:val="center"/>
        <w:rPr>
          <w:rFonts w:ascii="宋体" w:hAnsi="宋体"/>
          <w:kern w:val="0"/>
          <w:sz w:val="20"/>
          <w:szCs w:val="20"/>
        </w:rPr>
      </w:pPr>
      <w:r>
        <w:rPr>
          <w:rFonts w:ascii="宋体" w:hAnsi="宋体"/>
          <w:position w:val="-14"/>
          <w:sz w:val="20"/>
          <w:szCs w:val="20"/>
        </w:rPr>
        <w:object>
          <v:shape id="_x0000_i1066" o:spt="75" type="#_x0000_t75" style="height:17pt;width:51.6pt;" o:ole="t" filled="f" o:preferrelative="t" stroked="f" coordsize="21600,21600">
            <v:path/>
            <v:fill on="f" focussize="0,0"/>
            <v:stroke on="f" joinstyle="miter"/>
            <v:imagedata r:id="rId98" o:title=""/>
            <o:lock v:ext="edit" aspectratio="t"/>
            <w10:wrap type="none"/>
            <w10:anchorlock/>
          </v:shape>
          <o:OLEObject Type="Embed" ProgID="Equation.3" ShapeID="_x0000_i1066" DrawAspect="Content" ObjectID="_1468075768" r:id="rId97">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kern w:val="0"/>
          <w:sz w:val="20"/>
          <w:szCs w:val="20"/>
        </w:rPr>
        <w:t>（</w:t>
      </w:r>
      <w:r>
        <w:rPr>
          <w:sz w:val="20"/>
          <w:szCs w:val="20"/>
        </w:rPr>
        <w:t>5.3.4-3</w:t>
      </w:r>
      <w:r>
        <w:rPr>
          <w:rFonts w:ascii="宋体" w:hAnsi="宋体"/>
          <w:kern w:val="0"/>
          <w:sz w:val="20"/>
          <w:szCs w:val="20"/>
        </w:rPr>
        <w:t>）</w:t>
      </w:r>
    </w:p>
    <w:p w14:paraId="503012E2">
      <w:pPr>
        <w:autoSpaceDE w:val="0"/>
        <w:autoSpaceDN w:val="0"/>
        <w:adjustRightInd w:val="0"/>
        <w:snapToGrid w:val="0"/>
        <w:spacing w:line="288" w:lineRule="auto"/>
        <w:rPr>
          <w:kern w:val="0"/>
          <w:sz w:val="20"/>
          <w:szCs w:val="20"/>
          <w:lang w:eastAsia="zh-TW"/>
        </w:rPr>
      </w:pPr>
      <w:r>
        <w:rPr>
          <w:rFonts w:hint="eastAsia" w:ascii="宋体" w:hAnsi="宋体"/>
          <w:kern w:val="0"/>
          <w:sz w:val="20"/>
          <w:szCs w:val="20"/>
          <w:lang w:eastAsia="zh-TW"/>
        </w:rPr>
        <w:t>式中</w:t>
      </w:r>
      <w:r>
        <w:rPr>
          <w:rFonts w:hint="eastAsia" w:ascii="宋体" w:hAnsi="宋体"/>
          <w:kern w:val="0"/>
          <w:sz w:val="20"/>
          <w:szCs w:val="20"/>
        </w:rPr>
        <w:t>：</w:t>
      </w:r>
      <w:r>
        <w:rPr>
          <w:i/>
          <w:kern w:val="0"/>
          <w:sz w:val="20"/>
          <w:szCs w:val="20"/>
        </w:rPr>
        <w:t>q</w:t>
      </w:r>
      <w:r>
        <w:rPr>
          <w:kern w:val="0"/>
          <w:sz w:val="20"/>
          <w:szCs w:val="20"/>
          <w:vertAlign w:val="subscript"/>
          <w:lang w:eastAsia="zh-TW"/>
        </w:rPr>
        <w:t>g</w:t>
      </w:r>
      <w:r>
        <w:rPr>
          <w:iCs/>
        </w:rPr>
        <w:t>——</w:t>
      </w:r>
      <w:r>
        <w:rPr>
          <w:rFonts w:hAnsi="宋体"/>
          <w:kern w:val="0"/>
          <w:sz w:val="20"/>
          <w:szCs w:val="20"/>
          <w:lang w:eastAsia="zh-TW"/>
        </w:rPr>
        <w:t>过滤管的进水能力（</w:t>
      </w:r>
      <w:r>
        <w:rPr>
          <w:sz w:val="20"/>
          <w:szCs w:val="20"/>
        </w:rPr>
        <w:t>m</w:t>
      </w:r>
      <w:r>
        <w:rPr>
          <w:kern w:val="0"/>
          <w:sz w:val="20"/>
          <w:szCs w:val="20"/>
          <w:vertAlign w:val="superscript"/>
        </w:rPr>
        <w:t>3</w:t>
      </w:r>
      <w:r>
        <w:rPr>
          <w:kern w:val="0"/>
          <w:sz w:val="20"/>
          <w:szCs w:val="20"/>
        </w:rPr>
        <w:t>/s</w:t>
      </w:r>
      <w:r>
        <w:rPr>
          <w:rFonts w:hAnsi="宋体"/>
          <w:kern w:val="0"/>
          <w:sz w:val="20"/>
          <w:szCs w:val="20"/>
          <w:lang w:eastAsia="zh-TW"/>
        </w:rPr>
        <w:t>）；</w:t>
      </w:r>
    </w:p>
    <w:p w14:paraId="267EB340">
      <w:pPr>
        <w:autoSpaceDE w:val="0"/>
        <w:autoSpaceDN w:val="0"/>
        <w:adjustRightInd w:val="0"/>
        <w:snapToGrid w:val="0"/>
        <w:spacing w:line="288" w:lineRule="auto"/>
        <w:ind w:firstLine="546" w:firstLineChars="273"/>
        <w:rPr>
          <w:rFonts w:eastAsia="PMingLiU"/>
          <w:kern w:val="0"/>
          <w:sz w:val="20"/>
          <w:szCs w:val="20"/>
          <w:lang w:eastAsia="zh-TW"/>
        </w:rPr>
      </w:pPr>
      <w:r>
        <w:rPr>
          <w:i/>
          <w:kern w:val="0"/>
          <w:sz w:val="20"/>
          <w:szCs w:val="20"/>
          <w:lang w:eastAsia="zh-TW"/>
        </w:rPr>
        <w:t>ｎ</w:t>
      </w:r>
      <w:r>
        <w:rPr>
          <w:iCs/>
        </w:rPr>
        <w:t>——</w:t>
      </w:r>
      <w:r>
        <w:rPr>
          <w:rFonts w:hAnsi="宋体"/>
          <w:kern w:val="0"/>
          <w:sz w:val="20"/>
          <w:szCs w:val="20"/>
          <w:lang w:eastAsia="zh-TW"/>
        </w:rPr>
        <w:t>过滤管进水面层有效孔隙率，宜按过滤管面层孔隙率的</w:t>
      </w:r>
    </w:p>
    <w:p w14:paraId="2A936647">
      <w:pPr>
        <w:autoSpaceDE w:val="0"/>
        <w:autoSpaceDN w:val="0"/>
        <w:adjustRightInd w:val="0"/>
        <w:snapToGrid w:val="0"/>
        <w:spacing w:line="288" w:lineRule="auto"/>
        <w:ind w:firstLine="1146" w:firstLineChars="573"/>
        <w:rPr>
          <w:kern w:val="0"/>
          <w:sz w:val="20"/>
          <w:szCs w:val="20"/>
          <w:lang w:eastAsia="zh-TW"/>
        </w:rPr>
      </w:pPr>
      <w:r>
        <w:rPr>
          <w:kern w:val="0"/>
          <w:sz w:val="20"/>
          <w:szCs w:val="20"/>
          <w:lang w:eastAsia="zh-TW"/>
        </w:rPr>
        <w:t>50</w:t>
      </w:r>
      <w:r>
        <w:rPr>
          <w:rFonts w:hAnsi="宋体"/>
          <w:kern w:val="0"/>
          <w:sz w:val="20"/>
          <w:szCs w:val="20"/>
          <w:lang w:eastAsia="zh-TW"/>
        </w:rPr>
        <w:t>％计算；</w:t>
      </w:r>
    </w:p>
    <w:p w14:paraId="400703E3">
      <w:pPr>
        <w:autoSpaceDE w:val="0"/>
        <w:autoSpaceDN w:val="0"/>
        <w:adjustRightInd w:val="0"/>
        <w:snapToGrid w:val="0"/>
        <w:spacing w:line="288" w:lineRule="auto"/>
        <w:ind w:firstLine="566" w:firstLineChars="283"/>
        <w:rPr>
          <w:kern w:val="0"/>
          <w:sz w:val="20"/>
          <w:szCs w:val="20"/>
          <w:lang w:eastAsia="zh-TW"/>
        </w:rPr>
      </w:pPr>
      <w:r>
        <w:rPr>
          <w:i/>
          <w:kern w:val="0"/>
          <w:sz w:val="20"/>
          <w:szCs w:val="20"/>
        </w:rPr>
        <w:t>v</w:t>
      </w:r>
      <w:r>
        <w:rPr>
          <w:kern w:val="0"/>
          <w:sz w:val="20"/>
          <w:szCs w:val="20"/>
          <w:vertAlign w:val="subscript"/>
          <w:lang w:eastAsia="zh-TW"/>
        </w:rPr>
        <w:t>g</w:t>
      </w:r>
      <w:r>
        <w:rPr>
          <w:rFonts w:hint="eastAsia"/>
          <w:kern w:val="0"/>
          <w:sz w:val="20"/>
          <w:szCs w:val="20"/>
          <w:vertAlign w:val="subscript"/>
        </w:rPr>
        <w:t xml:space="preserve"> </w:t>
      </w:r>
      <w:r>
        <w:rPr>
          <w:iCs/>
        </w:rPr>
        <w:t>——</w:t>
      </w:r>
      <w:r>
        <w:rPr>
          <w:rFonts w:hAnsi="宋体"/>
          <w:kern w:val="0"/>
          <w:sz w:val="20"/>
          <w:szCs w:val="20"/>
          <w:lang w:eastAsia="zh-TW"/>
        </w:rPr>
        <w:t>允许过滤管进水流速（</w:t>
      </w:r>
      <w:r>
        <w:rPr>
          <w:sz w:val="20"/>
          <w:szCs w:val="20"/>
        </w:rPr>
        <w:t>m</w:t>
      </w:r>
      <w:r>
        <w:rPr>
          <w:rFonts w:hAnsi="宋体"/>
          <w:kern w:val="0"/>
          <w:sz w:val="20"/>
          <w:szCs w:val="20"/>
          <w:lang w:eastAsia="zh-TW"/>
        </w:rPr>
        <w:t>／</w:t>
      </w:r>
      <w:r>
        <w:rPr>
          <w:kern w:val="0"/>
          <w:sz w:val="20"/>
          <w:szCs w:val="20"/>
          <w:lang w:eastAsia="zh-TW"/>
        </w:rPr>
        <w:t>s</w:t>
      </w:r>
      <w:r>
        <w:rPr>
          <w:rFonts w:hAnsi="宋体"/>
          <w:kern w:val="0"/>
          <w:sz w:val="20"/>
          <w:szCs w:val="20"/>
          <w:lang w:eastAsia="zh-TW"/>
        </w:rPr>
        <w:t>），不得大于</w:t>
      </w:r>
      <w:r>
        <w:rPr>
          <w:kern w:val="0"/>
          <w:sz w:val="20"/>
          <w:szCs w:val="20"/>
          <w:lang w:eastAsia="zh-TW"/>
        </w:rPr>
        <w:t>0</w:t>
      </w:r>
      <w:r>
        <w:rPr>
          <w:kern w:val="0"/>
          <w:sz w:val="20"/>
          <w:szCs w:val="20"/>
        </w:rPr>
        <w:t>.</w:t>
      </w:r>
      <w:r>
        <w:rPr>
          <w:kern w:val="0"/>
          <w:sz w:val="20"/>
          <w:szCs w:val="20"/>
          <w:lang w:eastAsia="zh-TW"/>
        </w:rPr>
        <w:t>03m／s</w:t>
      </w:r>
      <w:r>
        <w:rPr>
          <w:rFonts w:hAnsi="宋体"/>
          <w:kern w:val="0"/>
          <w:sz w:val="20"/>
          <w:szCs w:val="20"/>
          <w:lang w:eastAsia="zh-TW"/>
        </w:rPr>
        <w:t>；</w:t>
      </w:r>
    </w:p>
    <w:p w14:paraId="66D9FFB3">
      <w:pPr>
        <w:autoSpaceDE w:val="0"/>
        <w:autoSpaceDN w:val="0"/>
        <w:adjustRightInd w:val="0"/>
        <w:snapToGrid w:val="0"/>
        <w:spacing w:line="288" w:lineRule="auto"/>
        <w:ind w:firstLine="500" w:firstLineChars="250"/>
        <w:rPr>
          <w:kern w:val="0"/>
          <w:sz w:val="20"/>
          <w:szCs w:val="20"/>
          <w:lang w:eastAsia="zh-TW"/>
        </w:rPr>
      </w:pPr>
      <w:r>
        <w:rPr>
          <w:rFonts w:hAnsi="宋体"/>
          <w:i/>
          <w:kern w:val="0"/>
          <w:sz w:val="20"/>
          <w:szCs w:val="20"/>
          <w:lang w:eastAsia="zh-TW"/>
        </w:rPr>
        <w:t>Ｄ</w:t>
      </w:r>
      <w:r>
        <w:rPr>
          <w:kern w:val="0"/>
          <w:sz w:val="20"/>
          <w:szCs w:val="20"/>
          <w:vertAlign w:val="subscript"/>
          <w:lang w:eastAsia="zh-TW"/>
        </w:rPr>
        <w:t>g</w:t>
      </w:r>
      <w:r>
        <w:rPr>
          <w:iCs/>
        </w:rPr>
        <w:t>——</w:t>
      </w:r>
      <w:r>
        <w:rPr>
          <w:rFonts w:hAnsi="宋体"/>
          <w:kern w:val="0"/>
          <w:sz w:val="20"/>
          <w:szCs w:val="20"/>
          <w:lang w:eastAsia="zh-TW"/>
        </w:rPr>
        <w:t>过滤管外径（</w:t>
      </w:r>
      <w:r>
        <w:rPr>
          <w:sz w:val="20"/>
          <w:szCs w:val="20"/>
        </w:rPr>
        <w:t>m</w:t>
      </w:r>
      <w:r>
        <w:rPr>
          <w:rFonts w:hAnsi="宋体"/>
          <w:kern w:val="0"/>
          <w:sz w:val="20"/>
          <w:szCs w:val="20"/>
          <w:lang w:eastAsia="zh-TW"/>
        </w:rPr>
        <w:t>）；</w:t>
      </w:r>
    </w:p>
    <w:p w14:paraId="6D772E3F">
      <w:pPr>
        <w:autoSpaceDE w:val="0"/>
        <w:autoSpaceDN w:val="0"/>
        <w:adjustRightInd w:val="0"/>
        <w:snapToGrid w:val="0"/>
        <w:spacing w:line="288" w:lineRule="auto"/>
        <w:ind w:left="1171" w:leftChars="334" w:hanging="470" w:hangingChars="235"/>
        <w:rPr>
          <w:kern w:val="0"/>
          <w:sz w:val="20"/>
          <w:szCs w:val="20"/>
        </w:rPr>
      </w:pPr>
      <w:r>
        <w:rPr>
          <w:i/>
          <w:kern w:val="0"/>
          <w:sz w:val="20"/>
          <w:szCs w:val="20"/>
        </w:rPr>
        <w:t>l</w:t>
      </w:r>
      <w:r>
        <w:rPr>
          <w:iCs/>
        </w:rPr>
        <w:t>——</w:t>
      </w:r>
      <w:r>
        <w:rPr>
          <w:rFonts w:hAnsi="宋体"/>
          <w:kern w:val="0"/>
          <w:sz w:val="20"/>
          <w:szCs w:val="20"/>
          <w:lang w:eastAsia="zh-TW"/>
        </w:rPr>
        <w:t>过滤管有效进水长度（</w:t>
      </w:r>
      <w:r>
        <w:rPr>
          <w:sz w:val="20"/>
          <w:szCs w:val="20"/>
        </w:rPr>
        <w:t>m</w:t>
      </w:r>
      <w:r>
        <w:rPr>
          <w:rFonts w:hAnsi="宋体"/>
          <w:kern w:val="0"/>
          <w:sz w:val="20"/>
          <w:szCs w:val="20"/>
          <w:lang w:eastAsia="zh-TW"/>
        </w:rPr>
        <w:t>），宜按过滤管</w:t>
      </w:r>
      <w:r>
        <w:rPr>
          <w:rFonts w:hAnsi="宋体"/>
          <w:kern w:val="0"/>
          <w:sz w:val="20"/>
          <w:szCs w:val="20"/>
        </w:rPr>
        <w:t>进水</w:t>
      </w:r>
      <w:r>
        <w:rPr>
          <w:rFonts w:hAnsi="宋体"/>
          <w:kern w:val="0"/>
          <w:sz w:val="20"/>
          <w:szCs w:val="20"/>
          <w:lang w:eastAsia="zh-TW"/>
        </w:rPr>
        <w:t>长度的</w:t>
      </w:r>
      <w:r>
        <w:rPr>
          <w:kern w:val="0"/>
          <w:sz w:val="20"/>
          <w:szCs w:val="20"/>
          <w:lang w:eastAsia="zh-TW"/>
        </w:rPr>
        <w:t>85</w:t>
      </w:r>
      <w:r>
        <w:rPr>
          <w:rFonts w:hAnsi="宋体"/>
          <w:kern w:val="0"/>
          <w:sz w:val="20"/>
          <w:szCs w:val="20"/>
          <w:lang w:eastAsia="zh-TW"/>
        </w:rPr>
        <w:t>％计算。</w:t>
      </w:r>
    </w:p>
    <w:p w14:paraId="1A5088DB">
      <w:pPr>
        <w:adjustRightInd w:val="0"/>
        <w:snapToGrid w:val="0"/>
        <w:spacing w:line="288" w:lineRule="auto"/>
        <w:ind w:firstLine="402" w:firstLineChars="200"/>
        <w:rPr>
          <w:rFonts w:ascii="宋体" w:hAnsi="宋体"/>
          <w:kern w:val="0"/>
          <w:sz w:val="20"/>
          <w:szCs w:val="20"/>
        </w:rPr>
      </w:pPr>
      <w:r>
        <w:rPr>
          <w:rFonts w:hint="eastAsia"/>
          <w:b/>
          <w:bCs/>
          <w:sz w:val="20"/>
          <w:szCs w:val="20"/>
        </w:rPr>
        <w:t>5</w:t>
      </w:r>
      <w:r>
        <w:rPr>
          <w:rFonts w:hint="eastAsia" w:ascii="宋体" w:hAnsi="宋体"/>
          <w:sz w:val="20"/>
          <w:szCs w:val="20"/>
        </w:rPr>
        <w:t xml:space="preserve">  松散层管井的单井出水量，除应符合本规程第</w:t>
      </w:r>
      <w:r>
        <w:rPr>
          <w:sz w:val="20"/>
          <w:szCs w:val="20"/>
        </w:rPr>
        <w:t>5.3.4</w:t>
      </w:r>
      <w:r>
        <w:rPr>
          <w:rFonts w:hint="eastAsia" w:ascii="宋体" w:hAnsi="宋体"/>
          <w:sz w:val="20"/>
          <w:szCs w:val="20"/>
        </w:rPr>
        <w:t>条第</w:t>
      </w:r>
      <w:r>
        <w:rPr>
          <w:sz w:val="20"/>
          <w:szCs w:val="20"/>
        </w:rPr>
        <w:t>4</w:t>
      </w:r>
      <w:r>
        <w:rPr>
          <w:rFonts w:hint="eastAsia" w:ascii="宋体" w:hAnsi="宋体"/>
          <w:sz w:val="20"/>
          <w:szCs w:val="20"/>
        </w:rPr>
        <w:t>款的规定外，应以下式进行</w:t>
      </w:r>
      <w:r>
        <w:rPr>
          <w:rFonts w:hint="eastAsia" w:ascii="宋体" w:hAnsi="宋体"/>
          <w:kern w:val="0"/>
          <w:sz w:val="20"/>
          <w:szCs w:val="20"/>
          <w:lang w:eastAsia="zh-TW"/>
        </w:rPr>
        <w:t>允许井壁进水流速复核：</w:t>
      </w:r>
    </w:p>
    <w:p w14:paraId="57A59253">
      <w:pPr>
        <w:autoSpaceDE w:val="0"/>
        <w:autoSpaceDN w:val="0"/>
        <w:adjustRightInd w:val="0"/>
        <w:snapToGrid w:val="0"/>
        <w:spacing w:line="288" w:lineRule="auto"/>
        <w:ind w:firstLine="400" w:firstLineChars="200"/>
        <w:jc w:val="center"/>
        <w:rPr>
          <w:rFonts w:ascii="宋体" w:hAnsi="宋体"/>
          <w:kern w:val="0"/>
          <w:sz w:val="20"/>
          <w:szCs w:val="20"/>
          <w:lang w:eastAsia="zh-TW"/>
        </w:rPr>
      </w:pPr>
      <w:r>
        <w:rPr>
          <w:rFonts w:ascii="宋体" w:hAnsi="宋体"/>
          <w:position w:val="-22"/>
          <w:sz w:val="20"/>
          <w:szCs w:val="20"/>
        </w:rPr>
        <w:object>
          <v:shape id="_x0000_i1067" o:spt="75" type="#_x0000_t75" style="height:29.2pt;width:44.85pt;" o:ole="t" filled="f" o:preferrelative="t" stroked="f" coordsize="21600,21600">
            <v:path/>
            <v:fill on="f" focussize="0,0"/>
            <v:stroke on="f" joinstyle="miter"/>
            <v:imagedata r:id="rId100" o:title=""/>
            <o:lock v:ext="edit" aspectratio="t"/>
            <w10:wrap type="none"/>
            <w10:anchorlock/>
          </v:shape>
          <o:OLEObject Type="Embed" ProgID="Equation.3" ShapeID="_x0000_i1067" DrawAspect="Content" ObjectID="_1468075769" r:id="rId99">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kern w:val="0"/>
          <w:sz w:val="20"/>
          <w:szCs w:val="20"/>
        </w:rPr>
        <w:t>（</w:t>
      </w:r>
      <w:r>
        <w:rPr>
          <w:sz w:val="20"/>
          <w:szCs w:val="20"/>
        </w:rPr>
        <w:t>5.3.4-4</w:t>
      </w:r>
      <w:r>
        <w:rPr>
          <w:rFonts w:ascii="宋体" w:hAnsi="宋体"/>
          <w:kern w:val="0"/>
          <w:sz w:val="20"/>
          <w:szCs w:val="20"/>
        </w:rPr>
        <w:t>）</w:t>
      </w:r>
    </w:p>
    <w:p w14:paraId="7E581DCE">
      <w:pPr>
        <w:autoSpaceDE w:val="0"/>
        <w:autoSpaceDN w:val="0"/>
        <w:adjustRightInd w:val="0"/>
        <w:snapToGrid w:val="0"/>
        <w:spacing w:line="288" w:lineRule="auto"/>
        <w:rPr>
          <w:kern w:val="0"/>
          <w:sz w:val="20"/>
          <w:szCs w:val="20"/>
          <w:lang w:eastAsia="zh-TW"/>
        </w:rPr>
      </w:pPr>
      <w:r>
        <w:rPr>
          <w:rFonts w:hint="eastAsia" w:ascii="宋体" w:hAnsi="宋体"/>
          <w:kern w:val="0"/>
          <w:sz w:val="20"/>
          <w:szCs w:val="20"/>
          <w:lang w:eastAsia="zh-TW"/>
        </w:rPr>
        <w:t>式中</w:t>
      </w:r>
      <w:r>
        <w:rPr>
          <w:rFonts w:hint="eastAsia" w:ascii="宋体" w:hAnsi="宋体"/>
          <w:kern w:val="0"/>
          <w:sz w:val="20"/>
          <w:szCs w:val="20"/>
        </w:rPr>
        <w:t>：</w:t>
      </w:r>
      <w:r>
        <w:rPr>
          <w:i/>
          <w:kern w:val="0"/>
          <w:sz w:val="20"/>
          <w:szCs w:val="20"/>
        </w:rPr>
        <w:t>q</w:t>
      </w:r>
      <w:r>
        <w:rPr>
          <w:iCs/>
        </w:rPr>
        <w:t>——</w:t>
      </w:r>
      <w:r>
        <w:rPr>
          <w:rFonts w:hAnsi="宋体"/>
          <w:kern w:val="0"/>
          <w:sz w:val="20"/>
          <w:szCs w:val="20"/>
        </w:rPr>
        <w:t>单井</w:t>
      </w:r>
      <w:r>
        <w:rPr>
          <w:rFonts w:hAnsi="宋体"/>
          <w:kern w:val="0"/>
          <w:sz w:val="20"/>
          <w:szCs w:val="20"/>
          <w:lang w:eastAsia="zh-TW"/>
        </w:rPr>
        <w:t>出水量（</w:t>
      </w:r>
      <w:r>
        <w:rPr>
          <w:sz w:val="20"/>
          <w:szCs w:val="20"/>
        </w:rPr>
        <w:t>m</w:t>
      </w:r>
      <w:r>
        <w:rPr>
          <w:kern w:val="0"/>
          <w:sz w:val="20"/>
          <w:szCs w:val="20"/>
          <w:vertAlign w:val="superscript"/>
        </w:rPr>
        <w:t>3</w:t>
      </w:r>
      <w:r>
        <w:rPr>
          <w:kern w:val="0"/>
          <w:sz w:val="20"/>
          <w:szCs w:val="20"/>
        </w:rPr>
        <w:t>/s</w:t>
      </w:r>
      <w:r>
        <w:rPr>
          <w:rFonts w:hAnsi="宋体"/>
          <w:kern w:val="0"/>
          <w:sz w:val="20"/>
          <w:szCs w:val="20"/>
          <w:lang w:eastAsia="zh-TW"/>
        </w:rPr>
        <w:t>）；</w:t>
      </w:r>
    </w:p>
    <w:p w14:paraId="2C51BF3C">
      <w:pPr>
        <w:autoSpaceDE w:val="0"/>
        <w:autoSpaceDN w:val="0"/>
        <w:adjustRightInd w:val="0"/>
        <w:snapToGrid w:val="0"/>
        <w:spacing w:line="288" w:lineRule="auto"/>
        <w:ind w:firstLine="434" w:firstLineChars="217"/>
        <w:rPr>
          <w:kern w:val="0"/>
          <w:sz w:val="20"/>
          <w:szCs w:val="20"/>
          <w:lang w:eastAsia="zh-TW"/>
        </w:rPr>
      </w:pPr>
      <w:r>
        <w:rPr>
          <w:i/>
          <w:kern w:val="0"/>
          <w:sz w:val="20"/>
          <w:szCs w:val="20"/>
          <w:lang w:eastAsia="zh-TW"/>
        </w:rPr>
        <w:t>Ｄ</w:t>
      </w:r>
      <w:r>
        <w:rPr>
          <w:kern w:val="0"/>
          <w:sz w:val="20"/>
          <w:szCs w:val="20"/>
          <w:vertAlign w:val="subscript"/>
          <w:lang w:eastAsia="zh-TW"/>
        </w:rPr>
        <w:t>k</w:t>
      </w:r>
      <w:r>
        <w:rPr>
          <w:iCs/>
        </w:rPr>
        <w:t>——</w:t>
      </w:r>
      <w:r>
        <w:rPr>
          <w:rFonts w:hAnsi="宋体"/>
          <w:kern w:val="0"/>
          <w:sz w:val="20"/>
          <w:szCs w:val="20"/>
        </w:rPr>
        <w:t>过滤器处的</w:t>
      </w:r>
      <w:r>
        <w:rPr>
          <w:rFonts w:hAnsi="宋体"/>
          <w:kern w:val="0"/>
          <w:sz w:val="20"/>
          <w:szCs w:val="20"/>
          <w:lang w:eastAsia="zh-TW"/>
        </w:rPr>
        <w:t>井径（</w:t>
      </w:r>
      <w:r>
        <w:rPr>
          <w:sz w:val="20"/>
          <w:szCs w:val="20"/>
        </w:rPr>
        <w:t>m</w:t>
      </w:r>
      <w:r>
        <w:rPr>
          <w:rFonts w:hAnsi="宋体"/>
          <w:kern w:val="0"/>
          <w:sz w:val="20"/>
          <w:szCs w:val="20"/>
          <w:lang w:eastAsia="zh-TW"/>
        </w:rPr>
        <w:t>）；</w:t>
      </w:r>
    </w:p>
    <w:p w14:paraId="4CBD6E6D">
      <w:pPr>
        <w:autoSpaceDE w:val="0"/>
        <w:autoSpaceDN w:val="0"/>
        <w:adjustRightInd w:val="0"/>
        <w:snapToGrid w:val="0"/>
        <w:spacing w:line="288" w:lineRule="auto"/>
        <w:ind w:firstLine="646" w:firstLineChars="323"/>
        <w:rPr>
          <w:kern w:val="0"/>
          <w:sz w:val="20"/>
          <w:szCs w:val="20"/>
          <w:lang w:eastAsia="zh-TW"/>
        </w:rPr>
      </w:pPr>
      <w:r>
        <w:rPr>
          <w:i/>
          <w:kern w:val="0"/>
          <w:sz w:val="20"/>
          <w:szCs w:val="20"/>
        </w:rPr>
        <w:t>l</w:t>
      </w:r>
      <w:r>
        <w:rPr>
          <w:iCs/>
        </w:rPr>
        <w:t>——</w:t>
      </w:r>
      <w:r>
        <w:rPr>
          <w:rFonts w:hAnsi="宋体"/>
          <w:kern w:val="0"/>
          <w:sz w:val="20"/>
          <w:szCs w:val="20"/>
          <w:lang w:eastAsia="zh-TW"/>
        </w:rPr>
        <w:t>过滤器长度（</w:t>
      </w:r>
      <w:r>
        <w:rPr>
          <w:sz w:val="20"/>
          <w:szCs w:val="20"/>
        </w:rPr>
        <w:t>m</w:t>
      </w:r>
      <w:r>
        <w:rPr>
          <w:rFonts w:hAnsi="宋体"/>
          <w:kern w:val="0"/>
          <w:sz w:val="20"/>
          <w:szCs w:val="20"/>
          <w:lang w:eastAsia="zh-TW"/>
        </w:rPr>
        <w:t>）；</w:t>
      </w:r>
    </w:p>
    <w:p w14:paraId="4B71F718">
      <w:pPr>
        <w:autoSpaceDE w:val="0"/>
        <w:autoSpaceDN w:val="0"/>
        <w:adjustRightInd w:val="0"/>
        <w:snapToGrid w:val="0"/>
        <w:spacing w:line="288" w:lineRule="auto"/>
        <w:ind w:left="1133" w:leftChars="254" w:hanging="600" w:hangingChars="300"/>
        <w:rPr>
          <w:kern w:val="0"/>
          <w:sz w:val="20"/>
          <w:szCs w:val="20"/>
          <w:lang w:eastAsia="zh-TW"/>
        </w:rPr>
      </w:pPr>
      <w:r>
        <w:rPr>
          <w:i/>
          <w:kern w:val="0"/>
          <w:sz w:val="20"/>
          <w:szCs w:val="20"/>
        </w:rPr>
        <w:t>v</w:t>
      </w:r>
      <w:r>
        <w:rPr>
          <w:i/>
          <w:kern w:val="0"/>
          <w:sz w:val="20"/>
          <w:szCs w:val="20"/>
          <w:vertAlign w:val="subscript"/>
          <w:lang w:eastAsia="zh-TW"/>
        </w:rPr>
        <w:t>j</w:t>
      </w:r>
      <w:r>
        <w:rPr>
          <w:rFonts w:hint="eastAsia"/>
          <w:i/>
          <w:kern w:val="0"/>
          <w:sz w:val="20"/>
          <w:szCs w:val="20"/>
          <w:vertAlign w:val="subscript"/>
        </w:rPr>
        <w:t xml:space="preserve"> </w:t>
      </w:r>
      <w:r>
        <w:rPr>
          <w:iCs/>
        </w:rPr>
        <w:t>——</w:t>
      </w:r>
      <w:r>
        <w:rPr>
          <w:rFonts w:hAnsi="宋体"/>
          <w:kern w:val="0"/>
          <w:sz w:val="20"/>
          <w:szCs w:val="20"/>
          <w:lang w:eastAsia="zh-TW"/>
        </w:rPr>
        <w:t>允许井壁进水流速（</w:t>
      </w:r>
      <w:r>
        <w:rPr>
          <w:sz w:val="20"/>
          <w:szCs w:val="20"/>
        </w:rPr>
        <w:t>m</w:t>
      </w:r>
      <w:r>
        <w:rPr>
          <w:rFonts w:hAnsi="宋体"/>
          <w:kern w:val="0"/>
          <w:sz w:val="20"/>
          <w:szCs w:val="20"/>
          <w:lang w:eastAsia="zh-TW"/>
        </w:rPr>
        <w:t>／</w:t>
      </w:r>
      <w:r>
        <w:rPr>
          <w:kern w:val="0"/>
          <w:sz w:val="20"/>
          <w:szCs w:val="20"/>
          <w:lang w:eastAsia="zh-TW"/>
        </w:rPr>
        <w:t>s</w:t>
      </w:r>
      <w:r>
        <w:rPr>
          <w:rFonts w:hAnsi="宋体"/>
          <w:kern w:val="0"/>
          <w:sz w:val="20"/>
          <w:szCs w:val="20"/>
          <w:lang w:eastAsia="zh-TW"/>
        </w:rPr>
        <w:t>）。允许井壁进水流速宜按下式计算：</w:t>
      </w:r>
    </w:p>
    <w:p w14:paraId="26005213">
      <w:pPr>
        <w:autoSpaceDE w:val="0"/>
        <w:autoSpaceDN w:val="0"/>
        <w:adjustRightInd w:val="0"/>
        <w:snapToGrid w:val="0"/>
        <w:spacing w:line="288" w:lineRule="auto"/>
        <w:ind w:right="-80" w:rightChars="-38" w:firstLine="400" w:firstLineChars="200"/>
        <w:jc w:val="center"/>
        <w:rPr>
          <w:kern w:val="0"/>
          <w:sz w:val="20"/>
          <w:szCs w:val="20"/>
          <w:lang w:eastAsia="zh-TW"/>
        </w:rPr>
      </w:pPr>
      <w:r>
        <w:rPr>
          <w:position w:val="-14"/>
          <w:sz w:val="20"/>
          <w:szCs w:val="20"/>
        </w:rPr>
        <w:object>
          <v:shape id="_x0000_i1068" o:spt="75" type="#_x0000_t75" style="height:19pt;width:49.6pt;" o:ole="t" filled="f" o:preferrelative="t" stroked="f" coordsize="21600,21600">
            <v:path/>
            <v:fill on="f" focussize="0,0"/>
            <v:stroke on="f" joinstyle="miter"/>
            <v:imagedata r:id="rId102" o:title=""/>
            <o:lock v:ext="edit" aspectratio="t"/>
            <w10:wrap type="none"/>
            <w10:anchorlock/>
          </v:shape>
          <o:OLEObject Type="Embed" ProgID="Equation.3" ShapeID="_x0000_i1068" DrawAspect="Content" ObjectID="_1468075770" r:id="rId101">
            <o:LockedField>false</o:LockedField>
          </o:OLEObject>
        </w:object>
      </w:r>
      <w:r>
        <w:rPr>
          <w:sz w:val="20"/>
          <w:szCs w:val="20"/>
        </w:rPr>
        <w:tab/>
      </w:r>
      <w:r>
        <w:rPr>
          <w:sz w:val="20"/>
          <w:szCs w:val="20"/>
        </w:rPr>
        <w:tab/>
      </w:r>
      <w:r>
        <w:rPr>
          <w:sz w:val="20"/>
          <w:szCs w:val="20"/>
        </w:rPr>
        <w:tab/>
      </w:r>
      <w:r>
        <w:rPr>
          <w:sz w:val="20"/>
          <w:szCs w:val="20"/>
        </w:rPr>
        <w:tab/>
      </w:r>
      <w:r>
        <w:rPr>
          <w:sz w:val="20"/>
          <w:szCs w:val="20"/>
        </w:rPr>
        <w:t xml:space="preserve">  </w:t>
      </w:r>
      <w:r>
        <w:rPr>
          <w:rFonts w:hAnsi="宋体"/>
          <w:kern w:val="0"/>
          <w:sz w:val="20"/>
          <w:szCs w:val="20"/>
        </w:rPr>
        <w:t>（</w:t>
      </w:r>
      <w:r>
        <w:rPr>
          <w:sz w:val="20"/>
          <w:szCs w:val="20"/>
        </w:rPr>
        <w:t>5.3.4-5</w:t>
      </w:r>
      <w:r>
        <w:rPr>
          <w:rFonts w:hAnsi="宋体"/>
          <w:kern w:val="0"/>
          <w:sz w:val="20"/>
          <w:szCs w:val="20"/>
        </w:rPr>
        <w:t>）</w:t>
      </w:r>
    </w:p>
    <w:p w14:paraId="0C114CA1">
      <w:pPr>
        <w:autoSpaceDE w:val="0"/>
        <w:autoSpaceDN w:val="0"/>
        <w:adjustRightInd w:val="0"/>
        <w:snapToGrid w:val="0"/>
        <w:spacing w:line="288" w:lineRule="auto"/>
        <w:rPr>
          <w:kern w:val="0"/>
          <w:sz w:val="20"/>
          <w:szCs w:val="20"/>
          <w:lang w:eastAsia="zh-TW"/>
        </w:rPr>
      </w:pPr>
      <w:r>
        <w:rPr>
          <w:rFonts w:hAnsi="宋体"/>
          <w:kern w:val="0"/>
          <w:sz w:val="20"/>
          <w:szCs w:val="20"/>
          <w:lang w:eastAsia="zh-TW"/>
        </w:rPr>
        <w:t>式中</w:t>
      </w:r>
      <w:r>
        <w:rPr>
          <w:rFonts w:hAnsi="宋体"/>
          <w:kern w:val="0"/>
          <w:sz w:val="20"/>
          <w:szCs w:val="20"/>
        </w:rPr>
        <w:t>：</w:t>
      </w:r>
      <w:r>
        <w:rPr>
          <w:i/>
          <w:kern w:val="0"/>
          <w:sz w:val="20"/>
          <w:szCs w:val="20"/>
        </w:rPr>
        <w:t>k</w:t>
      </w:r>
      <w:r>
        <w:rPr>
          <w:iCs/>
        </w:rPr>
        <w:t>——</w:t>
      </w:r>
      <w:r>
        <w:rPr>
          <w:rFonts w:hAnsi="宋体"/>
          <w:kern w:val="0"/>
          <w:sz w:val="20"/>
          <w:szCs w:val="20"/>
          <w:lang w:eastAsia="zh-TW"/>
        </w:rPr>
        <w:t>含水层的渗透系数（</w:t>
      </w:r>
      <w:r>
        <w:rPr>
          <w:sz w:val="20"/>
          <w:szCs w:val="20"/>
        </w:rPr>
        <w:t>m</w:t>
      </w:r>
      <w:r>
        <w:rPr>
          <w:rFonts w:hAnsi="宋体"/>
          <w:kern w:val="0"/>
          <w:sz w:val="20"/>
          <w:szCs w:val="20"/>
          <w:lang w:eastAsia="zh-TW"/>
        </w:rPr>
        <w:t>／</w:t>
      </w:r>
      <w:r>
        <w:rPr>
          <w:kern w:val="0"/>
          <w:sz w:val="20"/>
          <w:szCs w:val="20"/>
          <w:lang w:eastAsia="zh-TW"/>
        </w:rPr>
        <w:t>s</w:t>
      </w:r>
      <w:r>
        <w:rPr>
          <w:rFonts w:hAnsi="宋体"/>
          <w:kern w:val="0"/>
          <w:sz w:val="20"/>
          <w:szCs w:val="20"/>
          <w:lang w:eastAsia="zh-TW"/>
        </w:rPr>
        <w:t>）。</w:t>
      </w:r>
    </w:p>
    <w:p w14:paraId="718A9002">
      <w:pPr>
        <w:adjustRightInd w:val="0"/>
        <w:snapToGrid w:val="0"/>
        <w:spacing w:line="288" w:lineRule="auto"/>
        <w:ind w:firstLine="402" w:firstLineChars="200"/>
        <w:rPr>
          <w:rFonts w:ascii="宋体" w:hAnsi="宋体"/>
          <w:sz w:val="20"/>
          <w:szCs w:val="20"/>
        </w:rPr>
      </w:pPr>
      <w:r>
        <w:rPr>
          <w:rFonts w:hint="eastAsia"/>
          <w:b/>
          <w:bCs/>
          <w:sz w:val="20"/>
          <w:szCs w:val="20"/>
        </w:rPr>
        <w:t>6</w:t>
      </w:r>
      <w:r>
        <w:rPr>
          <w:rFonts w:hint="eastAsia" w:ascii="宋体" w:hAnsi="宋体"/>
          <w:sz w:val="20"/>
          <w:szCs w:val="20"/>
        </w:rPr>
        <w:t xml:space="preserve">  辐射井的出水量</w:t>
      </w:r>
      <w:r>
        <w:rPr>
          <w:rFonts w:ascii="宋体" w:hAnsi="宋体"/>
          <w:i/>
          <w:iCs/>
          <w:sz w:val="20"/>
          <w:szCs w:val="20"/>
        </w:rPr>
        <w:t>q</w:t>
      </w:r>
      <w:r>
        <w:rPr>
          <w:rFonts w:ascii="宋体" w:hAnsi="宋体"/>
          <w:sz w:val="20"/>
          <w:szCs w:val="20"/>
        </w:rPr>
        <w:t>（</w:t>
      </w:r>
      <w:r>
        <w:rPr>
          <w:rFonts w:hint="eastAsia"/>
          <w:sz w:val="20"/>
          <w:szCs w:val="20"/>
        </w:rPr>
        <w:t>m</w:t>
      </w:r>
      <w:r>
        <w:rPr>
          <w:rFonts w:ascii="宋体" w:hAnsi="宋体"/>
          <w:sz w:val="20"/>
          <w:szCs w:val="20"/>
          <w:vertAlign w:val="superscript"/>
        </w:rPr>
        <w:t>3</w:t>
      </w:r>
      <w:r>
        <w:rPr>
          <w:rFonts w:ascii="宋体" w:hAnsi="宋体"/>
          <w:sz w:val="20"/>
          <w:szCs w:val="20"/>
        </w:rPr>
        <w:t>/d</w:t>
      </w:r>
      <w:r>
        <w:rPr>
          <w:rFonts w:hint="eastAsia" w:ascii="宋体" w:hAnsi="宋体"/>
          <w:sz w:val="20"/>
          <w:szCs w:val="20"/>
        </w:rPr>
        <w:t>）可按下列公式计算：</w:t>
      </w:r>
    </w:p>
    <w:p w14:paraId="56D03B2F">
      <w:pPr>
        <w:adjustRightInd w:val="0"/>
        <w:snapToGrid w:val="0"/>
        <w:spacing w:line="288" w:lineRule="auto"/>
        <w:ind w:firstLine="1200" w:firstLineChars="600"/>
        <w:jc w:val="center"/>
        <w:rPr>
          <w:rFonts w:ascii="宋体" w:hAnsi="宋体"/>
          <w:sz w:val="20"/>
          <w:szCs w:val="20"/>
        </w:rPr>
      </w:pPr>
      <w:r>
        <w:rPr>
          <w:rFonts w:hint="eastAsia" w:ascii="宋体" w:hAnsi="宋体"/>
          <w:sz w:val="20"/>
          <w:szCs w:val="20"/>
        </w:rPr>
        <w:t>承压水：</w:t>
      </w:r>
      <w:r>
        <w:rPr>
          <w:rFonts w:ascii="宋体" w:hAnsi="宋体"/>
          <w:position w:val="-42"/>
          <w:sz w:val="20"/>
          <w:szCs w:val="20"/>
        </w:rPr>
        <w:object>
          <v:shape id="_x0000_i1069" o:spt="75" type="#_x0000_t75" style="height:34.65pt;width:49.6pt;" o:ole="t" filled="f" o:preferrelative="t" stroked="f" coordsize="21600,21600">
            <v:path/>
            <v:fill on="f" focussize="0,0"/>
            <v:stroke on="f" joinstyle="miter"/>
            <v:imagedata r:id="rId104" o:title=""/>
            <o:lock v:ext="edit" aspectratio="t"/>
            <w10:wrap type="none"/>
            <w10:anchorlock/>
          </v:shape>
          <o:OLEObject Type="Embed" ProgID="Equation.DSMT4" ShapeID="_x0000_i1069" DrawAspect="Content" ObjectID="_1468075771" r:id="rId103">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 xml:space="preserve">   </w:t>
      </w:r>
      <w:r>
        <w:rPr>
          <w:rFonts w:ascii="宋体" w:hAnsi="宋体"/>
          <w:sz w:val="20"/>
          <w:szCs w:val="20"/>
        </w:rPr>
        <w:tab/>
      </w:r>
      <w:r>
        <w:rPr>
          <w:rFonts w:ascii="宋体" w:hAnsi="宋体"/>
          <w:sz w:val="20"/>
          <w:szCs w:val="20"/>
        </w:rPr>
        <w:tab/>
      </w:r>
      <w:r>
        <w:rPr>
          <w:rFonts w:ascii="宋体" w:hAnsi="宋体"/>
          <w:sz w:val="20"/>
          <w:szCs w:val="20"/>
        </w:rPr>
        <w:t xml:space="preserve">  </w:t>
      </w:r>
      <w:r>
        <w:rPr>
          <w:rFonts w:hint="eastAsia" w:ascii="宋体" w:hAnsi="宋体"/>
          <w:sz w:val="20"/>
          <w:szCs w:val="20"/>
        </w:rPr>
        <w:t xml:space="preserve">  </w:t>
      </w:r>
      <w:r>
        <w:rPr>
          <w:rFonts w:ascii="宋体" w:hAnsi="宋体"/>
          <w:kern w:val="0"/>
          <w:sz w:val="20"/>
          <w:szCs w:val="20"/>
        </w:rPr>
        <w:t>（</w:t>
      </w:r>
      <w:r>
        <w:rPr>
          <w:sz w:val="20"/>
          <w:szCs w:val="20"/>
        </w:rPr>
        <w:t>5.3.4-6</w:t>
      </w:r>
      <w:r>
        <w:rPr>
          <w:rFonts w:ascii="宋体" w:hAnsi="宋体"/>
          <w:kern w:val="0"/>
          <w:sz w:val="20"/>
          <w:szCs w:val="20"/>
        </w:rPr>
        <w:t>）</w:t>
      </w:r>
    </w:p>
    <w:p w14:paraId="5434195B">
      <w:pPr>
        <w:adjustRightInd w:val="0"/>
        <w:snapToGrid w:val="0"/>
        <w:spacing w:line="288" w:lineRule="auto"/>
        <w:ind w:firstLine="1200" w:firstLineChars="600"/>
        <w:jc w:val="center"/>
        <w:rPr>
          <w:rFonts w:ascii="宋体" w:hAnsi="宋体"/>
          <w:sz w:val="20"/>
          <w:szCs w:val="20"/>
        </w:rPr>
      </w:pPr>
      <w:r>
        <w:rPr>
          <w:rFonts w:hint="eastAsia" w:ascii="宋体" w:hAnsi="宋体"/>
          <w:sz w:val="20"/>
          <w:szCs w:val="20"/>
        </w:rPr>
        <w:t>潜水：</w:t>
      </w:r>
      <w:r>
        <w:rPr>
          <w:rFonts w:ascii="宋体" w:hAnsi="宋体"/>
          <w:position w:val="-42"/>
          <w:sz w:val="20"/>
          <w:szCs w:val="20"/>
        </w:rPr>
        <w:object>
          <v:shape id="_x0000_i1070" o:spt="75" type="#_x0000_t75" style="height:37.35pt;width:80.9pt;" o:ole="t" filled="f" o:preferrelative="t" stroked="f" coordsize="21600,21600">
            <v:path/>
            <v:fill on="f" focussize="0,0"/>
            <v:stroke on="f" joinstyle="miter"/>
            <v:imagedata r:id="rId106" o:title=""/>
            <o:lock v:ext="edit" aspectratio="t"/>
            <w10:wrap type="none"/>
            <w10:anchorlock/>
          </v:shape>
          <o:OLEObject Type="Embed" ProgID="Equation.DSMT4" ShapeID="_x0000_i1070" DrawAspect="Content" ObjectID="_1468075772" r:id="rId105">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 xml:space="preserve">  </w:t>
      </w:r>
      <w:r>
        <w:rPr>
          <w:rFonts w:ascii="宋体" w:hAnsi="宋体"/>
          <w:sz w:val="20"/>
          <w:szCs w:val="20"/>
        </w:rPr>
        <w:tab/>
      </w:r>
      <w:r>
        <w:rPr>
          <w:rFonts w:ascii="宋体" w:hAnsi="宋体"/>
          <w:sz w:val="20"/>
          <w:szCs w:val="20"/>
        </w:rPr>
        <w:t xml:space="preserve">  </w:t>
      </w:r>
      <w:r>
        <w:rPr>
          <w:rFonts w:hint="eastAsia" w:ascii="宋体" w:hAnsi="宋体"/>
          <w:sz w:val="20"/>
          <w:szCs w:val="20"/>
        </w:rPr>
        <w:t xml:space="preserve">  </w:t>
      </w:r>
      <w:r>
        <w:rPr>
          <w:rFonts w:ascii="宋体" w:hAnsi="宋体"/>
          <w:kern w:val="0"/>
          <w:sz w:val="20"/>
          <w:szCs w:val="20"/>
        </w:rPr>
        <w:t>（</w:t>
      </w:r>
      <w:r>
        <w:rPr>
          <w:sz w:val="20"/>
          <w:szCs w:val="20"/>
        </w:rPr>
        <w:t>5.3.4-7</w:t>
      </w:r>
      <w:r>
        <w:rPr>
          <w:rFonts w:ascii="宋体" w:hAnsi="宋体"/>
          <w:kern w:val="0"/>
          <w:sz w:val="20"/>
          <w:szCs w:val="20"/>
        </w:rPr>
        <w:t>）</w:t>
      </w:r>
    </w:p>
    <w:p w14:paraId="1E4F2A95">
      <w:pPr>
        <w:adjustRightInd w:val="0"/>
        <w:snapToGrid w:val="0"/>
        <w:spacing w:line="288" w:lineRule="auto"/>
        <w:rPr>
          <w:sz w:val="20"/>
          <w:szCs w:val="20"/>
        </w:rPr>
      </w:pPr>
      <w:r>
        <w:rPr>
          <w:rFonts w:hint="eastAsia" w:ascii="宋体" w:hAnsi="宋体"/>
          <w:sz w:val="20"/>
          <w:szCs w:val="20"/>
        </w:rPr>
        <w:t>式中：</w:t>
      </w:r>
      <w:r>
        <w:rPr>
          <w:i/>
          <w:iCs/>
          <w:sz w:val="20"/>
          <w:szCs w:val="20"/>
        </w:rPr>
        <w:t>k</w:t>
      </w:r>
      <w:r>
        <w:rPr>
          <w:iCs/>
        </w:rPr>
        <w:t>——</w:t>
      </w:r>
      <w:r>
        <w:rPr>
          <w:rFonts w:hAnsi="宋体"/>
          <w:sz w:val="20"/>
          <w:szCs w:val="20"/>
        </w:rPr>
        <w:t>含水层的渗透系数（</w:t>
      </w:r>
      <w:r>
        <w:rPr>
          <w:sz w:val="20"/>
          <w:szCs w:val="20"/>
        </w:rPr>
        <w:t>m/d</w:t>
      </w:r>
      <w:r>
        <w:rPr>
          <w:rFonts w:hAnsi="宋体"/>
          <w:sz w:val="20"/>
          <w:szCs w:val="20"/>
        </w:rPr>
        <w:t>）；</w:t>
      </w:r>
    </w:p>
    <w:p w14:paraId="4980FCD3">
      <w:pPr>
        <w:adjustRightInd w:val="0"/>
        <w:snapToGrid w:val="0"/>
        <w:spacing w:line="288" w:lineRule="auto"/>
        <w:ind w:firstLine="500" w:firstLineChars="250"/>
        <w:rPr>
          <w:sz w:val="20"/>
          <w:szCs w:val="20"/>
        </w:rPr>
      </w:pPr>
      <w:r>
        <w:rPr>
          <w:i/>
          <w:sz w:val="20"/>
          <w:szCs w:val="20"/>
        </w:rPr>
        <w:t>s</w:t>
      </w:r>
      <w:r>
        <w:rPr>
          <w:sz w:val="20"/>
          <w:szCs w:val="20"/>
          <w:vertAlign w:val="subscript"/>
        </w:rPr>
        <w:t xml:space="preserve">w </w:t>
      </w:r>
      <w:r>
        <w:rPr>
          <w:iCs/>
        </w:rPr>
        <w:t>——</w:t>
      </w:r>
      <w:r>
        <w:rPr>
          <w:rFonts w:hAnsi="宋体"/>
          <w:sz w:val="20"/>
          <w:szCs w:val="20"/>
        </w:rPr>
        <w:t>辐射井井内水位降深（</w:t>
      </w:r>
      <w:r>
        <w:rPr>
          <w:sz w:val="20"/>
          <w:szCs w:val="20"/>
        </w:rPr>
        <w:t>m</w:t>
      </w:r>
      <w:r>
        <w:rPr>
          <w:rFonts w:hAnsi="宋体"/>
          <w:sz w:val="20"/>
          <w:szCs w:val="20"/>
        </w:rPr>
        <w:t>）；</w:t>
      </w:r>
    </w:p>
    <w:p w14:paraId="33C9E637">
      <w:pPr>
        <w:adjustRightInd w:val="0"/>
        <w:snapToGrid w:val="0"/>
        <w:spacing w:line="288" w:lineRule="auto"/>
        <w:ind w:firstLine="490" w:firstLineChars="245"/>
        <w:rPr>
          <w:rFonts w:ascii="宋体" w:hAnsi="宋体"/>
          <w:sz w:val="20"/>
          <w:szCs w:val="20"/>
        </w:rPr>
      </w:pPr>
      <w:r>
        <w:rPr>
          <w:i/>
          <w:sz w:val="20"/>
          <w:szCs w:val="20"/>
        </w:rPr>
        <w:t>M</w:t>
      </w:r>
      <w:r>
        <w:rPr>
          <w:i/>
          <w:iCs/>
          <w:sz w:val="20"/>
          <w:szCs w:val="20"/>
        </w:rPr>
        <w:t xml:space="preserve"> </w:t>
      </w:r>
      <w:r>
        <w:rPr>
          <w:iCs/>
        </w:rPr>
        <w:t>——</w:t>
      </w:r>
      <w:r>
        <w:rPr>
          <w:rFonts w:hAnsi="宋体"/>
          <w:sz w:val="20"/>
          <w:szCs w:val="20"/>
        </w:rPr>
        <w:t>承压水含水层的厚度（</w:t>
      </w:r>
      <w:r>
        <w:rPr>
          <w:sz w:val="20"/>
          <w:szCs w:val="20"/>
        </w:rPr>
        <w:t>m</w:t>
      </w:r>
      <w:r>
        <w:rPr>
          <w:rFonts w:hAnsi="宋体"/>
          <w:sz w:val="20"/>
          <w:szCs w:val="20"/>
        </w:rPr>
        <w:t>）</w:t>
      </w:r>
      <w:r>
        <w:rPr>
          <w:rFonts w:hint="eastAsia" w:ascii="宋体" w:hAnsi="宋体"/>
          <w:sz w:val="20"/>
          <w:szCs w:val="20"/>
        </w:rPr>
        <w:t>；</w:t>
      </w:r>
    </w:p>
    <w:p w14:paraId="2C5962D8">
      <w:pPr>
        <w:adjustRightInd w:val="0"/>
        <w:snapToGrid w:val="0"/>
        <w:spacing w:line="288" w:lineRule="auto"/>
        <w:ind w:firstLine="630" w:firstLineChars="315"/>
        <w:rPr>
          <w:sz w:val="20"/>
          <w:szCs w:val="20"/>
        </w:rPr>
      </w:pPr>
      <w:r>
        <w:rPr>
          <w:i/>
          <w:sz w:val="20"/>
          <w:szCs w:val="20"/>
        </w:rPr>
        <w:t>H</w:t>
      </w:r>
      <w:r>
        <w:rPr>
          <w:iCs/>
        </w:rPr>
        <w:t>——</w:t>
      </w:r>
      <w:r>
        <w:rPr>
          <w:rFonts w:hAnsi="宋体"/>
          <w:sz w:val="20"/>
          <w:szCs w:val="20"/>
        </w:rPr>
        <w:t>潜水含水层的厚度（</w:t>
      </w:r>
      <w:r>
        <w:rPr>
          <w:sz w:val="20"/>
          <w:szCs w:val="20"/>
        </w:rPr>
        <w:t>m</w:t>
      </w:r>
      <w:r>
        <w:rPr>
          <w:rFonts w:hAnsi="宋体"/>
          <w:sz w:val="20"/>
          <w:szCs w:val="20"/>
        </w:rPr>
        <w:t>）；</w:t>
      </w:r>
    </w:p>
    <w:p w14:paraId="260EFA91">
      <w:pPr>
        <w:adjustRightInd w:val="0"/>
        <w:snapToGrid w:val="0"/>
        <w:spacing w:line="288" w:lineRule="auto"/>
        <w:ind w:firstLine="616" w:firstLineChars="308"/>
        <w:rPr>
          <w:sz w:val="20"/>
          <w:szCs w:val="20"/>
        </w:rPr>
      </w:pPr>
      <w:r>
        <w:rPr>
          <w:i/>
          <w:sz w:val="20"/>
          <w:szCs w:val="20"/>
        </w:rPr>
        <w:t>R</w:t>
      </w:r>
      <w:r>
        <w:rPr>
          <w:rFonts w:hint="eastAsia"/>
          <w:i/>
          <w:sz w:val="20"/>
          <w:szCs w:val="20"/>
        </w:rPr>
        <w:t xml:space="preserve"> </w:t>
      </w:r>
      <w:r>
        <w:rPr>
          <w:iCs/>
        </w:rPr>
        <w:t>——</w:t>
      </w:r>
      <w:r>
        <w:rPr>
          <w:rFonts w:hAnsi="宋体"/>
          <w:sz w:val="20"/>
          <w:szCs w:val="20"/>
        </w:rPr>
        <w:t>影响半径（</w:t>
      </w:r>
      <w:r>
        <w:rPr>
          <w:sz w:val="20"/>
          <w:szCs w:val="20"/>
        </w:rPr>
        <w:t>m</w:t>
      </w:r>
      <w:r>
        <w:rPr>
          <w:rFonts w:hAnsi="宋体"/>
          <w:sz w:val="20"/>
          <w:szCs w:val="20"/>
        </w:rPr>
        <w:t>）；</w:t>
      </w:r>
    </w:p>
    <w:p w14:paraId="23DCD8EB">
      <w:pPr>
        <w:adjustRightInd w:val="0"/>
        <w:snapToGrid w:val="0"/>
        <w:spacing w:line="288" w:lineRule="auto"/>
        <w:ind w:firstLine="602" w:firstLineChars="301"/>
        <w:rPr>
          <w:sz w:val="20"/>
          <w:szCs w:val="20"/>
        </w:rPr>
      </w:pPr>
      <w:r>
        <w:rPr>
          <w:i/>
          <w:sz w:val="20"/>
          <w:szCs w:val="20"/>
        </w:rPr>
        <w:t>r</w:t>
      </w:r>
      <w:r>
        <w:rPr>
          <w:sz w:val="20"/>
          <w:szCs w:val="20"/>
          <w:vertAlign w:val="subscript"/>
        </w:rPr>
        <w:t>0</w:t>
      </w:r>
      <w:r>
        <w:rPr>
          <w:rFonts w:hint="eastAsia"/>
          <w:sz w:val="20"/>
          <w:szCs w:val="20"/>
          <w:vertAlign w:val="subscript"/>
        </w:rPr>
        <w:t xml:space="preserve"> </w:t>
      </w:r>
      <w:r>
        <w:rPr>
          <w:iCs/>
        </w:rPr>
        <w:t>——</w:t>
      </w:r>
      <w:r>
        <w:rPr>
          <w:rFonts w:hAnsi="宋体"/>
          <w:sz w:val="20"/>
          <w:szCs w:val="20"/>
        </w:rPr>
        <w:t>引用半径（</w:t>
      </w:r>
      <w:r>
        <w:rPr>
          <w:sz w:val="20"/>
          <w:szCs w:val="20"/>
        </w:rPr>
        <w:t>m</w:t>
      </w:r>
      <w:r>
        <w:rPr>
          <w:rFonts w:hAnsi="宋体"/>
          <w:sz w:val="20"/>
          <w:szCs w:val="20"/>
        </w:rPr>
        <w:t>），</w:t>
      </w:r>
      <w:r>
        <w:rPr>
          <w:position w:val="-18"/>
          <w:sz w:val="20"/>
          <w:szCs w:val="20"/>
        </w:rPr>
        <w:object>
          <v:shape id="_x0000_i1071" o:spt="75" type="#_x0000_t75" style="height:22.4pt;width:93.75pt;" o:ole="t" filled="f" o:preferrelative="t" stroked="f" coordsize="21600,21600">
            <v:path/>
            <v:fill on="f" focussize="0,0"/>
            <v:stroke on="f" joinstyle="miter"/>
            <v:imagedata r:id="rId108" o:title=""/>
            <o:lock v:ext="edit" aspectratio="t"/>
            <w10:wrap type="none"/>
            <w10:anchorlock/>
          </v:shape>
          <o:OLEObject Type="Embed" ProgID="Equation.DSMT4" ShapeID="_x0000_i1071" DrawAspect="Content" ObjectID="_1468075773" r:id="rId107">
            <o:LockedField>false</o:LockedField>
          </o:OLEObject>
        </w:object>
      </w:r>
      <w:r>
        <w:rPr>
          <w:rFonts w:hAnsi="宋体"/>
          <w:sz w:val="20"/>
          <w:szCs w:val="20"/>
        </w:rPr>
        <w:t>；</w:t>
      </w:r>
    </w:p>
    <w:p w14:paraId="6364A998">
      <w:pPr>
        <w:adjustRightInd w:val="0"/>
        <w:snapToGrid w:val="0"/>
        <w:spacing w:line="288" w:lineRule="auto"/>
        <w:ind w:firstLine="672" w:firstLineChars="336"/>
        <w:rPr>
          <w:sz w:val="20"/>
          <w:szCs w:val="20"/>
        </w:rPr>
      </w:pPr>
      <w:r>
        <w:rPr>
          <w:i/>
          <w:sz w:val="20"/>
          <w:szCs w:val="20"/>
        </w:rPr>
        <w:t>n</w:t>
      </w:r>
      <w:r>
        <w:rPr>
          <w:iCs/>
        </w:rPr>
        <w:t>——</w:t>
      </w:r>
      <w:r>
        <w:rPr>
          <w:rFonts w:hAnsi="宋体"/>
          <w:sz w:val="20"/>
          <w:szCs w:val="20"/>
        </w:rPr>
        <w:t>辐射管根数；</w:t>
      </w:r>
    </w:p>
    <w:p w14:paraId="645E7DF6">
      <w:pPr>
        <w:adjustRightInd w:val="0"/>
        <w:snapToGrid w:val="0"/>
        <w:spacing w:line="288" w:lineRule="auto"/>
        <w:ind w:firstLine="644" w:firstLineChars="322"/>
        <w:rPr>
          <w:rFonts w:hAnsi="宋体"/>
          <w:sz w:val="20"/>
          <w:szCs w:val="20"/>
        </w:rPr>
      </w:pPr>
      <w:r>
        <w:rPr>
          <w:i/>
          <w:sz w:val="20"/>
          <w:szCs w:val="20"/>
        </w:rPr>
        <w:t>A</w:t>
      </w:r>
      <w:r>
        <w:rPr>
          <w:iCs/>
        </w:rPr>
        <w:t>——</w:t>
      </w:r>
      <w:r>
        <w:rPr>
          <w:rFonts w:hAnsi="宋体"/>
          <w:sz w:val="20"/>
          <w:szCs w:val="20"/>
        </w:rPr>
        <w:t>辐射管控制面积（</w:t>
      </w:r>
      <w:r>
        <w:rPr>
          <w:sz w:val="20"/>
          <w:szCs w:val="20"/>
        </w:rPr>
        <w:t>m</w:t>
      </w:r>
      <w:r>
        <w:rPr>
          <w:sz w:val="20"/>
          <w:szCs w:val="20"/>
          <w:vertAlign w:val="superscript"/>
        </w:rPr>
        <w:t>2</w:t>
      </w:r>
      <w:r>
        <w:rPr>
          <w:rFonts w:hAnsi="宋体"/>
          <w:sz w:val="20"/>
          <w:szCs w:val="20"/>
        </w:rPr>
        <w:t>）。</w:t>
      </w:r>
    </w:p>
    <w:p w14:paraId="532BAE14">
      <w:pPr>
        <w:adjustRightInd w:val="0"/>
        <w:snapToGrid w:val="0"/>
        <w:spacing w:line="288" w:lineRule="auto"/>
        <w:rPr>
          <w:rFonts w:ascii="宋体" w:hAnsi="宋体"/>
          <w:sz w:val="20"/>
          <w:szCs w:val="20"/>
        </w:rPr>
      </w:pPr>
      <w:r>
        <w:rPr>
          <w:b/>
          <w:bCs/>
          <w:sz w:val="20"/>
          <w:szCs w:val="20"/>
        </w:rPr>
        <w:t>5.3.</w:t>
      </w:r>
      <w:r>
        <w:rPr>
          <w:rFonts w:hint="eastAsia"/>
          <w:b/>
          <w:bCs/>
          <w:sz w:val="20"/>
          <w:szCs w:val="20"/>
        </w:rPr>
        <w:t>5</w:t>
      </w:r>
      <w:r>
        <w:rPr>
          <w:rFonts w:hint="eastAsia" w:ascii="宋体" w:hAnsi="宋体"/>
          <w:sz w:val="20"/>
          <w:szCs w:val="20"/>
        </w:rPr>
        <w:t xml:space="preserve">  过滤器长度宜按下列规定确定：</w:t>
      </w:r>
    </w:p>
    <w:p w14:paraId="6A09FBA0">
      <w:pPr>
        <w:adjustRightInd w:val="0"/>
        <w:snapToGrid w:val="0"/>
        <w:spacing w:line="288" w:lineRule="auto"/>
        <w:ind w:firstLine="402" w:firstLineChars="200"/>
        <w:rPr>
          <w:sz w:val="20"/>
          <w:szCs w:val="20"/>
        </w:rPr>
      </w:pPr>
      <w:r>
        <w:rPr>
          <w:rFonts w:hint="eastAsia"/>
          <w:b/>
          <w:bCs/>
          <w:sz w:val="20"/>
          <w:szCs w:val="20"/>
        </w:rPr>
        <w:t>1</w:t>
      </w:r>
      <w:r>
        <w:rPr>
          <w:rFonts w:ascii="宋体" w:hAnsi="宋体"/>
          <w:sz w:val="20"/>
          <w:szCs w:val="20"/>
        </w:rPr>
        <w:t xml:space="preserve">  </w:t>
      </w:r>
      <w:r>
        <w:rPr>
          <w:rFonts w:hint="eastAsia" w:ascii="宋体" w:hAnsi="宋体"/>
          <w:sz w:val="20"/>
          <w:szCs w:val="20"/>
        </w:rPr>
        <w:t>真空井点和喷射井点的过滤器长度不宜小于含水层厚</w:t>
      </w:r>
      <w:r>
        <w:rPr>
          <w:sz w:val="20"/>
          <w:szCs w:val="20"/>
        </w:rPr>
        <w:t>度的1/3；</w:t>
      </w:r>
    </w:p>
    <w:p w14:paraId="1419EFE7">
      <w:pPr>
        <w:adjustRightInd w:val="0"/>
        <w:snapToGrid w:val="0"/>
        <w:spacing w:line="288" w:lineRule="auto"/>
        <w:ind w:firstLine="402" w:firstLineChars="200"/>
        <w:rPr>
          <w:sz w:val="20"/>
          <w:szCs w:val="20"/>
        </w:rPr>
      </w:pPr>
      <w:r>
        <w:rPr>
          <w:b/>
          <w:bCs/>
          <w:sz w:val="20"/>
          <w:szCs w:val="20"/>
        </w:rPr>
        <w:t xml:space="preserve">2 </w:t>
      </w:r>
      <w:r>
        <w:rPr>
          <w:sz w:val="20"/>
          <w:szCs w:val="20"/>
        </w:rPr>
        <w:t xml:space="preserve"> 管井过滤器长度对承压水含水层宜与含水层厚度一致，对潜水含水层宜不小于动水位至含水层底板的厚度。</w:t>
      </w:r>
    </w:p>
    <w:p w14:paraId="4B97123D">
      <w:pPr>
        <w:adjustRightInd w:val="0"/>
        <w:snapToGrid w:val="0"/>
        <w:spacing w:line="288" w:lineRule="auto"/>
        <w:ind w:firstLine="402" w:firstLineChars="200"/>
        <w:rPr>
          <w:rFonts w:ascii="宋体" w:hAnsi="宋体"/>
          <w:sz w:val="20"/>
          <w:szCs w:val="20"/>
        </w:rPr>
      </w:pPr>
      <w:r>
        <w:rPr>
          <w:b/>
          <w:bCs/>
          <w:sz w:val="20"/>
          <w:szCs w:val="20"/>
        </w:rPr>
        <w:t>3</w:t>
      </w:r>
      <w:r>
        <w:rPr>
          <w:sz w:val="20"/>
          <w:szCs w:val="20"/>
        </w:rPr>
        <w:t xml:space="preserve">  对非完整井的过滤器长度可根据设计单井抽水量按公式5.3.4-3确定</w:t>
      </w:r>
      <w:r>
        <w:rPr>
          <w:rFonts w:hint="eastAsia" w:ascii="宋体" w:hAnsi="宋体"/>
          <w:sz w:val="20"/>
          <w:szCs w:val="20"/>
        </w:rPr>
        <w:t>。</w:t>
      </w:r>
    </w:p>
    <w:p w14:paraId="4FB68230">
      <w:pPr>
        <w:adjustRightInd w:val="0"/>
        <w:snapToGrid w:val="0"/>
        <w:spacing w:line="288" w:lineRule="auto"/>
        <w:rPr>
          <w:rFonts w:ascii="宋体" w:hAnsi="宋体"/>
          <w:sz w:val="20"/>
          <w:szCs w:val="20"/>
        </w:rPr>
      </w:pPr>
      <w:r>
        <w:rPr>
          <w:b/>
          <w:bCs/>
          <w:sz w:val="20"/>
          <w:szCs w:val="20"/>
        </w:rPr>
        <w:t>5.3.</w:t>
      </w:r>
      <w:r>
        <w:rPr>
          <w:rFonts w:hint="eastAsia"/>
          <w:b/>
          <w:bCs/>
          <w:sz w:val="20"/>
          <w:szCs w:val="20"/>
        </w:rPr>
        <w:t>6</w:t>
      </w:r>
      <w:r>
        <w:rPr>
          <w:rFonts w:hint="eastAsia" w:ascii="宋体" w:hAnsi="宋体"/>
          <w:sz w:val="20"/>
          <w:szCs w:val="20"/>
        </w:rPr>
        <w:t xml:space="preserve">  管井降水水位降深可按下列方法计算确定，当水位降深不满足本规程第</w:t>
      </w:r>
      <w:r>
        <w:rPr>
          <w:sz w:val="20"/>
          <w:szCs w:val="20"/>
        </w:rPr>
        <w:t>5.3.2</w:t>
      </w:r>
      <w:r>
        <w:rPr>
          <w:rFonts w:hint="eastAsia" w:ascii="宋体" w:hAnsi="宋体"/>
          <w:sz w:val="20"/>
          <w:szCs w:val="20"/>
        </w:rPr>
        <w:t>条时，可通过调整井数、布井方式，使降深满足降水设计要求。</w:t>
      </w:r>
    </w:p>
    <w:p w14:paraId="712EB26C">
      <w:pPr>
        <w:adjustRightInd w:val="0"/>
        <w:snapToGrid w:val="0"/>
        <w:spacing w:line="288" w:lineRule="auto"/>
        <w:ind w:firstLine="402" w:firstLineChars="200"/>
        <w:rPr>
          <w:rFonts w:ascii="宋体" w:hAnsi="宋体"/>
          <w:sz w:val="20"/>
          <w:szCs w:val="20"/>
        </w:rPr>
      </w:pPr>
      <w:r>
        <w:rPr>
          <w:b/>
          <w:bCs/>
          <w:sz w:val="20"/>
          <w:szCs w:val="20"/>
        </w:rPr>
        <w:t>1</w:t>
      </w:r>
      <w:r>
        <w:rPr>
          <w:rFonts w:hint="eastAsia" w:ascii="宋体" w:hAnsi="宋体"/>
          <w:sz w:val="20"/>
          <w:szCs w:val="20"/>
        </w:rPr>
        <w:t xml:space="preserve">  基坑降水深度稳定流计算方法：</w:t>
      </w:r>
    </w:p>
    <w:p w14:paraId="1974D3BC">
      <w:pPr>
        <w:adjustRightInd w:val="0"/>
        <w:snapToGrid w:val="0"/>
        <w:spacing w:line="288" w:lineRule="auto"/>
        <w:ind w:firstLine="600" w:firstLineChars="300"/>
        <w:rPr>
          <w:rFonts w:ascii="宋体" w:hAnsi="宋体"/>
          <w:sz w:val="20"/>
          <w:szCs w:val="20"/>
        </w:rPr>
      </w:pPr>
      <w:r>
        <w:rPr>
          <w:rFonts w:ascii="宋体" w:hAnsi="宋体"/>
          <w:sz w:val="20"/>
          <w:szCs w:val="20"/>
        </w:rPr>
        <w:t>1）</w:t>
      </w:r>
      <w:r>
        <w:rPr>
          <w:rFonts w:hint="eastAsia" w:ascii="宋体" w:hAnsi="宋体"/>
          <w:sz w:val="20"/>
          <w:szCs w:val="20"/>
        </w:rPr>
        <w:t>潜水完整井</w:t>
      </w:r>
    </w:p>
    <w:p w14:paraId="6621B8E1">
      <w:pPr>
        <w:adjustRightInd w:val="0"/>
        <w:snapToGrid w:val="0"/>
        <w:spacing w:line="288" w:lineRule="auto"/>
        <w:ind w:firstLine="700" w:firstLineChars="350"/>
        <w:jc w:val="center"/>
        <w:rPr>
          <w:rFonts w:ascii="宋体" w:hAnsi="宋体"/>
          <w:sz w:val="20"/>
          <w:szCs w:val="20"/>
        </w:rPr>
      </w:pPr>
      <w:r>
        <w:rPr>
          <w:rFonts w:ascii="宋体" w:hAnsi="宋体"/>
          <w:position w:val="-30"/>
          <w:sz w:val="20"/>
          <w:szCs w:val="20"/>
        </w:rPr>
        <w:object>
          <v:shape id="_x0000_i1072" o:spt="75" type="#_x0000_t75" style="height:29.2pt;width:179.25pt;" o:ole="t" filled="f" o:preferrelative="t" stroked="f" coordsize="21600,21600">
            <v:path/>
            <v:fill on="f" focussize="0,0"/>
            <v:stroke on="f" joinstyle="miter"/>
            <v:imagedata r:id="rId110" o:title=""/>
            <o:lock v:ext="edit" aspectratio="t"/>
            <w10:wrap type="none"/>
            <w10:anchorlock/>
          </v:shape>
          <o:OLEObject Type="Embed" ProgID="Equation.3" ShapeID="_x0000_i1072" DrawAspect="Content" ObjectID="_1468075774" r:id="rId109">
            <o:LockedField>false</o:LockedField>
          </o:OLEObject>
        </w:objec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w:t>
      </w:r>
      <w:r>
        <w:rPr>
          <w:sz w:val="20"/>
          <w:szCs w:val="20"/>
        </w:rPr>
        <w:t>5.3.6-1</w:t>
      </w:r>
      <w:r>
        <w:rPr>
          <w:rFonts w:hint="eastAsia" w:ascii="宋体" w:hAnsi="宋体"/>
          <w:sz w:val="20"/>
          <w:szCs w:val="20"/>
        </w:rPr>
        <w:t>）</w:t>
      </w:r>
    </w:p>
    <w:p w14:paraId="7A16203A">
      <w:pPr>
        <w:adjustRightInd w:val="0"/>
        <w:snapToGrid w:val="0"/>
        <w:spacing w:line="288" w:lineRule="auto"/>
        <w:ind w:firstLine="600" w:firstLineChars="300"/>
        <w:rPr>
          <w:rFonts w:ascii="宋体" w:hAnsi="宋体"/>
          <w:sz w:val="20"/>
          <w:szCs w:val="20"/>
        </w:rPr>
      </w:pPr>
      <w:r>
        <w:rPr>
          <w:rFonts w:ascii="宋体" w:hAnsi="宋体"/>
          <w:sz w:val="20"/>
          <w:szCs w:val="20"/>
        </w:rPr>
        <w:t>2）</w:t>
      </w:r>
      <w:r>
        <w:rPr>
          <w:rFonts w:hint="eastAsia" w:ascii="宋体" w:hAnsi="宋体"/>
          <w:sz w:val="20"/>
          <w:szCs w:val="20"/>
        </w:rPr>
        <w:t>承压完整井</w:t>
      </w:r>
    </w:p>
    <w:p w14:paraId="4A6CD7E5">
      <w:pPr>
        <w:adjustRightInd w:val="0"/>
        <w:snapToGrid w:val="0"/>
        <w:spacing w:line="288" w:lineRule="auto"/>
        <w:ind w:firstLine="700" w:firstLineChars="350"/>
        <w:jc w:val="center"/>
        <w:rPr>
          <w:rFonts w:ascii="宋体" w:hAnsi="宋体"/>
          <w:sz w:val="20"/>
          <w:szCs w:val="20"/>
        </w:rPr>
      </w:pPr>
      <w:r>
        <w:rPr>
          <w:rFonts w:ascii="宋体" w:hAnsi="宋体"/>
          <w:position w:val="-28"/>
          <w:sz w:val="20"/>
          <w:szCs w:val="20"/>
        </w:rPr>
        <w:object>
          <v:shape id="_x0000_i1073" o:spt="75" type="#_x0000_t75" style="height:24.45pt;width:139.85pt;" o:ole="t" filled="f" o:preferrelative="t" stroked="f" coordsize="21600,21600">
            <v:path/>
            <v:fill on="f" focussize="0,0"/>
            <v:stroke on="f" joinstyle="miter"/>
            <v:imagedata r:id="rId112" o:title=""/>
            <o:lock v:ext="edit" aspectratio="t"/>
            <w10:wrap type="none"/>
            <w10:anchorlock/>
          </v:shape>
          <o:OLEObject Type="Embed" ProgID="Equation.3" ShapeID="_x0000_i1073" DrawAspect="Content" ObjectID="_1468075775" r:id="rId111">
            <o:LockedField>false</o:LockedField>
          </o:OLEObject>
        </w:objec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 xml:space="preserve"> （</w:t>
      </w:r>
      <w:r>
        <w:rPr>
          <w:sz w:val="20"/>
          <w:szCs w:val="20"/>
        </w:rPr>
        <w:t>5.3.</w:t>
      </w:r>
      <w:r>
        <w:rPr>
          <w:rFonts w:hint="eastAsia"/>
          <w:sz w:val="20"/>
          <w:szCs w:val="20"/>
        </w:rPr>
        <w:t>6-2</w:t>
      </w:r>
      <w:r>
        <w:rPr>
          <w:rFonts w:hint="eastAsia" w:ascii="宋体" w:hAnsi="宋体"/>
          <w:sz w:val="20"/>
          <w:szCs w:val="20"/>
        </w:rPr>
        <w:t>）</w:t>
      </w:r>
    </w:p>
    <w:p w14:paraId="7DDAA8C2">
      <w:pPr>
        <w:adjustRightInd w:val="0"/>
        <w:snapToGrid w:val="0"/>
        <w:spacing w:line="288" w:lineRule="auto"/>
        <w:rPr>
          <w:rFonts w:ascii="宋体" w:hAnsi="宋体"/>
          <w:sz w:val="20"/>
          <w:szCs w:val="20"/>
        </w:rPr>
      </w:pPr>
      <w:r>
        <w:rPr>
          <w:rFonts w:hint="eastAsia" w:ascii="宋体" w:hAnsi="宋体"/>
          <w:sz w:val="20"/>
          <w:szCs w:val="20"/>
        </w:rPr>
        <w:t>式中：</w:t>
      </w:r>
      <w:r>
        <w:rPr>
          <w:i/>
          <w:iCs/>
          <w:sz w:val="20"/>
          <w:szCs w:val="20"/>
        </w:rPr>
        <w:t>s</w:t>
      </w:r>
      <w:r>
        <w:rPr>
          <w:rFonts w:hint="eastAsia" w:ascii="宋体" w:hAnsi="宋体"/>
          <w:i/>
          <w:iCs/>
          <w:sz w:val="20"/>
          <w:szCs w:val="20"/>
        </w:rPr>
        <w:t xml:space="preserve"> </w:t>
      </w:r>
      <w:r>
        <w:rPr>
          <w:iCs/>
        </w:rPr>
        <w:t>——</w:t>
      </w:r>
      <w:r>
        <w:rPr>
          <w:rFonts w:hint="eastAsia" w:ascii="宋体" w:hAnsi="宋体"/>
          <w:sz w:val="20"/>
          <w:szCs w:val="20"/>
        </w:rPr>
        <w:t>任意点处的地下水位降深（</w:t>
      </w:r>
      <w:r>
        <w:rPr>
          <w:sz w:val="20"/>
          <w:szCs w:val="20"/>
        </w:rPr>
        <w:t>m</w:t>
      </w:r>
      <w:r>
        <w:rPr>
          <w:rFonts w:hint="eastAsia" w:ascii="宋体" w:hAnsi="宋体"/>
          <w:sz w:val="20"/>
          <w:szCs w:val="20"/>
        </w:rPr>
        <w:t>）；</w:t>
      </w:r>
    </w:p>
    <w:p w14:paraId="2788EEDB">
      <w:pPr>
        <w:adjustRightInd w:val="0"/>
        <w:snapToGrid w:val="0"/>
        <w:spacing w:line="288" w:lineRule="auto"/>
        <w:rPr>
          <w:rFonts w:ascii="宋体" w:hAnsi="宋体"/>
          <w:sz w:val="20"/>
          <w:szCs w:val="20"/>
        </w:rPr>
      </w:pPr>
      <w:r>
        <w:rPr>
          <w:rFonts w:ascii="宋体" w:hAnsi="宋体"/>
          <w:position w:val="-12"/>
          <w:sz w:val="20"/>
          <w:szCs w:val="20"/>
        </w:rPr>
        <w:object>
          <v:shape id="_x0000_i1074" o:spt="75" type="#_x0000_t75" style="height:19pt;width:37.35pt;" o:ole="t" filled="f" o:preferrelative="t" stroked="f" coordsize="21600,21600">
            <v:path/>
            <v:fill on="f" focussize="0,0"/>
            <v:stroke on="f" joinstyle="miter"/>
            <v:imagedata r:id="rId114" o:title=""/>
            <o:lock v:ext="edit" aspectratio="t"/>
            <w10:wrap type="none"/>
            <w10:anchorlock/>
          </v:shape>
          <o:OLEObject Type="Embed" ProgID="Equation.3" ShapeID="_x0000_i1074" DrawAspect="Content" ObjectID="_1468075776" r:id="rId113">
            <o:LockedField>false</o:LockedField>
          </o:OLEObject>
        </w:object>
      </w:r>
      <w:r>
        <w:rPr>
          <w:iCs/>
        </w:rPr>
        <w:t>——</w:t>
      </w:r>
      <w:r>
        <w:rPr>
          <w:rFonts w:hint="eastAsia" w:ascii="宋体" w:hAnsi="宋体"/>
          <w:sz w:val="20"/>
          <w:szCs w:val="20"/>
        </w:rPr>
        <w:t>任意点距各井中心处的距离（</w:t>
      </w:r>
      <w:r>
        <w:rPr>
          <w:sz w:val="20"/>
          <w:szCs w:val="20"/>
        </w:rPr>
        <w:t>m</w:t>
      </w:r>
      <w:r>
        <w:rPr>
          <w:rFonts w:hint="eastAsia" w:ascii="宋体" w:hAnsi="宋体"/>
          <w:sz w:val="20"/>
          <w:szCs w:val="20"/>
        </w:rPr>
        <w:t>）。</w:t>
      </w:r>
    </w:p>
    <w:p w14:paraId="1D0CD588">
      <w:pPr>
        <w:adjustRightInd w:val="0"/>
        <w:snapToGrid w:val="0"/>
        <w:spacing w:line="288" w:lineRule="auto"/>
        <w:ind w:firstLine="402" w:firstLineChars="200"/>
        <w:rPr>
          <w:rFonts w:ascii="宋体" w:hAnsi="宋体"/>
          <w:sz w:val="20"/>
          <w:szCs w:val="20"/>
        </w:rPr>
      </w:pPr>
      <w:r>
        <w:rPr>
          <w:b/>
          <w:bCs/>
          <w:sz w:val="20"/>
          <w:szCs w:val="20"/>
        </w:rPr>
        <w:t>2</w:t>
      </w:r>
      <w:r>
        <w:rPr>
          <w:rFonts w:hint="eastAsia" w:ascii="宋体" w:hAnsi="宋体"/>
          <w:sz w:val="20"/>
          <w:szCs w:val="20"/>
        </w:rPr>
        <w:t xml:space="preserve">  基坑降水深度非稳定流计算方法： </w:t>
      </w:r>
    </w:p>
    <w:p w14:paraId="478F6FE5">
      <w:pPr>
        <w:adjustRightInd w:val="0"/>
        <w:snapToGrid w:val="0"/>
        <w:spacing w:line="288" w:lineRule="auto"/>
        <w:ind w:firstLine="600" w:firstLineChars="300"/>
        <w:rPr>
          <w:rFonts w:ascii="宋体" w:hAnsi="宋体"/>
          <w:sz w:val="20"/>
          <w:szCs w:val="20"/>
        </w:rPr>
      </w:pPr>
      <w:r>
        <w:rPr>
          <w:rFonts w:ascii="宋体" w:hAnsi="宋体"/>
          <w:sz w:val="20"/>
          <w:szCs w:val="20"/>
        </w:rPr>
        <w:t>1）</w:t>
      </w:r>
      <w:r>
        <w:rPr>
          <w:rFonts w:hint="eastAsia" w:ascii="宋体" w:hAnsi="宋体"/>
          <w:sz w:val="20"/>
          <w:szCs w:val="20"/>
        </w:rPr>
        <w:t xml:space="preserve"> 潜水完整井</w:t>
      </w:r>
    </w:p>
    <w:p w14:paraId="3898996D">
      <w:pPr>
        <w:adjustRightInd w:val="0"/>
        <w:snapToGrid w:val="0"/>
        <w:spacing w:line="288" w:lineRule="auto"/>
        <w:ind w:firstLine="800" w:firstLineChars="400"/>
        <w:jc w:val="center"/>
        <w:rPr>
          <w:rFonts w:ascii="宋体" w:hAnsi="宋体"/>
          <w:sz w:val="20"/>
          <w:szCs w:val="20"/>
        </w:rPr>
      </w:pPr>
      <w:r>
        <w:rPr>
          <w:rFonts w:ascii="宋体" w:hAnsi="宋体"/>
          <w:position w:val="-26"/>
          <w:sz w:val="20"/>
          <w:szCs w:val="20"/>
        </w:rPr>
        <w:object>
          <v:shape id="_x0000_i1075" o:spt="75" type="#_x0000_t75" style="height:37.35pt;width:155.55pt;" o:ole="t" filled="f" o:preferrelative="t" stroked="f" coordsize="21600,21600">
            <v:path/>
            <v:fill on="f" focussize="0,0"/>
            <v:stroke on="f" joinstyle="miter"/>
            <v:imagedata r:id="rId116" o:title=""/>
            <o:lock v:ext="edit" aspectratio="t"/>
            <w10:wrap type="none"/>
            <w10:anchorlock/>
          </v:shape>
          <o:OLEObject Type="Embed" ProgID="Equation.3" ShapeID="_x0000_i1075" DrawAspect="Content" ObjectID="_1468075777" r:id="rId115">
            <o:LockedField>false</o:LockedField>
          </o:OLEObject>
        </w:objec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 xml:space="preserve">  （</w:t>
      </w:r>
      <w:r>
        <w:rPr>
          <w:sz w:val="20"/>
          <w:szCs w:val="20"/>
        </w:rPr>
        <w:t>5.3.</w:t>
      </w:r>
      <w:r>
        <w:rPr>
          <w:rFonts w:hint="eastAsia"/>
          <w:sz w:val="20"/>
          <w:szCs w:val="20"/>
        </w:rPr>
        <w:t>6-3</w:t>
      </w:r>
      <w:r>
        <w:rPr>
          <w:rFonts w:hint="eastAsia" w:ascii="宋体" w:hAnsi="宋体"/>
          <w:sz w:val="20"/>
          <w:szCs w:val="20"/>
        </w:rPr>
        <w:t>）</w:t>
      </w:r>
    </w:p>
    <w:p w14:paraId="187F7DB6">
      <w:pPr>
        <w:adjustRightInd w:val="0"/>
        <w:snapToGrid w:val="0"/>
        <w:spacing w:line="288" w:lineRule="auto"/>
        <w:ind w:firstLine="600" w:firstLineChars="300"/>
        <w:rPr>
          <w:rFonts w:ascii="宋体" w:hAnsi="宋体"/>
          <w:sz w:val="20"/>
          <w:szCs w:val="20"/>
        </w:rPr>
      </w:pPr>
      <w:r>
        <w:rPr>
          <w:rFonts w:ascii="宋体" w:hAnsi="宋体"/>
          <w:sz w:val="20"/>
          <w:szCs w:val="20"/>
        </w:rPr>
        <w:t>2）</w:t>
      </w:r>
      <w:r>
        <w:rPr>
          <w:rFonts w:hint="eastAsia" w:ascii="宋体" w:hAnsi="宋体"/>
          <w:sz w:val="20"/>
          <w:szCs w:val="20"/>
        </w:rPr>
        <w:t>承压完整井</w:t>
      </w:r>
    </w:p>
    <w:p w14:paraId="0CA6AD28">
      <w:pPr>
        <w:adjustRightInd w:val="0"/>
        <w:snapToGrid w:val="0"/>
        <w:spacing w:line="288" w:lineRule="auto"/>
        <w:ind w:firstLine="600" w:firstLineChars="300"/>
        <w:jc w:val="center"/>
        <w:rPr>
          <w:rFonts w:ascii="宋体" w:hAnsi="宋体"/>
          <w:sz w:val="20"/>
          <w:szCs w:val="20"/>
        </w:rPr>
      </w:pPr>
      <w:r>
        <w:rPr>
          <w:rFonts w:ascii="宋体" w:hAnsi="宋体"/>
          <w:position w:val="-24"/>
          <w:sz w:val="20"/>
          <w:szCs w:val="20"/>
        </w:rPr>
        <w:object>
          <v:shape id="_x0000_i1076" o:spt="75" type="#_x0000_t75" style="height:42.1pt;width:114.1pt;" o:ole="t" filled="f" o:preferrelative="t" stroked="f" coordsize="21600,21600">
            <v:path/>
            <v:fill on="f" focussize="0,0"/>
            <v:stroke on="f" joinstyle="miter"/>
            <v:imagedata r:id="rId118" o:title=""/>
            <o:lock v:ext="edit" aspectratio="t"/>
            <w10:wrap type="none"/>
            <w10:anchorlock/>
          </v:shape>
          <o:OLEObject Type="Embed" ProgID="Equation.3" ShapeID="_x0000_i1076" DrawAspect="Content" ObjectID="_1468075778" r:id="rId117">
            <o:LockedField>false</o:LockedField>
          </o:OLEObject>
        </w:object>
      </w:r>
      <w:r>
        <w:rPr>
          <w:rFonts w:hint="eastAsia" w:ascii="宋体" w:hAnsi="宋体"/>
          <w:sz w:val="20"/>
          <w:szCs w:val="20"/>
        </w:rPr>
        <w:t xml:space="preserve">                      （</w:t>
      </w:r>
      <w:r>
        <w:rPr>
          <w:sz w:val="20"/>
          <w:szCs w:val="20"/>
        </w:rPr>
        <w:t>5.3.</w:t>
      </w:r>
      <w:r>
        <w:rPr>
          <w:rFonts w:hint="eastAsia"/>
          <w:sz w:val="20"/>
          <w:szCs w:val="20"/>
        </w:rPr>
        <w:t>6-4</w:t>
      </w:r>
      <w:r>
        <w:rPr>
          <w:rFonts w:hint="eastAsia" w:ascii="宋体" w:hAnsi="宋体"/>
          <w:sz w:val="20"/>
          <w:szCs w:val="20"/>
        </w:rPr>
        <w:t>）</w:t>
      </w:r>
    </w:p>
    <w:p w14:paraId="138B6B58">
      <w:pPr>
        <w:adjustRightInd w:val="0"/>
        <w:snapToGrid w:val="0"/>
        <w:spacing w:line="288" w:lineRule="auto"/>
        <w:rPr>
          <w:rFonts w:ascii="宋体" w:hAnsi="宋体"/>
          <w:sz w:val="20"/>
          <w:szCs w:val="20"/>
        </w:rPr>
      </w:pPr>
      <w:r>
        <w:rPr>
          <w:rFonts w:hint="eastAsia" w:ascii="宋体" w:hAnsi="宋体"/>
          <w:sz w:val="20"/>
          <w:szCs w:val="20"/>
        </w:rPr>
        <w:t>式中：</w:t>
      </w:r>
      <w:r>
        <w:rPr>
          <w:i/>
          <w:spacing w:val="3"/>
          <w:w w:val="100"/>
          <w:kern w:val="0"/>
          <w:fitText w:val="210" w:id="-1226029056"/>
        </w:rPr>
        <w:t>s</w:t>
      </w:r>
      <w:r>
        <w:rPr>
          <w:rFonts w:hint="eastAsia"/>
          <w:spacing w:val="3"/>
          <w:w w:val="100"/>
          <w:kern w:val="0"/>
          <w:fitText w:val="210" w:id="-1226029056"/>
          <w:vertAlign w:val="subscript"/>
        </w:rPr>
        <w:t>r</w:t>
      </w:r>
      <w:r>
        <w:rPr>
          <w:spacing w:val="3"/>
          <w:w w:val="100"/>
          <w:kern w:val="0"/>
          <w:fitText w:val="210" w:id="-1226029056"/>
          <w:vertAlign w:val="subscript"/>
        </w:rPr>
        <w:t>,</w:t>
      </w:r>
      <w:r>
        <w:rPr>
          <w:rFonts w:hint="eastAsia"/>
          <w:i/>
          <w:spacing w:val="2"/>
          <w:w w:val="100"/>
          <w:kern w:val="0"/>
          <w:fitText w:val="210" w:id="-1226029056"/>
          <w:vertAlign w:val="subscript"/>
        </w:rPr>
        <w:t>t</w:t>
      </w:r>
      <w:r>
        <w:rPr>
          <w:iCs/>
        </w:rPr>
        <w:t>——</w:t>
      </w:r>
      <w:r>
        <w:rPr>
          <w:rFonts w:hint="eastAsia" w:ascii="宋体" w:hAnsi="宋体"/>
          <w:sz w:val="20"/>
          <w:szCs w:val="20"/>
        </w:rPr>
        <w:t>任意时间任意点处的地下水位降深（</w:t>
      </w:r>
      <w:r>
        <w:rPr>
          <w:sz w:val="20"/>
          <w:szCs w:val="20"/>
        </w:rPr>
        <w:t>m</w:t>
      </w:r>
      <w:r>
        <w:rPr>
          <w:rFonts w:hint="eastAsia" w:ascii="宋体" w:hAnsi="宋体"/>
          <w:sz w:val="20"/>
          <w:szCs w:val="20"/>
        </w:rPr>
        <w:t>）；</w:t>
      </w:r>
    </w:p>
    <w:p w14:paraId="52C84861">
      <w:pPr>
        <w:adjustRightInd w:val="0"/>
        <w:snapToGrid w:val="0"/>
        <w:spacing w:line="288" w:lineRule="auto"/>
        <w:ind w:firstLine="686" w:firstLineChars="343"/>
        <w:rPr>
          <w:rFonts w:ascii="宋体" w:hAnsi="宋体"/>
          <w:sz w:val="20"/>
          <w:szCs w:val="20"/>
        </w:rPr>
      </w:pPr>
      <w:r>
        <w:rPr>
          <w:i/>
          <w:iCs/>
          <w:sz w:val="20"/>
          <w:szCs w:val="20"/>
        </w:rPr>
        <w:t>ɑ</w:t>
      </w:r>
      <w:r>
        <w:rPr>
          <w:iCs/>
        </w:rPr>
        <w:t>——</w:t>
      </w:r>
      <w:r>
        <w:rPr>
          <w:rFonts w:hint="eastAsia" w:ascii="宋体" w:hAnsi="宋体"/>
          <w:sz w:val="20"/>
          <w:szCs w:val="20"/>
        </w:rPr>
        <w:t>含水层的导水系数（</w:t>
      </w:r>
      <w:r>
        <w:rPr>
          <w:sz w:val="20"/>
          <w:szCs w:val="20"/>
        </w:rPr>
        <w:t>m</w:t>
      </w:r>
      <w:r>
        <w:rPr>
          <w:sz w:val="20"/>
          <w:szCs w:val="20"/>
          <w:vertAlign w:val="superscript"/>
        </w:rPr>
        <w:t>2</w:t>
      </w:r>
      <w:r>
        <w:rPr>
          <w:sz w:val="20"/>
          <w:szCs w:val="20"/>
        </w:rPr>
        <w:t>/d</w:t>
      </w:r>
      <w:r>
        <w:rPr>
          <w:rFonts w:hint="eastAsia" w:ascii="宋体" w:hAnsi="宋体"/>
          <w:sz w:val="20"/>
          <w:szCs w:val="20"/>
        </w:rPr>
        <w:t>）；</w:t>
      </w:r>
    </w:p>
    <w:p w14:paraId="0760CC9C">
      <w:pPr>
        <w:adjustRightInd w:val="0"/>
        <w:snapToGrid w:val="0"/>
        <w:spacing w:line="288" w:lineRule="auto"/>
        <w:ind w:firstLine="686" w:firstLineChars="343"/>
        <w:rPr>
          <w:rFonts w:ascii="宋体" w:hAnsi="宋体"/>
          <w:sz w:val="20"/>
          <w:szCs w:val="20"/>
        </w:rPr>
      </w:pPr>
      <w:r>
        <w:rPr>
          <w:i/>
          <w:iCs/>
          <w:sz w:val="20"/>
          <w:szCs w:val="20"/>
        </w:rPr>
        <w:t xml:space="preserve">t </w:t>
      </w:r>
      <w:r>
        <w:rPr>
          <w:iCs/>
        </w:rPr>
        <w:t>——</w:t>
      </w:r>
      <w:r>
        <w:rPr>
          <w:rFonts w:hint="eastAsia" w:ascii="宋体" w:hAnsi="宋体"/>
          <w:sz w:val="20"/>
          <w:szCs w:val="20"/>
        </w:rPr>
        <w:t>抽水时间（</w:t>
      </w:r>
      <w:r>
        <w:rPr>
          <w:sz w:val="20"/>
          <w:szCs w:val="20"/>
        </w:rPr>
        <w:t>d</w:t>
      </w:r>
      <w:r>
        <w:rPr>
          <w:rFonts w:hint="eastAsia" w:ascii="宋体" w:hAnsi="宋体"/>
          <w:sz w:val="20"/>
          <w:szCs w:val="20"/>
        </w:rPr>
        <w:t>）。</w:t>
      </w:r>
    </w:p>
    <w:p w14:paraId="7B080502">
      <w:pPr>
        <w:adjustRightInd w:val="0"/>
        <w:snapToGrid w:val="0"/>
        <w:spacing w:line="288" w:lineRule="auto"/>
        <w:ind w:firstLine="402" w:firstLineChars="200"/>
        <w:rPr>
          <w:rFonts w:ascii="宋体" w:hAnsi="宋体"/>
          <w:sz w:val="20"/>
          <w:szCs w:val="20"/>
        </w:rPr>
      </w:pPr>
      <w:r>
        <w:rPr>
          <w:rFonts w:hint="eastAsia"/>
          <w:b/>
          <w:bCs/>
          <w:sz w:val="20"/>
          <w:szCs w:val="20"/>
        </w:rPr>
        <w:t>3</w:t>
      </w:r>
      <w:r>
        <w:rPr>
          <w:rFonts w:hint="eastAsia" w:ascii="宋体" w:hAnsi="宋体"/>
          <w:sz w:val="20"/>
          <w:szCs w:val="20"/>
        </w:rPr>
        <w:t xml:space="preserve">  对水文地质条件和基坑形状复杂的工程，可采用数值法计算降水深度，并对降水方案进行优化。</w:t>
      </w:r>
    </w:p>
    <w:p w14:paraId="49EA6340">
      <w:pPr>
        <w:adjustRightInd w:val="0"/>
        <w:snapToGrid w:val="0"/>
        <w:spacing w:line="288" w:lineRule="auto"/>
        <w:rPr>
          <w:rFonts w:ascii="宋体" w:hAnsi="宋体"/>
          <w:sz w:val="20"/>
          <w:szCs w:val="20"/>
        </w:rPr>
      </w:pPr>
      <w:r>
        <w:rPr>
          <w:b/>
          <w:bCs/>
          <w:kern w:val="0"/>
          <w:sz w:val="20"/>
          <w:szCs w:val="20"/>
        </w:rPr>
        <w:t>5.3.7</w:t>
      </w:r>
      <w:r>
        <w:rPr>
          <w:rFonts w:hint="eastAsia" w:ascii="宋体" w:hAnsi="宋体"/>
          <w:sz w:val="20"/>
          <w:szCs w:val="20"/>
        </w:rPr>
        <w:t xml:space="preserve">  当采用井点或辐射井技术进行降水，井点、辐射井的总出水能力大于计算基坑涌水量一倍以上时，可不进行基坑降水水位预测。</w:t>
      </w:r>
    </w:p>
    <w:p w14:paraId="0C53A4E7">
      <w:pPr>
        <w:adjustRightInd w:val="0"/>
        <w:snapToGrid w:val="0"/>
        <w:spacing w:line="288" w:lineRule="auto"/>
        <w:rPr>
          <w:rFonts w:ascii="宋体" w:hAnsi="宋体"/>
          <w:sz w:val="20"/>
          <w:szCs w:val="20"/>
        </w:rPr>
      </w:pPr>
      <w:r>
        <w:rPr>
          <w:b/>
          <w:bCs/>
          <w:kern w:val="0"/>
          <w:sz w:val="20"/>
          <w:szCs w:val="20"/>
        </w:rPr>
        <w:t>5.3.8</w:t>
      </w:r>
      <w:r>
        <w:rPr>
          <w:rFonts w:hint="eastAsia" w:ascii="宋体" w:hAnsi="宋体"/>
          <w:sz w:val="20"/>
          <w:szCs w:val="20"/>
        </w:rPr>
        <w:t xml:space="preserve">  当基坑开挖遇多层含水层时，应分层进行地下水控制。当基坑开挖深度不同时，应分区进行地下水位控制。当线状工程分段开挖时，降水工程应根据开挖进度分段抽水。</w:t>
      </w:r>
    </w:p>
    <w:p w14:paraId="14C617B0">
      <w:pPr>
        <w:adjustRightInd w:val="0"/>
        <w:snapToGrid w:val="0"/>
        <w:spacing w:line="288" w:lineRule="auto"/>
        <w:rPr>
          <w:rFonts w:ascii="宋体" w:hAnsi="宋体"/>
          <w:sz w:val="20"/>
          <w:szCs w:val="20"/>
        </w:rPr>
      </w:pPr>
      <w:r>
        <w:rPr>
          <w:b/>
          <w:bCs/>
          <w:kern w:val="0"/>
          <w:sz w:val="20"/>
          <w:szCs w:val="20"/>
        </w:rPr>
        <w:t>5.3.</w:t>
      </w:r>
      <w:r>
        <w:rPr>
          <w:rFonts w:hint="eastAsia"/>
          <w:b/>
          <w:bCs/>
          <w:kern w:val="0"/>
          <w:sz w:val="20"/>
          <w:szCs w:val="20"/>
        </w:rPr>
        <w:t>9</w:t>
      </w:r>
      <w:r>
        <w:rPr>
          <w:rFonts w:ascii="宋体" w:hAnsi="宋体"/>
          <w:sz w:val="20"/>
          <w:szCs w:val="20"/>
        </w:rPr>
        <w:t xml:space="preserve">  采用渗井降水工程，除渗井引渗能力满足基坑实际出水量</w:t>
      </w:r>
      <w:r>
        <w:rPr>
          <w:rFonts w:hint="eastAsia" w:ascii="宋体" w:hAnsi="宋体"/>
          <w:sz w:val="20"/>
          <w:szCs w:val="20"/>
        </w:rPr>
        <w:t>外，尚应确定下部含水层水位上升值满足基坑开挖要求。当下部含水层水位上升高时，可采用抽渗结合的方法。利用渗井或抽渗结合井时应避免上层水导入下层水造成下层水水质的劣化。</w:t>
      </w:r>
    </w:p>
    <w:p w14:paraId="1F8B54C7">
      <w:pPr>
        <w:adjustRightInd w:val="0"/>
        <w:snapToGrid w:val="0"/>
        <w:spacing w:line="288" w:lineRule="auto"/>
        <w:rPr>
          <w:rFonts w:ascii="宋体" w:hAnsi="宋体"/>
          <w:sz w:val="20"/>
          <w:szCs w:val="20"/>
        </w:rPr>
      </w:pPr>
      <w:r>
        <w:rPr>
          <w:b/>
          <w:bCs/>
          <w:kern w:val="0"/>
          <w:sz w:val="20"/>
          <w:szCs w:val="20"/>
        </w:rPr>
        <w:t>5.3.1</w:t>
      </w:r>
      <w:r>
        <w:rPr>
          <w:rFonts w:hint="eastAsia"/>
          <w:b/>
          <w:bCs/>
          <w:kern w:val="0"/>
          <w:sz w:val="20"/>
          <w:szCs w:val="20"/>
        </w:rPr>
        <w:t>0</w:t>
      </w:r>
      <w:r>
        <w:rPr>
          <w:b/>
          <w:bCs/>
          <w:kern w:val="0"/>
          <w:sz w:val="20"/>
          <w:szCs w:val="20"/>
        </w:rPr>
        <w:t xml:space="preserve">  </w:t>
      </w:r>
      <w:r>
        <w:rPr>
          <w:rFonts w:hint="eastAsia" w:ascii="宋体" w:hAnsi="宋体"/>
          <w:sz w:val="20"/>
          <w:szCs w:val="20"/>
        </w:rPr>
        <w:t>在降水漏斗范围内因降水引起的地层沉降量可采用分层总和法计算评价。</w:t>
      </w:r>
    </w:p>
    <w:p w14:paraId="78955B67">
      <w:pPr>
        <w:adjustRightInd w:val="0"/>
        <w:snapToGrid w:val="0"/>
        <w:spacing w:line="288" w:lineRule="auto"/>
        <w:rPr>
          <w:rFonts w:ascii="宋体" w:hAnsi="宋体"/>
          <w:sz w:val="20"/>
          <w:szCs w:val="20"/>
        </w:rPr>
      </w:pPr>
      <w:r>
        <w:rPr>
          <w:b/>
          <w:bCs/>
          <w:kern w:val="0"/>
          <w:sz w:val="20"/>
          <w:szCs w:val="20"/>
        </w:rPr>
        <w:t>5.3.1</w:t>
      </w:r>
      <w:r>
        <w:rPr>
          <w:rFonts w:hint="eastAsia"/>
          <w:b/>
          <w:bCs/>
          <w:kern w:val="0"/>
          <w:sz w:val="20"/>
          <w:szCs w:val="20"/>
        </w:rPr>
        <w:t>1</w:t>
      </w:r>
      <w:r>
        <w:rPr>
          <w:b/>
          <w:bCs/>
          <w:kern w:val="0"/>
          <w:sz w:val="20"/>
          <w:szCs w:val="20"/>
        </w:rPr>
        <w:t xml:space="preserve">  </w:t>
      </w:r>
      <w:r>
        <w:rPr>
          <w:rFonts w:hint="eastAsia" w:ascii="宋体" w:hAnsi="宋体"/>
          <w:sz w:val="20"/>
          <w:szCs w:val="20"/>
        </w:rPr>
        <w:t>真空井点结构和施工应符合下列技术要求：</w:t>
      </w:r>
    </w:p>
    <w:p w14:paraId="27500930">
      <w:pPr>
        <w:adjustRightInd w:val="0"/>
        <w:snapToGrid w:val="0"/>
        <w:spacing w:line="288" w:lineRule="auto"/>
        <w:ind w:firstLine="402" w:firstLineChars="200"/>
        <w:rPr>
          <w:rFonts w:ascii="宋体" w:hAnsi="宋体"/>
          <w:sz w:val="20"/>
          <w:szCs w:val="20"/>
        </w:rPr>
      </w:pPr>
      <w:r>
        <w:rPr>
          <w:b/>
          <w:bCs/>
          <w:sz w:val="20"/>
          <w:szCs w:val="20"/>
        </w:rPr>
        <w:t>1</w:t>
      </w:r>
      <w:r>
        <w:rPr>
          <w:rFonts w:ascii="宋体" w:hAnsi="宋体"/>
          <w:sz w:val="20"/>
          <w:szCs w:val="20"/>
        </w:rPr>
        <w:t xml:space="preserve">  </w:t>
      </w:r>
      <w:r>
        <w:rPr>
          <w:rFonts w:hAnsi="宋体"/>
          <w:sz w:val="20"/>
          <w:szCs w:val="20"/>
        </w:rPr>
        <w:t>滤管直径可采用</w:t>
      </w:r>
      <w:r>
        <w:rPr>
          <w:sz w:val="20"/>
          <w:szCs w:val="20"/>
        </w:rPr>
        <w:t>38mm</w:t>
      </w:r>
      <w:r>
        <w:rPr>
          <w:rFonts w:hAnsi="宋体"/>
          <w:sz w:val="20"/>
          <w:szCs w:val="20"/>
        </w:rPr>
        <w:t>～</w:t>
      </w:r>
      <w:r>
        <w:rPr>
          <w:sz w:val="20"/>
          <w:szCs w:val="20"/>
        </w:rPr>
        <w:t>110mm</w:t>
      </w:r>
      <w:r>
        <w:rPr>
          <w:rFonts w:hAnsi="宋体"/>
          <w:sz w:val="20"/>
          <w:szCs w:val="20"/>
        </w:rPr>
        <w:t>的金属管，管壁上渗水孔直径为</w:t>
      </w:r>
      <w:r>
        <w:rPr>
          <w:sz w:val="20"/>
          <w:szCs w:val="20"/>
        </w:rPr>
        <w:t>12mm</w:t>
      </w:r>
      <w:r>
        <w:rPr>
          <w:rFonts w:hAnsi="宋体"/>
          <w:sz w:val="20"/>
          <w:szCs w:val="20"/>
        </w:rPr>
        <w:t>～</w:t>
      </w:r>
      <w:r>
        <w:rPr>
          <w:sz w:val="20"/>
          <w:szCs w:val="20"/>
        </w:rPr>
        <w:t>18mm</w:t>
      </w:r>
      <w:r>
        <w:rPr>
          <w:rFonts w:hAnsi="宋体"/>
          <w:sz w:val="20"/>
          <w:szCs w:val="20"/>
        </w:rPr>
        <w:t>，呈梅花状排列，孔隙率应大于</w:t>
      </w:r>
      <w:r>
        <w:rPr>
          <w:sz w:val="20"/>
          <w:szCs w:val="20"/>
        </w:rPr>
        <w:t>15%</w:t>
      </w:r>
      <w:r>
        <w:rPr>
          <w:rFonts w:hAnsi="宋体"/>
          <w:sz w:val="20"/>
          <w:szCs w:val="20"/>
        </w:rPr>
        <w:t>；管壁外应设两层滤网，内层滤网宜采用</w:t>
      </w:r>
      <w:r>
        <w:rPr>
          <w:sz w:val="20"/>
          <w:szCs w:val="20"/>
        </w:rPr>
        <w:t>30</w:t>
      </w:r>
      <w:r>
        <w:rPr>
          <w:rFonts w:hAnsi="宋体"/>
          <w:sz w:val="20"/>
          <w:szCs w:val="20"/>
        </w:rPr>
        <w:t>目～</w:t>
      </w:r>
      <w:r>
        <w:rPr>
          <w:sz w:val="20"/>
          <w:szCs w:val="20"/>
        </w:rPr>
        <w:t>80</w:t>
      </w:r>
      <w:r>
        <w:rPr>
          <w:rFonts w:hAnsi="宋体"/>
          <w:sz w:val="20"/>
          <w:szCs w:val="20"/>
        </w:rPr>
        <w:t>目的金属网或尼龙网，外层滤网宜采用</w:t>
      </w:r>
      <w:r>
        <w:rPr>
          <w:sz w:val="20"/>
          <w:szCs w:val="20"/>
        </w:rPr>
        <w:t>3</w:t>
      </w:r>
      <w:r>
        <w:rPr>
          <w:rFonts w:hAnsi="宋体"/>
          <w:sz w:val="20"/>
          <w:szCs w:val="20"/>
        </w:rPr>
        <w:t>目～</w:t>
      </w:r>
      <w:r>
        <w:rPr>
          <w:sz w:val="20"/>
          <w:szCs w:val="20"/>
        </w:rPr>
        <w:t>10</w:t>
      </w:r>
      <w:r>
        <w:rPr>
          <w:rFonts w:hAnsi="宋体"/>
          <w:sz w:val="20"/>
          <w:szCs w:val="20"/>
        </w:rPr>
        <w:t>目的金属网或尼龙网；管壁与滤网间应采用金属丝绕成螺旋形隔开，滤网外应再绕一层粗金属丝；</w:t>
      </w:r>
    </w:p>
    <w:p w14:paraId="69C06538">
      <w:pPr>
        <w:adjustRightInd w:val="0"/>
        <w:snapToGrid w:val="0"/>
        <w:spacing w:line="288" w:lineRule="auto"/>
        <w:ind w:firstLine="402" w:firstLineChars="200"/>
        <w:rPr>
          <w:rFonts w:ascii="宋体" w:hAnsi="宋体"/>
          <w:sz w:val="20"/>
          <w:szCs w:val="20"/>
        </w:rPr>
      </w:pPr>
      <w:r>
        <w:rPr>
          <w:b/>
          <w:bCs/>
          <w:sz w:val="20"/>
          <w:szCs w:val="20"/>
        </w:rPr>
        <w:t xml:space="preserve">2 </w:t>
      </w:r>
      <w:r>
        <w:rPr>
          <w:rFonts w:hint="eastAsia" w:ascii="宋体" w:hAnsi="宋体"/>
          <w:sz w:val="20"/>
          <w:szCs w:val="20"/>
        </w:rPr>
        <w:t xml:space="preserve"> 当一级井点降水不满足降水深度要求时</w:t>
      </w:r>
      <w:r>
        <w:rPr>
          <w:rFonts w:ascii="宋体" w:hAnsi="宋体"/>
          <w:sz w:val="20"/>
          <w:szCs w:val="20"/>
        </w:rPr>
        <w:t>，</w:t>
      </w:r>
      <w:r>
        <w:rPr>
          <w:rFonts w:hint="eastAsia" w:ascii="宋体" w:hAnsi="宋体"/>
          <w:sz w:val="20"/>
          <w:szCs w:val="20"/>
        </w:rPr>
        <w:t>亦可采用多级井点降水方法</w:t>
      </w:r>
      <w:r>
        <w:rPr>
          <w:rFonts w:ascii="宋体" w:hAnsi="宋体"/>
          <w:sz w:val="20"/>
          <w:szCs w:val="20"/>
        </w:rPr>
        <w:t>；</w:t>
      </w:r>
    </w:p>
    <w:p w14:paraId="43C8C837">
      <w:pPr>
        <w:adjustRightInd w:val="0"/>
        <w:snapToGrid w:val="0"/>
        <w:spacing w:line="288" w:lineRule="auto"/>
        <w:ind w:firstLine="402" w:firstLineChars="200"/>
        <w:rPr>
          <w:rFonts w:ascii="宋体" w:hAnsi="宋体"/>
          <w:sz w:val="20"/>
          <w:szCs w:val="20"/>
        </w:rPr>
      </w:pPr>
      <w:r>
        <w:rPr>
          <w:b/>
          <w:bCs/>
          <w:sz w:val="20"/>
          <w:szCs w:val="20"/>
        </w:rPr>
        <w:t>3</w: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井点管的设置可采用射水法、钻孔法和冲孔法成孔</w:t>
      </w:r>
      <w:r>
        <w:rPr>
          <w:rFonts w:ascii="宋体" w:hAnsi="宋体"/>
          <w:sz w:val="20"/>
          <w:szCs w:val="20"/>
        </w:rPr>
        <w:t>，</w:t>
      </w:r>
      <w:r>
        <w:rPr>
          <w:rFonts w:hint="eastAsia" w:ascii="宋体" w:hAnsi="宋体"/>
          <w:sz w:val="20"/>
          <w:szCs w:val="20"/>
        </w:rPr>
        <w:t>井孔直径不宜大于</w:t>
      </w:r>
      <w:r>
        <w:rPr>
          <w:sz w:val="20"/>
          <w:szCs w:val="20"/>
        </w:rPr>
        <w:t>300mm</w:t>
      </w:r>
      <w:r>
        <w:rPr>
          <w:rFonts w:hAnsi="宋体"/>
          <w:sz w:val="20"/>
          <w:szCs w:val="20"/>
        </w:rPr>
        <w:t>，孔深宜比滤管底深</w:t>
      </w:r>
      <w:r>
        <w:rPr>
          <w:sz w:val="20"/>
          <w:szCs w:val="20"/>
        </w:rPr>
        <w:t>0.5m</w:t>
      </w:r>
      <w:r>
        <w:rPr>
          <w:rFonts w:hAnsi="宋体"/>
          <w:sz w:val="20"/>
          <w:szCs w:val="20"/>
        </w:rPr>
        <w:t>～</w:t>
      </w:r>
      <w:r>
        <w:rPr>
          <w:sz w:val="20"/>
          <w:szCs w:val="20"/>
        </w:rPr>
        <w:t>1.0m</w:t>
      </w:r>
      <w:r>
        <w:rPr>
          <w:rFonts w:hAnsi="宋体"/>
          <w:sz w:val="20"/>
          <w:szCs w:val="20"/>
        </w:rPr>
        <w:t>；成孔后应冲洗钻孔，稀释泥浆；在井管与孔壁间及时用洁净中粗砂填灌密实均匀，投入滤料的数量应大于计算值的</w:t>
      </w:r>
      <w:r>
        <w:rPr>
          <w:sz w:val="20"/>
          <w:szCs w:val="20"/>
        </w:rPr>
        <w:t>85%</w:t>
      </w:r>
      <w:r>
        <w:rPr>
          <w:rFonts w:hAnsi="宋体"/>
          <w:sz w:val="20"/>
          <w:szCs w:val="20"/>
        </w:rPr>
        <w:t>；用高压水反冲洗后，再进行黏土封孔；黏土封孔厚度应不小于</w:t>
      </w:r>
      <w:r>
        <w:rPr>
          <w:sz w:val="20"/>
          <w:szCs w:val="20"/>
        </w:rPr>
        <w:t>1m</w:t>
      </w:r>
      <w:r>
        <w:rPr>
          <w:rFonts w:hAnsi="宋体"/>
          <w:sz w:val="20"/>
          <w:szCs w:val="20"/>
        </w:rPr>
        <w:t>；</w:t>
      </w:r>
    </w:p>
    <w:p w14:paraId="4F3835A4">
      <w:pPr>
        <w:adjustRightInd w:val="0"/>
        <w:snapToGrid w:val="0"/>
        <w:spacing w:line="288" w:lineRule="auto"/>
        <w:ind w:firstLine="402" w:firstLineChars="200"/>
        <w:rPr>
          <w:rFonts w:ascii="宋体" w:hAnsi="宋体"/>
          <w:sz w:val="20"/>
          <w:szCs w:val="20"/>
        </w:rPr>
      </w:pPr>
      <w:r>
        <w:rPr>
          <w:b/>
          <w:bCs/>
          <w:sz w:val="20"/>
          <w:szCs w:val="20"/>
        </w:rPr>
        <w:t>4</w: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井点使用前</w:t>
      </w:r>
      <w:r>
        <w:rPr>
          <w:rFonts w:ascii="宋体" w:hAnsi="宋体"/>
          <w:sz w:val="20"/>
          <w:szCs w:val="20"/>
        </w:rPr>
        <w:t>，</w:t>
      </w:r>
      <w:r>
        <w:rPr>
          <w:rFonts w:hint="eastAsia" w:ascii="宋体" w:hAnsi="宋体"/>
          <w:sz w:val="20"/>
          <w:szCs w:val="20"/>
        </w:rPr>
        <w:t>应进行试抽水</w:t>
      </w:r>
      <w:r>
        <w:rPr>
          <w:rFonts w:ascii="宋体" w:hAnsi="宋体"/>
          <w:sz w:val="20"/>
          <w:szCs w:val="20"/>
        </w:rPr>
        <w:t>，</w:t>
      </w:r>
      <w:r>
        <w:rPr>
          <w:rFonts w:hint="eastAsia" w:ascii="宋体" w:hAnsi="宋体"/>
          <w:sz w:val="20"/>
          <w:szCs w:val="20"/>
        </w:rPr>
        <w:t>当确认无漏水、漏气等异常现象后</w:t>
      </w:r>
      <w:r>
        <w:rPr>
          <w:rFonts w:ascii="宋体" w:hAnsi="宋体"/>
          <w:sz w:val="20"/>
          <w:szCs w:val="20"/>
        </w:rPr>
        <w:t>，</w:t>
      </w:r>
      <w:r>
        <w:rPr>
          <w:rFonts w:hint="eastAsia" w:ascii="宋体" w:hAnsi="宋体"/>
          <w:sz w:val="20"/>
          <w:szCs w:val="20"/>
        </w:rPr>
        <w:t>应保证连续不断抽水</w:t>
      </w:r>
      <w:r>
        <w:rPr>
          <w:rFonts w:ascii="宋体" w:hAnsi="宋体"/>
          <w:sz w:val="20"/>
          <w:szCs w:val="20"/>
        </w:rPr>
        <w:t>；</w:t>
      </w:r>
    </w:p>
    <w:p w14:paraId="20374A7D">
      <w:pPr>
        <w:adjustRightInd w:val="0"/>
        <w:snapToGrid w:val="0"/>
        <w:spacing w:line="288" w:lineRule="auto"/>
        <w:ind w:firstLine="402" w:firstLineChars="200"/>
        <w:rPr>
          <w:rFonts w:ascii="宋体" w:hAnsi="宋体"/>
          <w:sz w:val="20"/>
          <w:szCs w:val="20"/>
        </w:rPr>
      </w:pPr>
      <w:r>
        <w:rPr>
          <w:b/>
          <w:bCs/>
          <w:sz w:val="20"/>
          <w:szCs w:val="20"/>
        </w:rPr>
        <w:t xml:space="preserve">5 </w:t>
      </w:r>
      <w:r>
        <w:rPr>
          <w:rFonts w:hint="eastAsia" w:ascii="宋体" w:hAnsi="宋体"/>
          <w:sz w:val="20"/>
          <w:szCs w:val="20"/>
        </w:rPr>
        <w:t xml:space="preserve"> 在抽水过程中应定时观测水量、水位、真空度</w:t>
      </w:r>
      <w:r>
        <w:rPr>
          <w:rFonts w:ascii="宋体" w:hAnsi="宋体"/>
          <w:sz w:val="20"/>
          <w:szCs w:val="20"/>
        </w:rPr>
        <w:t>，</w:t>
      </w:r>
      <w:r>
        <w:rPr>
          <w:rFonts w:hint="eastAsia" w:ascii="宋体" w:hAnsi="宋体"/>
          <w:sz w:val="20"/>
          <w:szCs w:val="20"/>
        </w:rPr>
        <w:t>并应使真空度保持在</w:t>
      </w:r>
      <w:r>
        <w:rPr>
          <w:sz w:val="20"/>
          <w:szCs w:val="20"/>
        </w:rPr>
        <w:t>55kPa</w:t>
      </w:r>
      <w:r>
        <w:rPr>
          <w:rFonts w:hint="eastAsia" w:ascii="宋体" w:hAnsi="宋体"/>
          <w:sz w:val="20"/>
          <w:szCs w:val="20"/>
        </w:rPr>
        <w:t>以上。</w:t>
      </w:r>
    </w:p>
    <w:p w14:paraId="11D69228">
      <w:pPr>
        <w:adjustRightInd w:val="0"/>
        <w:snapToGrid w:val="0"/>
        <w:spacing w:line="288" w:lineRule="auto"/>
        <w:rPr>
          <w:rFonts w:ascii="宋体" w:hAnsi="宋体"/>
          <w:sz w:val="20"/>
          <w:szCs w:val="20"/>
        </w:rPr>
      </w:pPr>
      <w:r>
        <w:rPr>
          <w:b/>
          <w:bCs/>
          <w:kern w:val="0"/>
          <w:sz w:val="20"/>
          <w:szCs w:val="20"/>
        </w:rPr>
        <w:t>5.3.1</w:t>
      </w:r>
      <w:r>
        <w:rPr>
          <w:rFonts w:hint="eastAsia"/>
          <w:b/>
          <w:bCs/>
          <w:kern w:val="0"/>
          <w:sz w:val="20"/>
          <w:szCs w:val="20"/>
        </w:rPr>
        <w:t>2</w:t>
      </w:r>
      <w:r>
        <w:rPr>
          <w:b/>
          <w:bCs/>
          <w:kern w:val="0"/>
          <w:sz w:val="20"/>
          <w:szCs w:val="20"/>
        </w:rPr>
        <w:t xml:space="preserve"> </w:t>
      </w:r>
      <w:r>
        <w:rPr>
          <w:rFonts w:ascii="宋体" w:hAnsi="宋体"/>
          <w:sz w:val="20"/>
          <w:szCs w:val="20"/>
        </w:rPr>
        <w:t xml:space="preserve"> </w:t>
      </w:r>
      <w:r>
        <w:rPr>
          <w:rFonts w:hint="eastAsia" w:ascii="宋体" w:hAnsi="宋体"/>
          <w:sz w:val="20"/>
          <w:szCs w:val="20"/>
        </w:rPr>
        <w:t>喷射井点的结构及施工应符合下列要求：</w:t>
      </w:r>
    </w:p>
    <w:p w14:paraId="01005ECF">
      <w:pPr>
        <w:adjustRightInd w:val="0"/>
        <w:snapToGrid w:val="0"/>
        <w:spacing w:line="288" w:lineRule="auto"/>
        <w:ind w:firstLine="402" w:firstLineChars="200"/>
        <w:rPr>
          <w:sz w:val="20"/>
          <w:szCs w:val="20"/>
        </w:rPr>
      </w:pPr>
      <w:r>
        <w:rPr>
          <w:b/>
          <w:bCs/>
          <w:sz w:val="20"/>
          <w:szCs w:val="20"/>
        </w:rPr>
        <w:t>1</w:t>
      </w:r>
      <w:r>
        <w:rPr>
          <w:rFonts w:hint="eastAsia" w:ascii="宋体" w:hAnsi="宋体"/>
          <w:sz w:val="20"/>
          <w:szCs w:val="20"/>
        </w:rPr>
        <w:t xml:space="preserve"> </w:t>
      </w:r>
      <w:r>
        <w:rPr>
          <w:sz w:val="20"/>
          <w:szCs w:val="20"/>
        </w:rPr>
        <w:t xml:space="preserve"> </w:t>
      </w:r>
      <w:r>
        <w:rPr>
          <w:rFonts w:hAnsi="宋体"/>
          <w:sz w:val="20"/>
          <w:szCs w:val="20"/>
        </w:rPr>
        <w:t>井点的外管直径宜为</w:t>
      </w:r>
      <w:r>
        <w:rPr>
          <w:sz w:val="20"/>
          <w:szCs w:val="20"/>
        </w:rPr>
        <w:t>73mm</w:t>
      </w:r>
      <w:r>
        <w:rPr>
          <w:rFonts w:hAnsi="宋体"/>
          <w:sz w:val="20"/>
          <w:szCs w:val="20"/>
        </w:rPr>
        <w:t>～</w:t>
      </w:r>
      <w:r>
        <w:rPr>
          <w:sz w:val="20"/>
          <w:szCs w:val="20"/>
        </w:rPr>
        <w:t>108mm</w:t>
      </w:r>
      <w:r>
        <w:rPr>
          <w:rFonts w:hAnsi="宋体"/>
          <w:sz w:val="20"/>
          <w:szCs w:val="20"/>
        </w:rPr>
        <w:t>，内管直径为</w:t>
      </w:r>
      <w:r>
        <w:rPr>
          <w:sz w:val="20"/>
          <w:szCs w:val="20"/>
        </w:rPr>
        <w:t>50mm</w:t>
      </w:r>
      <w:r>
        <w:rPr>
          <w:rFonts w:hAnsi="宋体"/>
          <w:sz w:val="20"/>
          <w:szCs w:val="20"/>
        </w:rPr>
        <w:t>～</w:t>
      </w:r>
      <w:r>
        <w:rPr>
          <w:sz w:val="20"/>
          <w:szCs w:val="20"/>
        </w:rPr>
        <w:t>73mm</w:t>
      </w:r>
      <w:r>
        <w:rPr>
          <w:rFonts w:hAnsi="宋体"/>
          <w:sz w:val="20"/>
          <w:szCs w:val="20"/>
        </w:rPr>
        <w:t>，过滤器直径为</w:t>
      </w:r>
      <w:r>
        <w:rPr>
          <w:sz w:val="20"/>
          <w:szCs w:val="20"/>
        </w:rPr>
        <w:t>89mm</w:t>
      </w:r>
      <w:r>
        <w:rPr>
          <w:rFonts w:hAnsi="宋体"/>
          <w:sz w:val="20"/>
          <w:szCs w:val="20"/>
        </w:rPr>
        <w:t>～</w:t>
      </w:r>
      <w:r>
        <w:rPr>
          <w:sz w:val="20"/>
          <w:szCs w:val="20"/>
        </w:rPr>
        <w:t>127mm</w:t>
      </w:r>
      <w:r>
        <w:rPr>
          <w:rFonts w:hAnsi="宋体"/>
          <w:sz w:val="20"/>
          <w:szCs w:val="20"/>
        </w:rPr>
        <w:t>，井孔直径不宜大于</w:t>
      </w:r>
      <w:r>
        <w:rPr>
          <w:sz w:val="20"/>
          <w:szCs w:val="20"/>
        </w:rPr>
        <w:t>600mm</w:t>
      </w:r>
      <w:r>
        <w:rPr>
          <w:rFonts w:hAnsi="宋体"/>
          <w:sz w:val="20"/>
          <w:szCs w:val="20"/>
        </w:rPr>
        <w:t>，孔深应比滤管底深</w:t>
      </w:r>
      <w:r>
        <w:rPr>
          <w:sz w:val="20"/>
          <w:szCs w:val="20"/>
        </w:rPr>
        <w:t>1m</w:t>
      </w:r>
      <w:r>
        <w:rPr>
          <w:rFonts w:hAnsi="宋体"/>
          <w:sz w:val="20"/>
          <w:szCs w:val="20"/>
        </w:rPr>
        <w:t>以上；过滤器的结构与真空井点相同；喷射器混合室直径可取</w:t>
      </w:r>
      <w:r>
        <w:rPr>
          <w:sz w:val="20"/>
          <w:szCs w:val="20"/>
        </w:rPr>
        <w:t>14mm</w:t>
      </w:r>
      <w:r>
        <w:rPr>
          <w:rFonts w:hAnsi="宋体"/>
          <w:sz w:val="20"/>
          <w:szCs w:val="20"/>
        </w:rPr>
        <w:t>，喷嘴直径可取</w:t>
      </w:r>
      <w:r>
        <w:rPr>
          <w:sz w:val="20"/>
          <w:szCs w:val="20"/>
        </w:rPr>
        <w:t>6.5mm</w:t>
      </w:r>
      <w:r>
        <w:rPr>
          <w:rFonts w:hAnsi="宋体"/>
          <w:sz w:val="20"/>
          <w:szCs w:val="20"/>
        </w:rPr>
        <w:t>，工作水箱不应小于</w:t>
      </w:r>
      <w:r>
        <w:rPr>
          <w:sz w:val="20"/>
          <w:szCs w:val="20"/>
        </w:rPr>
        <w:t>10m</w:t>
      </w:r>
      <w:r>
        <w:rPr>
          <w:sz w:val="20"/>
          <w:szCs w:val="20"/>
          <w:vertAlign w:val="superscript"/>
        </w:rPr>
        <w:t>3</w:t>
      </w:r>
      <w:r>
        <w:rPr>
          <w:rFonts w:hAnsi="宋体"/>
          <w:sz w:val="20"/>
          <w:szCs w:val="20"/>
        </w:rPr>
        <w:t>；</w:t>
      </w:r>
    </w:p>
    <w:p w14:paraId="0C39DB9A">
      <w:pPr>
        <w:adjustRightInd w:val="0"/>
        <w:snapToGrid w:val="0"/>
        <w:spacing w:line="288" w:lineRule="auto"/>
        <w:ind w:firstLine="402" w:firstLineChars="200"/>
        <w:rPr>
          <w:sz w:val="20"/>
          <w:szCs w:val="20"/>
        </w:rPr>
      </w:pPr>
      <w:r>
        <w:rPr>
          <w:b/>
          <w:bCs/>
          <w:sz w:val="20"/>
          <w:szCs w:val="20"/>
        </w:rPr>
        <w:t>2</w:t>
      </w:r>
      <w:r>
        <w:rPr>
          <w:sz w:val="20"/>
          <w:szCs w:val="20"/>
        </w:rPr>
        <w:t xml:space="preserve">  </w:t>
      </w:r>
      <w:r>
        <w:rPr>
          <w:rFonts w:hAnsi="宋体"/>
          <w:sz w:val="20"/>
          <w:szCs w:val="20"/>
        </w:rPr>
        <w:t>工作水泵水压宜大于</w:t>
      </w:r>
      <w:r>
        <w:rPr>
          <w:sz w:val="20"/>
          <w:szCs w:val="20"/>
        </w:rPr>
        <w:t>0.75MPa</w:t>
      </w:r>
      <w:r>
        <w:rPr>
          <w:rFonts w:hAnsi="宋体"/>
          <w:sz w:val="20"/>
          <w:szCs w:val="20"/>
        </w:rPr>
        <w:t>；</w:t>
      </w:r>
    </w:p>
    <w:p w14:paraId="5FE37DDD">
      <w:pPr>
        <w:adjustRightInd w:val="0"/>
        <w:snapToGrid w:val="0"/>
        <w:spacing w:line="288" w:lineRule="auto"/>
        <w:ind w:firstLine="402" w:firstLineChars="200"/>
        <w:rPr>
          <w:sz w:val="20"/>
          <w:szCs w:val="20"/>
        </w:rPr>
      </w:pPr>
      <w:r>
        <w:rPr>
          <w:b/>
          <w:bCs/>
          <w:sz w:val="20"/>
          <w:szCs w:val="20"/>
        </w:rPr>
        <w:t xml:space="preserve">3 </w:t>
      </w:r>
      <w:r>
        <w:rPr>
          <w:sz w:val="20"/>
          <w:szCs w:val="20"/>
        </w:rPr>
        <w:t xml:space="preserve"> </w:t>
      </w:r>
      <w:r>
        <w:rPr>
          <w:rFonts w:hAnsi="宋体"/>
          <w:sz w:val="20"/>
          <w:szCs w:val="20"/>
        </w:rPr>
        <w:t>井孔的施工与井管的设置方法与真空井点相同；</w:t>
      </w:r>
    </w:p>
    <w:p w14:paraId="4FD41534">
      <w:pPr>
        <w:adjustRightInd w:val="0"/>
        <w:snapToGrid w:val="0"/>
        <w:spacing w:line="288" w:lineRule="auto"/>
        <w:ind w:firstLine="402" w:firstLineChars="200"/>
        <w:rPr>
          <w:rFonts w:ascii="宋体" w:hAnsi="宋体"/>
          <w:sz w:val="20"/>
          <w:szCs w:val="20"/>
        </w:rPr>
      </w:pPr>
      <w:r>
        <w:rPr>
          <w:b/>
          <w:bCs/>
          <w:sz w:val="20"/>
          <w:szCs w:val="20"/>
        </w:rPr>
        <w:t>4</w:t>
      </w:r>
      <w:r>
        <w:rPr>
          <w:sz w:val="20"/>
          <w:szCs w:val="20"/>
        </w:rPr>
        <w:t xml:space="preserve">  </w:t>
      </w:r>
      <w:r>
        <w:rPr>
          <w:rFonts w:hAnsi="宋体"/>
          <w:sz w:val="20"/>
          <w:szCs w:val="20"/>
        </w:rPr>
        <w:t>井点使用时，正常工作水压力宜为</w:t>
      </w:r>
      <w:r>
        <w:rPr>
          <w:sz w:val="20"/>
          <w:szCs w:val="20"/>
        </w:rPr>
        <w:t>0.25H</w:t>
      </w:r>
      <w:r>
        <w:rPr>
          <w:rFonts w:hAnsi="宋体"/>
          <w:sz w:val="20"/>
          <w:szCs w:val="20"/>
        </w:rPr>
        <w:t>（</w:t>
      </w:r>
      <w:r>
        <w:rPr>
          <w:sz w:val="20"/>
          <w:szCs w:val="20"/>
        </w:rPr>
        <w:t>H</w:t>
      </w:r>
      <w:r>
        <w:rPr>
          <w:rFonts w:hAnsi="宋体"/>
          <w:sz w:val="20"/>
          <w:szCs w:val="20"/>
        </w:rPr>
        <w:t>为扬程）；正常工作水流量宜取单井排水量</w:t>
      </w:r>
      <w:r>
        <w:rPr>
          <w:rFonts w:hint="eastAsia" w:ascii="宋体" w:hAnsi="宋体"/>
          <w:sz w:val="20"/>
          <w:szCs w:val="20"/>
        </w:rPr>
        <w:t>。</w:t>
      </w:r>
    </w:p>
    <w:p w14:paraId="57FDAF25">
      <w:pPr>
        <w:adjustRightInd w:val="0"/>
        <w:snapToGrid w:val="0"/>
        <w:spacing w:line="288" w:lineRule="auto"/>
        <w:rPr>
          <w:rFonts w:ascii="宋体" w:hAnsi="宋体"/>
          <w:sz w:val="20"/>
          <w:szCs w:val="20"/>
        </w:rPr>
      </w:pPr>
      <w:r>
        <w:rPr>
          <w:b/>
          <w:bCs/>
          <w:kern w:val="0"/>
          <w:sz w:val="20"/>
          <w:szCs w:val="20"/>
        </w:rPr>
        <w:t>5.3.1</w:t>
      </w:r>
      <w:r>
        <w:rPr>
          <w:rFonts w:hint="eastAsia"/>
          <w:b/>
          <w:bCs/>
          <w:kern w:val="0"/>
          <w:sz w:val="20"/>
          <w:szCs w:val="20"/>
        </w:rPr>
        <w:t>3</w:t>
      </w:r>
      <w:r>
        <w:rPr>
          <w:b/>
          <w:bCs/>
          <w:kern w:val="0"/>
          <w:sz w:val="20"/>
          <w:szCs w:val="20"/>
        </w:rPr>
        <w:t xml:space="preserve"> </w:t>
      </w:r>
      <w:r>
        <w:rPr>
          <w:rFonts w:hint="eastAsia" w:ascii="宋体" w:hAnsi="宋体"/>
          <w:sz w:val="20"/>
          <w:szCs w:val="20"/>
        </w:rPr>
        <w:t xml:space="preserve"> 管井结构及施工应符合下列要求：</w:t>
      </w:r>
    </w:p>
    <w:p w14:paraId="5DD4149F">
      <w:pPr>
        <w:adjustRightInd w:val="0"/>
        <w:snapToGrid w:val="0"/>
        <w:spacing w:line="288" w:lineRule="auto"/>
        <w:ind w:firstLine="402" w:firstLineChars="200"/>
        <w:rPr>
          <w:rFonts w:ascii="宋体" w:hAnsi="宋体"/>
          <w:sz w:val="20"/>
          <w:szCs w:val="20"/>
        </w:rPr>
      </w:pPr>
      <w:r>
        <w:rPr>
          <w:rFonts w:hint="eastAsia"/>
          <w:b/>
          <w:bCs/>
          <w:sz w:val="20"/>
          <w:szCs w:val="20"/>
        </w:rPr>
        <w:t>1</w:t>
      </w:r>
      <w:r>
        <w:rPr>
          <w:rFonts w:hint="eastAsia" w:ascii="宋体" w:hAnsi="宋体"/>
          <w:sz w:val="20"/>
          <w:szCs w:val="20"/>
        </w:rPr>
        <w:t xml:space="preserve">  管井施工宜根据地层条件选用冲击钻、正循环或反循环、风动潜孔锤等方法钻进；</w:t>
      </w:r>
    </w:p>
    <w:p w14:paraId="0CDDB797">
      <w:pPr>
        <w:adjustRightInd w:val="0"/>
        <w:snapToGrid w:val="0"/>
        <w:spacing w:line="288" w:lineRule="auto"/>
        <w:ind w:firstLine="402" w:firstLineChars="200"/>
        <w:rPr>
          <w:sz w:val="20"/>
          <w:szCs w:val="20"/>
        </w:rPr>
      </w:pPr>
      <w:r>
        <w:rPr>
          <w:b/>
          <w:bCs/>
          <w:sz w:val="20"/>
          <w:szCs w:val="20"/>
        </w:rPr>
        <w:t>2</w:t>
      </w:r>
      <w:r>
        <w:rPr>
          <w:rFonts w:hint="eastAsia"/>
          <w:b/>
          <w:bCs/>
          <w:sz w:val="20"/>
          <w:szCs w:val="20"/>
        </w:rPr>
        <w:t xml:space="preserve"> </w:t>
      </w:r>
      <w:r>
        <w:rPr>
          <w:rFonts w:hint="eastAsia" w:ascii="宋体" w:hAnsi="宋体"/>
          <w:sz w:val="20"/>
          <w:szCs w:val="20"/>
        </w:rPr>
        <w:t xml:space="preserve"> 管井成孔直径</w:t>
      </w:r>
      <w:r>
        <w:rPr>
          <w:rFonts w:hAnsi="宋体"/>
          <w:sz w:val="20"/>
          <w:szCs w:val="20"/>
        </w:rPr>
        <w:t>宜选择</w:t>
      </w:r>
      <w:r>
        <w:rPr>
          <w:sz w:val="20"/>
          <w:szCs w:val="20"/>
        </w:rPr>
        <w:t>600mm</w:t>
      </w:r>
      <w:r>
        <w:rPr>
          <w:rFonts w:hAnsi="宋体"/>
          <w:sz w:val="20"/>
          <w:szCs w:val="20"/>
        </w:rPr>
        <w:t>～</w:t>
      </w:r>
      <w:r>
        <w:rPr>
          <w:sz w:val="20"/>
          <w:szCs w:val="20"/>
        </w:rPr>
        <w:t>700mm</w:t>
      </w:r>
      <w:r>
        <w:rPr>
          <w:rFonts w:hAnsi="宋体"/>
          <w:sz w:val="20"/>
          <w:szCs w:val="20"/>
        </w:rPr>
        <w:t>；管井井管直径应根据含水层的富水性及水泵性能选取，且井管外径不宜小于</w:t>
      </w:r>
      <w:r>
        <w:rPr>
          <w:sz w:val="20"/>
          <w:szCs w:val="20"/>
        </w:rPr>
        <w:t>200mm</w:t>
      </w:r>
      <w:r>
        <w:rPr>
          <w:rFonts w:hAnsi="宋体"/>
          <w:sz w:val="20"/>
          <w:szCs w:val="20"/>
        </w:rPr>
        <w:t>，井管内径宜大于水泵外径</w:t>
      </w:r>
      <w:r>
        <w:rPr>
          <w:sz w:val="20"/>
          <w:szCs w:val="20"/>
        </w:rPr>
        <w:t>50mm</w:t>
      </w:r>
      <w:r>
        <w:rPr>
          <w:rFonts w:hAnsi="宋体"/>
          <w:sz w:val="20"/>
          <w:szCs w:val="20"/>
        </w:rPr>
        <w:t>；</w:t>
      </w:r>
    </w:p>
    <w:p w14:paraId="7A1B4943">
      <w:pPr>
        <w:adjustRightInd w:val="0"/>
        <w:snapToGrid w:val="0"/>
        <w:spacing w:line="288" w:lineRule="auto"/>
        <w:ind w:firstLine="402" w:firstLineChars="200"/>
        <w:rPr>
          <w:sz w:val="20"/>
          <w:szCs w:val="20"/>
        </w:rPr>
      </w:pPr>
      <w:r>
        <w:rPr>
          <w:b/>
          <w:bCs/>
          <w:sz w:val="20"/>
          <w:szCs w:val="20"/>
        </w:rPr>
        <w:t>3</w:t>
      </w:r>
      <w:r>
        <w:rPr>
          <w:sz w:val="20"/>
          <w:szCs w:val="20"/>
        </w:rPr>
        <w:t xml:space="preserve">  </w:t>
      </w:r>
      <w:r>
        <w:rPr>
          <w:rFonts w:hAnsi="宋体"/>
          <w:sz w:val="20"/>
          <w:szCs w:val="20"/>
        </w:rPr>
        <w:t>沉砂管长度不宜小于</w:t>
      </w:r>
      <w:r>
        <w:rPr>
          <w:sz w:val="20"/>
          <w:szCs w:val="20"/>
        </w:rPr>
        <w:t>1m</w:t>
      </w:r>
      <w:r>
        <w:rPr>
          <w:rFonts w:hAnsi="宋体"/>
          <w:sz w:val="20"/>
          <w:szCs w:val="20"/>
        </w:rPr>
        <w:t>；</w:t>
      </w:r>
    </w:p>
    <w:p w14:paraId="4C1C8B8C">
      <w:pPr>
        <w:adjustRightInd w:val="0"/>
        <w:snapToGrid w:val="0"/>
        <w:spacing w:line="288" w:lineRule="auto"/>
        <w:ind w:firstLine="402" w:firstLineChars="200"/>
        <w:rPr>
          <w:rFonts w:ascii="宋体" w:hAnsi="宋体"/>
          <w:sz w:val="20"/>
          <w:szCs w:val="20"/>
        </w:rPr>
      </w:pPr>
      <w:r>
        <w:rPr>
          <w:b/>
          <w:bCs/>
          <w:sz w:val="20"/>
          <w:szCs w:val="20"/>
        </w:rPr>
        <w:t>4</w:t>
      </w:r>
      <w:r>
        <w:rPr>
          <w:rFonts w:hint="eastAsia" w:ascii="宋体" w:hAnsi="宋体"/>
          <w:sz w:val="20"/>
          <w:szCs w:val="20"/>
        </w:rPr>
        <w:t xml:space="preserve">  管井过滤管、砾料、泥浆应符合现行国家标准《供水管井技术规范》</w:t>
      </w:r>
      <w:r>
        <w:rPr>
          <w:sz w:val="20"/>
          <w:szCs w:val="20"/>
        </w:rPr>
        <w:t>GB 50296</w:t>
      </w:r>
      <w:r>
        <w:rPr>
          <w:rFonts w:hint="eastAsia" w:ascii="宋体" w:hAnsi="宋体"/>
          <w:sz w:val="20"/>
          <w:szCs w:val="20"/>
        </w:rPr>
        <w:t>的规定；</w:t>
      </w:r>
    </w:p>
    <w:p w14:paraId="72042F85">
      <w:pPr>
        <w:adjustRightInd w:val="0"/>
        <w:snapToGrid w:val="0"/>
        <w:spacing w:line="288" w:lineRule="auto"/>
        <w:ind w:firstLine="402" w:firstLineChars="200"/>
        <w:rPr>
          <w:rFonts w:ascii="宋体" w:hAnsi="宋体"/>
          <w:sz w:val="20"/>
          <w:szCs w:val="20"/>
        </w:rPr>
      </w:pPr>
      <w:r>
        <w:rPr>
          <w:rFonts w:hint="eastAsia"/>
          <w:b/>
          <w:bCs/>
          <w:sz w:val="20"/>
          <w:szCs w:val="20"/>
        </w:rPr>
        <w:t>5</w:t>
      </w:r>
      <w:r>
        <w:rPr>
          <w:rFonts w:hint="eastAsia" w:ascii="宋体" w:hAnsi="宋体"/>
          <w:sz w:val="20"/>
          <w:szCs w:val="20"/>
        </w:rPr>
        <w:t xml:space="preserve">  管井成孔宜用干孔或清水钻进。若采用泥浆护壁管井</w:t>
      </w:r>
      <w:r>
        <w:rPr>
          <w:rFonts w:ascii="宋体" w:hAnsi="宋体"/>
          <w:sz w:val="20"/>
          <w:szCs w:val="20"/>
        </w:rPr>
        <w:t>，</w:t>
      </w:r>
      <w:r>
        <w:rPr>
          <w:rFonts w:hint="eastAsia" w:ascii="宋体" w:hAnsi="宋体"/>
          <w:sz w:val="20"/>
          <w:szCs w:val="20"/>
        </w:rPr>
        <w:t>成井后必须及时充分洗井</w:t>
      </w:r>
      <w:r>
        <w:rPr>
          <w:rFonts w:ascii="宋体" w:hAnsi="宋体"/>
          <w:sz w:val="20"/>
          <w:szCs w:val="20"/>
        </w:rPr>
        <w:t>，</w:t>
      </w:r>
      <w:r>
        <w:rPr>
          <w:rFonts w:hint="eastAsia" w:ascii="宋体" w:hAnsi="宋体"/>
          <w:sz w:val="20"/>
          <w:szCs w:val="20"/>
        </w:rPr>
        <w:t>保持管井与含水层的畅通。</w:t>
      </w:r>
    </w:p>
    <w:p w14:paraId="242C52AA">
      <w:pPr>
        <w:adjustRightInd w:val="0"/>
        <w:snapToGrid w:val="0"/>
        <w:spacing w:line="288" w:lineRule="auto"/>
        <w:rPr>
          <w:rFonts w:ascii="宋体" w:hAnsi="宋体"/>
          <w:sz w:val="20"/>
          <w:szCs w:val="20"/>
        </w:rPr>
      </w:pPr>
      <w:r>
        <w:rPr>
          <w:b/>
          <w:bCs/>
          <w:kern w:val="0"/>
          <w:sz w:val="20"/>
          <w:szCs w:val="20"/>
        </w:rPr>
        <w:t>5.3.14</w:t>
      </w:r>
      <w:r>
        <w:rPr>
          <w:rFonts w:ascii="宋体" w:hAnsi="宋体"/>
          <w:sz w:val="20"/>
          <w:szCs w:val="20"/>
        </w:rPr>
        <w:t xml:space="preserve">  渗井结构及施工应符合下列要求：</w:t>
      </w:r>
    </w:p>
    <w:p w14:paraId="0265DC6B">
      <w:pPr>
        <w:tabs>
          <w:tab w:val="left" w:pos="672"/>
          <w:tab w:val="left" w:pos="720"/>
          <w:tab w:val="left" w:pos="1620"/>
          <w:tab w:val="left" w:pos="2160"/>
          <w:tab w:val="left" w:pos="7020"/>
        </w:tabs>
        <w:adjustRightInd w:val="0"/>
        <w:snapToGrid w:val="0"/>
        <w:spacing w:line="288" w:lineRule="auto"/>
        <w:ind w:firstLine="402" w:firstLineChars="200"/>
        <w:rPr>
          <w:rFonts w:ascii="宋体" w:hAnsi="宋体"/>
          <w:bCs/>
          <w:sz w:val="20"/>
          <w:szCs w:val="20"/>
        </w:rPr>
      </w:pPr>
      <w:r>
        <w:rPr>
          <w:b/>
          <w:bCs/>
          <w:sz w:val="20"/>
          <w:szCs w:val="20"/>
        </w:rPr>
        <w:t>1</w:t>
      </w:r>
      <w:r>
        <w:rPr>
          <w:rFonts w:ascii="宋体" w:hAnsi="宋体"/>
          <w:kern w:val="0"/>
          <w:sz w:val="20"/>
          <w:szCs w:val="20"/>
        </w:rPr>
        <w:t xml:space="preserve">  </w:t>
      </w:r>
      <w:r>
        <w:rPr>
          <w:rFonts w:hint="eastAsia" w:ascii="宋体" w:hAnsi="宋体"/>
          <w:bCs/>
          <w:sz w:val="20"/>
          <w:szCs w:val="20"/>
        </w:rPr>
        <w:t>渗井施工宜采用螺旋钻、工程钻成孔，对易缩易塌地层可用套管法成孔；宜清水钻进；</w:t>
      </w:r>
    </w:p>
    <w:p w14:paraId="5BFDCE8C">
      <w:pPr>
        <w:tabs>
          <w:tab w:val="left" w:pos="672"/>
          <w:tab w:val="left" w:pos="720"/>
          <w:tab w:val="left" w:pos="1620"/>
          <w:tab w:val="left" w:pos="2160"/>
          <w:tab w:val="left" w:pos="7020"/>
        </w:tabs>
        <w:adjustRightInd w:val="0"/>
        <w:snapToGrid w:val="0"/>
        <w:spacing w:line="288" w:lineRule="auto"/>
        <w:ind w:firstLine="402" w:firstLineChars="200"/>
        <w:rPr>
          <w:rFonts w:ascii="宋体" w:hAnsi="宋体"/>
          <w:bCs/>
          <w:sz w:val="20"/>
          <w:szCs w:val="20"/>
        </w:rPr>
      </w:pPr>
      <w:r>
        <w:rPr>
          <w:b/>
          <w:bCs/>
          <w:sz w:val="20"/>
          <w:szCs w:val="20"/>
        </w:rPr>
        <w:t>2</w:t>
      </w:r>
      <w:r>
        <w:rPr>
          <w:rFonts w:ascii="宋体" w:hAnsi="宋体"/>
          <w:kern w:val="0"/>
          <w:sz w:val="20"/>
          <w:szCs w:val="20"/>
        </w:rPr>
        <w:t xml:space="preserve">  </w:t>
      </w:r>
      <w:r>
        <w:rPr>
          <w:rFonts w:hint="eastAsia" w:ascii="宋体" w:hAnsi="宋体"/>
          <w:bCs/>
          <w:sz w:val="20"/>
          <w:szCs w:val="20"/>
        </w:rPr>
        <w:t>渗井成孔直径宜选择</w:t>
      </w:r>
      <w:r>
        <w:rPr>
          <w:bCs/>
          <w:sz w:val="20"/>
          <w:szCs w:val="20"/>
        </w:rPr>
        <w:t>200mm</w:t>
      </w:r>
      <w:r>
        <w:rPr>
          <w:rFonts w:hAnsi="宋体"/>
          <w:bCs/>
          <w:sz w:val="20"/>
          <w:szCs w:val="20"/>
        </w:rPr>
        <w:t>～</w:t>
      </w:r>
      <w:r>
        <w:rPr>
          <w:bCs/>
          <w:sz w:val="20"/>
          <w:szCs w:val="20"/>
        </w:rPr>
        <w:t>500mm</w:t>
      </w:r>
      <w:r>
        <w:rPr>
          <w:rFonts w:hint="eastAsia" w:ascii="宋体" w:hAnsi="宋体"/>
          <w:bCs/>
          <w:sz w:val="20"/>
          <w:szCs w:val="20"/>
        </w:rPr>
        <w:t>，可直接填入洗净的砂、砾或砂砾混合料，并同时下入注浆管，在降水结束后封闭上下层水联系；</w:t>
      </w:r>
    </w:p>
    <w:p w14:paraId="29C249EC">
      <w:pPr>
        <w:tabs>
          <w:tab w:val="left" w:pos="672"/>
          <w:tab w:val="left" w:pos="720"/>
          <w:tab w:val="left" w:pos="1620"/>
          <w:tab w:val="left" w:pos="2160"/>
          <w:tab w:val="left" w:pos="7020"/>
        </w:tabs>
        <w:adjustRightInd w:val="0"/>
        <w:snapToGrid w:val="0"/>
        <w:spacing w:line="288" w:lineRule="auto"/>
        <w:ind w:firstLine="402" w:firstLineChars="200"/>
        <w:rPr>
          <w:rFonts w:ascii="宋体" w:hAnsi="宋体"/>
          <w:bCs/>
          <w:sz w:val="20"/>
          <w:szCs w:val="20"/>
        </w:rPr>
      </w:pPr>
      <w:r>
        <w:rPr>
          <w:rFonts w:hint="eastAsia"/>
          <w:b/>
          <w:bCs/>
          <w:sz w:val="20"/>
          <w:szCs w:val="20"/>
        </w:rPr>
        <w:t>3</w:t>
      </w:r>
      <w:r>
        <w:rPr>
          <w:rFonts w:hint="eastAsia" w:ascii="宋体" w:hAnsi="宋体"/>
          <w:kern w:val="0"/>
          <w:sz w:val="20"/>
          <w:szCs w:val="20"/>
        </w:rPr>
        <w:t xml:space="preserve">  当孔内</w:t>
      </w:r>
      <w:r>
        <w:rPr>
          <w:rFonts w:hint="eastAsia" w:ascii="宋体" w:hAnsi="宋体"/>
          <w:bCs/>
          <w:sz w:val="20"/>
          <w:szCs w:val="20"/>
        </w:rPr>
        <w:t>置入无砂混凝土滤水管、钢筋骨架管、铁滤水管、</w:t>
      </w:r>
      <w:r>
        <w:rPr>
          <w:bCs/>
          <w:sz w:val="20"/>
          <w:szCs w:val="20"/>
        </w:rPr>
        <w:t>U-PVC</w:t>
      </w:r>
      <w:r>
        <w:rPr>
          <w:rFonts w:hint="eastAsia" w:ascii="宋体" w:hAnsi="宋体"/>
          <w:bCs/>
          <w:sz w:val="20"/>
          <w:szCs w:val="20"/>
        </w:rPr>
        <w:t>管等，</w:t>
      </w:r>
      <w:r>
        <w:rPr>
          <w:rFonts w:hint="eastAsia" w:ascii="宋体" w:hAnsi="宋体"/>
          <w:kern w:val="0"/>
          <w:sz w:val="20"/>
          <w:szCs w:val="20"/>
        </w:rPr>
        <w:t>应在对应隔水层井周填入膨润土球或黏土球止水，在对应含水层</w:t>
      </w:r>
      <w:r>
        <w:rPr>
          <w:rFonts w:hint="eastAsia" w:ascii="宋体" w:hAnsi="宋体"/>
          <w:bCs/>
          <w:sz w:val="20"/>
          <w:szCs w:val="20"/>
        </w:rPr>
        <w:t>的井周填入适当砾料；</w:t>
      </w:r>
    </w:p>
    <w:p w14:paraId="7F631CC4">
      <w:pPr>
        <w:tabs>
          <w:tab w:val="left" w:pos="672"/>
          <w:tab w:val="left" w:pos="720"/>
          <w:tab w:val="left" w:pos="1620"/>
          <w:tab w:val="left" w:pos="2160"/>
          <w:tab w:val="left" w:pos="7020"/>
        </w:tabs>
        <w:adjustRightInd w:val="0"/>
        <w:snapToGrid w:val="0"/>
        <w:spacing w:line="288" w:lineRule="auto"/>
        <w:ind w:firstLine="402" w:firstLineChars="200"/>
        <w:rPr>
          <w:rFonts w:ascii="宋体" w:hAnsi="宋体"/>
          <w:bCs/>
          <w:sz w:val="20"/>
          <w:szCs w:val="20"/>
        </w:rPr>
      </w:pPr>
      <w:r>
        <w:rPr>
          <w:b/>
          <w:bCs/>
          <w:sz w:val="20"/>
          <w:szCs w:val="20"/>
        </w:rPr>
        <w:t>4</w:t>
      </w:r>
      <w:r>
        <w:rPr>
          <w:rFonts w:hint="eastAsia" w:ascii="宋体" w:hAnsi="宋体"/>
          <w:kern w:val="0"/>
          <w:sz w:val="20"/>
          <w:szCs w:val="20"/>
        </w:rPr>
        <w:t xml:space="preserve">  </w:t>
      </w:r>
      <w:r>
        <w:rPr>
          <w:rFonts w:hint="eastAsia" w:ascii="宋体" w:hAnsi="宋体"/>
          <w:bCs/>
          <w:sz w:val="20"/>
          <w:szCs w:val="20"/>
        </w:rPr>
        <w:t>渗井应进入下部含水层中不小于</w:t>
      </w:r>
      <w:r>
        <w:rPr>
          <w:bCs/>
          <w:sz w:val="20"/>
          <w:szCs w:val="20"/>
        </w:rPr>
        <w:t>2.0m</w:t>
      </w:r>
      <w:r>
        <w:rPr>
          <w:rFonts w:hint="eastAsia" w:ascii="宋体" w:hAnsi="宋体"/>
          <w:bCs/>
          <w:sz w:val="20"/>
          <w:szCs w:val="20"/>
        </w:rPr>
        <w:t>。</w:t>
      </w:r>
    </w:p>
    <w:p w14:paraId="1652BE85">
      <w:pPr>
        <w:adjustRightInd w:val="0"/>
        <w:snapToGrid w:val="0"/>
        <w:spacing w:line="288" w:lineRule="auto"/>
        <w:rPr>
          <w:rFonts w:ascii="宋体" w:hAnsi="宋体"/>
          <w:sz w:val="20"/>
          <w:szCs w:val="20"/>
        </w:rPr>
      </w:pPr>
      <w:r>
        <w:rPr>
          <w:b/>
          <w:bCs/>
          <w:kern w:val="0"/>
          <w:sz w:val="20"/>
          <w:szCs w:val="20"/>
        </w:rPr>
        <w:t>5.3.15</w:t>
      </w:r>
      <w:r>
        <w:rPr>
          <w:rFonts w:hint="eastAsia"/>
          <w:b/>
          <w:bCs/>
          <w:sz w:val="20"/>
          <w:szCs w:val="20"/>
        </w:rPr>
        <w:t xml:space="preserve"> </w:t>
      </w:r>
      <w:r>
        <w:rPr>
          <w:rFonts w:hint="eastAsia" w:ascii="宋体" w:hAnsi="宋体"/>
          <w:sz w:val="20"/>
          <w:szCs w:val="20"/>
        </w:rPr>
        <w:t xml:space="preserve"> 辐射井结构及施工应符合下列要求：</w:t>
      </w:r>
    </w:p>
    <w:p w14:paraId="1A24D8CA">
      <w:pPr>
        <w:tabs>
          <w:tab w:val="left" w:pos="672"/>
          <w:tab w:val="left" w:pos="720"/>
          <w:tab w:val="left" w:pos="1620"/>
          <w:tab w:val="left" w:pos="2160"/>
          <w:tab w:val="left" w:pos="7020"/>
        </w:tabs>
        <w:adjustRightInd w:val="0"/>
        <w:snapToGrid w:val="0"/>
        <w:spacing w:line="288" w:lineRule="auto"/>
        <w:ind w:firstLine="402" w:firstLineChars="200"/>
        <w:rPr>
          <w:rFonts w:ascii="宋体" w:hAnsi="宋体"/>
          <w:bCs/>
          <w:sz w:val="20"/>
          <w:szCs w:val="20"/>
        </w:rPr>
      </w:pPr>
      <w:r>
        <w:rPr>
          <w:rFonts w:hint="eastAsia"/>
          <w:b/>
          <w:bCs/>
          <w:sz w:val="20"/>
          <w:szCs w:val="20"/>
        </w:rPr>
        <w:t>1</w:t>
      </w:r>
      <w:r>
        <w:rPr>
          <w:rFonts w:hint="eastAsia" w:ascii="宋体" w:hAnsi="宋体"/>
          <w:kern w:val="0"/>
          <w:sz w:val="20"/>
          <w:szCs w:val="20"/>
        </w:rPr>
        <w:t xml:space="preserve">  </w:t>
      </w:r>
      <w:r>
        <w:rPr>
          <w:rFonts w:hint="eastAsia" w:ascii="宋体" w:hAnsi="宋体"/>
          <w:bCs/>
          <w:sz w:val="20"/>
          <w:szCs w:val="20"/>
        </w:rPr>
        <w:t>集水井施工宜采用沉井法或反循环钻机钻进，预留辐射管位置应对应相应含水层；</w:t>
      </w:r>
    </w:p>
    <w:p w14:paraId="0B46036B">
      <w:pPr>
        <w:tabs>
          <w:tab w:val="left" w:pos="672"/>
          <w:tab w:val="left" w:pos="720"/>
          <w:tab w:val="left" w:pos="1620"/>
          <w:tab w:val="left" w:pos="2160"/>
          <w:tab w:val="left" w:pos="7020"/>
        </w:tabs>
        <w:adjustRightInd w:val="0"/>
        <w:snapToGrid w:val="0"/>
        <w:spacing w:line="288" w:lineRule="auto"/>
        <w:ind w:firstLine="402" w:firstLineChars="200"/>
        <w:rPr>
          <w:bCs/>
          <w:sz w:val="20"/>
          <w:szCs w:val="20"/>
        </w:rPr>
      </w:pPr>
      <w:r>
        <w:rPr>
          <w:rFonts w:hint="eastAsia"/>
          <w:b/>
          <w:bCs/>
          <w:sz w:val="20"/>
          <w:szCs w:val="20"/>
        </w:rPr>
        <w:t>2</w:t>
      </w:r>
      <w:r>
        <w:rPr>
          <w:rFonts w:hint="eastAsia" w:ascii="宋体" w:hAnsi="宋体"/>
          <w:kern w:val="0"/>
          <w:sz w:val="20"/>
          <w:szCs w:val="20"/>
        </w:rPr>
        <w:t xml:space="preserve">  </w:t>
      </w:r>
      <w:r>
        <w:rPr>
          <w:rFonts w:hAnsi="宋体"/>
          <w:bCs/>
          <w:sz w:val="20"/>
          <w:szCs w:val="20"/>
        </w:rPr>
        <w:t>辐射管施工宜采用顶管机、水平钻机，也可采用千斤顶法；</w:t>
      </w:r>
    </w:p>
    <w:p w14:paraId="4EC652AF">
      <w:pPr>
        <w:tabs>
          <w:tab w:val="left" w:pos="672"/>
          <w:tab w:val="left" w:pos="720"/>
          <w:tab w:val="left" w:pos="1620"/>
          <w:tab w:val="left" w:pos="2160"/>
          <w:tab w:val="left" w:pos="7020"/>
        </w:tabs>
        <w:adjustRightInd w:val="0"/>
        <w:snapToGrid w:val="0"/>
        <w:spacing w:line="288" w:lineRule="auto"/>
        <w:ind w:firstLine="402" w:firstLineChars="200"/>
        <w:rPr>
          <w:bCs/>
          <w:sz w:val="20"/>
          <w:szCs w:val="20"/>
        </w:rPr>
      </w:pPr>
      <w:r>
        <w:rPr>
          <w:b/>
          <w:bCs/>
          <w:sz w:val="20"/>
          <w:szCs w:val="20"/>
        </w:rPr>
        <w:t>3</w:t>
      </w:r>
      <w:r>
        <w:rPr>
          <w:bCs/>
          <w:sz w:val="20"/>
          <w:szCs w:val="20"/>
        </w:rPr>
        <w:t xml:space="preserve">  </w:t>
      </w:r>
      <w:r>
        <w:rPr>
          <w:rFonts w:hAnsi="宋体"/>
          <w:bCs/>
          <w:sz w:val="20"/>
          <w:szCs w:val="20"/>
        </w:rPr>
        <w:t>集水井直径宜大于</w:t>
      </w:r>
      <w:r>
        <w:rPr>
          <w:bCs/>
          <w:sz w:val="20"/>
          <w:szCs w:val="20"/>
        </w:rPr>
        <w:t>2.0m</w:t>
      </w:r>
      <w:r>
        <w:rPr>
          <w:rFonts w:hAnsi="宋体"/>
          <w:bCs/>
          <w:sz w:val="20"/>
          <w:szCs w:val="20"/>
        </w:rPr>
        <w:t>，以能满足井内辐射管施工为准；辐射管的直径宜为</w:t>
      </w:r>
      <w:r>
        <w:rPr>
          <w:bCs/>
          <w:sz w:val="20"/>
          <w:szCs w:val="20"/>
        </w:rPr>
        <w:t>50mm</w:t>
      </w:r>
      <w:r>
        <w:rPr>
          <w:rFonts w:hAnsi="宋体"/>
          <w:bCs/>
          <w:sz w:val="20"/>
          <w:szCs w:val="20"/>
        </w:rPr>
        <w:t>～</w:t>
      </w:r>
      <w:r>
        <w:rPr>
          <w:bCs/>
          <w:sz w:val="20"/>
          <w:szCs w:val="20"/>
        </w:rPr>
        <w:t>150mm</w:t>
      </w:r>
      <w:r>
        <w:rPr>
          <w:rFonts w:hAnsi="宋体"/>
          <w:bCs/>
          <w:sz w:val="20"/>
          <w:szCs w:val="20"/>
        </w:rPr>
        <w:t>；</w:t>
      </w:r>
    </w:p>
    <w:p w14:paraId="35272243">
      <w:pPr>
        <w:tabs>
          <w:tab w:val="left" w:pos="672"/>
          <w:tab w:val="left" w:pos="720"/>
          <w:tab w:val="left" w:pos="1620"/>
          <w:tab w:val="left" w:pos="2160"/>
          <w:tab w:val="left" w:pos="7020"/>
        </w:tabs>
        <w:adjustRightInd w:val="0"/>
        <w:snapToGrid w:val="0"/>
        <w:spacing w:line="288" w:lineRule="auto"/>
        <w:ind w:firstLine="402" w:firstLineChars="200"/>
        <w:rPr>
          <w:bCs/>
          <w:sz w:val="20"/>
          <w:szCs w:val="20"/>
        </w:rPr>
      </w:pPr>
      <w:r>
        <w:rPr>
          <w:b/>
          <w:bCs/>
          <w:sz w:val="20"/>
          <w:szCs w:val="20"/>
        </w:rPr>
        <w:t>4</w:t>
      </w:r>
      <w:r>
        <w:rPr>
          <w:kern w:val="0"/>
          <w:sz w:val="20"/>
          <w:szCs w:val="20"/>
        </w:rPr>
        <w:t xml:space="preserve">  </w:t>
      </w:r>
      <w:r>
        <w:rPr>
          <w:rFonts w:hAnsi="宋体"/>
          <w:bCs/>
          <w:sz w:val="20"/>
          <w:szCs w:val="20"/>
        </w:rPr>
        <w:t>集水井宜封底，且可随钻进抽排水。</w:t>
      </w:r>
    </w:p>
    <w:p w14:paraId="3AA04E83">
      <w:pPr>
        <w:adjustRightInd w:val="0"/>
        <w:snapToGrid w:val="0"/>
        <w:spacing w:line="288" w:lineRule="auto"/>
        <w:rPr>
          <w:sz w:val="20"/>
          <w:szCs w:val="20"/>
        </w:rPr>
      </w:pPr>
      <w:r>
        <w:rPr>
          <w:b/>
          <w:bCs/>
          <w:kern w:val="0"/>
          <w:sz w:val="20"/>
          <w:szCs w:val="20"/>
        </w:rPr>
        <w:t>5.3.16</w:t>
      </w:r>
      <w:r>
        <w:rPr>
          <w:sz w:val="20"/>
          <w:szCs w:val="20"/>
        </w:rPr>
        <w:t xml:space="preserve">  </w:t>
      </w:r>
      <w:r>
        <w:rPr>
          <w:rFonts w:hAnsi="宋体"/>
          <w:sz w:val="20"/>
          <w:szCs w:val="20"/>
        </w:rPr>
        <w:t>观测井结构及施工应符合下列要求：</w:t>
      </w:r>
    </w:p>
    <w:p w14:paraId="122A18C6">
      <w:pPr>
        <w:tabs>
          <w:tab w:val="left" w:pos="672"/>
          <w:tab w:val="left" w:pos="720"/>
          <w:tab w:val="left" w:pos="1620"/>
          <w:tab w:val="left" w:pos="2160"/>
          <w:tab w:val="left" w:pos="7020"/>
        </w:tabs>
        <w:adjustRightInd w:val="0"/>
        <w:snapToGrid w:val="0"/>
        <w:spacing w:line="288" w:lineRule="auto"/>
        <w:ind w:firstLine="402" w:firstLineChars="200"/>
        <w:rPr>
          <w:bCs/>
          <w:sz w:val="20"/>
          <w:szCs w:val="20"/>
        </w:rPr>
      </w:pPr>
      <w:r>
        <w:rPr>
          <w:b/>
          <w:bCs/>
          <w:sz w:val="20"/>
          <w:szCs w:val="20"/>
        </w:rPr>
        <w:t>1</w:t>
      </w:r>
      <w:r>
        <w:rPr>
          <w:kern w:val="0"/>
          <w:sz w:val="20"/>
          <w:szCs w:val="20"/>
        </w:rPr>
        <w:t xml:space="preserve">  </w:t>
      </w:r>
      <w:r>
        <w:rPr>
          <w:rFonts w:hAnsi="宋体"/>
          <w:bCs/>
          <w:sz w:val="20"/>
          <w:szCs w:val="20"/>
        </w:rPr>
        <w:t>观测井施工应符合本规程第</w:t>
      </w:r>
      <w:r>
        <w:rPr>
          <w:bCs/>
          <w:sz w:val="20"/>
          <w:szCs w:val="20"/>
        </w:rPr>
        <w:t>5.3.1</w:t>
      </w:r>
      <w:r>
        <w:rPr>
          <w:rFonts w:hint="eastAsia"/>
          <w:bCs/>
          <w:sz w:val="20"/>
          <w:szCs w:val="20"/>
        </w:rPr>
        <w:t>3</w:t>
      </w:r>
      <w:r>
        <w:rPr>
          <w:rFonts w:hAnsi="宋体"/>
          <w:bCs/>
          <w:sz w:val="20"/>
          <w:szCs w:val="20"/>
        </w:rPr>
        <w:t>条第</w:t>
      </w:r>
      <w:r>
        <w:rPr>
          <w:bCs/>
          <w:sz w:val="20"/>
          <w:szCs w:val="20"/>
        </w:rPr>
        <w:t>1</w:t>
      </w:r>
      <w:r>
        <w:rPr>
          <w:rFonts w:hAnsi="宋体"/>
          <w:bCs/>
          <w:sz w:val="20"/>
          <w:szCs w:val="20"/>
        </w:rPr>
        <w:t>款和第</w:t>
      </w:r>
      <w:r>
        <w:rPr>
          <w:bCs/>
          <w:sz w:val="20"/>
          <w:szCs w:val="20"/>
        </w:rPr>
        <w:t>5.3.14</w:t>
      </w:r>
      <w:r>
        <w:rPr>
          <w:rFonts w:hAnsi="宋体"/>
          <w:bCs/>
          <w:sz w:val="20"/>
          <w:szCs w:val="20"/>
        </w:rPr>
        <w:t>条的规定；</w:t>
      </w:r>
    </w:p>
    <w:p w14:paraId="1282FB57">
      <w:pPr>
        <w:tabs>
          <w:tab w:val="left" w:pos="672"/>
          <w:tab w:val="left" w:pos="720"/>
          <w:tab w:val="left" w:pos="1620"/>
          <w:tab w:val="left" w:pos="2160"/>
          <w:tab w:val="left" w:pos="7020"/>
        </w:tabs>
        <w:adjustRightInd w:val="0"/>
        <w:snapToGrid w:val="0"/>
        <w:spacing w:line="288" w:lineRule="auto"/>
        <w:ind w:firstLine="402" w:firstLineChars="200"/>
        <w:rPr>
          <w:rFonts w:ascii="宋体" w:hAnsi="宋体"/>
          <w:bCs/>
          <w:sz w:val="20"/>
          <w:szCs w:val="20"/>
        </w:rPr>
      </w:pPr>
      <w:r>
        <w:rPr>
          <w:b/>
          <w:bCs/>
          <w:sz w:val="20"/>
          <w:szCs w:val="20"/>
        </w:rPr>
        <w:t>2</w:t>
      </w:r>
      <w:r>
        <w:rPr>
          <w:bCs/>
          <w:sz w:val="20"/>
          <w:szCs w:val="20"/>
        </w:rPr>
        <w:t xml:space="preserve">  </w:t>
      </w:r>
      <w:r>
        <w:rPr>
          <w:rFonts w:hAnsi="宋体"/>
          <w:bCs/>
          <w:sz w:val="20"/>
          <w:szCs w:val="20"/>
        </w:rPr>
        <w:t>观测井成孔直径宜选择</w:t>
      </w:r>
      <w:r>
        <w:rPr>
          <w:bCs/>
          <w:sz w:val="20"/>
          <w:szCs w:val="20"/>
        </w:rPr>
        <w:t>130mm</w:t>
      </w:r>
      <w:r>
        <w:rPr>
          <w:rFonts w:hAnsi="宋体"/>
          <w:bCs/>
          <w:sz w:val="20"/>
          <w:szCs w:val="20"/>
        </w:rPr>
        <w:t>～</w:t>
      </w:r>
      <w:r>
        <w:rPr>
          <w:bCs/>
          <w:sz w:val="20"/>
          <w:szCs w:val="20"/>
        </w:rPr>
        <w:t>600mm</w:t>
      </w:r>
      <w:r>
        <w:rPr>
          <w:rFonts w:hint="eastAsia" w:ascii="宋体" w:hAnsi="宋体"/>
          <w:bCs/>
          <w:sz w:val="20"/>
          <w:szCs w:val="20"/>
        </w:rPr>
        <w:t>，可置入无砂混凝土滤水管、铁滤水管、</w:t>
      </w:r>
      <w:r>
        <w:rPr>
          <w:bCs/>
          <w:sz w:val="20"/>
          <w:szCs w:val="20"/>
        </w:rPr>
        <w:t>U-PVC</w:t>
      </w:r>
      <w:r>
        <w:rPr>
          <w:rFonts w:hint="eastAsia" w:ascii="宋体" w:hAnsi="宋体"/>
          <w:bCs/>
          <w:sz w:val="20"/>
          <w:szCs w:val="20"/>
        </w:rPr>
        <w:t>管等，并在井周填入适当洗净的砂、砾或砂砾混合料或砾料；</w:t>
      </w:r>
    </w:p>
    <w:p w14:paraId="0FC12278">
      <w:pPr>
        <w:tabs>
          <w:tab w:val="left" w:pos="672"/>
          <w:tab w:val="left" w:pos="720"/>
          <w:tab w:val="left" w:pos="1620"/>
          <w:tab w:val="left" w:pos="2160"/>
          <w:tab w:val="left" w:pos="7020"/>
        </w:tabs>
        <w:adjustRightInd w:val="0"/>
        <w:snapToGrid w:val="0"/>
        <w:spacing w:line="288" w:lineRule="auto"/>
        <w:ind w:firstLine="402" w:firstLineChars="200"/>
        <w:rPr>
          <w:rFonts w:hAnsi="宋体"/>
          <w:bCs/>
          <w:sz w:val="20"/>
          <w:szCs w:val="20"/>
        </w:rPr>
      </w:pPr>
      <w:r>
        <w:rPr>
          <w:rFonts w:hAnsi="宋体"/>
          <w:b/>
          <w:sz w:val="20"/>
          <w:szCs w:val="20"/>
        </w:rPr>
        <w:t>3</w:t>
      </w:r>
      <w:r>
        <w:rPr>
          <w:rFonts w:hint="eastAsia" w:hAnsi="宋体"/>
          <w:bCs/>
          <w:sz w:val="20"/>
          <w:szCs w:val="20"/>
        </w:rPr>
        <w:t xml:space="preserve">  不同含水层的分层观测井应采用粘土球对含水层之间进行封填止水。</w:t>
      </w:r>
    </w:p>
    <w:p w14:paraId="14A939C6">
      <w:pPr>
        <w:adjustRightInd w:val="0"/>
        <w:snapToGrid w:val="0"/>
        <w:spacing w:line="288" w:lineRule="auto"/>
        <w:rPr>
          <w:rFonts w:ascii="宋体" w:hAnsi="宋体"/>
          <w:sz w:val="20"/>
          <w:szCs w:val="20"/>
        </w:rPr>
      </w:pPr>
      <w:r>
        <w:rPr>
          <w:b/>
          <w:bCs/>
          <w:kern w:val="0"/>
          <w:sz w:val="20"/>
          <w:szCs w:val="20"/>
        </w:rPr>
        <w:t>5.3.17</w:t>
      </w:r>
      <w:r>
        <w:rPr>
          <w:rFonts w:hint="eastAsia" w:ascii="宋体" w:hAnsi="宋体"/>
          <w:sz w:val="20"/>
          <w:szCs w:val="20"/>
        </w:rPr>
        <w:t xml:space="preserve">  管井和辐射井抽水设备应选用深井泵或深井潜水泵，水泵的流量和扬程应根据井的出水量和下泵深度选用</w:t>
      </w:r>
      <w:r>
        <w:rPr>
          <w:rFonts w:ascii="宋体" w:hAnsi="宋体"/>
          <w:sz w:val="20"/>
          <w:szCs w:val="20"/>
        </w:rPr>
        <w:t>，</w:t>
      </w:r>
      <w:r>
        <w:rPr>
          <w:rFonts w:hint="eastAsia" w:ascii="宋体" w:hAnsi="宋体"/>
          <w:sz w:val="20"/>
          <w:szCs w:val="20"/>
        </w:rPr>
        <w:t>并应大于设计值的</w:t>
      </w:r>
      <w:r>
        <w:rPr>
          <w:sz w:val="20"/>
          <w:szCs w:val="20"/>
        </w:rPr>
        <w:t>20%</w:t>
      </w:r>
      <w:r>
        <w:rPr>
          <w:rFonts w:hAnsi="宋体"/>
          <w:sz w:val="20"/>
          <w:szCs w:val="20"/>
        </w:rPr>
        <w:t>～</w:t>
      </w:r>
      <w:r>
        <w:rPr>
          <w:sz w:val="20"/>
          <w:szCs w:val="20"/>
        </w:rPr>
        <w:t>30%</w:t>
      </w:r>
      <w:r>
        <w:rPr>
          <w:rFonts w:hAnsi="宋体"/>
          <w:sz w:val="20"/>
          <w:szCs w:val="20"/>
        </w:rPr>
        <w:t>。</w:t>
      </w:r>
      <w:r>
        <w:rPr>
          <w:rFonts w:hint="eastAsia" w:ascii="宋体" w:hAnsi="宋体"/>
          <w:sz w:val="20"/>
          <w:szCs w:val="20"/>
        </w:rPr>
        <w:t>水泵应置于设计深度</w:t>
      </w:r>
      <w:r>
        <w:rPr>
          <w:rFonts w:ascii="宋体" w:hAnsi="宋体"/>
          <w:sz w:val="20"/>
          <w:szCs w:val="20"/>
        </w:rPr>
        <w:t>，</w:t>
      </w:r>
      <w:r>
        <w:rPr>
          <w:rFonts w:hint="eastAsia" w:ascii="宋体" w:hAnsi="宋体"/>
          <w:sz w:val="20"/>
          <w:szCs w:val="20"/>
        </w:rPr>
        <w:t>水泵吸水口应始终保持在动水位以下。</w:t>
      </w:r>
    </w:p>
    <w:p w14:paraId="2511A1EA">
      <w:pPr>
        <w:adjustRightInd w:val="0"/>
        <w:snapToGrid w:val="0"/>
        <w:spacing w:line="288" w:lineRule="auto"/>
        <w:rPr>
          <w:rFonts w:ascii="宋体" w:hAnsi="宋体"/>
          <w:sz w:val="20"/>
          <w:szCs w:val="20"/>
        </w:rPr>
      </w:pPr>
      <w:r>
        <w:rPr>
          <w:b/>
          <w:bCs/>
          <w:kern w:val="0"/>
          <w:sz w:val="20"/>
          <w:szCs w:val="20"/>
        </w:rPr>
        <w:t>5.3.18</w:t>
      </w:r>
      <w:r>
        <w:rPr>
          <w:rFonts w:hint="eastAsia" w:ascii="宋体" w:hAnsi="宋体"/>
          <w:sz w:val="20"/>
          <w:szCs w:val="20"/>
        </w:rPr>
        <w:t xml:space="preserve">  降水过程中</w:t>
      </w:r>
      <w:r>
        <w:rPr>
          <w:rFonts w:ascii="宋体" w:hAnsi="宋体"/>
          <w:sz w:val="20"/>
          <w:szCs w:val="20"/>
        </w:rPr>
        <w:t>，</w:t>
      </w:r>
      <w:r>
        <w:rPr>
          <w:rFonts w:hint="eastAsia" w:ascii="宋体" w:hAnsi="宋体"/>
          <w:sz w:val="20"/>
          <w:szCs w:val="20"/>
        </w:rPr>
        <w:t xml:space="preserve">抽排水的含砂量应符合下列规定： </w:t>
      </w:r>
    </w:p>
    <w:p w14:paraId="5AF79E68">
      <w:pPr>
        <w:tabs>
          <w:tab w:val="left" w:pos="672"/>
          <w:tab w:val="left" w:pos="720"/>
          <w:tab w:val="left" w:pos="1620"/>
          <w:tab w:val="left" w:pos="2160"/>
          <w:tab w:val="left" w:pos="7020"/>
        </w:tabs>
        <w:adjustRightInd w:val="0"/>
        <w:snapToGrid w:val="0"/>
        <w:spacing w:line="288" w:lineRule="auto"/>
        <w:ind w:firstLine="402" w:firstLineChars="200"/>
        <w:rPr>
          <w:sz w:val="20"/>
          <w:szCs w:val="20"/>
        </w:rPr>
      </w:pPr>
      <w:r>
        <w:rPr>
          <w:b/>
          <w:bCs/>
          <w:sz w:val="20"/>
          <w:szCs w:val="20"/>
        </w:rPr>
        <w:t>1</w:t>
      </w:r>
      <w:r>
        <w:rPr>
          <w:kern w:val="0"/>
          <w:sz w:val="20"/>
          <w:szCs w:val="20"/>
        </w:rPr>
        <w:t xml:space="preserve">  </w:t>
      </w:r>
      <w:r>
        <w:rPr>
          <w:sz w:val="20"/>
          <w:szCs w:val="20"/>
        </w:rPr>
        <w:t>管井抽水半小时内含砂量小于1/10,000；</w:t>
      </w:r>
    </w:p>
    <w:p w14:paraId="7CD28394">
      <w:pPr>
        <w:tabs>
          <w:tab w:val="left" w:pos="672"/>
          <w:tab w:val="left" w:pos="720"/>
          <w:tab w:val="left" w:pos="1620"/>
          <w:tab w:val="left" w:pos="2160"/>
          <w:tab w:val="left" w:pos="7020"/>
        </w:tabs>
        <w:adjustRightInd w:val="0"/>
        <w:snapToGrid w:val="0"/>
        <w:spacing w:line="288" w:lineRule="auto"/>
        <w:ind w:firstLine="402" w:firstLineChars="200"/>
        <w:rPr>
          <w:sz w:val="20"/>
          <w:szCs w:val="20"/>
        </w:rPr>
      </w:pPr>
      <w:r>
        <w:rPr>
          <w:b/>
          <w:bCs/>
          <w:sz w:val="20"/>
          <w:szCs w:val="20"/>
        </w:rPr>
        <w:t>2</w:t>
      </w:r>
      <w:r>
        <w:rPr>
          <w:sz w:val="20"/>
          <w:szCs w:val="20"/>
        </w:rPr>
        <w:t xml:space="preserve">  管井正常运行时含砂量小于1/50,000；</w:t>
      </w:r>
    </w:p>
    <w:p w14:paraId="2AD402E7">
      <w:pPr>
        <w:tabs>
          <w:tab w:val="left" w:pos="672"/>
          <w:tab w:val="left" w:pos="720"/>
          <w:tab w:val="left" w:pos="1620"/>
          <w:tab w:val="left" w:pos="2160"/>
          <w:tab w:val="left" w:pos="7020"/>
        </w:tabs>
        <w:adjustRightInd w:val="0"/>
        <w:snapToGrid w:val="0"/>
        <w:spacing w:line="288" w:lineRule="auto"/>
        <w:ind w:firstLine="402" w:firstLineChars="200"/>
        <w:rPr>
          <w:sz w:val="20"/>
          <w:szCs w:val="20"/>
        </w:rPr>
      </w:pPr>
      <w:r>
        <w:rPr>
          <w:b/>
          <w:bCs/>
          <w:sz w:val="20"/>
          <w:szCs w:val="20"/>
        </w:rPr>
        <w:t>3</w:t>
      </w:r>
      <w:r>
        <w:rPr>
          <w:kern w:val="0"/>
          <w:sz w:val="20"/>
          <w:szCs w:val="20"/>
        </w:rPr>
        <w:t xml:space="preserve">  </w:t>
      </w:r>
      <w:r>
        <w:rPr>
          <w:sz w:val="20"/>
          <w:szCs w:val="20"/>
        </w:rPr>
        <w:t>辐射井抽水半小时内含砂量小于1/20,000；</w:t>
      </w:r>
    </w:p>
    <w:p w14:paraId="753EFE45">
      <w:pPr>
        <w:tabs>
          <w:tab w:val="left" w:pos="672"/>
          <w:tab w:val="left" w:pos="720"/>
          <w:tab w:val="left" w:pos="1620"/>
          <w:tab w:val="left" w:pos="2160"/>
          <w:tab w:val="left" w:pos="7020"/>
        </w:tabs>
        <w:adjustRightInd w:val="0"/>
        <w:snapToGrid w:val="0"/>
        <w:spacing w:line="288" w:lineRule="auto"/>
        <w:ind w:firstLine="402" w:firstLineChars="200"/>
        <w:rPr>
          <w:sz w:val="20"/>
          <w:szCs w:val="20"/>
        </w:rPr>
      </w:pPr>
      <w:r>
        <w:rPr>
          <w:b/>
          <w:bCs/>
          <w:sz w:val="20"/>
          <w:szCs w:val="20"/>
        </w:rPr>
        <w:t>4</w:t>
      </w:r>
      <w:r>
        <w:rPr>
          <w:sz w:val="20"/>
          <w:szCs w:val="20"/>
        </w:rPr>
        <w:t xml:space="preserve">  辐射井正常运行时含砂量小于1/200,000。</w:t>
      </w:r>
    </w:p>
    <w:p w14:paraId="604F88CD">
      <w:pPr>
        <w:tabs>
          <w:tab w:val="left" w:pos="672"/>
          <w:tab w:val="left" w:pos="720"/>
          <w:tab w:val="left" w:pos="1620"/>
          <w:tab w:val="left" w:pos="2160"/>
          <w:tab w:val="left" w:pos="7020"/>
        </w:tabs>
        <w:adjustRightInd w:val="0"/>
        <w:snapToGrid w:val="0"/>
        <w:spacing w:line="288" w:lineRule="auto"/>
        <w:rPr>
          <w:rFonts w:ascii="宋体" w:hAnsi="宋体"/>
          <w:sz w:val="20"/>
          <w:szCs w:val="20"/>
        </w:rPr>
      </w:pPr>
      <w:r>
        <w:rPr>
          <w:b/>
          <w:bCs/>
          <w:kern w:val="0"/>
          <w:sz w:val="20"/>
          <w:szCs w:val="20"/>
        </w:rPr>
        <w:t>5.3.19</w:t>
      </w:r>
      <w:r>
        <w:rPr>
          <w:rFonts w:hint="eastAsia" w:ascii="宋体" w:hAnsi="宋体"/>
          <w:sz w:val="20"/>
          <w:szCs w:val="20"/>
        </w:rPr>
        <w:t xml:space="preserve">  降水过程中的抽排水应有序排放，排水系统的排水能力应大于基坑降水的总涌水量。排水管路宜架设于地面，以便检查维修；当排水管路置于地下时，排水管路不得出现渗漏。排水管路应进行必要的防护，保证畅通。</w:t>
      </w:r>
    </w:p>
    <w:p w14:paraId="2BF1C270">
      <w:pPr>
        <w:tabs>
          <w:tab w:val="left" w:pos="672"/>
          <w:tab w:val="left" w:pos="720"/>
          <w:tab w:val="left" w:pos="1620"/>
          <w:tab w:val="left" w:pos="2160"/>
          <w:tab w:val="left" w:pos="7020"/>
        </w:tabs>
        <w:adjustRightInd w:val="0"/>
        <w:snapToGrid w:val="0"/>
        <w:spacing w:line="288" w:lineRule="auto"/>
        <w:rPr>
          <w:rFonts w:ascii="宋体" w:hAnsi="宋体"/>
          <w:sz w:val="20"/>
          <w:szCs w:val="20"/>
        </w:rPr>
      </w:pPr>
      <w:r>
        <w:rPr>
          <w:b/>
          <w:bCs/>
          <w:kern w:val="0"/>
          <w:sz w:val="20"/>
          <w:szCs w:val="20"/>
        </w:rPr>
        <w:t xml:space="preserve">5.3.20 </w:t>
      </w:r>
      <w:r>
        <w:rPr>
          <w:rFonts w:ascii="宋体" w:hAnsi="宋体"/>
          <w:sz w:val="20"/>
          <w:szCs w:val="20"/>
        </w:rPr>
        <w:t xml:space="preserve"> 当基础施工完成</w:t>
      </w:r>
      <w:r>
        <w:rPr>
          <w:rFonts w:hint="eastAsia" w:ascii="宋体" w:hAnsi="宋体"/>
          <w:sz w:val="20"/>
          <w:szCs w:val="20"/>
        </w:rPr>
        <w:t>，</w:t>
      </w:r>
      <w:r>
        <w:rPr>
          <w:rFonts w:ascii="宋体" w:hAnsi="宋体"/>
          <w:sz w:val="20"/>
          <w:szCs w:val="20"/>
        </w:rPr>
        <w:t>且建筑荷载满足施工期抗浮要求</w:t>
      </w:r>
      <w:r>
        <w:rPr>
          <w:rFonts w:hint="eastAsia" w:ascii="宋体" w:hAnsi="宋体"/>
          <w:sz w:val="20"/>
          <w:szCs w:val="20"/>
        </w:rPr>
        <w:t>，则可以停止工程降水。</w:t>
      </w:r>
      <w:r>
        <w:rPr>
          <w:rFonts w:ascii="宋体" w:hAnsi="宋体"/>
          <w:sz w:val="20"/>
          <w:szCs w:val="20"/>
        </w:rPr>
        <w:t>降水工程结束后</w:t>
      </w:r>
      <w:r>
        <w:rPr>
          <w:rFonts w:hint="eastAsia" w:ascii="宋体" w:hAnsi="宋体"/>
          <w:sz w:val="20"/>
          <w:szCs w:val="20"/>
        </w:rPr>
        <w:t>，位于基础范围内降水井应采取</w:t>
      </w:r>
      <w:r>
        <w:rPr>
          <w:rFonts w:hint="eastAsia" w:ascii="Arial" w:hAnsi="Arial" w:cs="Arial"/>
          <w:sz w:val="20"/>
          <w:szCs w:val="20"/>
          <w:shd w:val="clear" w:color="auto" w:fill="FFFFFF"/>
        </w:rPr>
        <w:t>可靠</w:t>
      </w:r>
      <w:r>
        <w:rPr>
          <w:rFonts w:ascii="Arial" w:hAnsi="Arial" w:cs="Arial"/>
          <w:sz w:val="20"/>
          <w:szCs w:val="20"/>
          <w:shd w:val="clear" w:color="auto" w:fill="FFFFFF"/>
        </w:rPr>
        <w:t>措施封堵井孔</w:t>
      </w:r>
      <w:r>
        <w:rPr>
          <w:rFonts w:hint="eastAsia" w:ascii="Arial" w:hAnsi="Arial" w:cs="Arial"/>
          <w:sz w:val="20"/>
          <w:szCs w:val="20"/>
          <w:shd w:val="clear" w:color="auto" w:fill="FFFFFF"/>
        </w:rPr>
        <w:t>，并满足基础防水要求，</w:t>
      </w:r>
      <w:r>
        <w:rPr>
          <w:rFonts w:hint="eastAsia" w:ascii="宋体" w:hAnsi="宋体"/>
          <w:sz w:val="20"/>
          <w:szCs w:val="20"/>
        </w:rPr>
        <w:t>其他降水井应采取恰当措施进行封填。</w:t>
      </w:r>
    </w:p>
    <w:p w14:paraId="6D18A960">
      <w:pPr>
        <w:pStyle w:val="2"/>
      </w:pPr>
    </w:p>
    <w:p w14:paraId="746A7E2E">
      <w:pPr>
        <w:pStyle w:val="2"/>
      </w:pPr>
    </w:p>
    <w:p w14:paraId="2E5FDB05">
      <w:pPr>
        <w:pStyle w:val="7"/>
        <w:keepNext w:val="0"/>
        <w:keepLines w:val="0"/>
        <w:adjustRightInd w:val="0"/>
        <w:snapToGrid w:val="0"/>
        <w:spacing w:before="312" w:beforeLines="100" w:after="312" w:afterLines="100" w:line="288" w:lineRule="auto"/>
        <w:jc w:val="center"/>
        <w:rPr>
          <w:rFonts w:ascii="宋体" w:hAnsi="宋体"/>
          <w:b w:val="0"/>
          <w:sz w:val="20"/>
          <w:szCs w:val="20"/>
        </w:rPr>
      </w:pPr>
      <w:bookmarkStart w:id="39" w:name="_Toc139613719"/>
      <w:r>
        <w:rPr>
          <w:sz w:val="20"/>
          <w:szCs w:val="20"/>
        </w:rPr>
        <w:t xml:space="preserve">5.4  </w:t>
      </w:r>
      <w:r>
        <w:rPr>
          <w:rFonts w:hint="eastAsia" w:ascii="黑体" w:hAnsi="黑体" w:eastAsia="黑体"/>
          <w:b w:val="0"/>
          <w:sz w:val="20"/>
          <w:szCs w:val="20"/>
        </w:rPr>
        <w:t>集水明排</w:t>
      </w:r>
      <w:bookmarkEnd w:id="39"/>
    </w:p>
    <w:p w14:paraId="38D1EDDA">
      <w:pPr>
        <w:adjustRightInd w:val="0"/>
        <w:snapToGrid w:val="0"/>
        <w:spacing w:line="288" w:lineRule="auto"/>
        <w:rPr>
          <w:rFonts w:ascii="宋体" w:hAnsi="宋体"/>
          <w:sz w:val="20"/>
          <w:szCs w:val="20"/>
        </w:rPr>
      </w:pPr>
      <w:r>
        <w:rPr>
          <w:b/>
          <w:bCs/>
          <w:kern w:val="0"/>
          <w:sz w:val="20"/>
          <w:szCs w:val="20"/>
        </w:rPr>
        <w:t>5.4.1</w:t>
      </w:r>
      <w:r>
        <w:rPr>
          <w:rFonts w:hint="eastAsia" w:ascii="宋体" w:hAnsi="宋体"/>
          <w:bCs/>
          <w:sz w:val="20"/>
          <w:szCs w:val="20"/>
        </w:rPr>
        <w:t xml:space="preserve">  </w:t>
      </w:r>
      <w:r>
        <w:rPr>
          <w:rFonts w:hint="eastAsia" w:ascii="宋体" w:hAnsi="宋体"/>
          <w:sz w:val="20"/>
          <w:szCs w:val="20"/>
        </w:rPr>
        <w:t>排水沟和集水井可按下列规定布置</w:t>
      </w:r>
      <w:r>
        <w:rPr>
          <w:rFonts w:ascii="宋体" w:hAnsi="宋体"/>
          <w:sz w:val="20"/>
          <w:szCs w:val="20"/>
        </w:rPr>
        <w:t>:</w:t>
      </w:r>
    </w:p>
    <w:p w14:paraId="2D80547A">
      <w:pPr>
        <w:adjustRightInd w:val="0"/>
        <w:snapToGrid w:val="0"/>
        <w:spacing w:line="288" w:lineRule="auto"/>
        <w:ind w:firstLine="402" w:firstLineChars="200"/>
        <w:rPr>
          <w:sz w:val="20"/>
          <w:szCs w:val="20"/>
        </w:rPr>
      </w:pPr>
      <w:r>
        <w:rPr>
          <w:rFonts w:hint="eastAsia"/>
          <w:b/>
          <w:bCs/>
          <w:sz w:val="20"/>
          <w:szCs w:val="20"/>
        </w:rPr>
        <w:t xml:space="preserve">1  </w:t>
      </w:r>
      <w:r>
        <w:rPr>
          <w:rFonts w:hAnsi="宋体"/>
          <w:sz w:val="20"/>
          <w:szCs w:val="20"/>
        </w:rPr>
        <w:t>排水沟和集水井宜布置在拟建建筑基础边净距</w:t>
      </w:r>
      <w:r>
        <w:rPr>
          <w:sz w:val="20"/>
          <w:szCs w:val="20"/>
        </w:rPr>
        <w:t>0.5m</w:t>
      </w:r>
      <w:r>
        <w:rPr>
          <w:rFonts w:hAnsi="宋体"/>
          <w:sz w:val="20"/>
          <w:szCs w:val="20"/>
        </w:rPr>
        <w:t>以外，排水沟边缘离开边坡坡脚不宜小于</w:t>
      </w:r>
      <w:r>
        <w:rPr>
          <w:sz w:val="20"/>
          <w:szCs w:val="20"/>
        </w:rPr>
        <w:t>0.3m</w:t>
      </w:r>
      <w:r>
        <w:rPr>
          <w:rFonts w:hAnsi="宋体"/>
          <w:sz w:val="20"/>
          <w:szCs w:val="20"/>
        </w:rPr>
        <w:t>；在基坑四角或每隔</w:t>
      </w:r>
      <w:r>
        <w:rPr>
          <w:sz w:val="20"/>
          <w:szCs w:val="20"/>
        </w:rPr>
        <w:t>30m</w:t>
      </w:r>
      <w:r>
        <w:rPr>
          <w:rFonts w:hAnsi="宋体"/>
          <w:sz w:val="20"/>
          <w:szCs w:val="20"/>
        </w:rPr>
        <w:t>～</w:t>
      </w:r>
      <w:r>
        <w:rPr>
          <w:sz w:val="20"/>
          <w:szCs w:val="20"/>
        </w:rPr>
        <w:t>40m</w:t>
      </w:r>
      <w:r>
        <w:rPr>
          <w:rFonts w:hAnsi="宋体"/>
          <w:sz w:val="20"/>
          <w:szCs w:val="20"/>
        </w:rPr>
        <w:t>应设一个集水井；</w:t>
      </w:r>
    </w:p>
    <w:p w14:paraId="0DC5E079">
      <w:pPr>
        <w:adjustRightInd w:val="0"/>
        <w:snapToGrid w:val="0"/>
        <w:spacing w:line="288" w:lineRule="auto"/>
        <w:ind w:firstLine="402" w:firstLineChars="200"/>
        <w:rPr>
          <w:rFonts w:hAnsi="宋体"/>
          <w:sz w:val="20"/>
          <w:szCs w:val="20"/>
        </w:rPr>
      </w:pPr>
      <w:r>
        <w:rPr>
          <w:b/>
          <w:bCs/>
          <w:sz w:val="20"/>
          <w:szCs w:val="20"/>
        </w:rPr>
        <w:t>2</w:t>
      </w:r>
      <w:r>
        <w:rPr>
          <w:sz w:val="20"/>
          <w:szCs w:val="20"/>
        </w:rPr>
        <w:t xml:space="preserve">  </w:t>
      </w:r>
      <w:r>
        <w:rPr>
          <w:rFonts w:hAnsi="宋体"/>
          <w:sz w:val="20"/>
          <w:szCs w:val="20"/>
        </w:rPr>
        <w:t>排水沟一般深</w:t>
      </w:r>
      <w:r>
        <w:rPr>
          <w:sz w:val="20"/>
          <w:szCs w:val="20"/>
        </w:rPr>
        <w:t>0.3m</w:t>
      </w:r>
      <w:r>
        <w:rPr>
          <w:rFonts w:hAnsi="宋体"/>
          <w:sz w:val="20"/>
          <w:szCs w:val="20"/>
        </w:rPr>
        <w:t>～</w:t>
      </w:r>
      <w:r>
        <w:rPr>
          <w:sz w:val="20"/>
          <w:szCs w:val="20"/>
        </w:rPr>
        <w:t>0.6m</w:t>
      </w:r>
      <w:r>
        <w:rPr>
          <w:rFonts w:hAnsi="宋体"/>
          <w:sz w:val="20"/>
          <w:szCs w:val="20"/>
        </w:rPr>
        <w:t>，底宽不小于</w:t>
      </w:r>
      <w:r>
        <w:rPr>
          <w:sz w:val="20"/>
          <w:szCs w:val="20"/>
        </w:rPr>
        <w:t>0.3m</w:t>
      </w:r>
      <w:r>
        <w:rPr>
          <w:rFonts w:hAnsi="宋体"/>
          <w:sz w:val="20"/>
          <w:szCs w:val="20"/>
        </w:rPr>
        <w:t>，沟底</w:t>
      </w:r>
      <w:r>
        <w:rPr>
          <w:rFonts w:hint="eastAsia" w:hAnsi="宋体"/>
          <w:sz w:val="20"/>
          <w:szCs w:val="20"/>
        </w:rPr>
        <w:t>坡度不宜小于0</w:t>
      </w:r>
      <w:r>
        <w:rPr>
          <w:rFonts w:hAnsi="宋体"/>
          <w:sz w:val="20"/>
          <w:szCs w:val="20"/>
        </w:rPr>
        <w:t>.3%，底面应比挖土面低</w:t>
      </w:r>
      <w:r>
        <w:rPr>
          <w:sz w:val="20"/>
          <w:szCs w:val="20"/>
        </w:rPr>
        <w:t>0.3m</w:t>
      </w:r>
      <w:r>
        <w:rPr>
          <w:rFonts w:hAnsi="宋体"/>
          <w:sz w:val="20"/>
          <w:szCs w:val="20"/>
        </w:rPr>
        <w:t>～</w:t>
      </w:r>
      <w:r>
        <w:rPr>
          <w:sz w:val="20"/>
          <w:szCs w:val="20"/>
        </w:rPr>
        <w:t>0.4m</w:t>
      </w:r>
      <w:r>
        <w:rPr>
          <w:rFonts w:hAnsi="宋体"/>
          <w:sz w:val="20"/>
          <w:szCs w:val="20"/>
        </w:rPr>
        <w:t>，集水井底面应比沟底面低</w:t>
      </w:r>
      <w:r>
        <w:rPr>
          <w:sz w:val="20"/>
          <w:szCs w:val="20"/>
        </w:rPr>
        <w:t>0.5m</w:t>
      </w:r>
      <w:r>
        <w:rPr>
          <w:rFonts w:hAnsi="宋体"/>
          <w:sz w:val="20"/>
          <w:szCs w:val="20"/>
        </w:rPr>
        <w:t>以上</w:t>
      </w:r>
      <w:r>
        <w:rPr>
          <w:rFonts w:hint="eastAsia" w:hAnsi="宋体"/>
          <w:sz w:val="20"/>
          <w:szCs w:val="20"/>
        </w:rPr>
        <w:t>；</w:t>
      </w:r>
    </w:p>
    <w:p w14:paraId="6C74BC2C">
      <w:pPr>
        <w:adjustRightInd w:val="0"/>
        <w:snapToGrid w:val="0"/>
        <w:spacing w:line="288" w:lineRule="auto"/>
        <w:ind w:firstLine="402" w:firstLineChars="200"/>
        <w:rPr>
          <w:rFonts w:hAnsi="宋体"/>
          <w:sz w:val="20"/>
          <w:szCs w:val="20"/>
        </w:rPr>
      </w:pPr>
      <w:r>
        <w:rPr>
          <w:b/>
          <w:bCs/>
          <w:sz w:val="20"/>
          <w:szCs w:val="20"/>
        </w:rPr>
        <w:t>3</w:t>
      </w:r>
      <w:r>
        <w:rPr>
          <w:rFonts w:hAnsi="宋体"/>
          <w:sz w:val="20"/>
          <w:szCs w:val="20"/>
        </w:rPr>
        <w:t xml:space="preserve">  当</w:t>
      </w:r>
      <w:r>
        <w:rPr>
          <w:rFonts w:hint="eastAsia"/>
        </w:rPr>
        <w:t>基坑面积较大时，坑内可设置多条纵横向排水明沟或盲沟以及集水井。</w:t>
      </w:r>
    </w:p>
    <w:p w14:paraId="741C4C12">
      <w:pPr>
        <w:adjustRightInd w:val="0"/>
        <w:snapToGrid w:val="0"/>
        <w:spacing w:line="288" w:lineRule="auto"/>
        <w:rPr>
          <w:rFonts w:ascii="宋体" w:hAnsi="宋体"/>
          <w:sz w:val="20"/>
          <w:szCs w:val="20"/>
        </w:rPr>
      </w:pPr>
      <w:r>
        <w:rPr>
          <w:b/>
          <w:bCs/>
          <w:kern w:val="0"/>
          <w:sz w:val="20"/>
          <w:szCs w:val="20"/>
        </w:rPr>
        <w:t>5.4.2</w:t>
      </w:r>
      <w:r>
        <w:rPr>
          <w:rFonts w:hint="eastAsia" w:ascii="宋体" w:hAnsi="宋体"/>
          <w:sz w:val="20"/>
          <w:szCs w:val="20"/>
        </w:rPr>
        <w:t xml:space="preserve">  排水沟、集水井截面应根据设计排水量确定</w:t>
      </w:r>
      <w:r>
        <w:rPr>
          <w:rFonts w:ascii="宋体" w:hAnsi="宋体"/>
          <w:sz w:val="20"/>
          <w:szCs w:val="20"/>
        </w:rPr>
        <w:t>，</w:t>
      </w:r>
      <w:r>
        <w:rPr>
          <w:rFonts w:hint="eastAsia" w:ascii="宋体" w:hAnsi="宋体"/>
          <w:sz w:val="20"/>
          <w:szCs w:val="20"/>
        </w:rPr>
        <w:t>设计排水量</w:t>
      </w:r>
      <w:r>
        <w:rPr>
          <w:i/>
          <w:iCs/>
          <w:sz w:val="20"/>
          <w:szCs w:val="20"/>
        </w:rPr>
        <w:t>Q’</w:t>
      </w:r>
      <w:r>
        <w:rPr>
          <w:rFonts w:hint="eastAsia" w:ascii="宋体" w:hAnsi="宋体"/>
          <w:sz w:val="20"/>
          <w:szCs w:val="20"/>
        </w:rPr>
        <w:t>应满足下列要求：</w:t>
      </w:r>
    </w:p>
    <w:p w14:paraId="44F27495">
      <w:pPr>
        <w:adjustRightInd w:val="0"/>
        <w:snapToGrid w:val="0"/>
        <w:spacing w:line="288" w:lineRule="auto"/>
        <w:ind w:right="84" w:firstLine="2500" w:firstLineChars="1250"/>
        <w:jc w:val="center"/>
        <w:rPr>
          <w:rFonts w:ascii="宋体" w:hAnsi="宋体"/>
          <w:sz w:val="20"/>
          <w:szCs w:val="20"/>
        </w:rPr>
      </w:pPr>
      <w:r>
        <w:rPr>
          <w:i/>
          <w:iCs/>
          <w:sz w:val="20"/>
          <w:szCs w:val="20"/>
        </w:rPr>
        <w:t>Q’</w:t>
      </w:r>
      <w:r>
        <w:rPr>
          <w:rFonts w:hint="eastAsia" w:ascii="宋体" w:hAnsi="宋体"/>
          <w:sz w:val="20"/>
          <w:szCs w:val="20"/>
        </w:rPr>
        <w:t>≥</w:t>
      </w:r>
      <w:r>
        <w:rPr>
          <w:i/>
          <w:iCs/>
          <w:sz w:val="20"/>
          <w:szCs w:val="20"/>
        </w:rPr>
        <w:t>1.5Q</w:t>
      </w:r>
      <w:r>
        <w:rPr>
          <w:i/>
          <w:iCs/>
          <w:sz w:val="20"/>
          <w:szCs w:val="20"/>
        </w:rPr>
        <w:tab/>
      </w:r>
      <w:r>
        <w:rPr>
          <w:rFonts w:ascii="宋体" w:hAnsi="宋体"/>
          <w:i/>
          <w:iCs/>
          <w:sz w:val="20"/>
          <w:szCs w:val="20"/>
        </w:rPr>
        <w:tab/>
      </w:r>
      <w:r>
        <w:rPr>
          <w:rFonts w:hint="eastAsia" w:ascii="宋体" w:hAnsi="宋体"/>
          <w:i/>
          <w:iCs/>
          <w:sz w:val="20"/>
          <w:szCs w:val="20"/>
        </w:rPr>
        <w:t xml:space="preserve">     </w:t>
      </w:r>
      <w:r>
        <w:rPr>
          <w:rFonts w:ascii="宋体" w:hAnsi="宋体"/>
          <w:i/>
          <w:iCs/>
          <w:sz w:val="20"/>
          <w:szCs w:val="20"/>
        </w:rPr>
        <w:tab/>
      </w:r>
      <w:r>
        <w:rPr>
          <w:rFonts w:hint="eastAsia" w:ascii="宋体" w:hAnsi="宋体"/>
          <w:i/>
          <w:iCs/>
          <w:sz w:val="20"/>
          <w:szCs w:val="20"/>
        </w:rPr>
        <w:t xml:space="preserve">     </w:t>
      </w:r>
      <w:r>
        <w:rPr>
          <w:rFonts w:ascii="宋体" w:hAnsi="宋体"/>
          <w:sz w:val="20"/>
          <w:szCs w:val="20"/>
        </w:rPr>
        <w:t>（</w:t>
      </w:r>
      <w:r>
        <w:rPr>
          <w:sz w:val="20"/>
          <w:szCs w:val="20"/>
        </w:rPr>
        <w:t>5.4.2</w:t>
      </w:r>
      <w:r>
        <w:rPr>
          <w:rFonts w:ascii="宋体" w:hAnsi="宋体"/>
          <w:sz w:val="20"/>
          <w:szCs w:val="20"/>
        </w:rPr>
        <w:t>）</w:t>
      </w:r>
    </w:p>
    <w:p w14:paraId="2EE156C8">
      <w:pPr>
        <w:adjustRightInd w:val="0"/>
        <w:snapToGrid w:val="0"/>
        <w:spacing w:line="288" w:lineRule="auto"/>
        <w:rPr>
          <w:rFonts w:ascii="宋体" w:hAnsi="宋体"/>
          <w:sz w:val="20"/>
          <w:szCs w:val="20"/>
        </w:rPr>
      </w:pPr>
      <w:r>
        <w:rPr>
          <w:rFonts w:hint="eastAsia" w:ascii="宋体" w:hAnsi="宋体"/>
          <w:sz w:val="20"/>
          <w:szCs w:val="20"/>
        </w:rPr>
        <w:t>式中：</w:t>
      </w:r>
      <w:r>
        <w:rPr>
          <w:i/>
          <w:iCs/>
          <w:sz w:val="20"/>
          <w:szCs w:val="20"/>
        </w:rPr>
        <w:t>Q</w:t>
      </w:r>
      <w:r>
        <w:rPr>
          <w:iCs/>
        </w:rPr>
        <w:t>——</w:t>
      </w:r>
      <w:r>
        <w:rPr>
          <w:rFonts w:hint="eastAsia" w:ascii="宋体" w:hAnsi="宋体"/>
          <w:sz w:val="20"/>
          <w:szCs w:val="20"/>
        </w:rPr>
        <w:t>设计流量（</w:t>
      </w:r>
      <w:r>
        <w:rPr>
          <w:sz w:val="20"/>
          <w:szCs w:val="20"/>
        </w:rPr>
        <w:t>m</w:t>
      </w:r>
      <w:r>
        <w:rPr>
          <w:sz w:val="20"/>
          <w:szCs w:val="20"/>
          <w:vertAlign w:val="superscript"/>
        </w:rPr>
        <w:t>3</w:t>
      </w:r>
      <w:r>
        <w:rPr>
          <w:sz w:val="20"/>
          <w:szCs w:val="20"/>
        </w:rPr>
        <w:t>/d</w:t>
      </w:r>
      <w:r>
        <w:rPr>
          <w:rFonts w:hint="eastAsia" w:ascii="宋体" w:hAnsi="宋体"/>
          <w:sz w:val="20"/>
          <w:szCs w:val="20"/>
        </w:rPr>
        <w:t>）。</w:t>
      </w:r>
    </w:p>
    <w:p w14:paraId="2FB15D61">
      <w:pPr>
        <w:adjustRightInd w:val="0"/>
        <w:snapToGrid w:val="0"/>
        <w:spacing w:line="288" w:lineRule="auto"/>
        <w:rPr>
          <w:rFonts w:ascii="宋体" w:hAnsi="宋体"/>
          <w:sz w:val="20"/>
          <w:szCs w:val="20"/>
        </w:rPr>
      </w:pPr>
      <w:r>
        <w:rPr>
          <w:b/>
          <w:bCs/>
          <w:kern w:val="0"/>
          <w:sz w:val="20"/>
          <w:szCs w:val="20"/>
        </w:rPr>
        <w:t>5.4.3</w:t>
      </w:r>
      <w:r>
        <w:rPr>
          <w:rFonts w:hint="eastAsia" w:ascii="宋体" w:hAnsi="宋体"/>
          <w:sz w:val="20"/>
          <w:szCs w:val="20"/>
        </w:rPr>
        <w:t xml:space="preserve">  抽水设备应根据设计排水量大小及基坑深度确定。</w:t>
      </w:r>
    </w:p>
    <w:p w14:paraId="2B29F3B6">
      <w:pPr>
        <w:adjustRightInd w:val="0"/>
        <w:snapToGrid w:val="0"/>
        <w:spacing w:line="288" w:lineRule="auto"/>
        <w:rPr>
          <w:rFonts w:ascii="宋体" w:hAnsi="宋体"/>
          <w:sz w:val="20"/>
          <w:szCs w:val="20"/>
        </w:rPr>
      </w:pPr>
      <w:r>
        <w:rPr>
          <w:b/>
          <w:bCs/>
          <w:kern w:val="0"/>
          <w:sz w:val="20"/>
          <w:szCs w:val="20"/>
        </w:rPr>
        <w:t xml:space="preserve">5.4.4  </w:t>
      </w:r>
      <w:r>
        <w:rPr>
          <w:rFonts w:hint="eastAsia" w:ascii="宋体" w:hAnsi="宋体"/>
          <w:sz w:val="20"/>
          <w:szCs w:val="20"/>
        </w:rPr>
        <w:t>当基坑侧壁出现分层渗水时</w:t>
      </w:r>
      <w:r>
        <w:rPr>
          <w:rFonts w:ascii="宋体" w:hAnsi="宋体"/>
          <w:sz w:val="20"/>
          <w:szCs w:val="20"/>
        </w:rPr>
        <w:t>，</w:t>
      </w:r>
      <w:r>
        <w:rPr>
          <w:rFonts w:hint="eastAsia" w:ascii="宋体" w:hAnsi="宋体"/>
          <w:sz w:val="20"/>
          <w:szCs w:val="20"/>
        </w:rPr>
        <w:t>可按不同高程设置导水管、导水沟等构成明排系统。当基坑侧壁渗水量较大或不能分层明排时</w:t>
      </w:r>
      <w:r>
        <w:rPr>
          <w:rFonts w:ascii="宋体" w:hAnsi="宋体"/>
          <w:sz w:val="20"/>
          <w:szCs w:val="20"/>
        </w:rPr>
        <w:t>，</w:t>
      </w:r>
      <w:r>
        <w:rPr>
          <w:rFonts w:hint="eastAsia" w:ascii="宋体" w:hAnsi="宋体"/>
          <w:sz w:val="20"/>
          <w:szCs w:val="20"/>
        </w:rPr>
        <w:t>宜采用导水降水方法。基坑明排尚应考虑地表排水。当地表水对基坑侧壁产生冲刷时</w:t>
      </w:r>
      <w:r>
        <w:rPr>
          <w:rFonts w:ascii="宋体" w:hAnsi="宋体"/>
          <w:sz w:val="20"/>
          <w:szCs w:val="20"/>
        </w:rPr>
        <w:t>，</w:t>
      </w:r>
      <w:r>
        <w:rPr>
          <w:rFonts w:hint="eastAsia" w:ascii="宋体" w:hAnsi="宋体"/>
          <w:sz w:val="20"/>
          <w:szCs w:val="20"/>
        </w:rPr>
        <w:t>宜在基坑外采取截水、封堵、导流等措施。</w:t>
      </w:r>
    </w:p>
    <w:p w14:paraId="2EA2632A">
      <w:pPr>
        <w:adjustRightInd w:val="0"/>
        <w:snapToGrid w:val="0"/>
        <w:spacing w:line="288" w:lineRule="auto"/>
        <w:rPr>
          <w:sz w:val="20"/>
          <w:szCs w:val="20"/>
        </w:rPr>
      </w:pPr>
      <w:r>
        <w:rPr>
          <w:b/>
          <w:bCs/>
          <w:kern w:val="0"/>
          <w:sz w:val="20"/>
          <w:szCs w:val="20"/>
        </w:rPr>
        <w:t>5.4.5</w:t>
      </w:r>
      <w:r>
        <w:rPr>
          <w:rFonts w:hint="eastAsia" w:ascii="宋体" w:hAnsi="宋体"/>
          <w:sz w:val="20"/>
          <w:szCs w:val="20"/>
        </w:rPr>
        <w:t xml:space="preserve">  基坑明排期间应采取措施，防止分层渗水（或导水管引水）过程中带走含水层中的细颗粒土。</w:t>
      </w:r>
    </w:p>
    <w:p w14:paraId="3419F1EF">
      <w:pPr>
        <w:pStyle w:val="7"/>
        <w:keepNext w:val="0"/>
        <w:keepLines w:val="0"/>
        <w:adjustRightInd w:val="0"/>
        <w:snapToGrid w:val="0"/>
        <w:spacing w:before="312" w:beforeLines="100" w:after="312" w:afterLines="100" w:line="288" w:lineRule="auto"/>
        <w:jc w:val="center"/>
        <w:rPr>
          <w:rFonts w:ascii="宋体" w:hAnsi="宋体"/>
          <w:b w:val="0"/>
          <w:sz w:val="20"/>
          <w:szCs w:val="20"/>
        </w:rPr>
      </w:pPr>
      <w:bookmarkStart w:id="40" w:name="_Toc139613720"/>
      <w:r>
        <w:rPr>
          <w:sz w:val="20"/>
          <w:szCs w:val="20"/>
        </w:rPr>
        <w:t xml:space="preserve">5.5  </w:t>
      </w:r>
      <w:r>
        <w:rPr>
          <w:rFonts w:hint="eastAsia" w:ascii="黑体" w:hAnsi="黑体" w:eastAsia="黑体"/>
          <w:b w:val="0"/>
          <w:sz w:val="20"/>
          <w:szCs w:val="20"/>
        </w:rPr>
        <w:t>回  灌</w:t>
      </w:r>
      <w:bookmarkEnd w:id="40"/>
      <w:r>
        <w:rPr>
          <w:rFonts w:hint="eastAsia" w:ascii="黑体" w:hAnsi="黑体" w:eastAsia="黑体"/>
          <w:b w:val="0"/>
          <w:sz w:val="20"/>
          <w:szCs w:val="20"/>
        </w:rPr>
        <w:t xml:space="preserve"> </w:t>
      </w:r>
    </w:p>
    <w:p w14:paraId="651FDB48">
      <w:pPr>
        <w:adjustRightInd w:val="0"/>
        <w:snapToGrid w:val="0"/>
        <w:spacing w:line="288" w:lineRule="auto"/>
        <w:rPr>
          <w:rFonts w:ascii="宋体" w:hAnsi="宋体"/>
          <w:sz w:val="20"/>
          <w:szCs w:val="20"/>
        </w:rPr>
      </w:pPr>
      <w:r>
        <w:rPr>
          <w:b/>
          <w:bCs/>
          <w:kern w:val="0"/>
          <w:sz w:val="20"/>
          <w:szCs w:val="20"/>
        </w:rPr>
        <w:t>5.5.1</w:t>
      </w:r>
      <w:r>
        <w:rPr>
          <w:rFonts w:hint="eastAsia" w:ascii="宋体" w:hAnsi="宋体"/>
          <w:sz w:val="20"/>
          <w:szCs w:val="20"/>
        </w:rPr>
        <w:t xml:space="preserve">  当施工降水影响区域已有建（构）筑物和地下管线对地面沉降有严格要求和施工降水对地下水资源有影响时，可采用回灌措施。回灌可采用管井、砂井、砂沟等。</w:t>
      </w:r>
    </w:p>
    <w:p w14:paraId="2FAF0BA5">
      <w:pPr>
        <w:adjustRightInd w:val="0"/>
        <w:snapToGrid w:val="0"/>
        <w:spacing w:line="288" w:lineRule="auto"/>
        <w:rPr>
          <w:rFonts w:ascii="宋体" w:hAnsi="宋体"/>
          <w:sz w:val="20"/>
          <w:szCs w:val="20"/>
        </w:rPr>
      </w:pPr>
      <w:r>
        <w:rPr>
          <w:b/>
          <w:bCs/>
          <w:kern w:val="0"/>
          <w:sz w:val="20"/>
          <w:szCs w:val="20"/>
        </w:rPr>
        <w:t>5.5.2</w:t>
      </w:r>
      <w:r>
        <w:rPr>
          <w:rFonts w:hint="eastAsia" w:ascii="宋体" w:hAnsi="宋体"/>
          <w:sz w:val="20"/>
          <w:szCs w:val="20"/>
        </w:rPr>
        <w:t xml:space="preserve">  回灌井（砂井、砂沟）的</w:t>
      </w:r>
      <w:r>
        <w:rPr>
          <w:kern w:val="0"/>
          <w:sz w:val="20"/>
          <w:szCs w:val="20"/>
        </w:rPr>
        <w:t>数量、深度、间距及</w:t>
      </w:r>
      <w:r>
        <w:rPr>
          <w:rFonts w:hint="eastAsia" w:ascii="宋体" w:hAnsi="宋体"/>
          <w:sz w:val="20"/>
          <w:szCs w:val="20"/>
        </w:rPr>
        <w:t>与降水井（砂井、砂沟）的距离可根据计算和经验确定。同层回灌的回灌井与降水井的距离不宜小于</w:t>
      </w:r>
      <w:r>
        <w:rPr>
          <w:sz w:val="20"/>
          <w:szCs w:val="20"/>
        </w:rPr>
        <w:t>6m</w:t>
      </w:r>
      <w:r>
        <w:rPr>
          <w:rFonts w:hint="eastAsia"/>
          <w:sz w:val="20"/>
          <w:szCs w:val="20"/>
        </w:rPr>
        <w:t>，</w:t>
      </w:r>
      <w:r>
        <w:rPr>
          <w:sz w:val="20"/>
          <w:szCs w:val="20"/>
        </w:rPr>
        <w:t>可根据回灌区水文地质条件确定</w:t>
      </w:r>
      <w:r>
        <w:rPr>
          <w:rFonts w:hint="eastAsia" w:ascii="宋体" w:hAnsi="宋体"/>
          <w:sz w:val="20"/>
          <w:szCs w:val="20"/>
        </w:rPr>
        <w:t>。当回灌对降水井抽水影响大时，基坑地下水控制宜采用截水帷幕或悬挂式帷幕结合回灌的方式。</w:t>
      </w:r>
    </w:p>
    <w:p w14:paraId="24C255AA">
      <w:pPr>
        <w:adjustRightInd w:val="0"/>
        <w:snapToGrid w:val="0"/>
        <w:spacing w:line="288" w:lineRule="auto"/>
        <w:rPr>
          <w:rFonts w:ascii="宋体" w:hAnsi="宋体"/>
          <w:sz w:val="20"/>
          <w:szCs w:val="20"/>
        </w:rPr>
      </w:pPr>
      <w:r>
        <w:rPr>
          <w:b/>
          <w:bCs/>
          <w:kern w:val="0"/>
          <w:sz w:val="20"/>
          <w:szCs w:val="20"/>
        </w:rPr>
        <w:t>5.5.3</w:t>
      </w:r>
      <w:r>
        <w:rPr>
          <w:rFonts w:hint="eastAsia" w:ascii="宋体" w:hAnsi="宋体"/>
          <w:sz w:val="20"/>
          <w:szCs w:val="20"/>
        </w:rPr>
        <w:t xml:space="preserve">  为保护已有建（构）筑物和地下管线设置的回灌井，其间距和位置应根据降水井的间距和被保护物的平面位置确定。</w:t>
      </w:r>
    </w:p>
    <w:p w14:paraId="1416792C">
      <w:pPr>
        <w:adjustRightInd w:val="0"/>
        <w:snapToGrid w:val="0"/>
        <w:spacing w:line="288" w:lineRule="auto"/>
        <w:rPr>
          <w:rFonts w:ascii="宋体" w:hAnsi="宋体"/>
          <w:sz w:val="20"/>
          <w:szCs w:val="20"/>
        </w:rPr>
      </w:pPr>
      <w:r>
        <w:rPr>
          <w:b/>
          <w:bCs/>
          <w:kern w:val="0"/>
          <w:sz w:val="20"/>
          <w:szCs w:val="20"/>
        </w:rPr>
        <w:t>5.5.4</w:t>
      </w:r>
      <w:r>
        <w:rPr>
          <w:rFonts w:hint="eastAsia" w:ascii="宋体" w:hAnsi="宋体"/>
          <w:sz w:val="20"/>
          <w:szCs w:val="20"/>
        </w:rPr>
        <w:t xml:space="preserve">  同层回灌时回灌井宜进入稳定水面下不小于</w:t>
      </w:r>
      <w:r>
        <w:rPr>
          <w:sz w:val="20"/>
          <w:szCs w:val="20"/>
        </w:rPr>
        <w:t>lm</w:t>
      </w:r>
      <w:r>
        <w:rPr>
          <w:rFonts w:ascii="宋体" w:hAnsi="宋体"/>
          <w:sz w:val="20"/>
          <w:szCs w:val="20"/>
        </w:rPr>
        <w:t>，并保证滤水管长度满足回灌井的回灌能力</w:t>
      </w:r>
      <w:r>
        <w:rPr>
          <w:rFonts w:hint="eastAsia" w:ascii="宋体" w:hAnsi="宋体"/>
          <w:sz w:val="20"/>
          <w:szCs w:val="20"/>
        </w:rPr>
        <w:t>。滤水管应位于渗透性较好的土层中。</w:t>
      </w:r>
    </w:p>
    <w:p w14:paraId="637A6887">
      <w:pPr>
        <w:adjustRightInd w:val="0"/>
        <w:snapToGrid w:val="0"/>
        <w:spacing w:line="288" w:lineRule="auto"/>
        <w:rPr>
          <w:rFonts w:ascii="宋体" w:hAnsi="宋体"/>
          <w:sz w:val="20"/>
          <w:szCs w:val="20"/>
        </w:rPr>
      </w:pPr>
      <w:r>
        <w:rPr>
          <w:b/>
          <w:bCs/>
          <w:kern w:val="0"/>
          <w:sz w:val="20"/>
          <w:szCs w:val="20"/>
        </w:rPr>
        <w:t>5.5.5</w:t>
      </w:r>
      <w:r>
        <w:rPr>
          <w:rFonts w:hint="eastAsia" w:ascii="宋体" w:hAnsi="宋体"/>
          <w:sz w:val="20"/>
          <w:szCs w:val="20"/>
        </w:rPr>
        <w:t xml:space="preserve">  异层回灌可在场区内进行，但不得劣化地下水环境质量。回灌井的数量、直径、回灌方式可根据场区水文地质条件和基坑出水量综合确定。回灌井的结构和施工可参照本规程第</w:t>
      </w:r>
      <w:r>
        <w:rPr>
          <w:sz w:val="20"/>
          <w:szCs w:val="20"/>
        </w:rPr>
        <w:t>5.3.1</w:t>
      </w:r>
      <w:r>
        <w:rPr>
          <w:rFonts w:hint="eastAsia"/>
          <w:sz w:val="20"/>
          <w:szCs w:val="20"/>
        </w:rPr>
        <w:t>3</w:t>
      </w:r>
      <w:r>
        <w:rPr>
          <w:rFonts w:hint="eastAsia" w:ascii="宋体" w:hAnsi="宋体"/>
          <w:sz w:val="20"/>
          <w:szCs w:val="20"/>
        </w:rPr>
        <w:t xml:space="preserve">条的要求。  </w:t>
      </w:r>
    </w:p>
    <w:p w14:paraId="37D0D681">
      <w:pPr>
        <w:adjustRightInd w:val="0"/>
        <w:snapToGrid w:val="0"/>
        <w:spacing w:line="288" w:lineRule="auto"/>
        <w:rPr>
          <w:rFonts w:ascii="宋体" w:hAnsi="宋体"/>
          <w:sz w:val="20"/>
          <w:szCs w:val="20"/>
        </w:rPr>
      </w:pPr>
      <w:r>
        <w:rPr>
          <w:b/>
          <w:bCs/>
          <w:kern w:val="0"/>
          <w:sz w:val="20"/>
          <w:szCs w:val="20"/>
        </w:rPr>
        <w:t>5.5.6</w:t>
      </w:r>
      <w:r>
        <w:rPr>
          <w:rFonts w:hint="eastAsia" w:ascii="宋体" w:hAnsi="宋体"/>
          <w:sz w:val="20"/>
          <w:szCs w:val="20"/>
        </w:rPr>
        <w:t xml:space="preserve">  为保护已有建（构）筑物和地下管线进行的回灌，在回灌井的附近应设置水位观测孔。根据工程周边环境安全的要求，回灌水量可通过水位观测孔中水位变化进行控制和调节。</w:t>
      </w:r>
      <w:r>
        <w:rPr>
          <w:rFonts w:ascii="宋体" w:hAnsi="宋体"/>
          <w:sz w:val="20"/>
          <w:szCs w:val="20"/>
        </w:rPr>
        <w:t>回灌层位的水位</w:t>
      </w:r>
      <w:r>
        <w:rPr>
          <w:rFonts w:hint="eastAsia" w:ascii="宋体" w:hAnsi="宋体"/>
          <w:sz w:val="20"/>
          <w:szCs w:val="20"/>
        </w:rPr>
        <w:t>不宜超过原水位标高。</w:t>
      </w:r>
    </w:p>
    <w:p w14:paraId="33A206EB">
      <w:pPr>
        <w:adjustRightInd w:val="0"/>
        <w:snapToGrid w:val="0"/>
        <w:spacing w:line="288" w:lineRule="auto"/>
        <w:rPr>
          <w:kern w:val="0"/>
          <w:sz w:val="20"/>
          <w:szCs w:val="20"/>
        </w:rPr>
      </w:pPr>
      <w:r>
        <w:rPr>
          <w:b/>
          <w:bCs/>
          <w:kern w:val="0"/>
          <w:sz w:val="20"/>
          <w:szCs w:val="20"/>
        </w:rPr>
        <w:t>5.5.7</w:t>
      </w:r>
      <w:r>
        <w:rPr>
          <w:rFonts w:hint="eastAsia"/>
          <w:b/>
          <w:bCs/>
          <w:kern w:val="0"/>
          <w:sz w:val="20"/>
          <w:szCs w:val="20"/>
        </w:rPr>
        <w:t xml:space="preserve">  </w:t>
      </w:r>
      <w:r>
        <w:rPr>
          <w:rFonts w:hint="eastAsia"/>
          <w:kern w:val="0"/>
          <w:sz w:val="20"/>
          <w:szCs w:val="20"/>
        </w:rPr>
        <w:t>当基坑周边存在资源性地下水回灌时，应评估其对基坑工程降水的影响，并根据其影响程度，采取相应的工程措施。</w:t>
      </w:r>
    </w:p>
    <w:p w14:paraId="64A6AA12">
      <w:pPr>
        <w:adjustRightInd w:val="0"/>
        <w:snapToGrid w:val="0"/>
        <w:spacing w:line="288" w:lineRule="auto"/>
        <w:rPr>
          <w:b/>
          <w:bCs/>
          <w:kern w:val="0"/>
          <w:sz w:val="20"/>
          <w:szCs w:val="20"/>
        </w:rPr>
      </w:pPr>
      <w:r>
        <w:rPr>
          <w:b/>
          <w:bCs/>
          <w:kern w:val="0"/>
          <w:sz w:val="20"/>
          <w:szCs w:val="20"/>
        </w:rPr>
        <w:t>5.5.8</w:t>
      </w:r>
      <w:r>
        <w:rPr>
          <w:rFonts w:hint="eastAsia"/>
          <w:b/>
          <w:bCs/>
          <w:kern w:val="0"/>
          <w:sz w:val="20"/>
          <w:szCs w:val="20"/>
        </w:rPr>
        <w:t xml:space="preserve">  </w:t>
      </w:r>
      <w:r>
        <w:rPr>
          <w:rFonts w:hint="eastAsia"/>
          <w:kern w:val="0"/>
          <w:sz w:val="20"/>
          <w:szCs w:val="20"/>
        </w:rPr>
        <w:t>当进行地下水回灌时，应监测回灌区及其影响范围内的地下水位变化，并监测被保护建（构）筑物和地下管线的变形。</w:t>
      </w:r>
    </w:p>
    <w:p w14:paraId="2AEA614F">
      <w:pPr>
        <w:rPr>
          <w:rFonts w:ascii="宋体" w:hAnsi="宋体"/>
          <w:sz w:val="20"/>
          <w:szCs w:val="20"/>
        </w:rPr>
      </w:pPr>
      <w:r>
        <w:rPr>
          <w:rFonts w:ascii="宋体" w:hAnsi="宋体"/>
          <w:sz w:val="20"/>
          <w:szCs w:val="20"/>
        </w:rPr>
        <w:br w:type="page"/>
      </w:r>
    </w:p>
    <w:p w14:paraId="5F1F77AB">
      <w:pPr>
        <w:pStyle w:val="5"/>
        <w:keepNext w:val="0"/>
        <w:keepLines w:val="0"/>
        <w:adjustRightInd w:val="0"/>
        <w:snapToGrid w:val="0"/>
        <w:spacing w:before="156" w:beforeLines="50" w:after="312" w:afterLines="100" w:line="288" w:lineRule="auto"/>
        <w:jc w:val="center"/>
        <w:rPr>
          <w:rFonts w:ascii="宋体" w:hAnsi="宋体"/>
          <w:b w:val="0"/>
          <w:sz w:val="20"/>
          <w:szCs w:val="20"/>
        </w:rPr>
      </w:pPr>
      <w:bookmarkStart w:id="41" w:name="_Toc139613721"/>
      <w:r>
        <w:rPr>
          <w:rFonts w:ascii="Times New Roman" w:hAnsi="Times New Roman"/>
          <w:sz w:val="26"/>
          <w:szCs w:val="26"/>
        </w:rPr>
        <w:t>6</w:t>
      </w:r>
      <w:r>
        <w:rPr>
          <w:rFonts w:ascii="Times New Roman" w:hAnsi="Times New Roman"/>
          <w:b w:val="0"/>
          <w:sz w:val="26"/>
          <w:szCs w:val="26"/>
        </w:rPr>
        <w:t xml:space="preserve">  放</w:t>
      </w:r>
      <w:r>
        <w:rPr>
          <w:rFonts w:hint="eastAsia" w:ascii="Times New Roman" w:hAnsi="Times New Roman"/>
          <w:b w:val="0"/>
          <w:sz w:val="26"/>
          <w:szCs w:val="26"/>
        </w:rPr>
        <w:t xml:space="preserve">    </w:t>
      </w:r>
      <w:r>
        <w:rPr>
          <w:rFonts w:ascii="Times New Roman" w:hAnsi="Times New Roman"/>
          <w:b w:val="0"/>
          <w:sz w:val="26"/>
          <w:szCs w:val="26"/>
        </w:rPr>
        <w:t>坡</w:t>
      </w:r>
      <w:bookmarkEnd w:id="41"/>
      <w:r>
        <w:rPr>
          <w:rFonts w:hint="eastAsia" w:ascii="Times New Roman" w:hAnsi="Times New Roman"/>
          <w:b w:val="0"/>
          <w:sz w:val="26"/>
          <w:szCs w:val="26"/>
        </w:rPr>
        <w:t xml:space="preserve"> </w:t>
      </w:r>
    </w:p>
    <w:p w14:paraId="7EDAAA9E">
      <w:pPr>
        <w:pStyle w:val="7"/>
        <w:keepNext w:val="0"/>
        <w:keepLines w:val="0"/>
        <w:adjustRightInd w:val="0"/>
        <w:snapToGrid w:val="0"/>
        <w:spacing w:before="312" w:beforeLines="100" w:after="312" w:afterLines="100" w:line="288" w:lineRule="auto"/>
        <w:jc w:val="center"/>
        <w:rPr>
          <w:rFonts w:eastAsia="黑体"/>
          <w:b w:val="0"/>
          <w:sz w:val="20"/>
          <w:szCs w:val="20"/>
        </w:rPr>
      </w:pPr>
      <w:bookmarkStart w:id="42" w:name="_Toc139613722"/>
      <w:r>
        <w:rPr>
          <w:rFonts w:eastAsia="黑体"/>
          <w:sz w:val="20"/>
          <w:szCs w:val="20"/>
        </w:rPr>
        <w:t xml:space="preserve">6.1 </w:t>
      </w:r>
      <w:r>
        <w:rPr>
          <w:rFonts w:eastAsia="黑体"/>
          <w:b w:val="0"/>
          <w:sz w:val="20"/>
          <w:szCs w:val="20"/>
        </w:rPr>
        <w:t xml:space="preserve"> 放坡设计</w:t>
      </w:r>
      <w:bookmarkEnd w:id="42"/>
    </w:p>
    <w:p w14:paraId="74065B8E">
      <w:pPr>
        <w:adjustRightInd w:val="0"/>
        <w:snapToGrid w:val="0"/>
        <w:spacing w:line="288" w:lineRule="auto"/>
        <w:rPr>
          <w:b/>
          <w:bCs/>
          <w:kern w:val="0"/>
          <w:sz w:val="20"/>
          <w:szCs w:val="20"/>
        </w:rPr>
      </w:pPr>
      <w:r>
        <w:rPr>
          <w:b/>
          <w:sz w:val="20"/>
          <w:szCs w:val="20"/>
        </w:rPr>
        <w:t>6.1.</w:t>
      </w:r>
      <w:r>
        <w:rPr>
          <w:rFonts w:hint="eastAsia"/>
          <w:b/>
          <w:sz w:val="20"/>
          <w:szCs w:val="20"/>
        </w:rPr>
        <w:t>1</w:t>
      </w:r>
      <w:r>
        <w:rPr>
          <w:rFonts w:hint="eastAsia"/>
          <w:b/>
          <w:bCs/>
          <w:kern w:val="0"/>
          <w:sz w:val="20"/>
          <w:szCs w:val="20"/>
        </w:rPr>
        <w:t xml:space="preserve">  </w:t>
      </w:r>
      <w:r>
        <w:rPr>
          <w:rFonts w:hint="eastAsia" w:ascii="宋体" w:hAnsi="宋体"/>
          <w:sz w:val="20"/>
          <w:szCs w:val="20"/>
        </w:rPr>
        <w:t>当场地具备放坡开挖条件，且放坡开挖不会妨碍地下结构施工或影响基坑周边环境的正常使用功能时，可采用放坡设计。</w:t>
      </w:r>
    </w:p>
    <w:p w14:paraId="5D91E79E">
      <w:pPr>
        <w:adjustRightInd w:val="0"/>
        <w:snapToGrid w:val="0"/>
        <w:spacing w:line="288" w:lineRule="auto"/>
        <w:rPr>
          <w:rFonts w:ascii="宋体" w:hAnsi="宋体"/>
          <w:bCs/>
          <w:sz w:val="20"/>
          <w:szCs w:val="20"/>
        </w:rPr>
      </w:pPr>
      <w:r>
        <w:rPr>
          <w:b/>
          <w:sz w:val="20"/>
          <w:szCs w:val="20"/>
        </w:rPr>
        <w:t>6.1.</w:t>
      </w:r>
      <w:r>
        <w:rPr>
          <w:rFonts w:hint="eastAsia"/>
          <w:b/>
          <w:sz w:val="20"/>
          <w:szCs w:val="20"/>
        </w:rPr>
        <w:t>2</w:t>
      </w:r>
      <w:r>
        <w:rPr>
          <w:rFonts w:ascii="宋体" w:hAnsi="宋体"/>
          <w:bCs/>
          <w:sz w:val="20"/>
          <w:szCs w:val="20"/>
        </w:rPr>
        <w:t xml:space="preserve">  </w:t>
      </w:r>
      <w:r>
        <w:rPr>
          <w:rFonts w:hint="eastAsia" w:ascii="宋体" w:hAnsi="宋体"/>
          <w:bCs/>
          <w:sz w:val="20"/>
          <w:szCs w:val="20"/>
        </w:rPr>
        <w:t>对于基坑周边开挖影响范围内存在对变形敏感的地下管线或对变形控制要求严格的建（构）筑物，不宜采用放坡支护</w:t>
      </w:r>
      <w:r>
        <w:rPr>
          <w:rFonts w:hint="eastAsia" w:ascii="宋体" w:hAnsi="宋体"/>
          <w:sz w:val="20"/>
          <w:szCs w:val="20"/>
        </w:rPr>
        <w:t>。</w:t>
      </w:r>
    </w:p>
    <w:p w14:paraId="5CFEB795">
      <w:pPr>
        <w:adjustRightInd w:val="0"/>
        <w:snapToGrid w:val="0"/>
        <w:spacing w:line="288" w:lineRule="auto"/>
        <w:rPr>
          <w:rFonts w:ascii="宋体" w:hAnsi="宋体"/>
          <w:sz w:val="20"/>
          <w:szCs w:val="20"/>
        </w:rPr>
      </w:pPr>
      <w:r>
        <w:rPr>
          <w:b/>
          <w:sz w:val="20"/>
          <w:szCs w:val="20"/>
        </w:rPr>
        <w:t xml:space="preserve">6.1.3  </w:t>
      </w:r>
      <w:r>
        <w:rPr>
          <w:rFonts w:hint="eastAsia" w:ascii="宋体" w:hAnsi="宋体"/>
          <w:bCs/>
          <w:sz w:val="20"/>
          <w:szCs w:val="20"/>
        </w:rPr>
        <w:t>应合理</w:t>
      </w:r>
      <w:r>
        <w:rPr>
          <w:rFonts w:hint="eastAsia" w:ascii="宋体" w:hAnsi="宋体"/>
          <w:sz w:val="20"/>
          <w:szCs w:val="20"/>
        </w:rPr>
        <w:t>确定放坡坡度，保证坡壁的稳定性和减少土方开挖量。</w:t>
      </w:r>
    </w:p>
    <w:p w14:paraId="2686E031">
      <w:pPr>
        <w:pStyle w:val="12"/>
        <w:adjustRightInd w:val="0"/>
        <w:snapToGrid w:val="0"/>
        <w:spacing w:line="288" w:lineRule="auto"/>
        <w:jc w:val="both"/>
        <w:rPr>
          <w:rFonts w:ascii="Times New Roman" w:hAnsi="Times New Roman"/>
          <w:sz w:val="20"/>
          <w:szCs w:val="20"/>
        </w:rPr>
      </w:pPr>
      <w:r>
        <w:rPr>
          <w:rFonts w:ascii="Times New Roman" w:hAnsi="Times New Roman"/>
          <w:b/>
          <w:kern w:val="2"/>
          <w:sz w:val="20"/>
          <w:szCs w:val="20"/>
        </w:rPr>
        <w:t>6.1.</w:t>
      </w:r>
      <w:r>
        <w:rPr>
          <w:rFonts w:hint="eastAsia" w:ascii="Times New Roman" w:hAnsi="Times New Roman"/>
          <w:b/>
          <w:kern w:val="2"/>
          <w:sz w:val="20"/>
          <w:szCs w:val="20"/>
        </w:rPr>
        <w:t>4</w:t>
      </w:r>
      <w:r>
        <w:rPr>
          <w:rFonts w:ascii="宋体" w:hAnsi="宋体"/>
          <w:bCs/>
          <w:sz w:val="20"/>
          <w:szCs w:val="20"/>
        </w:rPr>
        <w:t xml:space="preserve">  </w:t>
      </w:r>
      <w:r>
        <w:rPr>
          <w:rFonts w:hint="eastAsia" w:ascii="宋体" w:hAnsi="宋体"/>
          <w:sz w:val="20"/>
          <w:szCs w:val="20"/>
        </w:rPr>
        <w:t>对深度大</w:t>
      </w:r>
      <w:r>
        <w:rPr>
          <w:rFonts w:ascii="Times New Roman" w:hAnsi="Times New Roman"/>
          <w:sz w:val="20"/>
          <w:szCs w:val="20"/>
        </w:rPr>
        <w:t>于5m的土质边坡，应设置分级过渡平台，各级过渡平台的宽度不宜小于1.5m，多级放坡基坑开挖深度不宜大于10m。岩石边坡过渡平台的宽度不应小于1m。有台阶型的边坡，应在过渡平台上设置防渗排水措施。</w:t>
      </w:r>
    </w:p>
    <w:p w14:paraId="2A4859CB">
      <w:pPr>
        <w:adjustRightInd w:val="0"/>
        <w:snapToGrid w:val="0"/>
        <w:spacing w:line="288" w:lineRule="auto"/>
        <w:rPr>
          <w:rFonts w:ascii="宋体" w:hAnsi="宋体"/>
          <w:sz w:val="20"/>
          <w:szCs w:val="20"/>
        </w:rPr>
      </w:pPr>
      <w:r>
        <w:rPr>
          <w:b/>
          <w:sz w:val="20"/>
          <w:szCs w:val="20"/>
        </w:rPr>
        <w:t>6.1.</w:t>
      </w:r>
      <w:r>
        <w:rPr>
          <w:rFonts w:hint="eastAsia"/>
          <w:b/>
          <w:sz w:val="20"/>
          <w:szCs w:val="20"/>
        </w:rPr>
        <w:t xml:space="preserve">5 </w:t>
      </w:r>
      <w:r>
        <w:rPr>
          <w:rFonts w:hint="eastAsia" w:ascii="宋体" w:hAnsi="宋体"/>
          <w:bCs/>
          <w:sz w:val="20"/>
          <w:szCs w:val="20"/>
        </w:rPr>
        <w:t xml:space="preserve"> </w:t>
      </w:r>
      <w:r>
        <w:rPr>
          <w:rFonts w:hint="eastAsia" w:ascii="宋体" w:hAnsi="宋体"/>
          <w:sz w:val="20"/>
          <w:szCs w:val="20"/>
        </w:rPr>
        <w:t>当不具备全深度放坡开挖条件时，放坡可以与其他支护形式结合使用。</w:t>
      </w:r>
    </w:p>
    <w:p w14:paraId="763C2780">
      <w:pPr>
        <w:adjustRightInd w:val="0"/>
        <w:snapToGrid w:val="0"/>
        <w:spacing w:line="288" w:lineRule="auto"/>
        <w:rPr>
          <w:rFonts w:ascii="宋体" w:hAnsi="宋体"/>
          <w:sz w:val="20"/>
          <w:szCs w:val="20"/>
        </w:rPr>
      </w:pPr>
      <w:r>
        <w:rPr>
          <w:b/>
          <w:sz w:val="20"/>
          <w:szCs w:val="20"/>
        </w:rPr>
        <w:t>6.1.</w:t>
      </w:r>
      <w:r>
        <w:rPr>
          <w:rFonts w:hint="eastAsia"/>
          <w:b/>
          <w:sz w:val="20"/>
          <w:szCs w:val="20"/>
        </w:rPr>
        <w:t>6</w:t>
      </w:r>
      <w:r>
        <w:rPr>
          <w:rFonts w:hint="eastAsia" w:ascii="宋体" w:hAnsi="宋体"/>
          <w:sz w:val="20"/>
          <w:szCs w:val="20"/>
        </w:rPr>
        <w:t xml:space="preserve">  放坡设计应包括坡面防护措施。</w:t>
      </w:r>
    </w:p>
    <w:p w14:paraId="7BDA38A7">
      <w:pPr>
        <w:adjustRightInd w:val="0"/>
        <w:snapToGrid w:val="0"/>
        <w:spacing w:line="288" w:lineRule="auto"/>
        <w:rPr>
          <w:rFonts w:ascii="宋体" w:hAnsi="宋体"/>
          <w:sz w:val="20"/>
          <w:szCs w:val="20"/>
        </w:rPr>
      </w:pPr>
      <w:r>
        <w:rPr>
          <w:b/>
          <w:sz w:val="20"/>
          <w:szCs w:val="20"/>
        </w:rPr>
        <w:t>6.1.</w:t>
      </w:r>
      <w:r>
        <w:rPr>
          <w:rFonts w:hint="eastAsia"/>
          <w:b/>
          <w:sz w:val="20"/>
          <w:szCs w:val="20"/>
        </w:rPr>
        <w:t>7</w:t>
      </w:r>
      <w:r>
        <w:rPr>
          <w:b/>
          <w:sz w:val="20"/>
          <w:szCs w:val="20"/>
        </w:rPr>
        <w:t xml:space="preserve">  </w:t>
      </w:r>
      <w:r>
        <w:rPr>
          <w:rFonts w:hint="eastAsia" w:ascii="宋体" w:hAnsi="宋体"/>
          <w:sz w:val="20"/>
          <w:szCs w:val="20"/>
        </w:rPr>
        <w:t>放坡设计应进行边坡整体稳定性验算，土质边坡可按平面问题考虑，采用瑞典条分法计算整体稳定性。</w:t>
      </w:r>
      <w:r>
        <w:rPr>
          <w:rFonts w:hint="eastAsia" w:ascii="宋体" w:hAnsi="宋体"/>
          <w:bCs/>
          <w:sz w:val="20"/>
          <w:szCs w:val="20"/>
        </w:rPr>
        <w:t>对于多级边坡，应验算不同工况的</w:t>
      </w:r>
      <w:r>
        <w:rPr>
          <w:rFonts w:hint="eastAsia" w:ascii="宋体" w:hAnsi="宋体"/>
          <w:sz w:val="20"/>
          <w:szCs w:val="20"/>
        </w:rPr>
        <w:t>各级边坡和多级边坡</w:t>
      </w:r>
      <w:r>
        <w:rPr>
          <w:rFonts w:hint="eastAsia" w:ascii="宋体" w:hAnsi="宋体"/>
          <w:bCs/>
          <w:sz w:val="20"/>
          <w:szCs w:val="20"/>
        </w:rPr>
        <w:t>整体稳定性，</w:t>
      </w:r>
      <w:r>
        <w:rPr>
          <w:rFonts w:hint="eastAsia" w:ascii="宋体" w:hAnsi="宋体"/>
          <w:sz w:val="20"/>
          <w:szCs w:val="20"/>
        </w:rPr>
        <w:t>坡脚附近有局部坑内深坑时，应按深坑深度验算边坡稳定性。基坑整体稳定性验算，各危险滑裂面均应满足下式要求：</w:t>
      </w:r>
    </w:p>
    <w:p w14:paraId="49C31B5A">
      <w:pPr>
        <w:adjustRightInd w:val="0"/>
        <w:snapToGrid w:val="0"/>
        <w:spacing w:line="288" w:lineRule="auto"/>
        <w:ind w:right="800" w:firstLine="400" w:firstLineChars="200"/>
        <w:jc w:val="center"/>
        <w:rPr>
          <w:rFonts w:ascii="宋体" w:hAnsi="宋体"/>
          <w:sz w:val="20"/>
          <w:szCs w:val="20"/>
        </w:rPr>
      </w:pPr>
      <w:r>
        <w:rPr>
          <w:i/>
          <w:iCs/>
          <w:sz w:val="20"/>
          <w:szCs w:val="20"/>
        </w:rPr>
        <w:t xml:space="preserve">                                    М</w:t>
      </w:r>
      <w:r>
        <w:rPr>
          <w:sz w:val="20"/>
          <w:szCs w:val="20"/>
          <w:vertAlign w:val="subscript"/>
        </w:rPr>
        <w:t>R</w:t>
      </w:r>
      <w:r>
        <w:rPr>
          <w:sz w:val="20"/>
          <w:szCs w:val="20"/>
        </w:rPr>
        <w:t xml:space="preserve"> </w:t>
      </w:r>
      <w:r>
        <w:rPr>
          <w:rFonts w:hint="eastAsia" w:ascii="宋体" w:hAnsi="宋体"/>
          <w:sz w:val="20"/>
          <w:szCs w:val="20"/>
        </w:rPr>
        <w:t>/</w:t>
      </w:r>
      <w:r>
        <w:rPr>
          <w:i/>
          <w:iCs/>
          <w:sz w:val="20"/>
          <w:szCs w:val="20"/>
        </w:rPr>
        <w:t>М</w:t>
      </w:r>
      <w:r>
        <w:rPr>
          <w:sz w:val="20"/>
          <w:szCs w:val="20"/>
          <w:vertAlign w:val="subscript"/>
        </w:rPr>
        <w:t>S</w:t>
      </w:r>
      <w:r>
        <w:rPr>
          <w:rFonts w:hint="eastAsia" w:ascii="宋体" w:hAnsi="宋体"/>
          <w:sz w:val="20"/>
          <w:szCs w:val="20"/>
        </w:rPr>
        <w:t>≥</w:t>
      </w:r>
      <w:r>
        <w:rPr>
          <w:sz w:val="20"/>
          <w:szCs w:val="20"/>
        </w:rPr>
        <w:t>1.2</w: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w:t>
      </w:r>
      <w:r>
        <w:rPr>
          <w:sz w:val="20"/>
          <w:szCs w:val="20"/>
        </w:rPr>
        <w:t>6.1.</w:t>
      </w:r>
      <w:r>
        <w:rPr>
          <w:rFonts w:hint="eastAsia"/>
          <w:sz w:val="20"/>
          <w:szCs w:val="20"/>
        </w:rPr>
        <w:t>7</w:t>
      </w:r>
      <w:r>
        <w:rPr>
          <w:rFonts w:hint="eastAsia" w:ascii="宋体" w:hAnsi="宋体"/>
          <w:sz w:val="20"/>
          <w:szCs w:val="20"/>
        </w:rPr>
        <w:t>）</w:t>
      </w:r>
    </w:p>
    <w:p w14:paraId="77207802">
      <w:pPr>
        <w:adjustRightInd w:val="0"/>
        <w:snapToGrid w:val="0"/>
        <w:spacing w:line="288" w:lineRule="auto"/>
        <w:rPr>
          <w:rFonts w:ascii="宋体" w:hAnsi="宋体"/>
          <w:sz w:val="20"/>
          <w:szCs w:val="20"/>
        </w:rPr>
      </w:pPr>
      <w:r>
        <w:rPr>
          <w:rFonts w:hint="eastAsia" w:ascii="宋体" w:hAnsi="宋体"/>
          <w:sz w:val="20"/>
          <w:szCs w:val="20"/>
        </w:rPr>
        <w:t>式中：</w:t>
      </w:r>
      <w:r>
        <w:rPr>
          <w:i/>
          <w:iCs/>
          <w:sz w:val="20"/>
          <w:szCs w:val="20"/>
        </w:rPr>
        <w:t>М</w:t>
      </w:r>
      <w:r>
        <w:rPr>
          <w:sz w:val="20"/>
          <w:szCs w:val="20"/>
          <w:vertAlign w:val="subscript"/>
        </w:rPr>
        <w:t>R</w:t>
      </w:r>
      <w:r>
        <w:rPr>
          <w:iCs/>
        </w:rPr>
        <w:t>——</w:t>
      </w:r>
      <w:r>
        <w:rPr>
          <w:rFonts w:hint="eastAsia" w:ascii="宋体" w:hAnsi="宋体"/>
          <w:sz w:val="20"/>
          <w:szCs w:val="20"/>
        </w:rPr>
        <w:t>作用于危险滑裂面上的抗滑力矩标准值（</w:t>
      </w:r>
      <w:r>
        <w:rPr>
          <w:sz w:val="20"/>
          <w:szCs w:val="20"/>
        </w:rPr>
        <w:t>kN</w:t>
      </w:r>
      <w:r>
        <w:rPr>
          <w:rFonts w:hint="eastAsia"/>
          <w:iCs/>
          <w:sz w:val="20"/>
          <w:szCs w:val="20"/>
        </w:rPr>
        <w:t>·</w:t>
      </w:r>
      <w:r>
        <w:rPr>
          <w:rFonts w:hint="eastAsia"/>
          <w:sz w:val="20"/>
          <w:szCs w:val="20"/>
        </w:rPr>
        <w:t>m</w:t>
      </w:r>
      <w:r>
        <w:rPr>
          <w:rFonts w:hint="eastAsia" w:ascii="宋体" w:hAnsi="宋体"/>
          <w:iCs/>
          <w:sz w:val="20"/>
          <w:szCs w:val="20"/>
        </w:rPr>
        <w:t>）</w:t>
      </w:r>
      <w:r>
        <w:rPr>
          <w:rFonts w:hint="eastAsia" w:ascii="宋体" w:hAnsi="宋体"/>
          <w:sz w:val="20"/>
          <w:szCs w:val="20"/>
        </w:rPr>
        <w:t>；</w:t>
      </w:r>
    </w:p>
    <w:p w14:paraId="0E9E7A39">
      <w:pPr>
        <w:adjustRightInd w:val="0"/>
        <w:snapToGrid w:val="0"/>
        <w:spacing w:line="288" w:lineRule="auto"/>
        <w:rPr>
          <w:rFonts w:ascii="宋体" w:hAnsi="宋体"/>
          <w:sz w:val="20"/>
          <w:szCs w:val="20"/>
        </w:rPr>
      </w:pPr>
      <w:r>
        <w:rPr>
          <w:rFonts w:hint="eastAsia" w:ascii="宋体" w:hAnsi="宋体"/>
          <w:sz w:val="20"/>
          <w:szCs w:val="20"/>
        </w:rPr>
        <w:t xml:space="preserve">      </w:t>
      </w:r>
      <w:r>
        <w:rPr>
          <w:i/>
          <w:iCs/>
          <w:sz w:val="20"/>
          <w:szCs w:val="20"/>
        </w:rPr>
        <w:t>М</w:t>
      </w:r>
      <w:r>
        <w:rPr>
          <w:sz w:val="20"/>
          <w:szCs w:val="20"/>
          <w:vertAlign w:val="subscript"/>
        </w:rPr>
        <w:t>S</w:t>
      </w:r>
      <w:r>
        <w:rPr>
          <w:rFonts w:hint="eastAsia"/>
          <w:sz w:val="20"/>
          <w:szCs w:val="20"/>
          <w:vertAlign w:val="subscript"/>
        </w:rPr>
        <w:t xml:space="preserve"> </w:t>
      </w:r>
      <w:r>
        <w:rPr>
          <w:iCs/>
        </w:rPr>
        <w:t>——</w:t>
      </w:r>
      <w:r>
        <w:rPr>
          <w:rFonts w:hint="eastAsia" w:ascii="宋体" w:hAnsi="宋体"/>
          <w:sz w:val="20"/>
          <w:szCs w:val="20"/>
        </w:rPr>
        <w:t>作用于危险滑裂面上的滑动力矩标准值（</w:t>
      </w:r>
      <w:r>
        <w:rPr>
          <w:sz w:val="20"/>
          <w:szCs w:val="20"/>
        </w:rPr>
        <w:t>kN</w:t>
      </w:r>
      <w:r>
        <w:rPr>
          <w:rFonts w:hint="eastAsia"/>
          <w:iCs/>
          <w:sz w:val="20"/>
          <w:szCs w:val="20"/>
        </w:rPr>
        <w:t>·</w:t>
      </w:r>
      <w:r>
        <w:rPr>
          <w:rFonts w:hint="eastAsia"/>
          <w:sz w:val="20"/>
          <w:szCs w:val="20"/>
        </w:rPr>
        <w:t>m</w:t>
      </w:r>
      <w:r>
        <w:rPr>
          <w:rFonts w:hint="eastAsia" w:ascii="宋体" w:hAnsi="宋体"/>
          <w:iCs/>
          <w:sz w:val="20"/>
          <w:szCs w:val="20"/>
        </w:rPr>
        <w:t>）</w:t>
      </w:r>
      <w:r>
        <w:rPr>
          <w:rFonts w:hint="eastAsia" w:ascii="宋体" w:hAnsi="宋体"/>
          <w:sz w:val="20"/>
          <w:szCs w:val="20"/>
        </w:rPr>
        <w:t>。</w:t>
      </w:r>
    </w:p>
    <w:p w14:paraId="13D5DC20">
      <w:pPr>
        <w:adjustRightInd w:val="0"/>
        <w:snapToGrid w:val="0"/>
        <w:spacing w:line="288" w:lineRule="auto"/>
        <w:rPr>
          <w:rFonts w:ascii="宋体" w:hAnsi="宋体"/>
          <w:sz w:val="20"/>
          <w:szCs w:val="20"/>
        </w:rPr>
      </w:pPr>
      <w:r>
        <w:rPr>
          <w:b/>
          <w:sz w:val="20"/>
          <w:szCs w:val="20"/>
        </w:rPr>
        <w:t>6.1.</w:t>
      </w:r>
      <w:r>
        <w:rPr>
          <w:rFonts w:hint="eastAsia"/>
          <w:b/>
          <w:sz w:val="20"/>
          <w:szCs w:val="20"/>
        </w:rPr>
        <w:t>8</w:t>
      </w:r>
      <w:r>
        <w:rPr>
          <w:rFonts w:hint="eastAsia" w:ascii="宋体" w:hAnsi="宋体"/>
          <w:sz w:val="20"/>
          <w:szCs w:val="20"/>
        </w:rPr>
        <w:t xml:space="preserve">  基坑开挖时，坡顶应设置有效的安全围护措施，场地内应设置人员及设备上下的坡道。严禁在坡壁掏坑攀登上下。</w:t>
      </w:r>
    </w:p>
    <w:p w14:paraId="3DA1C447">
      <w:pPr>
        <w:pStyle w:val="7"/>
        <w:keepNext w:val="0"/>
        <w:keepLines w:val="0"/>
        <w:adjustRightInd w:val="0"/>
        <w:snapToGrid w:val="0"/>
        <w:spacing w:before="312" w:beforeLines="100" w:after="312" w:afterLines="100" w:line="288" w:lineRule="auto"/>
        <w:jc w:val="center"/>
        <w:rPr>
          <w:rFonts w:ascii="宋体" w:hAnsi="宋体"/>
          <w:b w:val="0"/>
          <w:sz w:val="20"/>
          <w:szCs w:val="20"/>
        </w:rPr>
      </w:pPr>
      <w:bookmarkStart w:id="43" w:name="_Toc139613723"/>
      <w:r>
        <w:rPr>
          <w:sz w:val="20"/>
          <w:szCs w:val="20"/>
        </w:rPr>
        <w:t>6</w:t>
      </w:r>
      <w:r>
        <w:rPr>
          <w:rFonts w:hint="eastAsia"/>
          <w:sz w:val="20"/>
          <w:szCs w:val="20"/>
        </w:rPr>
        <w:t>.2</w:t>
      </w:r>
      <w:r>
        <w:rPr>
          <w:sz w:val="20"/>
          <w:szCs w:val="20"/>
        </w:rPr>
        <w:t xml:space="preserve">  </w:t>
      </w:r>
      <w:r>
        <w:rPr>
          <w:rFonts w:hint="eastAsia" w:ascii="黑体" w:hAnsi="黑体" w:eastAsia="黑体"/>
          <w:b w:val="0"/>
          <w:sz w:val="20"/>
          <w:szCs w:val="20"/>
        </w:rPr>
        <w:t>放坡施工</w:t>
      </w:r>
      <w:bookmarkEnd w:id="43"/>
    </w:p>
    <w:p w14:paraId="5FAC8B50">
      <w:pPr>
        <w:pStyle w:val="12"/>
        <w:adjustRightInd w:val="0"/>
        <w:snapToGrid w:val="0"/>
        <w:spacing w:line="288" w:lineRule="auto"/>
        <w:jc w:val="both"/>
        <w:rPr>
          <w:rFonts w:ascii="宋体" w:hAnsi="宋体"/>
          <w:sz w:val="20"/>
          <w:szCs w:val="20"/>
        </w:rPr>
      </w:pPr>
      <w:r>
        <w:rPr>
          <w:rFonts w:ascii="Times New Roman" w:hAnsi="Times New Roman"/>
          <w:b/>
          <w:kern w:val="2"/>
          <w:sz w:val="20"/>
          <w:szCs w:val="20"/>
        </w:rPr>
        <w:t xml:space="preserve">6.2.1  </w:t>
      </w:r>
      <w:r>
        <w:rPr>
          <w:rFonts w:hint="eastAsia" w:ascii="宋体" w:hAnsi="宋体"/>
          <w:sz w:val="20"/>
          <w:szCs w:val="20"/>
        </w:rPr>
        <w:t>在基坑周围影响边坡稳定的范围内，应对地面采取防水、排水、截水等保护措施。</w:t>
      </w:r>
    </w:p>
    <w:p w14:paraId="4B3B7E76">
      <w:pPr>
        <w:adjustRightInd w:val="0"/>
        <w:snapToGrid w:val="0"/>
        <w:spacing w:line="288" w:lineRule="auto"/>
        <w:rPr>
          <w:rFonts w:ascii="宋体" w:hAnsi="宋体"/>
          <w:sz w:val="20"/>
          <w:szCs w:val="20"/>
        </w:rPr>
      </w:pPr>
      <w:r>
        <w:rPr>
          <w:rFonts w:hint="eastAsia"/>
          <w:b/>
          <w:sz w:val="20"/>
          <w:szCs w:val="20"/>
        </w:rPr>
        <w:t>6.2.2</w:t>
      </w:r>
      <w:r>
        <w:rPr>
          <w:rFonts w:ascii="宋体" w:hAnsi="宋体"/>
          <w:bCs/>
          <w:sz w:val="20"/>
          <w:szCs w:val="20"/>
        </w:rPr>
        <w:t xml:space="preserve">  </w:t>
      </w:r>
      <w:r>
        <w:rPr>
          <w:rFonts w:hint="eastAsia" w:ascii="宋体" w:hAnsi="宋体"/>
          <w:sz w:val="20"/>
          <w:szCs w:val="20"/>
        </w:rPr>
        <w:t>对于土质边坡或易于软化的岩质边坡，在开挖时应采取相应的排水和坡脚、坡面防护措施。基底设置排水沟时，应距离坡脚不少于</w:t>
      </w:r>
      <w:r>
        <w:rPr>
          <w:rFonts w:hint="eastAsia"/>
          <w:kern w:val="0"/>
          <w:sz w:val="20"/>
          <w:szCs w:val="20"/>
        </w:rPr>
        <w:t>300mm</w:t>
      </w:r>
      <w:r>
        <w:rPr>
          <w:rFonts w:hint="eastAsia" w:ascii="宋体" w:hAnsi="宋体"/>
          <w:sz w:val="20"/>
          <w:szCs w:val="20"/>
        </w:rPr>
        <w:t>，并排除积水。</w:t>
      </w:r>
    </w:p>
    <w:p w14:paraId="18DA1F2E">
      <w:pPr>
        <w:pStyle w:val="12"/>
        <w:adjustRightInd w:val="0"/>
        <w:snapToGrid w:val="0"/>
        <w:spacing w:line="288" w:lineRule="auto"/>
        <w:jc w:val="both"/>
        <w:rPr>
          <w:rFonts w:ascii="宋体" w:hAnsi="宋体"/>
          <w:sz w:val="20"/>
          <w:szCs w:val="20"/>
        </w:rPr>
      </w:pPr>
      <w:r>
        <w:rPr>
          <w:rFonts w:hint="eastAsia" w:ascii="Times New Roman" w:hAnsi="Times New Roman"/>
          <w:b/>
          <w:kern w:val="2"/>
          <w:sz w:val="20"/>
          <w:szCs w:val="20"/>
        </w:rPr>
        <w:t>6.2.3</w:t>
      </w:r>
      <w:r>
        <w:rPr>
          <w:rFonts w:ascii="Times New Roman" w:hAnsi="Times New Roman"/>
          <w:b/>
          <w:kern w:val="2"/>
          <w:sz w:val="20"/>
          <w:szCs w:val="20"/>
        </w:rPr>
        <w:t xml:space="preserve">  </w:t>
      </w:r>
      <w:r>
        <w:rPr>
          <w:rFonts w:hint="eastAsia" w:ascii="宋体" w:hAnsi="宋体"/>
          <w:sz w:val="20"/>
          <w:szCs w:val="20"/>
        </w:rPr>
        <w:t>基坑周边堆置土方、建筑材料或沿基坑边缘移动运输工具和其它机械设备时，距基坑上部边缘不应小于2.0m或满足设计要求，堆置高度及堆置荷载应满足设计要求。对于侧壁土含水量丰富地段，不应在基坑边堆置弃土或施加其他附加荷载。</w:t>
      </w:r>
    </w:p>
    <w:p w14:paraId="01422485">
      <w:pPr>
        <w:pStyle w:val="12"/>
        <w:adjustRightInd w:val="0"/>
        <w:snapToGrid w:val="0"/>
        <w:spacing w:line="288" w:lineRule="auto"/>
        <w:jc w:val="both"/>
        <w:rPr>
          <w:rFonts w:ascii="Times New Roman" w:hAnsi="Times New Roman"/>
          <w:b/>
          <w:bCs/>
          <w:sz w:val="20"/>
          <w:szCs w:val="20"/>
        </w:rPr>
      </w:pPr>
      <w:r>
        <w:rPr>
          <w:rFonts w:ascii="Times New Roman" w:hAnsi="Times New Roman"/>
          <w:b/>
          <w:kern w:val="2"/>
          <w:sz w:val="20"/>
          <w:szCs w:val="20"/>
        </w:rPr>
        <w:t xml:space="preserve">6.2.4  </w:t>
      </w:r>
      <w:r>
        <w:rPr>
          <w:rFonts w:hint="eastAsia"/>
          <w:sz w:val="20"/>
          <w:szCs w:val="20"/>
        </w:rPr>
        <w:t>放坡施工时应对坡面平整度、坡底标高、坡率、平台宽度、坡脚线偏位进行检测，质量检测应满足现行地方标准《建筑地基基础工程施工质量验收标准》</w:t>
      </w:r>
      <w:r>
        <w:rPr>
          <w:rFonts w:ascii="Times New Roman" w:hAnsi="Times New Roman"/>
          <w:sz w:val="20"/>
          <w:szCs w:val="20"/>
        </w:rPr>
        <w:t>GB50202</w:t>
      </w:r>
      <w:r>
        <w:rPr>
          <w:rFonts w:hint="eastAsia"/>
          <w:sz w:val="20"/>
          <w:szCs w:val="20"/>
        </w:rPr>
        <w:t>的相关要求。</w:t>
      </w:r>
    </w:p>
    <w:p w14:paraId="7A0D0ACB">
      <w:pPr>
        <w:widowControl/>
        <w:jc w:val="left"/>
        <w:rPr>
          <w:szCs w:val="24"/>
        </w:rPr>
      </w:pPr>
      <w:r>
        <w:br w:type="page"/>
      </w:r>
    </w:p>
    <w:p w14:paraId="759DACC4">
      <w:pPr>
        <w:pStyle w:val="5"/>
        <w:keepNext w:val="0"/>
        <w:keepLines w:val="0"/>
        <w:adjustRightInd w:val="0"/>
        <w:snapToGrid w:val="0"/>
        <w:spacing w:before="156" w:beforeLines="50" w:after="312" w:afterLines="100" w:line="288" w:lineRule="auto"/>
        <w:jc w:val="center"/>
        <w:rPr>
          <w:rFonts w:ascii="黑体" w:hAnsi="黑体"/>
          <w:b w:val="0"/>
          <w:sz w:val="26"/>
          <w:szCs w:val="26"/>
        </w:rPr>
      </w:pPr>
      <w:bookmarkStart w:id="44" w:name="_Toc139613724"/>
      <w:r>
        <w:rPr>
          <w:rFonts w:ascii="Times New Roman" w:hAnsi="Times New Roman"/>
          <w:sz w:val="26"/>
          <w:szCs w:val="26"/>
        </w:rPr>
        <w:t>7</w:t>
      </w:r>
      <w:r>
        <w:rPr>
          <w:rFonts w:hint="eastAsia" w:ascii="黑体" w:hAnsi="黑体"/>
          <w:b w:val="0"/>
          <w:sz w:val="26"/>
          <w:szCs w:val="26"/>
        </w:rPr>
        <w:t xml:space="preserve">  支挡式结构</w:t>
      </w:r>
      <w:bookmarkEnd w:id="32"/>
      <w:bookmarkEnd w:id="33"/>
      <w:bookmarkEnd w:id="34"/>
      <w:bookmarkEnd w:id="35"/>
      <w:bookmarkEnd w:id="44"/>
      <w:bookmarkStart w:id="45" w:name="_Toc428777564"/>
      <w:bookmarkStart w:id="46" w:name="_Toc468104705"/>
      <w:bookmarkStart w:id="47" w:name="_Toc467515300"/>
    </w:p>
    <w:bookmarkEnd w:id="45"/>
    <w:bookmarkEnd w:id="46"/>
    <w:bookmarkEnd w:id="47"/>
    <w:p w14:paraId="61F55721">
      <w:pPr>
        <w:pStyle w:val="7"/>
        <w:keepNext w:val="0"/>
        <w:keepLines w:val="0"/>
        <w:adjustRightInd w:val="0"/>
        <w:snapToGrid w:val="0"/>
        <w:spacing w:before="312" w:beforeLines="100" w:after="312" w:afterLines="100" w:line="288" w:lineRule="auto"/>
        <w:jc w:val="center"/>
        <w:rPr>
          <w:rFonts w:eastAsia="黑体"/>
          <w:b w:val="0"/>
          <w:sz w:val="20"/>
          <w:szCs w:val="20"/>
        </w:rPr>
      </w:pPr>
      <w:bookmarkStart w:id="48" w:name="_Toc139613725"/>
      <w:bookmarkStart w:id="49" w:name="_Toc413157298"/>
      <w:bookmarkStart w:id="50" w:name="_Toc468104707"/>
      <w:bookmarkStart w:id="51" w:name="_Toc413756028"/>
      <w:bookmarkStart w:id="52" w:name="_Toc428777566"/>
      <w:r>
        <w:rPr>
          <w:rFonts w:eastAsia="黑体"/>
          <w:sz w:val="20"/>
          <w:szCs w:val="20"/>
        </w:rPr>
        <w:t>7.1</w:t>
      </w:r>
      <w:r>
        <w:rPr>
          <w:rFonts w:eastAsia="黑体"/>
          <w:b w:val="0"/>
          <w:sz w:val="20"/>
          <w:szCs w:val="20"/>
        </w:rPr>
        <w:t xml:space="preserve">  一般规定</w:t>
      </w:r>
      <w:bookmarkEnd w:id="48"/>
      <w:r>
        <w:rPr>
          <w:rFonts w:hint="eastAsia" w:eastAsia="黑体"/>
          <w:b w:val="0"/>
          <w:sz w:val="20"/>
          <w:szCs w:val="20"/>
        </w:rPr>
        <w:t xml:space="preserve"> </w:t>
      </w:r>
    </w:p>
    <w:p w14:paraId="629D4FDA">
      <w:pPr>
        <w:adjustRightInd w:val="0"/>
        <w:snapToGrid w:val="0"/>
        <w:spacing w:line="288" w:lineRule="auto"/>
        <w:rPr>
          <w:rFonts w:ascii="宋体" w:hAnsi="宋体"/>
          <w:sz w:val="20"/>
          <w:szCs w:val="20"/>
        </w:rPr>
      </w:pPr>
      <w:r>
        <w:rPr>
          <w:b/>
          <w:bCs/>
          <w:kern w:val="0"/>
          <w:sz w:val="20"/>
          <w:szCs w:val="20"/>
        </w:rPr>
        <w:t xml:space="preserve">7.1.1  </w:t>
      </w:r>
      <w:r>
        <w:rPr>
          <w:rFonts w:hint="eastAsia" w:ascii="宋体" w:hAnsi="宋体"/>
          <w:sz w:val="20"/>
          <w:szCs w:val="20"/>
        </w:rPr>
        <w:t>支挡式结构的选型应符合本规程第</w:t>
      </w:r>
      <w:r>
        <w:rPr>
          <w:sz w:val="20"/>
          <w:szCs w:val="20"/>
        </w:rPr>
        <w:t>3.2</w:t>
      </w:r>
      <w:r>
        <w:rPr>
          <w:rFonts w:hint="eastAsia" w:ascii="宋体" w:hAnsi="宋体"/>
          <w:sz w:val="20"/>
          <w:szCs w:val="20"/>
        </w:rPr>
        <w:t>节的规定。</w:t>
      </w:r>
    </w:p>
    <w:p w14:paraId="3C1BFF8D">
      <w:pPr>
        <w:adjustRightInd w:val="0"/>
        <w:snapToGrid w:val="0"/>
        <w:spacing w:line="288" w:lineRule="auto"/>
        <w:rPr>
          <w:rFonts w:ascii="宋体" w:hAnsi="宋体"/>
          <w:sz w:val="20"/>
          <w:szCs w:val="20"/>
        </w:rPr>
      </w:pPr>
      <w:r>
        <w:rPr>
          <w:b/>
          <w:bCs/>
          <w:kern w:val="0"/>
          <w:sz w:val="20"/>
          <w:szCs w:val="20"/>
        </w:rPr>
        <w:t>7.1.2</w:t>
      </w:r>
      <w:r>
        <w:rPr>
          <w:rFonts w:hint="eastAsia" w:ascii="宋体" w:hAnsi="宋体"/>
          <w:sz w:val="20"/>
          <w:szCs w:val="20"/>
        </w:rPr>
        <w:t xml:space="preserve">  支挡式结构的挡土构件采用排桩时，桩型与成桩工艺应符合下列要求： </w:t>
      </w:r>
    </w:p>
    <w:p w14:paraId="749F3039">
      <w:pPr>
        <w:tabs>
          <w:tab w:val="left" w:pos="672"/>
          <w:tab w:val="left" w:pos="1036"/>
          <w:tab w:val="left" w:pos="1620"/>
          <w:tab w:val="left" w:pos="2160"/>
          <w:tab w:val="left" w:pos="7020"/>
        </w:tabs>
        <w:adjustRightInd w:val="0"/>
        <w:snapToGrid w:val="0"/>
        <w:spacing w:line="288" w:lineRule="auto"/>
        <w:ind w:firstLine="402" w:firstLineChars="200"/>
        <w:rPr>
          <w:rFonts w:ascii="宋体" w:hAnsi="宋体"/>
          <w:sz w:val="20"/>
          <w:szCs w:val="20"/>
        </w:rPr>
      </w:pPr>
      <w:r>
        <w:rPr>
          <w:rFonts w:hint="eastAsia" w:eastAsia="黑体"/>
          <w:b/>
          <w:sz w:val="20"/>
          <w:szCs w:val="20"/>
        </w:rPr>
        <w:t>1</w:t>
      </w:r>
      <w:r>
        <w:rPr>
          <w:rFonts w:hint="eastAsia" w:ascii="宋体" w:hAnsi="宋体"/>
          <w:sz w:val="20"/>
          <w:szCs w:val="20"/>
        </w:rPr>
        <w:t xml:space="preserve">  应根据工程地质、水文地质条件、基坑深度、变形要求、设备性能及环境条件等选择适合的桩型及施工工艺；</w:t>
      </w:r>
    </w:p>
    <w:p w14:paraId="04C10BFE">
      <w:pPr>
        <w:tabs>
          <w:tab w:val="left" w:pos="672"/>
          <w:tab w:val="left" w:pos="1036"/>
          <w:tab w:val="left" w:pos="1620"/>
          <w:tab w:val="left" w:pos="2160"/>
          <w:tab w:val="left" w:pos="7020"/>
        </w:tabs>
        <w:adjustRightInd w:val="0"/>
        <w:snapToGrid w:val="0"/>
        <w:spacing w:line="288" w:lineRule="auto"/>
        <w:ind w:firstLine="402" w:firstLineChars="200"/>
        <w:rPr>
          <w:rFonts w:ascii="宋体" w:hAnsi="宋体"/>
          <w:sz w:val="20"/>
          <w:szCs w:val="20"/>
        </w:rPr>
      </w:pPr>
      <w:r>
        <w:rPr>
          <w:rFonts w:hint="eastAsia" w:eastAsia="黑体"/>
          <w:b/>
          <w:sz w:val="20"/>
          <w:szCs w:val="20"/>
        </w:rPr>
        <w:t>2</w:t>
      </w:r>
      <w:r>
        <w:rPr>
          <w:rFonts w:hint="eastAsia" w:ascii="宋体" w:hAnsi="宋体"/>
          <w:sz w:val="20"/>
          <w:szCs w:val="20"/>
        </w:rPr>
        <w:t xml:space="preserve">  当支护桩施工影响范围内存在对地基变形敏感、结构抗裂性能差的建（构）筑物或地下管线时，不应采用挤土、易塌孔、易缩径或震动大的桩型和施工工艺；</w:t>
      </w:r>
    </w:p>
    <w:p w14:paraId="1D0AB874">
      <w:pPr>
        <w:adjustRightInd w:val="0"/>
        <w:snapToGrid w:val="0"/>
        <w:spacing w:line="288" w:lineRule="auto"/>
        <w:rPr>
          <w:rFonts w:ascii="宋体" w:hAnsi="宋体"/>
          <w:bCs/>
          <w:sz w:val="20"/>
          <w:szCs w:val="20"/>
        </w:rPr>
      </w:pPr>
      <w:r>
        <w:rPr>
          <w:b/>
          <w:bCs/>
          <w:kern w:val="0"/>
          <w:sz w:val="20"/>
          <w:szCs w:val="20"/>
        </w:rPr>
        <w:t>7.1.3</w:t>
      </w:r>
      <w:r>
        <w:rPr>
          <w:rFonts w:hint="eastAsia" w:eastAsia="黑体"/>
          <w:b/>
          <w:sz w:val="20"/>
          <w:szCs w:val="20"/>
        </w:rPr>
        <w:t xml:space="preserve">  </w:t>
      </w:r>
      <w:r>
        <w:rPr>
          <w:rFonts w:hint="eastAsia" w:ascii="宋体" w:hAnsi="宋体"/>
          <w:bCs/>
          <w:sz w:val="20"/>
          <w:szCs w:val="20"/>
        </w:rPr>
        <w:t xml:space="preserve">基坑支护采用锚拉式结构时，锚杆应符合下列规定： </w:t>
      </w:r>
    </w:p>
    <w:p w14:paraId="02ED3514">
      <w:pPr>
        <w:adjustRightInd w:val="0"/>
        <w:snapToGrid w:val="0"/>
        <w:spacing w:line="288" w:lineRule="auto"/>
        <w:ind w:firstLine="402" w:firstLineChars="200"/>
        <w:rPr>
          <w:rFonts w:ascii="宋体" w:hAnsi="宋体"/>
          <w:bCs/>
          <w:sz w:val="20"/>
          <w:szCs w:val="20"/>
        </w:rPr>
      </w:pPr>
      <w:r>
        <w:rPr>
          <w:rFonts w:hint="eastAsia" w:eastAsia="黑体"/>
          <w:b/>
          <w:sz w:val="20"/>
          <w:szCs w:val="20"/>
        </w:rPr>
        <w:t xml:space="preserve">1  </w:t>
      </w:r>
      <w:r>
        <w:rPr>
          <w:rFonts w:hint="eastAsia" w:ascii="宋体" w:hAnsi="宋体"/>
          <w:bCs/>
          <w:sz w:val="20"/>
          <w:szCs w:val="20"/>
        </w:rPr>
        <w:t>锚拉结构宜采用钢绞线锚杆；基坑安全等级为三级且锚杆承载力要求低时，也可采用钢筋锚杆；当锚杆可能影响周边地下空间后期使用或有环保等要求时，应采用可拆卸钢绞线锚杆；</w:t>
      </w:r>
    </w:p>
    <w:p w14:paraId="5D7D6BDE">
      <w:pPr>
        <w:adjustRightInd w:val="0"/>
        <w:snapToGrid w:val="0"/>
        <w:spacing w:line="288" w:lineRule="auto"/>
        <w:ind w:firstLine="402" w:firstLineChars="200"/>
        <w:rPr>
          <w:rFonts w:ascii="宋体" w:hAnsi="宋体"/>
          <w:bCs/>
          <w:sz w:val="20"/>
          <w:szCs w:val="20"/>
        </w:rPr>
      </w:pPr>
      <w:r>
        <w:rPr>
          <w:rFonts w:hint="eastAsia" w:eastAsia="黑体"/>
          <w:b/>
          <w:sz w:val="20"/>
          <w:szCs w:val="20"/>
        </w:rPr>
        <w:t>2</w:t>
      </w:r>
      <w:r>
        <w:rPr>
          <w:rFonts w:hint="eastAsia" w:ascii="宋体" w:hAnsi="宋体"/>
          <w:bCs/>
          <w:sz w:val="20"/>
          <w:szCs w:val="20"/>
        </w:rPr>
        <w:t xml:space="preserve">  在易塌孔的松散或稍密的砂土、碎石土、粉土、填土层，高液性指数的饱和黏性土层，高水压力的各类土层中，锚拉结构应采用套管护壁成孔工艺； </w:t>
      </w:r>
    </w:p>
    <w:p w14:paraId="476A0F9A">
      <w:pPr>
        <w:adjustRightInd w:val="0"/>
        <w:snapToGrid w:val="0"/>
        <w:spacing w:line="288" w:lineRule="auto"/>
        <w:ind w:firstLine="402" w:firstLineChars="200"/>
        <w:rPr>
          <w:rFonts w:ascii="宋体" w:hAnsi="宋体"/>
          <w:bCs/>
          <w:sz w:val="20"/>
          <w:szCs w:val="20"/>
        </w:rPr>
      </w:pPr>
      <w:r>
        <w:rPr>
          <w:rFonts w:hint="eastAsia" w:eastAsia="黑体"/>
          <w:b/>
          <w:sz w:val="20"/>
          <w:szCs w:val="20"/>
        </w:rPr>
        <w:t>3</w:t>
      </w:r>
      <w:r>
        <w:rPr>
          <w:rFonts w:hint="eastAsia" w:ascii="宋体" w:hAnsi="宋体"/>
          <w:bCs/>
          <w:sz w:val="20"/>
          <w:szCs w:val="20"/>
        </w:rPr>
        <w:t xml:space="preserve">  锚杆注浆宜采用二次压力注浆工艺，对于作用于软弱地层或承载力设计值较高的锚杆，宜采用劈裂注浆工艺或旋喷锚杆工艺；</w:t>
      </w:r>
    </w:p>
    <w:p w14:paraId="468F8E05">
      <w:pPr>
        <w:adjustRightInd w:val="0"/>
        <w:snapToGrid w:val="0"/>
        <w:spacing w:line="288" w:lineRule="auto"/>
        <w:ind w:firstLine="402" w:firstLineChars="200"/>
        <w:rPr>
          <w:rFonts w:ascii="宋体" w:hAnsi="宋体"/>
          <w:bCs/>
          <w:sz w:val="20"/>
          <w:szCs w:val="20"/>
        </w:rPr>
      </w:pPr>
      <w:r>
        <w:rPr>
          <w:rFonts w:hint="eastAsia" w:eastAsia="黑体"/>
          <w:b/>
          <w:sz w:val="20"/>
          <w:szCs w:val="20"/>
        </w:rPr>
        <w:t xml:space="preserve">4 </w:t>
      </w:r>
      <w:r>
        <w:rPr>
          <w:rFonts w:hint="eastAsia" w:ascii="宋体" w:hAnsi="宋体"/>
          <w:bCs/>
          <w:sz w:val="20"/>
          <w:szCs w:val="20"/>
        </w:rPr>
        <w:t xml:space="preserve"> 锚杆锚固段不应设置在淤泥、淤泥质土及松散填土层内；</w:t>
      </w:r>
    </w:p>
    <w:p w14:paraId="2E611E81">
      <w:pPr>
        <w:adjustRightInd w:val="0"/>
        <w:snapToGrid w:val="0"/>
        <w:spacing w:line="288" w:lineRule="auto"/>
        <w:ind w:firstLine="402" w:firstLineChars="200"/>
        <w:rPr>
          <w:rFonts w:ascii="宋体" w:hAnsi="宋体"/>
          <w:bCs/>
          <w:sz w:val="20"/>
          <w:szCs w:val="20"/>
        </w:rPr>
      </w:pPr>
      <w:r>
        <w:rPr>
          <w:rFonts w:eastAsia="黑体"/>
          <w:b/>
          <w:sz w:val="20"/>
          <w:szCs w:val="20"/>
        </w:rPr>
        <w:t xml:space="preserve">5  </w:t>
      </w:r>
      <w:r>
        <w:rPr>
          <w:rFonts w:hint="eastAsia" w:ascii="宋体" w:hAnsi="宋体"/>
          <w:bCs/>
          <w:sz w:val="20"/>
          <w:szCs w:val="20"/>
        </w:rPr>
        <w:t>在复杂地质条件下，应通过现场试验确定锚杆的适用性及设计参数。</w:t>
      </w:r>
    </w:p>
    <w:p w14:paraId="0D91E113">
      <w:pPr>
        <w:adjustRightInd w:val="0"/>
        <w:snapToGrid w:val="0"/>
        <w:spacing w:line="288" w:lineRule="auto"/>
        <w:rPr>
          <w:rFonts w:ascii="宋体" w:hAnsi="宋体"/>
          <w:sz w:val="20"/>
          <w:szCs w:val="20"/>
        </w:rPr>
      </w:pPr>
      <w:r>
        <w:rPr>
          <w:b/>
          <w:bCs/>
          <w:kern w:val="0"/>
          <w:sz w:val="20"/>
          <w:szCs w:val="20"/>
        </w:rPr>
        <w:t>7.1.4</w:t>
      </w:r>
      <w:r>
        <w:rPr>
          <w:rFonts w:eastAsia="黑体"/>
          <w:b/>
          <w:sz w:val="20"/>
          <w:szCs w:val="20"/>
        </w:rPr>
        <w:t xml:space="preserve"> </w:t>
      </w:r>
      <w:r>
        <w:rPr>
          <w:rFonts w:ascii="宋体" w:hAnsi="宋体"/>
          <w:bCs/>
          <w:sz w:val="20"/>
          <w:szCs w:val="20"/>
        </w:rPr>
        <w:t xml:space="preserve"> </w:t>
      </w:r>
      <w:r>
        <w:rPr>
          <w:rFonts w:hint="eastAsia" w:ascii="宋体" w:hAnsi="宋体"/>
          <w:bCs/>
          <w:sz w:val="20"/>
          <w:szCs w:val="20"/>
        </w:rPr>
        <w:t>基坑支护采用支撑式结构时，</w:t>
      </w:r>
      <w:r>
        <w:rPr>
          <w:rFonts w:hint="eastAsia" w:ascii="宋体" w:hAnsi="宋体"/>
          <w:sz w:val="20"/>
          <w:szCs w:val="20"/>
        </w:rPr>
        <w:t>支撑结构的设计、施工、检测、监测应符合现行地方标准《基坑工程内支撑技术规程》</w:t>
      </w:r>
      <w:r>
        <w:rPr>
          <w:sz w:val="20"/>
          <w:szCs w:val="20"/>
        </w:rPr>
        <w:t>DB11/</w:t>
      </w:r>
      <w:r>
        <w:rPr>
          <w:rFonts w:hint="eastAsia"/>
          <w:sz w:val="20"/>
          <w:szCs w:val="20"/>
        </w:rPr>
        <w:t xml:space="preserve"> </w:t>
      </w:r>
      <w:r>
        <w:rPr>
          <w:sz w:val="20"/>
          <w:szCs w:val="20"/>
        </w:rPr>
        <w:t>940</w:t>
      </w:r>
      <w:r>
        <w:rPr>
          <w:rFonts w:hint="eastAsia" w:ascii="宋体" w:hAnsi="宋体"/>
          <w:sz w:val="20"/>
          <w:szCs w:val="20"/>
        </w:rPr>
        <w:t>的规定。</w:t>
      </w:r>
    </w:p>
    <w:p w14:paraId="5C20416D">
      <w:pPr>
        <w:adjustRightInd w:val="0"/>
        <w:snapToGrid w:val="0"/>
        <w:spacing w:line="288" w:lineRule="auto"/>
        <w:rPr>
          <w:rFonts w:ascii="宋体" w:hAnsi="宋体"/>
          <w:b/>
          <w:sz w:val="20"/>
          <w:szCs w:val="20"/>
        </w:rPr>
      </w:pPr>
      <w:r>
        <w:rPr>
          <w:b/>
          <w:bCs/>
          <w:kern w:val="0"/>
          <w:sz w:val="20"/>
          <w:szCs w:val="20"/>
        </w:rPr>
        <w:t>7.1.5</w:t>
      </w:r>
      <w:r>
        <w:rPr>
          <w:rFonts w:hint="eastAsia" w:ascii="宋体" w:hAnsi="宋体"/>
          <w:sz w:val="20"/>
          <w:szCs w:val="20"/>
        </w:rPr>
        <w:t xml:space="preserve">  基坑支护设计应根据基坑深度、周边环境、地质条件、变形要求和地面荷载等因素不同划分计算剖面，对每一个计算剖面，应取最不利条件下的计算参数。</w:t>
      </w:r>
    </w:p>
    <w:p w14:paraId="68EF9BE0">
      <w:pPr>
        <w:pStyle w:val="7"/>
        <w:keepNext w:val="0"/>
        <w:keepLines w:val="0"/>
        <w:adjustRightInd w:val="0"/>
        <w:snapToGrid w:val="0"/>
        <w:spacing w:before="312" w:beforeLines="100" w:after="312" w:afterLines="100" w:line="288" w:lineRule="auto"/>
        <w:jc w:val="center"/>
        <w:rPr>
          <w:rFonts w:eastAsia="黑体"/>
          <w:b w:val="0"/>
          <w:sz w:val="20"/>
          <w:szCs w:val="20"/>
        </w:rPr>
      </w:pPr>
      <w:bookmarkStart w:id="53" w:name="_Toc413157297"/>
      <w:bookmarkStart w:id="54" w:name="_Toc468104706"/>
      <w:bookmarkStart w:id="55" w:name="_Toc139613726"/>
      <w:bookmarkStart w:id="56" w:name="_Toc413756027"/>
      <w:bookmarkStart w:id="57" w:name="_Toc428777565"/>
      <w:r>
        <w:rPr>
          <w:rFonts w:eastAsia="黑体"/>
          <w:sz w:val="20"/>
          <w:szCs w:val="20"/>
        </w:rPr>
        <w:t>7.2</w:t>
      </w:r>
      <w:r>
        <w:rPr>
          <w:rFonts w:eastAsia="黑体"/>
          <w:b w:val="0"/>
          <w:sz w:val="20"/>
          <w:szCs w:val="20"/>
        </w:rPr>
        <w:t xml:space="preserve">  结构</w:t>
      </w:r>
      <w:bookmarkEnd w:id="53"/>
      <w:r>
        <w:rPr>
          <w:rFonts w:eastAsia="黑体"/>
          <w:b w:val="0"/>
          <w:sz w:val="20"/>
          <w:szCs w:val="20"/>
        </w:rPr>
        <w:t>分析</w:t>
      </w:r>
      <w:bookmarkEnd w:id="54"/>
      <w:bookmarkEnd w:id="55"/>
      <w:bookmarkEnd w:id="56"/>
      <w:bookmarkEnd w:id="57"/>
    </w:p>
    <w:p w14:paraId="38A8396B">
      <w:pPr>
        <w:adjustRightInd w:val="0"/>
        <w:snapToGrid w:val="0"/>
        <w:spacing w:line="288" w:lineRule="auto"/>
        <w:rPr>
          <w:rFonts w:ascii="宋体" w:hAnsi="宋体"/>
          <w:sz w:val="20"/>
          <w:szCs w:val="20"/>
        </w:rPr>
      </w:pPr>
      <w:r>
        <w:rPr>
          <w:b/>
          <w:bCs/>
          <w:kern w:val="0"/>
          <w:sz w:val="20"/>
          <w:szCs w:val="20"/>
        </w:rPr>
        <w:t>7.2.1</w:t>
      </w:r>
      <w:r>
        <w:rPr>
          <w:rFonts w:hint="eastAsia" w:ascii="宋体" w:hAnsi="宋体"/>
          <w:sz w:val="20"/>
          <w:szCs w:val="20"/>
        </w:rPr>
        <w:t xml:space="preserve">  基坑分层开挖时，应对实际开挖过程的各工况分别进行结构计算，并应按各工况结构计算的最不利值进行支护结构设计。当支护结构的锚杆或临时支撑需要在地下结构的施工过程中拆除时，宜利用地下结构形成替换支撑，并对锚杆或临时支撑拆除及地下结构形成支撑作用后的各工况分别进行结构计算与验算。</w:t>
      </w:r>
    </w:p>
    <w:p w14:paraId="11B5D232">
      <w:pPr>
        <w:adjustRightInd w:val="0"/>
        <w:snapToGrid w:val="0"/>
        <w:spacing w:line="288" w:lineRule="auto"/>
        <w:rPr>
          <w:rFonts w:ascii="宋体" w:hAnsi="宋体"/>
          <w:sz w:val="20"/>
          <w:szCs w:val="20"/>
        </w:rPr>
      </w:pPr>
      <w:r>
        <w:rPr>
          <w:b/>
          <w:bCs/>
          <w:kern w:val="0"/>
          <w:sz w:val="20"/>
          <w:szCs w:val="20"/>
        </w:rPr>
        <w:t>7.2.2</w:t>
      </w:r>
      <w:r>
        <w:rPr>
          <w:rFonts w:hint="eastAsia" w:ascii="宋体" w:hAnsi="宋体"/>
          <w:sz w:val="20"/>
          <w:szCs w:val="20"/>
        </w:rPr>
        <w:t xml:space="preserve">  支挡式结构应根据基坑深度和规模、基坑周边环境条件和地质条件、基坑侧壁安全等级等因素，按下列方法进行计算：</w:t>
      </w:r>
    </w:p>
    <w:p w14:paraId="66B6C531">
      <w:pPr>
        <w:adjustRightInd w:val="0"/>
        <w:snapToGrid w:val="0"/>
        <w:spacing w:line="288" w:lineRule="auto"/>
        <w:ind w:firstLine="402" w:firstLineChars="200"/>
        <w:rPr>
          <w:rFonts w:ascii="宋体" w:hAnsi="宋体"/>
          <w:sz w:val="20"/>
          <w:szCs w:val="20"/>
        </w:rPr>
      </w:pPr>
      <w:r>
        <w:rPr>
          <w:rFonts w:hint="eastAsia" w:eastAsia="黑体"/>
          <w:b/>
          <w:sz w:val="20"/>
          <w:szCs w:val="20"/>
        </w:rPr>
        <w:t>1</w:t>
      </w:r>
      <w:r>
        <w:rPr>
          <w:rFonts w:hint="eastAsia" w:ascii="宋体" w:hAnsi="宋体"/>
          <w:bCs/>
          <w:sz w:val="20"/>
          <w:szCs w:val="20"/>
        </w:rPr>
        <w:t xml:space="preserve"> </w:t>
      </w:r>
      <w:r>
        <w:rPr>
          <w:rFonts w:hint="eastAsia" w:ascii="宋体" w:hAnsi="宋体"/>
          <w:sz w:val="20"/>
          <w:szCs w:val="20"/>
        </w:rPr>
        <w:t xml:space="preserve"> 挡土结构宜采用平面受力条件的杆系有限元弹性支点法；</w:t>
      </w:r>
    </w:p>
    <w:p w14:paraId="7BE3E255">
      <w:pPr>
        <w:adjustRightInd w:val="0"/>
        <w:snapToGrid w:val="0"/>
        <w:spacing w:line="288" w:lineRule="auto"/>
        <w:ind w:firstLine="402" w:firstLineChars="200"/>
        <w:rPr>
          <w:rFonts w:ascii="宋体" w:hAnsi="宋体"/>
          <w:sz w:val="20"/>
          <w:szCs w:val="20"/>
        </w:rPr>
      </w:pPr>
      <w:r>
        <w:rPr>
          <w:rFonts w:hint="eastAsia" w:eastAsia="黑体"/>
          <w:b/>
          <w:sz w:val="20"/>
          <w:szCs w:val="20"/>
        </w:rPr>
        <w:t>2</w:t>
      </w:r>
      <w:r>
        <w:rPr>
          <w:rFonts w:hint="eastAsia" w:ascii="宋体" w:hAnsi="宋体"/>
          <w:sz w:val="20"/>
          <w:szCs w:val="20"/>
        </w:rPr>
        <w:t xml:space="preserve">  内支撑结构可采用平面受力条件的杆系有限元法；</w:t>
      </w:r>
    </w:p>
    <w:p w14:paraId="0752A722">
      <w:pPr>
        <w:adjustRightInd w:val="0"/>
        <w:snapToGrid w:val="0"/>
        <w:spacing w:line="288" w:lineRule="auto"/>
        <w:ind w:firstLine="402" w:firstLineChars="200"/>
        <w:rPr>
          <w:rFonts w:ascii="宋体" w:hAnsi="宋体"/>
          <w:sz w:val="20"/>
          <w:szCs w:val="20"/>
        </w:rPr>
      </w:pPr>
      <w:r>
        <w:rPr>
          <w:rFonts w:hint="eastAsia" w:eastAsia="黑体"/>
          <w:b/>
          <w:sz w:val="20"/>
          <w:szCs w:val="20"/>
        </w:rPr>
        <w:t>3</w:t>
      </w:r>
      <w:r>
        <w:rPr>
          <w:rFonts w:hint="eastAsia" w:ascii="宋体" w:hAnsi="宋体"/>
          <w:sz w:val="20"/>
          <w:szCs w:val="20"/>
        </w:rPr>
        <w:t xml:space="preserve">  符合空间受力条件时，可用符合实际边界条件的空间结构分析方法。</w:t>
      </w:r>
    </w:p>
    <w:p w14:paraId="515CD1C5">
      <w:pPr>
        <w:adjustRightInd w:val="0"/>
        <w:snapToGrid w:val="0"/>
        <w:spacing w:line="288" w:lineRule="auto"/>
        <w:rPr>
          <w:rFonts w:ascii="宋体" w:hAnsi="宋体"/>
          <w:sz w:val="20"/>
          <w:szCs w:val="20"/>
        </w:rPr>
      </w:pPr>
      <w:r>
        <w:rPr>
          <w:b/>
          <w:bCs/>
          <w:kern w:val="0"/>
          <w:sz w:val="20"/>
          <w:szCs w:val="20"/>
        </w:rPr>
        <w:t>7.2.3</w:t>
      </w:r>
      <w:r>
        <w:rPr>
          <w:rFonts w:hint="eastAsia" w:ascii="宋体" w:hAnsi="宋体"/>
          <w:sz w:val="20"/>
          <w:szCs w:val="20"/>
        </w:rPr>
        <w:t xml:space="preserve">  当采用平面杆系有限元弹性支点法进行结构计算时，结构的支点的边界条件、弹性支点刚度系数、支护结构嵌固段土的水平反力计算宽度和水平反力系数应按现行行业标准《建筑基坑支护技术规程》</w:t>
      </w:r>
      <w:r>
        <w:rPr>
          <w:sz w:val="20"/>
          <w:szCs w:val="20"/>
        </w:rPr>
        <w:t>JGJ</w:t>
      </w:r>
      <w:r>
        <w:rPr>
          <w:rFonts w:hint="eastAsia"/>
          <w:sz w:val="20"/>
          <w:szCs w:val="20"/>
        </w:rPr>
        <w:t xml:space="preserve"> </w:t>
      </w:r>
      <w:r>
        <w:rPr>
          <w:sz w:val="20"/>
          <w:szCs w:val="20"/>
        </w:rPr>
        <w:t>120</w:t>
      </w:r>
      <w:r>
        <w:rPr>
          <w:rFonts w:hint="eastAsia" w:ascii="宋体" w:hAnsi="宋体"/>
          <w:sz w:val="20"/>
          <w:szCs w:val="20"/>
        </w:rPr>
        <w:t>的有关规定确定。</w:t>
      </w:r>
    </w:p>
    <w:p w14:paraId="3ACA7AD1">
      <w:pPr>
        <w:adjustRightInd w:val="0"/>
        <w:snapToGrid w:val="0"/>
        <w:spacing w:line="288" w:lineRule="auto"/>
        <w:rPr>
          <w:rFonts w:ascii="宋体" w:hAnsi="宋体"/>
          <w:sz w:val="20"/>
          <w:szCs w:val="20"/>
        </w:rPr>
      </w:pPr>
      <w:r>
        <w:rPr>
          <w:b/>
          <w:bCs/>
          <w:kern w:val="0"/>
          <w:sz w:val="20"/>
          <w:szCs w:val="20"/>
        </w:rPr>
        <w:t>7.2.4</w:t>
      </w:r>
      <w:r>
        <w:rPr>
          <w:rFonts w:hint="eastAsia" w:ascii="宋体" w:hAnsi="宋体"/>
          <w:sz w:val="20"/>
          <w:szCs w:val="20"/>
        </w:rPr>
        <w:t xml:space="preserve">  按本规程第</w:t>
      </w:r>
      <w:r>
        <w:rPr>
          <w:sz w:val="20"/>
          <w:szCs w:val="20"/>
        </w:rPr>
        <w:t>7.2.</w:t>
      </w:r>
      <w:r>
        <w:rPr>
          <w:rFonts w:hint="eastAsia"/>
          <w:sz w:val="20"/>
          <w:szCs w:val="20"/>
        </w:rPr>
        <w:t>1</w:t>
      </w:r>
      <w:r>
        <w:rPr>
          <w:rFonts w:hint="eastAsia" w:ascii="宋体" w:hAnsi="宋体"/>
          <w:sz w:val="20"/>
          <w:szCs w:val="20"/>
        </w:rPr>
        <w:t>条～第</w:t>
      </w:r>
      <w:r>
        <w:rPr>
          <w:sz w:val="20"/>
          <w:szCs w:val="20"/>
        </w:rPr>
        <w:t>7.2.3</w:t>
      </w:r>
      <w:r>
        <w:rPr>
          <w:rFonts w:hint="eastAsia" w:ascii="宋体" w:hAnsi="宋体"/>
          <w:sz w:val="20"/>
          <w:szCs w:val="20"/>
        </w:rPr>
        <w:t>条计算时，水平荷载按本规程第</w:t>
      </w:r>
      <w:r>
        <w:rPr>
          <w:rFonts w:hint="eastAsia"/>
          <w:sz w:val="20"/>
          <w:szCs w:val="20"/>
        </w:rPr>
        <w:t>3.</w:t>
      </w:r>
      <w:r>
        <w:rPr>
          <w:sz w:val="20"/>
          <w:szCs w:val="20"/>
        </w:rPr>
        <w:t>3</w:t>
      </w:r>
      <w:r>
        <w:rPr>
          <w:rFonts w:hint="eastAsia" w:ascii="宋体" w:hAnsi="宋体"/>
          <w:sz w:val="20"/>
          <w:szCs w:val="20"/>
        </w:rPr>
        <w:t>节的有关规定确定；计算的每个工况下挡土构件嵌固段上的水平土反力合力，不应大于按本规程第</w:t>
      </w:r>
      <w:r>
        <w:rPr>
          <w:rFonts w:hint="eastAsia"/>
          <w:sz w:val="20"/>
          <w:szCs w:val="20"/>
        </w:rPr>
        <w:t>3.</w:t>
      </w:r>
      <w:r>
        <w:rPr>
          <w:sz w:val="20"/>
          <w:szCs w:val="20"/>
        </w:rPr>
        <w:t>3</w:t>
      </w:r>
      <w:r>
        <w:rPr>
          <w:rFonts w:hint="eastAsia" w:ascii="宋体" w:hAnsi="宋体"/>
          <w:sz w:val="20"/>
          <w:szCs w:val="20"/>
        </w:rPr>
        <w:t>节计算的该工况时嵌固段的被动土压力合力，否则应调整嵌固深度重新计算。</w:t>
      </w:r>
    </w:p>
    <w:p w14:paraId="01C31715">
      <w:pPr>
        <w:pStyle w:val="7"/>
        <w:keepNext w:val="0"/>
        <w:keepLines w:val="0"/>
        <w:adjustRightInd w:val="0"/>
        <w:snapToGrid w:val="0"/>
        <w:spacing w:before="312" w:beforeLines="100" w:after="312" w:afterLines="100" w:line="288" w:lineRule="auto"/>
        <w:jc w:val="center"/>
        <w:rPr>
          <w:rFonts w:eastAsia="黑体"/>
          <w:b w:val="0"/>
          <w:sz w:val="20"/>
          <w:szCs w:val="20"/>
        </w:rPr>
      </w:pPr>
      <w:bookmarkStart w:id="58" w:name="_Toc139613727"/>
      <w:r>
        <w:rPr>
          <w:rFonts w:eastAsia="黑体"/>
          <w:sz w:val="20"/>
          <w:szCs w:val="20"/>
        </w:rPr>
        <w:t>7.3</w:t>
      </w:r>
      <w:r>
        <w:rPr>
          <w:rFonts w:eastAsia="黑体"/>
          <w:b w:val="0"/>
          <w:sz w:val="20"/>
          <w:szCs w:val="20"/>
        </w:rPr>
        <w:t xml:space="preserve">  基坑稳定性验算</w:t>
      </w:r>
      <w:bookmarkEnd w:id="49"/>
      <w:bookmarkEnd w:id="50"/>
      <w:bookmarkEnd w:id="51"/>
      <w:bookmarkEnd w:id="52"/>
      <w:bookmarkEnd w:id="58"/>
    </w:p>
    <w:p w14:paraId="5E06E78E">
      <w:pPr>
        <w:tabs>
          <w:tab w:val="left" w:pos="672"/>
          <w:tab w:val="left" w:pos="1036"/>
          <w:tab w:val="left" w:pos="1620"/>
          <w:tab w:val="left" w:pos="2160"/>
          <w:tab w:val="left" w:pos="7020"/>
        </w:tabs>
        <w:adjustRightInd w:val="0"/>
        <w:snapToGrid w:val="0"/>
        <w:spacing w:line="288" w:lineRule="auto"/>
        <w:rPr>
          <w:rFonts w:ascii="宋体" w:hAnsi="宋体"/>
          <w:sz w:val="20"/>
          <w:szCs w:val="20"/>
        </w:rPr>
      </w:pPr>
      <w:r>
        <w:rPr>
          <w:b/>
          <w:bCs/>
          <w:kern w:val="0"/>
          <w:sz w:val="20"/>
          <w:szCs w:val="20"/>
        </w:rPr>
        <w:t>7.3.1</w:t>
      </w:r>
      <w:r>
        <w:rPr>
          <w:rFonts w:hint="eastAsia" w:ascii="宋体" w:hAnsi="宋体"/>
          <w:sz w:val="20"/>
          <w:szCs w:val="20"/>
        </w:rPr>
        <w:t xml:space="preserve">  悬臂式支挡结构的嵌固深度</w:t>
      </w:r>
      <w:r>
        <w:rPr>
          <w:i/>
          <w:iCs/>
          <w:sz w:val="20"/>
          <w:szCs w:val="20"/>
        </w:rPr>
        <w:t>l</w:t>
      </w:r>
      <w:r>
        <w:rPr>
          <w:sz w:val="20"/>
          <w:szCs w:val="20"/>
          <w:vertAlign w:val="subscript"/>
        </w:rPr>
        <w:t>d</w:t>
      </w:r>
      <w:r>
        <w:rPr>
          <w:rFonts w:hint="eastAsia" w:ascii="宋体" w:hAnsi="宋体"/>
          <w:sz w:val="20"/>
          <w:szCs w:val="20"/>
        </w:rPr>
        <w:t>应符合下式嵌固稳定性要求（图</w:t>
      </w:r>
      <w:r>
        <w:rPr>
          <w:sz w:val="20"/>
          <w:szCs w:val="20"/>
        </w:rPr>
        <w:t>7.3.</w:t>
      </w:r>
      <w:r>
        <w:rPr>
          <w:rFonts w:hint="eastAsia"/>
          <w:sz w:val="20"/>
          <w:szCs w:val="20"/>
        </w:rPr>
        <w:t>1</w:t>
      </w:r>
      <w:r>
        <w:rPr>
          <w:rFonts w:hint="eastAsia" w:ascii="宋体" w:hAnsi="宋体"/>
          <w:sz w:val="20"/>
          <w:szCs w:val="20"/>
        </w:rPr>
        <w:t>）：</w:t>
      </w:r>
    </w:p>
    <w:p w14:paraId="0F4F901C">
      <w:pPr>
        <w:adjustRightInd w:val="0"/>
        <w:snapToGrid w:val="0"/>
        <w:spacing w:line="288" w:lineRule="auto"/>
        <w:ind w:firstLine="2200" w:firstLineChars="1100"/>
        <w:jc w:val="center"/>
        <w:rPr>
          <w:rFonts w:ascii="宋体" w:hAnsi="宋体"/>
          <w:sz w:val="20"/>
          <w:szCs w:val="20"/>
        </w:rPr>
      </w:pPr>
      <w:r>
        <w:rPr>
          <w:rFonts w:hint="eastAsia" w:ascii="宋体" w:hAnsi="宋体"/>
          <w:position w:val="-22"/>
          <w:sz w:val="20"/>
          <w:szCs w:val="20"/>
        </w:rPr>
        <w:object>
          <v:shape id="_x0000_i1077" o:spt="75" type="#_x0000_t75" style="height:31.9pt;width:53.65pt;" o:ole="t" filled="f" o:preferrelative="t" stroked="f" coordsize="21600,21600">
            <v:path/>
            <v:fill on="f" focussize="0,0"/>
            <v:stroke on="f" joinstyle="miter"/>
            <v:imagedata r:id="rId120" o:title=""/>
            <o:lock v:ext="edit" aspectratio="t"/>
            <w10:wrap type="none"/>
            <w10:anchorlock/>
          </v:shape>
          <o:OLEObject Type="Embed" ProgID="Equation.3" ShapeID="_x0000_i1077" DrawAspect="Content" ObjectID="_1468075779" r:id="rId119">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7.3.</w:t>
      </w:r>
      <w:r>
        <w:rPr>
          <w:rFonts w:hint="eastAsia"/>
          <w:sz w:val="20"/>
          <w:szCs w:val="20"/>
        </w:rPr>
        <w:t>1</w:t>
      </w:r>
      <w:r>
        <w:rPr>
          <w:rFonts w:hint="eastAsia" w:ascii="宋体" w:hAnsi="宋体"/>
          <w:sz w:val="20"/>
          <w:szCs w:val="20"/>
        </w:rPr>
        <w:t>）</w:t>
      </w:r>
    </w:p>
    <w:p w14:paraId="74BBB6BE">
      <w:pPr>
        <w:tabs>
          <w:tab w:val="left" w:pos="672"/>
          <w:tab w:val="left" w:pos="1036"/>
          <w:tab w:val="left" w:pos="2160"/>
          <w:tab w:val="left" w:pos="7020"/>
          <w:tab w:val="right" w:pos="8460"/>
        </w:tabs>
        <w:adjustRightInd w:val="0"/>
        <w:snapToGrid w:val="0"/>
        <w:spacing w:line="288" w:lineRule="auto"/>
        <w:ind w:left="1160" w:hanging="1160" w:hangingChars="580"/>
        <w:rPr>
          <w:rFonts w:ascii="宋体" w:hAnsi="宋体"/>
          <w:sz w:val="20"/>
          <w:szCs w:val="20"/>
        </w:rPr>
      </w:pPr>
      <w:r>
        <w:rPr>
          <w:rFonts w:ascii="宋体" w:hAnsi="宋体"/>
          <w:sz w:val="20"/>
          <w:szCs w:val="20"/>
        </w:rPr>
        <w:t>式中</w:t>
      </w:r>
      <w:r>
        <w:rPr>
          <w:rFonts w:hint="eastAsia" w:ascii="宋体" w:hAnsi="宋体"/>
          <w:sz w:val="20"/>
          <w:szCs w:val="20"/>
        </w:rPr>
        <w:t>：</w:t>
      </w:r>
      <w:r>
        <w:rPr>
          <w:i/>
          <w:sz w:val="20"/>
          <w:szCs w:val="20"/>
        </w:rPr>
        <w:t>K</w:t>
      </w:r>
      <w:r>
        <w:rPr>
          <w:sz w:val="20"/>
          <w:szCs w:val="20"/>
          <w:vertAlign w:val="subscript"/>
        </w:rPr>
        <w:t>e</w:t>
      </w:r>
      <w:r>
        <w:rPr>
          <w:iCs/>
        </w:rPr>
        <w:t>——</w:t>
      </w:r>
      <w:r>
        <w:rPr>
          <w:rFonts w:ascii="宋体" w:hAnsi="宋体"/>
          <w:sz w:val="20"/>
          <w:szCs w:val="20"/>
        </w:rPr>
        <w:t>嵌固稳定安全系数；安全等级</w:t>
      </w:r>
      <w:r>
        <w:rPr>
          <w:rFonts w:hint="eastAsia" w:ascii="宋体" w:hAnsi="宋体"/>
          <w:sz w:val="20"/>
          <w:szCs w:val="20"/>
        </w:rPr>
        <w:t>为</w:t>
      </w:r>
      <w:r>
        <w:rPr>
          <w:rFonts w:ascii="宋体" w:hAnsi="宋体"/>
          <w:sz w:val="20"/>
          <w:szCs w:val="20"/>
        </w:rPr>
        <w:t>一</w:t>
      </w:r>
      <w:r>
        <w:rPr>
          <w:rFonts w:hint="eastAsia" w:ascii="宋体" w:hAnsi="宋体"/>
          <w:sz w:val="20"/>
          <w:szCs w:val="20"/>
        </w:rPr>
        <w:t>级</w:t>
      </w:r>
      <w:r>
        <w:rPr>
          <w:rFonts w:ascii="宋体" w:hAnsi="宋体"/>
          <w:sz w:val="20"/>
          <w:szCs w:val="20"/>
        </w:rPr>
        <w:t>、二</w:t>
      </w:r>
      <w:r>
        <w:rPr>
          <w:rFonts w:hint="eastAsia" w:ascii="宋体" w:hAnsi="宋体"/>
          <w:sz w:val="20"/>
          <w:szCs w:val="20"/>
        </w:rPr>
        <w:t>级</w:t>
      </w:r>
      <w:r>
        <w:rPr>
          <w:rFonts w:ascii="宋体" w:hAnsi="宋体"/>
          <w:sz w:val="20"/>
          <w:szCs w:val="20"/>
        </w:rPr>
        <w:t>、三级</w:t>
      </w:r>
      <w:r>
        <w:rPr>
          <w:rFonts w:hint="eastAsia" w:ascii="宋体" w:hAnsi="宋体"/>
          <w:sz w:val="20"/>
          <w:szCs w:val="20"/>
        </w:rPr>
        <w:t>时</w:t>
      </w:r>
      <w:r>
        <w:rPr>
          <w:rFonts w:ascii="宋体" w:hAnsi="宋体"/>
          <w:sz w:val="20"/>
          <w:szCs w:val="20"/>
        </w:rPr>
        <w:t>，</w:t>
      </w:r>
      <w:r>
        <w:rPr>
          <w:i/>
          <w:sz w:val="20"/>
          <w:szCs w:val="20"/>
        </w:rPr>
        <w:t>K</w:t>
      </w:r>
      <w:r>
        <w:rPr>
          <w:sz w:val="20"/>
          <w:szCs w:val="20"/>
          <w:vertAlign w:val="subscript"/>
        </w:rPr>
        <w:t>e</w:t>
      </w:r>
      <w:r>
        <w:rPr>
          <w:rFonts w:hint="eastAsia"/>
          <w:sz w:val="20"/>
          <w:szCs w:val="20"/>
        </w:rPr>
        <w:t>分别</w:t>
      </w:r>
      <w:r>
        <w:rPr>
          <w:rFonts w:hint="eastAsia" w:ascii="宋体" w:hAnsi="宋体"/>
          <w:sz w:val="20"/>
          <w:szCs w:val="20"/>
        </w:rPr>
        <w:t>取</w:t>
      </w:r>
      <w:r>
        <w:rPr>
          <w:sz w:val="20"/>
          <w:szCs w:val="20"/>
        </w:rPr>
        <w:t>1.25</w:t>
      </w:r>
      <w:r>
        <w:rPr>
          <w:rFonts w:hAnsi="宋体"/>
          <w:sz w:val="20"/>
          <w:szCs w:val="20"/>
        </w:rPr>
        <w:t>、</w:t>
      </w:r>
      <w:r>
        <w:rPr>
          <w:sz w:val="20"/>
          <w:szCs w:val="20"/>
        </w:rPr>
        <w:t>1.2</w:t>
      </w:r>
      <w:r>
        <w:rPr>
          <w:rFonts w:hAnsi="宋体"/>
          <w:sz w:val="20"/>
          <w:szCs w:val="20"/>
        </w:rPr>
        <w:t>、</w:t>
      </w:r>
      <w:r>
        <w:rPr>
          <w:sz w:val="20"/>
          <w:szCs w:val="20"/>
        </w:rPr>
        <w:t>1.15</w:t>
      </w:r>
      <w:r>
        <w:rPr>
          <w:rFonts w:ascii="宋体" w:hAnsi="宋体"/>
          <w:sz w:val="20"/>
          <w:szCs w:val="20"/>
        </w:rPr>
        <w:t>；</w:t>
      </w:r>
    </w:p>
    <w:p w14:paraId="55EE0082">
      <w:pPr>
        <w:tabs>
          <w:tab w:val="left" w:pos="7020"/>
          <w:tab w:val="right" w:pos="8460"/>
        </w:tabs>
        <w:adjustRightInd w:val="0"/>
        <w:snapToGrid w:val="0"/>
        <w:spacing w:line="288" w:lineRule="auto"/>
        <w:ind w:firstLine="100" w:firstLineChars="50"/>
        <w:rPr>
          <w:rFonts w:ascii="宋体" w:hAnsi="宋体"/>
          <w:sz w:val="20"/>
          <w:szCs w:val="20"/>
        </w:rPr>
      </w:pPr>
      <w:r>
        <w:rPr>
          <w:i/>
          <w:sz w:val="20"/>
          <w:szCs w:val="20"/>
        </w:rPr>
        <w:t>E</w:t>
      </w:r>
      <w:r>
        <w:rPr>
          <w:sz w:val="20"/>
          <w:szCs w:val="20"/>
          <w:vertAlign w:val="subscript"/>
        </w:rPr>
        <w:t>ak</w:t>
      </w:r>
      <w:r>
        <w:rPr>
          <w:rFonts w:hAnsi="宋体"/>
          <w:sz w:val="20"/>
          <w:szCs w:val="20"/>
        </w:rPr>
        <w:t>、</w:t>
      </w:r>
      <w:r>
        <w:rPr>
          <w:i/>
          <w:sz w:val="20"/>
          <w:szCs w:val="20"/>
        </w:rPr>
        <w:t>E</w:t>
      </w:r>
      <w:r>
        <w:rPr>
          <w:sz w:val="20"/>
          <w:szCs w:val="20"/>
          <w:vertAlign w:val="subscript"/>
        </w:rPr>
        <w:t>pk</w:t>
      </w:r>
      <w:r>
        <w:rPr>
          <w:rFonts w:hint="eastAsia"/>
          <w:sz w:val="20"/>
          <w:szCs w:val="20"/>
          <w:vertAlign w:val="subscript"/>
        </w:rPr>
        <w:t xml:space="preserve"> </w:t>
      </w:r>
      <w:r>
        <w:rPr>
          <w:iCs/>
        </w:rPr>
        <w:t>——</w:t>
      </w:r>
      <w:r>
        <w:rPr>
          <w:rFonts w:ascii="宋体" w:hAnsi="宋体"/>
          <w:sz w:val="20"/>
          <w:szCs w:val="20"/>
        </w:rPr>
        <w:t>基坑外侧主动土压力、基坑内侧被动土压力标准值</w:t>
      </w:r>
      <w:r>
        <w:rPr>
          <w:rFonts w:hint="eastAsia" w:ascii="宋体" w:hAnsi="宋体"/>
          <w:sz w:val="20"/>
          <w:szCs w:val="20"/>
        </w:rPr>
        <w:t>（</w:t>
      </w:r>
      <w:r>
        <w:rPr>
          <w:sz w:val="20"/>
          <w:szCs w:val="20"/>
        </w:rPr>
        <w:t>kN</w:t>
      </w:r>
      <w:r>
        <w:rPr>
          <w:rFonts w:hint="eastAsia" w:ascii="宋体" w:hAnsi="宋体"/>
          <w:sz w:val="20"/>
          <w:szCs w:val="20"/>
        </w:rPr>
        <w:t>）</w:t>
      </w:r>
      <w:r>
        <w:rPr>
          <w:rFonts w:ascii="宋体" w:hAnsi="宋体"/>
          <w:sz w:val="20"/>
          <w:szCs w:val="20"/>
        </w:rPr>
        <w:t>；</w:t>
      </w:r>
    </w:p>
    <w:p w14:paraId="675478AF">
      <w:pPr>
        <w:tabs>
          <w:tab w:val="left" w:pos="7020"/>
          <w:tab w:val="right" w:pos="8460"/>
        </w:tabs>
        <w:adjustRightInd w:val="0"/>
        <w:snapToGrid w:val="0"/>
        <w:spacing w:line="288" w:lineRule="auto"/>
        <w:ind w:left="1161" w:leftChars="54" w:hanging="1048" w:hangingChars="524"/>
        <w:rPr>
          <w:rFonts w:ascii="宋体" w:hAnsi="宋体"/>
          <w:sz w:val="20"/>
          <w:szCs w:val="20"/>
        </w:rPr>
      </w:pPr>
      <w:r>
        <w:rPr>
          <w:i/>
          <w:sz w:val="20"/>
          <w:szCs w:val="20"/>
        </w:rPr>
        <w:t>ɑ</w:t>
      </w:r>
      <w:r>
        <w:rPr>
          <w:sz w:val="20"/>
          <w:szCs w:val="20"/>
          <w:vertAlign w:val="subscript"/>
        </w:rPr>
        <w:t>a1</w:t>
      </w:r>
      <w:r>
        <w:rPr>
          <w:rFonts w:hAnsi="宋体"/>
          <w:sz w:val="20"/>
          <w:szCs w:val="20"/>
        </w:rPr>
        <w:t>、</w:t>
      </w:r>
      <w:r>
        <w:rPr>
          <w:i/>
          <w:sz w:val="20"/>
          <w:szCs w:val="20"/>
        </w:rPr>
        <w:t>ɑ</w:t>
      </w:r>
      <w:r>
        <w:rPr>
          <w:sz w:val="20"/>
          <w:szCs w:val="20"/>
          <w:vertAlign w:val="subscript"/>
        </w:rPr>
        <w:t>p1</w:t>
      </w:r>
      <w:r>
        <w:rPr>
          <w:iCs/>
        </w:rPr>
        <w:t>——</w:t>
      </w:r>
      <w:r>
        <w:rPr>
          <w:rFonts w:ascii="宋体" w:hAnsi="宋体"/>
          <w:sz w:val="20"/>
          <w:szCs w:val="20"/>
        </w:rPr>
        <w:t>基坑外侧主动土压力、基坑内侧被动土压力合力作用点至挡土构件底端的距离</w:t>
      </w:r>
      <w:r>
        <w:rPr>
          <w:rFonts w:hint="eastAsia" w:ascii="宋体" w:hAnsi="宋体"/>
          <w:sz w:val="20"/>
          <w:szCs w:val="20"/>
        </w:rPr>
        <w:t>（</w:t>
      </w:r>
      <w:r>
        <w:rPr>
          <w:sz w:val="20"/>
          <w:szCs w:val="20"/>
        </w:rPr>
        <w:t>m</w:t>
      </w:r>
      <w:r>
        <w:rPr>
          <w:rFonts w:hint="eastAsia" w:ascii="宋体" w:hAnsi="宋体"/>
          <w:sz w:val="20"/>
          <w:szCs w:val="20"/>
        </w:rPr>
        <w:t>）</w:t>
      </w:r>
      <w:r>
        <w:rPr>
          <w:rFonts w:ascii="宋体" w:hAnsi="宋体"/>
          <w:sz w:val="20"/>
          <w:szCs w:val="20"/>
        </w:rPr>
        <w:t>。</w:t>
      </w:r>
    </w:p>
    <w:p w14:paraId="24A05A54">
      <w:pPr>
        <w:tabs>
          <w:tab w:val="left" w:pos="7020"/>
          <w:tab w:val="right" w:pos="8460"/>
        </w:tabs>
        <w:adjustRightInd w:val="0"/>
        <w:snapToGrid w:val="0"/>
        <w:spacing w:line="288" w:lineRule="auto"/>
        <w:ind w:firstLine="420" w:firstLineChars="200"/>
        <w:jc w:val="center"/>
        <w:rPr>
          <w:rFonts w:ascii="宋体" w:hAnsi="宋体"/>
          <w:sz w:val="20"/>
          <w:szCs w:val="20"/>
        </w:rPr>
      </w:pPr>
      <w:r>
        <w:object>
          <v:shape id="_x0000_i1078" o:spt="75" type="#_x0000_t75" style="height:206.5pt;width:224.85pt;" o:ole="t" filled="f" o:preferrelative="t" stroked="f" coordsize="21600,21600">
            <v:path/>
            <v:fill on="f" focussize="0,0"/>
            <v:stroke on="f" joinstyle="miter"/>
            <v:imagedata r:id="rId122" cropleft="14321f" croptop="17931f" cropright="34997f" cropbottom="16930f" o:title=""/>
            <o:lock v:ext="edit" aspectratio="t"/>
            <w10:wrap type="none"/>
            <w10:anchorlock/>
          </v:shape>
          <o:OLEObject Type="Embed" ProgID="AutoCAD.Drawing.17" ShapeID="_x0000_i1078" DrawAspect="Content" ObjectID="_1468075780" r:id="rId121">
            <o:LockedField>false</o:LockedField>
          </o:OLEObject>
        </w:object>
      </w:r>
    </w:p>
    <w:p w14:paraId="5016052E">
      <w:pPr>
        <w:adjustRightInd w:val="0"/>
        <w:snapToGrid w:val="0"/>
        <w:spacing w:after="156" w:afterLines="50" w:line="288" w:lineRule="auto"/>
        <w:jc w:val="center"/>
        <w:rPr>
          <w:rFonts w:ascii="宋体" w:hAnsi="宋体"/>
          <w:b/>
          <w:sz w:val="18"/>
          <w:szCs w:val="18"/>
        </w:rPr>
      </w:pPr>
      <w:r>
        <w:rPr>
          <w:rFonts w:ascii="宋体" w:hAnsi="宋体"/>
          <w:b/>
          <w:sz w:val="18"/>
          <w:szCs w:val="18"/>
        </w:rPr>
        <w:t>图</w:t>
      </w:r>
      <w:r>
        <w:rPr>
          <w:b/>
          <w:sz w:val="18"/>
          <w:szCs w:val="18"/>
        </w:rPr>
        <w:t>7.3.1</w:t>
      </w:r>
      <w:r>
        <w:rPr>
          <w:rFonts w:ascii="宋体" w:hAnsi="宋体"/>
          <w:b/>
          <w:sz w:val="18"/>
          <w:szCs w:val="18"/>
        </w:rPr>
        <w:t xml:space="preserve">  悬臂式支挡结构嵌固稳定性验算</w:t>
      </w:r>
    </w:p>
    <w:p w14:paraId="7695FFF3">
      <w:pPr>
        <w:tabs>
          <w:tab w:val="left" w:pos="672"/>
          <w:tab w:val="left" w:pos="1036"/>
          <w:tab w:val="left" w:pos="1620"/>
          <w:tab w:val="left" w:pos="2160"/>
          <w:tab w:val="left" w:pos="7020"/>
        </w:tabs>
        <w:adjustRightInd w:val="0"/>
        <w:snapToGrid w:val="0"/>
        <w:spacing w:line="288" w:lineRule="auto"/>
        <w:rPr>
          <w:rFonts w:ascii="宋体" w:hAnsi="宋体"/>
          <w:sz w:val="20"/>
          <w:szCs w:val="20"/>
        </w:rPr>
      </w:pPr>
      <w:r>
        <w:rPr>
          <w:b/>
          <w:bCs/>
          <w:kern w:val="0"/>
          <w:sz w:val="20"/>
          <w:szCs w:val="20"/>
        </w:rPr>
        <w:t>7.3.2</w:t>
      </w:r>
      <w:r>
        <w:rPr>
          <w:rFonts w:hint="eastAsia" w:ascii="宋体" w:hAnsi="宋体"/>
          <w:sz w:val="20"/>
          <w:szCs w:val="20"/>
        </w:rPr>
        <w:t xml:space="preserve">  单层支点支挡式结构的嵌固深度</w:t>
      </w:r>
      <w:r>
        <w:rPr>
          <w:i/>
          <w:iCs/>
          <w:sz w:val="20"/>
          <w:szCs w:val="20"/>
        </w:rPr>
        <w:t>l</w:t>
      </w:r>
      <w:r>
        <w:rPr>
          <w:sz w:val="20"/>
          <w:szCs w:val="20"/>
          <w:vertAlign w:val="subscript"/>
        </w:rPr>
        <w:t>d</w:t>
      </w:r>
      <w:r>
        <w:rPr>
          <w:rFonts w:hint="eastAsia" w:ascii="宋体" w:hAnsi="宋体"/>
          <w:sz w:val="20"/>
          <w:szCs w:val="20"/>
        </w:rPr>
        <w:t>应符合下式嵌固稳定性要求（图</w:t>
      </w:r>
      <w:r>
        <w:rPr>
          <w:sz w:val="20"/>
          <w:szCs w:val="20"/>
        </w:rPr>
        <w:t>7.3.2</w:t>
      </w:r>
      <w:r>
        <w:rPr>
          <w:rFonts w:hint="eastAsia" w:ascii="宋体" w:hAnsi="宋体"/>
          <w:sz w:val="20"/>
          <w:szCs w:val="20"/>
        </w:rPr>
        <w:t>）：</w:t>
      </w:r>
    </w:p>
    <w:p w14:paraId="5024EB5E">
      <w:pPr>
        <w:adjustRightInd w:val="0"/>
        <w:snapToGrid w:val="0"/>
        <w:spacing w:line="288" w:lineRule="auto"/>
        <w:ind w:firstLine="2000" w:firstLineChars="1000"/>
        <w:jc w:val="center"/>
        <w:rPr>
          <w:rFonts w:ascii="宋体" w:hAnsi="宋体"/>
          <w:sz w:val="20"/>
          <w:szCs w:val="20"/>
        </w:rPr>
      </w:pPr>
      <w:r>
        <w:rPr>
          <w:rFonts w:hint="eastAsia" w:ascii="宋体" w:hAnsi="宋体"/>
          <w:position w:val="-22"/>
          <w:sz w:val="20"/>
          <w:szCs w:val="20"/>
        </w:rPr>
        <w:object>
          <v:shape id="_x0000_i1079" o:spt="75" type="#_x0000_t75" style="height:31.9pt;width:57.05pt;" o:ole="t" filled="f" o:preferrelative="t" stroked="f" coordsize="21600,21600">
            <v:path/>
            <v:fill on="f" focussize="0,0"/>
            <v:stroke on="f" joinstyle="miter"/>
            <v:imagedata r:id="rId124" o:title=""/>
            <o:lock v:ext="edit" aspectratio="t"/>
            <w10:wrap type="none"/>
            <w10:anchorlock/>
          </v:shape>
          <o:OLEObject Type="Embed" ProgID="Equation.3" ShapeID="_x0000_i1079" DrawAspect="Content" ObjectID="_1468075781" r:id="rId123">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hint="eastAsia" w:ascii="宋体" w:hAnsi="宋体"/>
          <w:sz w:val="20"/>
          <w:szCs w:val="20"/>
        </w:rPr>
        <w:t xml:space="preserve"> （</w:t>
      </w:r>
      <w:r>
        <w:rPr>
          <w:sz w:val="20"/>
          <w:szCs w:val="20"/>
        </w:rPr>
        <w:t>7.3.2</w:t>
      </w:r>
      <w:r>
        <w:rPr>
          <w:rFonts w:hint="eastAsia" w:ascii="宋体" w:hAnsi="宋体"/>
          <w:sz w:val="20"/>
          <w:szCs w:val="20"/>
        </w:rPr>
        <w:t>）</w:t>
      </w:r>
    </w:p>
    <w:p w14:paraId="6F68E372">
      <w:pPr>
        <w:tabs>
          <w:tab w:val="left" w:pos="672"/>
          <w:tab w:val="left" w:pos="1134"/>
          <w:tab w:val="left" w:pos="1800"/>
          <w:tab w:val="left" w:pos="1980"/>
          <w:tab w:val="left" w:pos="7020"/>
        </w:tabs>
        <w:adjustRightInd w:val="0"/>
        <w:snapToGrid w:val="0"/>
        <w:spacing w:line="288" w:lineRule="auto"/>
        <w:ind w:left="1160" w:hanging="1160" w:hangingChars="580"/>
        <w:rPr>
          <w:rFonts w:ascii="宋体" w:hAnsi="宋体"/>
          <w:sz w:val="20"/>
          <w:szCs w:val="20"/>
        </w:rPr>
      </w:pPr>
      <w:r>
        <w:rPr>
          <w:rFonts w:hint="eastAsia" w:ascii="宋体" w:hAnsi="宋体"/>
          <w:sz w:val="20"/>
          <w:szCs w:val="20"/>
        </w:rPr>
        <w:t>式中：</w:t>
      </w:r>
      <w:r>
        <w:rPr>
          <w:i/>
          <w:sz w:val="20"/>
          <w:szCs w:val="20"/>
        </w:rPr>
        <w:t>K</w:t>
      </w:r>
      <w:r>
        <w:rPr>
          <w:sz w:val="20"/>
          <w:szCs w:val="20"/>
          <w:vertAlign w:val="subscript"/>
        </w:rPr>
        <w:t>e</w:t>
      </w:r>
      <w:r>
        <w:rPr>
          <w:iCs/>
        </w:rPr>
        <w:t>——</w:t>
      </w:r>
      <w:r>
        <w:rPr>
          <w:rFonts w:hint="eastAsia" w:ascii="宋体" w:hAnsi="宋体"/>
          <w:sz w:val="20"/>
          <w:szCs w:val="20"/>
        </w:rPr>
        <w:t>嵌固稳定安全系数；安全等级为一级、二级、三级时，</w:t>
      </w:r>
      <w:r>
        <w:rPr>
          <w:i/>
          <w:sz w:val="20"/>
          <w:szCs w:val="20"/>
        </w:rPr>
        <w:t xml:space="preserve"> K</w:t>
      </w:r>
      <w:r>
        <w:rPr>
          <w:sz w:val="20"/>
          <w:szCs w:val="20"/>
          <w:vertAlign w:val="subscript"/>
        </w:rPr>
        <w:t>e</w:t>
      </w:r>
      <w:r>
        <w:rPr>
          <w:rFonts w:hint="eastAsia"/>
          <w:sz w:val="20"/>
          <w:szCs w:val="20"/>
        </w:rPr>
        <w:t>分别</w:t>
      </w:r>
      <w:r>
        <w:rPr>
          <w:rFonts w:hint="eastAsia" w:ascii="宋体" w:hAnsi="宋体"/>
          <w:sz w:val="20"/>
          <w:szCs w:val="20"/>
        </w:rPr>
        <w:t>取</w:t>
      </w:r>
      <w:r>
        <w:rPr>
          <w:sz w:val="20"/>
          <w:szCs w:val="20"/>
        </w:rPr>
        <w:t>1.25</w:t>
      </w:r>
      <w:r>
        <w:rPr>
          <w:rFonts w:hAnsi="宋体"/>
          <w:sz w:val="20"/>
          <w:szCs w:val="20"/>
        </w:rPr>
        <w:t>、</w:t>
      </w:r>
      <w:r>
        <w:rPr>
          <w:sz w:val="20"/>
          <w:szCs w:val="20"/>
        </w:rPr>
        <w:t>1.2</w:t>
      </w:r>
      <w:r>
        <w:rPr>
          <w:rFonts w:hAnsi="宋体"/>
          <w:sz w:val="20"/>
          <w:szCs w:val="20"/>
        </w:rPr>
        <w:t>、</w:t>
      </w:r>
      <w:r>
        <w:rPr>
          <w:sz w:val="20"/>
          <w:szCs w:val="20"/>
        </w:rPr>
        <w:t>1.15</w:t>
      </w:r>
      <w:r>
        <w:rPr>
          <w:rFonts w:hint="eastAsia" w:ascii="宋体" w:hAnsi="宋体"/>
          <w:sz w:val="20"/>
          <w:szCs w:val="20"/>
        </w:rPr>
        <w:t>；</w:t>
      </w:r>
    </w:p>
    <w:p w14:paraId="260EFF54">
      <w:pPr>
        <w:tabs>
          <w:tab w:val="left" w:pos="885"/>
          <w:tab w:val="left" w:pos="1036"/>
          <w:tab w:val="left" w:pos="1620"/>
          <w:tab w:val="left" w:pos="2160"/>
          <w:tab w:val="left" w:pos="7020"/>
          <w:tab w:val="right" w:pos="8460"/>
        </w:tabs>
        <w:adjustRightInd w:val="0"/>
        <w:snapToGrid w:val="0"/>
        <w:spacing w:line="288" w:lineRule="auto"/>
        <w:ind w:left="1100" w:hanging="1100" w:hangingChars="550"/>
        <w:rPr>
          <w:rFonts w:ascii="宋体" w:hAnsi="宋体"/>
          <w:sz w:val="20"/>
          <w:szCs w:val="20"/>
        </w:rPr>
      </w:pPr>
      <w:r>
        <w:rPr>
          <w:i/>
          <w:sz w:val="20"/>
          <w:szCs w:val="20"/>
        </w:rPr>
        <w:t>ɑ</w:t>
      </w:r>
      <w:r>
        <w:rPr>
          <w:sz w:val="20"/>
          <w:szCs w:val="20"/>
          <w:vertAlign w:val="subscript"/>
        </w:rPr>
        <w:t>a2</w:t>
      </w:r>
      <w:r>
        <w:rPr>
          <w:rFonts w:hAnsi="宋体"/>
          <w:sz w:val="20"/>
          <w:szCs w:val="20"/>
        </w:rPr>
        <w:t>、</w:t>
      </w:r>
      <w:r>
        <w:rPr>
          <w:i/>
          <w:sz w:val="20"/>
          <w:szCs w:val="20"/>
        </w:rPr>
        <w:t>ɑ</w:t>
      </w:r>
      <w:r>
        <w:rPr>
          <w:sz w:val="20"/>
          <w:szCs w:val="20"/>
          <w:vertAlign w:val="subscript"/>
        </w:rPr>
        <w:t>p2</w:t>
      </w:r>
      <w:r>
        <w:rPr>
          <w:iCs/>
        </w:rPr>
        <w:t>——</w:t>
      </w:r>
      <w:r>
        <w:rPr>
          <w:rFonts w:hint="eastAsia" w:ascii="宋体" w:hAnsi="宋体"/>
          <w:sz w:val="20"/>
          <w:szCs w:val="20"/>
        </w:rPr>
        <w:t>基坑外侧主动土压力、基坑内侧被动土压力合力作用点至支点的距离（</w:t>
      </w:r>
      <w:r>
        <w:rPr>
          <w:sz w:val="20"/>
          <w:szCs w:val="20"/>
        </w:rPr>
        <w:t>m</w:t>
      </w:r>
      <w:r>
        <w:rPr>
          <w:rFonts w:hint="eastAsia" w:ascii="宋体" w:hAnsi="宋体"/>
          <w:sz w:val="20"/>
          <w:szCs w:val="20"/>
        </w:rPr>
        <w:t>）。</w:t>
      </w:r>
    </w:p>
    <w:p w14:paraId="1FCF4FA4">
      <w:pPr>
        <w:adjustRightInd w:val="0"/>
        <w:snapToGrid w:val="0"/>
        <w:spacing w:line="288" w:lineRule="auto"/>
        <w:jc w:val="center"/>
        <w:rPr>
          <w:rFonts w:ascii="宋体" w:hAnsi="宋体"/>
          <w:sz w:val="20"/>
          <w:szCs w:val="20"/>
        </w:rPr>
      </w:pPr>
      <w:r>
        <w:object>
          <v:shape id="_x0000_i1080" o:spt="75" type="#_x0000_t75" style="height:184.75pt;width:210.55pt;" o:ole="t" filled="f" o:preferrelative="t" stroked="f" coordsize="21600,21600">
            <v:path/>
            <v:fill on="f" focussize="0,0"/>
            <v:stroke on="f" joinstyle="miter"/>
            <v:imagedata r:id="rId126" cropleft="40947f" croptop="17931f" cropright="6735f" cropbottom="16657f" o:title=""/>
            <o:lock v:ext="edit" aspectratio="t"/>
            <w10:wrap type="none"/>
            <w10:anchorlock/>
          </v:shape>
          <o:OLEObject Type="Embed" ProgID="AutoCAD.Drawing.17" ShapeID="_x0000_i1080" DrawAspect="Content" ObjectID="_1468075782" r:id="rId125">
            <o:LockedField>false</o:LockedField>
          </o:OLEObject>
        </w:object>
      </w:r>
    </w:p>
    <w:p w14:paraId="60E73B58">
      <w:pPr>
        <w:adjustRightInd w:val="0"/>
        <w:snapToGrid w:val="0"/>
        <w:spacing w:after="156" w:afterLines="50" w:line="288" w:lineRule="auto"/>
        <w:jc w:val="center"/>
        <w:rPr>
          <w:b/>
          <w:sz w:val="18"/>
          <w:szCs w:val="18"/>
        </w:rPr>
      </w:pPr>
      <w:r>
        <w:rPr>
          <w:b/>
          <w:sz w:val="18"/>
          <w:szCs w:val="18"/>
        </w:rPr>
        <w:t>图7.3.2  单层支点支挡式结构嵌固稳定性验算</w:t>
      </w:r>
    </w:p>
    <w:p w14:paraId="71F8DD21">
      <w:pPr>
        <w:tabs>
          <w:tab w:val="left" w:pos="672"/>
          <w:tab w:val="left" w:pos="1036"/>
          <w:tab w:val="left" w:pos="1620"/>
          <w:tab w:val="left" w:pos="2160"/>
          <w:tab w:val="left" w:pos="7020"/>
        </w:tabs>
        <w:adjustRightInd w:val="0"/>
        <w:snapToGrid w:val="0"/>
        <w:spacing w:line="288" w:lineRule="auto"/>
        <w:rPr>
          <w:rFonts w:ascii="宋体" w:hAnsi="宋体"/>
          <w:sz w:val="20"/>
          <w:szCs w:val="20"/>
        </w:rPr>
      </w:pPr>
      <w:r>
        <w:rPr>
          <w:b/>
          <w:bCs/>
          <w:kern w:val="0"/>
          <w:sz w:val="20"/>
          <w:szCs w:val="20"/>
        </w:rPr>
        <w:t>7.3.3</w:t>
      </w:r>
      <w:r>
        <w:rPr>
          <w:rFonts w:hint="eastAsia" w:ascii="宋体" w:hAnsi="宋体"/>
          <w:sz w:val="20"/>
          <w:szCs w:val="20"/>
        </w:rPr>
        <w:t xml:space="preserve">  锚拉式、悬臂式及双排桩支挡式结构应按下列规定进行整体滑动稳定性验算：</w:t>
      </w:r>
    </w:p>
    <w:p w14:paraId="6DD68AE7">
      <w:pPr>
        <w:tabs>
          <w:tab w:val="left" w:pos="672"/>
          <w:tab w:val="left" w:pos="1036"/>
          <w:tab w:val="left" w:pos="1620"/>
          <w:tab w:val="left" w:pos="2160"/>
          <w:tab w:val="left" w:pos="7020"/>
        </w:tabs>
        <w:adjustRightInd w:val="0"/>
        <w:snapToGrid w:val="0"/>
        <w:spacing w:line="288" w:lineRule="auto"/>
        <w:ind w:firstLine="402" w:firstLineChars="200"/>
        <w:rPr>
          <w:rFonts w:ascii="宋体" w:hAnsi="宋体"/>
          <w:sz w:val="20"/>
          <w:szCs w:val="20"/>
        </w:rPr>
      </w:pPr>
      <w:r>
        <w:rPr>
          <w:rFonts w:hint="eastAsia"/>
          <w:b/>
          <w:sz w:val="20"/>
          <w:szCs w:val="20"/>
        </w:rPr>
        <w:t>1</w:t>
      </w:r>
      <w:r>
        <w:rPr>
          <w:rFonts w:hint="eastAsia" w:ascii="宋体" w:hAnsi="宋体"/>
          <w:sz w:val="20"/>
          <w:szCs w:val="20"/>
        </w:rPr>
        <w:t xml:space="preserve">  整体滑动稳定性可采用圆弧滑动条分法进行验算；</w:t>
      </w:r>
    </w:p>
    <w:p w14:paraId="61884FA9">
      <w:pPr>
        <w:tabs>
          <w:tab w:val="left" w:pos="672"/>
          <w:tab w:val="left" w:pos="1036"/>
          <w:tab w:val="left" w:pos="1620"/>
          <w:tab w:val="left" w:pos="2160"/>
          <w:tab w:val="left" w:pos="7020"/>
        </w:tabs>
        <w:adjustRightInd w:val="0"/>
        <w:snapToGrid w:val="0"/>
        <w:spacing w:line="288" w:lineRule="auto"/>
        <w:ind w:firstLine="402" w:firstLineChars="200"/>
        <w:rPr>
          <w:rFonts w:ascii="宋体" w:hAnsi="宋体"/>
          <w:sz w:val="20"/>
          <w:szCs w:val="20"/>
        </w:rPr>
      </w:pPr>
      <w:r>
        <w:rPr>
          <w:rFonts w:hint="eastAsia"/>
          <w:b/>
          <w:sz w:val="20"/>
          <w:szCs w:val="20"/>
        </w:rPr>
        <w:t xml:space="preserve">2 </w:t>
      </w:r>
      <w:r>
        <w:rPr>
          <w:rFonts w:hint="eastAsia" w:ascii="宋体" w:hAnsi="宋体"/>
          <w:sz w:val="20"/>
          <w:szCs w:val="20"/>
        </w:rPr>
        <w:t xml:space="preserve"> 圆弧滑动条分法整体滑动稳定性应符合下列规定（图</w:t>
      </w:r>
      <w:r>
        <w:rPr>
          <w:sz w:val="20"/>
          <w:szCs w:val="20"/>
        </w:rPr>
        <w:t>7.3.3</w:t>
      </w:r>
      <w:r>
        <w:rPr>
          <w:rFonts w:hint="eastAsia" w:ascii="宋体" w:hAnsi="宋体"/>
          <w:sz w:val="20"/>
          <w:szCs w:val="20"/>
        </w:rPr>
        <w:t>）：</w:t>
      </w:r>
    </w:p>
    <w:p w14:paraId="6ED5FA9D">
      <w:pPr>
        <w:wordWrap w:val="0"/>
        <w:adjustRightInd w:val="0"/>
        <w:snapToGrid w:val="0"/>
        <w:spacing w:line="288" w:lineRule="auto"/>
        <w:ind w:right="800" w:firstLine="3200" w:firstLineChars="1600"/>
        <w:rPr>
          <w:rFonts w:ascii="宋体" w:hAnsi="宋体"/>
          <w:sz w:val="20"/>
          <w:szCs w:val="20"/>
        </w:rPr>
      </w:pPr>
      <w:r>
        <w:rPr>
          <w:rFonts w:hint="eastAsia" w:ascii="宋体" w:hAnsi="宋体"/>
          <w:position w:val="-10"/>
          <w:sz w:val="20"/>
          <w:szCs w:val="20"/>
        </w:rPr>
        <w:object>
          <v:shape id="_x0000_i1081" o:spt="75" type="#_x0000_t75" style="height:17pt;width:118.2pt;" o:ole="t" filled="f" o:preferrelative="t" stroked="f" coordsize="21600,21600">
            <v:path/>
            <v:fill on="f" focussize="0,0"/>
            <v:stroke on="f" joinstyle="miter"/>
            <v:imagedata r:id="rId128" o:title=""/>
            <o:lock v:ext="edit" aspectratio="t"/>
            <w10:wrap type="none"/>
            <w10:anchorlock/>
          </v:shape>
          <o:OLEObject Type="Embed" ProgID="Equation.3" ShapeID="_x0000_i1081" DrawAspect="Content" ObjectID="_1468075783" r:id="rId127">
            <o:LockedField>false</o:LockedField>
          </o:OLEObject>
        </w:object>
      </w:r>
      <w:r>
        <w:rPr>
          <w:rFonts w:ascii="宋体" w:hAnsi="宋体"/>
          <w:sz w:val="20"/>
          <w:szCs w:val="20"/>
        </w:rPr>
        <w:tab/>
      </w:r>
      <w:r>
        <w:rPr>
          <w:rFonts w:ascii="宋体" w:hAnsi="宋体"/>
          <w:sz w:val="20"/>
          <w:szCs w:val="20"/>
        </w:rPr>
        <w:t xml:space="preserve">  </w: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 xml:space="preserve">    （</w:t>
      </w:r>
      <w:r>
        <w:rPr>
          <w:sz w:val="20"/>
          <w:szCs w:val="20"/>
        </w:rPr>
        <w:t>7.3.3-1</w:t>
      </w:r>
      <w:r>
        <w:rPr>
          <w:rFonts w:hint="eastAsia" w:ascii="宋体" w:hAnsi="宋体"/>
          <w:sz w:val="20"/>
          <w:szCs w:val="20"/>
        </w:rPr>
        <w:t>）</w:t>
      </w:r>
    </w:p>
    <w:p w14:paraId="6729522D">
      <w:pPr>
        <w:tabs>
          <w:tab w:val="left" w:pos="672"/>
          <w:tab w:val="left" w:pos="1036"/>
          <w:tab w:val="left" w:pos="1620"/>
          <w:tab w:val="left" w:pos="2160"/>
          <w:tab w:val="left" w:pos="7020"/>
        </w:tabs>
        <w:adjustRightInd w:val="0"/>
        <w:snapToGrid w:val="0"/>
        <w:spacing w:line="288" w:lineRule="auto"/>
        <w:jc w:val="center"/>
        <w:rPr>
          <w:rFonts w:ascii="宋体" w:hAnsi="宋体"/>
          <w:sz w:val="20"/>
          <w:szCs w:val="20"/>
        </w:rPr>
      </w:pPr>
      <w:r>
        <w:rPr>
          <w:rFonts w:hint="eastAsia" w:ascii="宋体" w:hAnsi="宋体"/>
          <w:position w:val="-34"/>
          <w:sz w:val="20"/>
          <w:szCs w:val="20"/>
        </w:rPr>
        <w:object>
          <v:shape id="_x0000_i1082" o:spt="75" type="#_x0000_t75" style="height:37.35pt;width:242.5pt;" o:ole="t" filled="f" o:preferrelative="t" stroked="f" coordsize="21600,21600">
            <v:path/>
            <v:fill on="f" focussize="0,0"/>
            <v:stroke on="f" joinstyle="miter"/>
            <v:imagedata r:id="rId130" o:title=""/>
            <o:lock v:ext="edit" aspectratio="t"/>
            <w10:wrap type="none"/>
            <w10:anchorlock/>
          </v:shape>
          <o:OLEObject Type="Embed" ProgID="Equation.3" ShapeID="_x0000_i1082" DrawAspect="Content" ObjectID="_1468075784" r:id="rId129">
            <o:LockedField>false</o:LockedField>
          </o:OLEObject>
        </w:object>
      </w:r>
      <w:r>
        <w:rPr>
          <w:rFonts w:hint="eastAsia" w:ascii="宋体" w:hAnsi="宋体"/>
          <w:sz w:val="20"/>
          <w:szCs w:val="20"/>
        </w:rPr>
        <w:t xml:space="preserve">  （</w:t>
      </w:r>
      <w:r>
        <w:rPr>
          <w:sz w:val="20"/>
          <w:szCs w:val="20"/>
        </w:rPr>
        <w:t>7.3.3-2</w:t>
      </w:r>
      <w:r>
        <w:rPr>
          <w:rFonts w:hint="eastAsia" w:ascii="宋体" w:hAnsi="宋体"/>
          <w:sz w:val="20"/>
          <w:szCs w:val="20"/>
        </w:rPr>
        <w:t>）</w:t>
      </w:r>
    </w:p>
    <w:p w14:paraId="6CAB056C">
      <w:pPr>
        <w:tabs>
          <w:tab w:val="left" w:pos="672"/>
          <w:tab w:val="left" w:pos="1036"/>
          <w:tab w:val="left" w:pos="1620"/>
          <w:tab w:val="left" w:pos="2160"/>
          <w:tab w:val="left" w:pos="7020"/>
        </w:tabs>
        <w:adjustRightInd w:val="0"/>
        <w:snapToGrid w:val="0"/>
        <w:spacing w:line="288" w:lineRule="auto"/>
        <w:ind w:left="1200" w:hanging="1200" w:hangingChars="600"/>
        <w:rPr>
          <w:rFonts w:ascii="宋体" w:hAnsi="宋体"/>
          <w:sz w:val="20"/>
          <w:szCs w:val="20"/>
        </w:rPr>
      </w:pPr>
      <w:r>
        <w:rPr>
          <w:rFonts w:hint="eastAsia" w:ascii="宋体" w:hAnsi="宋体"/>
          <w:sz w:val="20"/>
          <w:szCs w:val="20"/>
        </w:rPr>
        <w:t>式中：</w:t>
      </w:r>
      <w:r>
        <w:rPr>
          <w:i/>
          <w:sz w:val="20"/>
          <w:szCs w:val="20"/>
        </w:rPr>
        <w:t>K</w:t>
      </w:r>
      <w:r>
        <w:rPr>
          <w:sz w:val="20"/>
          <w:szCs w:val="20"/>
          <w:vertAlign w:val="subscript"/>
        </w:rPr>
        <w:t>s</w:t>
      </w:r>
      <w:r>
        <w:rPr>
          <w:iCs/>
        </w:rPr>
        <w:t>——</w:t>
      </w:r>
      <w:r>
        <w:rPr>
          <w:rFonts w:hint="eastAsia" w:ascii="宋体" w:hAnsi="宋体"/>
          <w:sz w:val="20"/>
          <w:szCs w:val="20"/>
        </w:rPr>
        <w:t>圆弧滑动稳定安全系数；安全等级为一级、二级、三级时，</w:t>
      </w:r>
      <w:r>
        <w:rPr>
          <w:i/>
          <w:sz w:val="20"/>
          <w:szCs w:val="20"/>
        </w:rPr>
        <w:t>K</w:t>
      </w:r>
      <w:r>
        <w:rPr>
          <w:sz w:val="20"/>
          <w:szCs w:val="20"/>
          <w:vertAlign w:val="subscript"/>
        </w:rPr>
        <w:t>s</w:t>
      </w:r>
      <w:r>
        <w:rPr>
          <w:rFonts w:hint="eastAsia"/>
          <w:sz w:val="20"/>
          <w:szCs w:val="20"/>
        </w:rPr>
        <w:t>分别</w:t>
      </w:r>
      <w:r>
        <w:rPr>
          <w:rFonts w:hint="eastAsia" w:ascii="宋体" w:hAnsi="宋体"/>
          <w:sz w:val="20"/>
          <w:szCs w:val="20"/>
        </w:rPr>
        <w:t>取</w:t>
      </w:r>
      <w:r>
        <w:rPr>
          <w:sz w:val="20"/>
          <w:szCs w:val="20"/>
        </w:rPr>
        <w:t>1.35、1.3、1.25</w:t>
      </w:r>
      <w:r>
        <w:rPr>
          <w:rFonts w:hint="eastAsia" w:ascii="宋体" w:hAnsi="宋体"/>
          <w:sz w:val="20"/>
          <w:szCs w:val="20"/>
        </w:rPr>
        <w:t>；</w:t>
      </w:r>
    </w:p>
    <w:p w14:paraId="673359C8">
      <w:pPr>
        <w:tabs>
          <w:tab w:val="left" w:pos="672"/>
          <w:tab w:val="left" w:pos="1316"/>
          <w:tab w:val="left" w:pos="1620"/>
          <w:tab w:val="left" w:pos="2160"/>
          <w:tab w:val="left" w:pos="7020"/>
        </w:tabs>
        <w:adjustRightInd w:val="0"/>
        <w:snapToGrid w:val="0"/>
        <w:spacing w:line="288" w:lineRule="auto"/>
        <w:ind w:left="1170" w:leftChars="240" w:hanging="666" w:hangingChars="333"/>
        <w:rPr>
          <w:rFonts w:ascii="宋体" w:hAnsi="宋体"/>
          <w:sz w:val="20"/>
          <w:szCs w:val="20"/>
        </w:rPr>
      </w:pPr>
      <w:r>
        <w:rPr>
          <w:i/>
          <w:sz w:val="20"/>
          <w:szCs w:val="20"/>
        </w:rPr>
        <w:t>K</w:t>
      </w:r>
      <w:r>
        <w:rPr>
          <w:sz w:val="20"/>
          <w:szCs w:val="20"/>
          <w:vertAlign w:val="subscript"/>
        </w:rPr>
        <w:t>s</w:t>
      </w:r>
      <w:r>
        <w:rPr>
          <w:rFonts w:hint="eastAsia"/>
          <w:sz w:val="20"/>
          <w:szCs w:val="20"/>
          <w:vertAlign w:val="subscript"/>
        </w:rPr>
        <w:t>,</w:t>
      </w:r>
      <w:r>
        <w:rPr>
          <w:rFonts w:hint="eastAsia"/>
          <w:i/>
          <w:sz w:val="20"/>
          <w:szCs w:val="20"/>
          <w:vertAlign w:val="subscript"/>
        </w:rPr>
        <w:t>i</w:t>
      </w:r>
      <w:r>
        <w:rPr>
          <w:iCs/>
        </w:rPr>
        <w:t>——</w:t>
      </w:r>
      <w:r>
        <w:rPr>
          <w:rFonts w:hint="eastAsia" w:ascii="宋体" w:hAnsi="宋体"/>
          <w:sz w:val="20"/>
          <w:szCs w:val="20"/>
        </w:rPr>
        <w:t>第</w:t>
      </w:r>
      <w:r>
        <w:rPr>
          <w:i/>
          <w:iCs/>
          <w:sz w:val="20"/>
          <w:szCs w:val="20"/>
        </w:rPr>
        <w:t>i</w:t>
      </w:r>
      <w:r>
        <w:rPr>
          <w:rFonts w:hint="eastAsia" w:ascii="宋体" w:hAnsi="宋体"/>
          <w:sz w:val="20"/>
          <w:szCs w:val="20"/>
        </w:rPr>
        <w:t>个圆弧滑动体的抗滑力矩与滑动力矩的比值；抗滑力矩与滑动力矩之比的最小值宜通过搜索不同圆心及半径的所有潜在滑动圆弧确定；</w:t>
      </w:r>
    </w:p>
    <w:p w14:paraId="6854E7AD">
      <w:pPr>
        <w:tabs>
          <w:tab w:val="left" w:pos="658"/>
          <w:tab w:val="left" w:pos="1276"/>
          <w:tab w:val="left" w:pos="1620"/>
          <w:tab w:val="left" w:pos="2160"/>
          <w:tab w:val="left" w:pos="7020"/>
        </w:tabs>
        <w:adjustRightInd w:val="0"/>
        <w:snapToGrid w:val="0"/>
        <w:spacing w:line="288" w:lineRule="auto"/>
        <w:ind w:left="1149" w:leftChars="87" w:hanging="966" w:hangingChars="483"/>
        <w:rPr>
          <w:rFonts w:ascii="宋体" w:hAnsi="宋体"/>
          <w:sz w:val="20"/>
          <w:szCs w:val="20"/>
        </w:rPr>
      </w:pPr>
      <w:r>
        <w:rPr>
          <w:i/>
          <w:sz w:val="20"/>
          <w:szCs w:val="20"/>
        </w:rPr>
        <w:t>c</w:t>
      </w:r>
      <w:r>
        <w:rPr>
          <w:i/>
          <w:sz w:val="20"/>
          <w:szCs w:val="20"/>
          <w:vertAlign w:val="subscript"/>
        </w:rPr>
        <w:t>j</w:t>
      </w:r>
      <w:r>
        <w:rPr>
          <w:rFonts w:hAnsi="宋体"/>
          <w:sz w:val="20"/>
          <w:szCs w:val="20"/>
        </w:rPr>
        <w:t>、</w:t>
      </w:r>
      <w:r>
        <w:rPr>
          <w:i/>
          <w:sz w:val="20"/>
          <w:szCs w:val="20"/>
        </w:rPr>
        <w:sym w:font="Symbol" w:char="F06A"/>
      </w:r>
      <w:r>
        <w:rPr>
          <w:i/>
          <w:sz w:val="20"/>
          <w:szCs w:val="20"/>
          <w:vertAlign w:val="subscript"/>
        </w:rPr>
        <w:t>j</w:t>
      </w:r>
      <w:r>
        <w:rPr>
          <w:sz w:val="20"/>
          <w:szCs w:val="20"/>
          <w:vertAlign w:val="subscript"/>
        </w:rPr>
        <w:t xml:space="preserve"> </w:t>
      </w:r>
      <w:r>
        <w:rPr>
          <w:iCs/>
        </w:rPr>
        <w:t>——</w:t>
      </w:r>
      <w:r>
        <w:rPr>
          <w:rFonts w:hint="eastAsia" w:ascii="宋体" w:hAnsi="宋体"/>
          <w:sz w:val="20"/>
          <w:szCs w:val="20"/>
        </w:rPr>
        <w:t>第</w:t>
      </w:r>
      <w:r>
        <w:rPr>
          <w:i/>
          <w:sz w:val="20"/>
          <w:szCs w:val="20"/>
        </w:rPr>
        <w:t>j</w:t>
      </w:r>
      <w:r>
        <w:rPr>
          <w:rFonts w:hint="eastAsia" w:ascii="宋体" w:hAnsi="宋体"/>
          <w:sz w:val="20"/>
          <w:szCs w:val="20"/>
        </w:rPr>
        <w:t>土条滑弧面处土的粘聚力（</w:t>
      </w:r>
      <w:r>
        <w:rPr>
          <w:sz w:val="20"/>
          <w:szCs w:val="20"/>
        </w:rPr>
        <w:t>kPa</w:t>
      </w:r>
      <w:r>
        <w:rPr>
          <w:rFonts w:hint="eastAsia" w:ascii="宋体" w:hAnsi="宋体"/>
          <w:sz w:val="20"/>
          <w:szCs w:val="20"/>
        </w:rPr>
        <w:t>）、内摩擦角（</w:t>
      </w:r>
      <w:r>
        <w:rPr>
          <w:sz w:val="20"/>
          <w:szCs w:val="20"/>
        </w:rPr>
        <w:t>º</w:t>
      </w:r>
      <w:r>
        <w:rPr>
          <w:rFonts w:hint="eastAsia" w:ascii="宋体" w:hAnsi="宋体"/>
          <w:sz w:val="20"/>
          <w:szCs w:val="20"/>
        </w:rPr>
        <w:t>），按本规程第</w:t>
      </w:r>
      <w:r>
        <w:rPr>
          <w:sz w:val="20"/>
          <w:szCs w:val="20"/>
        </w:rPr>
        <w:t>3.1.13</w:t>
      </w:r>
      <w:r>
        <w:rPr>
          <w:rFonts w:hint="eastAsia" w:ascii="宋体" w:hAnsi="宋体"/>
          <w:sz w:val="20"/>
          <w:szCs w:val="20"/>
        </w:rPr>
        <w:t>条的规定取值；</w:t>
      </w:r>
    </w:p>
    <w:p w14:paraId="7E2EFB00">
      <w:pPr>
        <w:tabs>
          <w:tab w:val="left" w:pos="658"/>
          <w:tab w:val="left" w:pos="1134"/>
          <w:tab w:val="left" w:pos="1372"/>
          <w:tab w:val="left" w:pos="2160"/>
          <w:tab w:val="left" w:pos="3060"/>
          <w:tab w:val="left" w:pos="4680"/>
          <w:tab w:val="left" w:pos="7020"/>
        </w:tabs>
        <w:adjustRightInd w:val="0"/>
        <w:snapToGrid w:val="0"/>
        <w:spacing w:line="288" w:lineRule="auto"/>
        <w:ind w:firstLine="588" w:firstLineChars="294"/>
        <w:rPr>
          <w:rFonts w:ascii="宋体" w:hAnsi="宋体"/>
          <w:sz w:val="20"/>
          <w:szCs w:val="20"/>
        </w:rPr>
      </w:pPr>
      <w:r>
        <w:rPr>
          <w:i/>
          <w:sz w:val="20"/>
          <w:szCs w:val="20"/>
        </w:rPr>
        <w:t>b</w:t>
      </w:r>
      <w:r>
        <w:rPr>
          <w:i/>
          <w:sz w:val="20"/>
          <w:szCs w:val="20"/>
          <w:vertAlign w:val="subscript"/>
        </w:rPr>
        <w:t>j</w:t>
      </w:r>
      <w:r>
        <w:rPr>
          <w:iCs/>
        </w:rPr>
        <w:t>——</w:t>
      </w:r>
      <w:r>
        <w:rPr>
          <w:rFonts w:hint="eastAsia" w:ascii="宋体" w:hAnsi="宋体"/>
          <w:sz w:val="20"/>
          <w:szCs w:val="20"/>
        </w:rPr>
        <w:t>第j土条的宽度（</w:t>
      </w:r>
      <w:r>
        <w:rPr>
          <w:rFonts w:hint="eastAsia"/>
          <w:sz w:val="20"/>
          <w:szCs w:val="20"/>
        </w:rPr>
        <w:t>m</w:t>
      </w:r>
      <w:r>
        <w:rPr>
          <w:rFonts w:hint="eastAsia" w:ascii="宋体" w:hAnsi="宋体"/>
          <w:sz w:val="20"/>
          <w:szCs w:val="20"/>
        </w:rPr>
        <w:t>）；</w:t>
      </w:r>
    </w:p>
    <w:p w14:paraId="64787AD0">
      <w:pPr>
        <w:tabs>
          <w:tab w:val="left" w:pos="600"/>
          <w:tab w:val="left" w:pos="870"/>
          <w:tab w:val="left" w:pos="1120"/>
          <w:tab w:val="left" w:pos="1372"/>
          <w:tab w:val="left" w:pos="2160"/>
          <w:tab w:val="left" w:pos="3060"/>
          <w:tab w:val="left" w:pos="4680"/>
          <w:tab w:val="left" w:pos="7020"/>
        </w:tabs>
        <w:adjustRightInd w:val="0"/>
        <w:snapToGrid w:val="0"/>
        <w:spacing w:line="288" w:lineRule="auto"/>
        <w:ind w:firstLine="566" w:firstLineChars="283"/>
        <w:rPr>
          <w:rFonts w:ascii="宋体" w:hAnsi="宋体"/>
          <w:sz w:val="20"/>
          <w:szCs w:val="20"/>
        </w:rPr>
      </w:pPr>
      <w:r>
        <w:rPr>
          <w:i/>
          <w:sz w:val="20"/>
          <w:szCs w:val="20"/>
        </w:rPr>
        <w:t>θ</w:t>
      </w:r>
      <w:r>
        <w:rPr>
          <w:i/>
          <w:sz w:val="20"/>
          <w:szCs w:val="20"/>
          <w:vertAlign w:val="subscript"/>
        </w:rPr>
        <w:t>j</w:t>
      </w:r>
      <w:r>
        <w:rPr>
          <w:sz w:val="20"/>
          <w:szCs w:val="20"/>
          <w:vertAlign w:val="subscript"/>
        </w:rPr>
        <w:t xml:space="preserve"> </w:t>
      </w:r>
      <w:r>
        <w:rPr>
          <w:iCs/>
        </w:rPr>
        <w:t>——</w:t>
      </w:r>
      <w:r>
        <w:rPr>
          <w:rFonts w:hint="eastAsia" w:ascii="宋体" w:hAnsi="宋体"/>
          <w:sz w:val="20"/>
          <w:szCs w:val="20"/>
        </w:rPr>
        <w:t>第</w:t>
      </w:r>
      <w:r>
        <w:rPr>
          <w:rFonts w:hint="eastAsia" w:ascii="宋体" w:hAnsi="宋体"/>
          <w:i/>
          <w:sz w:val="20"/>
          <w:szCs w:val="20"/>
        </w:rPr>
        <w:t>j</w:t>
      </w:r>
      <w:r>
        <w:rPr>
          <w:rFonts w:hint="eastAsia" w:ascii="宋体" w:hAnsi="宋体"/>
          <w:sz w:val="20"/>
          <w:szCs w:val="20"/>
        </w:rPr>
        <w:t>土条滑弧面中点处的法线与垂直面的夹角（</w:t>
      </w:r>
      <w:r>
        <w:rPr>
          <w:rFonts w:hint="eastAsia"/>
          <w:sz w:val="20"/>
          <w:szCs w:val="20"/>
        </w:rPr>
        <w:t>º</w:t>
      </w:r>
      <w:r>
        <w:rPr>
          <w:rFonts w:hint="eastAsia" w:ascii="宋体" w:hAnsi="宋体"/>
          <w:sz w:val="20"/>
          <w:szCs w:val="20"/>
        </w:rPr>
        <w:t>）；</w:t>
      </w:r>
    </w:p>
    <w:p w14:paraId="7A67C142">
      <w:pPr>
        <w:tabs>
          <w:tab w:val="left" w:pos="658"/>
          <w:tab w:val="left" w:pos="1134"/>
          <w:tab w:val="left" w:pos="1372"/>
          <w:tab w:val="left" w:pos="2160"/>
          <w:tab w:val="left" w:pos="3060"/>
          <w:tab w:val="left" w:pos="4680"/>
          <w:tab w:val="left" w:pos="7020"/>
        </w:tabs>
        <w:adjustRightInd w:val="0"/>
        <w:snapToGrid w:val="0"/>
        <w:spacing w:line="288" w:lineRule="auto"/>
        <w:ind w:firstLine="590" w:firstLineChars="295"/>
        <w:rPr>
          <w:rFonts w:ascii="宋体" w:hAnsi="宋体"/>
          <w:sz w:val="20"/>
          <w:szCs w:val="20"/>
        </w:rPr>
      </w:pPr>
      <w:r>
        <w:rPr>
          <w:i/>
          <w:sz w:val="20"/>
          <w:szCs w:val="20"/>
        </w:rPr>
        <w:t>l</w:t>
      </w:r>
      <w:r>
        <w:rPr>
          <w:i/>
          <w:sz w:val="20"/>
          <w:szCs w:val="20"/>
          <w:vertAlign w:val="subscript"/>
        </w:rPr>
        <w:t xml:space="preserve">j </w:t>
      </w:r>
      <w:r>
        <w:rPr>
          <w:iCs/>
        </w:rPr>
        <w:t>——</w:t>
      </w:r>
      <w:r>
        <w:rPr>
          <w:rFonts w:hint="eastAsia" w:ascii="宋体" w:hAnsi="宋体"/>
          <w:sz w:val="20"/>
          <w:szCs w:val="20"/>
        </w:rPr>
        <w:t>第</w:t>
      </w:r>
      <w:r>
        <w:rPr>
          <w:rFonts w:hint="eastAsia" w:ascii="宋体" w:hAnsi="宋体"/>
          <w:i/>
          <w:sz w:val="20"/>
          <w:szCs w:val="20"/>
        </w:rPr>
        <w:t>j</w:t>
      </w:r>
      <w:r>
        <w:rPr>
          <w:rFonts w:hint="eastAsia" w:ascii="宋体" w:hAnsi="宋体"/>
          <w:sz w:val="20"/>
          <w:szCs w:val="20"/>
        </w:rPr>
        <w:t>土条的滑弧长度（</w:t>
      </w:r>
      <w:r>
        <w:rPr>
          <w:rFonts w:hint="eastAsia"/>
          <w:sz w:val="20"/>
          <w:szCs w:val="20"/>
        </w:rPr>
        <w:t>m</w:t>
      </w:r>
      <w:r>
        <w:rPr>
          <w:rFonts w:hint="eastAsia" w:ascii="宋体" w:hAnsi="宋体"/>
          <w:sz w:val="20"/>
          <w:szCs w:val="20"/>
        </w:rPr>
        <w:t>），取</w:t>
      </w:r>
      <w:r>
        <w:rPr>
          <w:i/>
          <w:sz w:val="20"/>
          <w:szCs w:val="20"/>
        </w:rPr>
        <w:t>l</w:t>
      </w:r>
      <w:r>
        <w:rPr>
          <w:sz w:val="20"/>
          <w:szCs w:val="20"/>
          <w:vertAlign w:val="subscript"/>
        </w:rPr>
        <w:t>j</w:t>
      </w:r>
      <w:r>
        <w:rPr>
          <w:rFonts w:hAnsi="宋体"/>
          <w:sz w:val="20"/>
          <w:szCs w:val="20"/>
        </w:rPr>
        <w:t>＝</w:t>
      </w:r>
      <w:r>
        <w:rPr>
          <w:i/>
          <w:sz w:val="20"/>
          <w:szCs w:val="20"/>
        </w:rPr>
        <w:t>b</w:t>
      </w:r>
      <w:r>
        <w:rPr>
          <w:sz w:val="20"/>
          <w:szCs w:val="20"/>
          <w:vertAlign w:val="subscript"/>
        </w:rPr>
        <w:t>j</w:t>
      </w:r>
      <w:r>
        <w:rPr>
          <w:sz w:val="20"/>
          <w:szCs w:val="20"/>
        </w:rPr>
        <w:t>/cos</w:t>
      </w:r>
      <w:r>
        <w:rPr>
          <w:i/>
          <w:sz w:val="20"/>
          <w:szCs w:val="20"/>
        </w:rPr>
        <w:t>θ</w:t>
      </w:r>
      <w:r>
        <w:rPr>
          <w:sz w:val="20"/>
          <w:szCs w:val="20"/>
          <w:vertAlign w:val="subscript"/>
        </w:rPr>
        <w:t>j</w:t>
      </w:r>
      <w:r>
        <w:rPr>
          <w:rFonts w:hint="eastAsia" w:ascii="宋体" w:hAnsi="宋体"/>
          <w:sz w:val="20"/>
          <w:szCs w:val="20"/>
        </w:rPr>
        <w:t>；</w:t>
      </w:r>
    </w:p>
    <w:p w14:paraId="49445FF1">
      <w:pPr>
        <w:tabs>
          <w:tab w:val="left" w:pos="658"/>
          <w:tab w:val="left" w:pos="1134"/>
          <w:tab w:val="left" w:pos="1372"/>
          <w:tab w:val="left" w:pos="2160"/>
          <w:tab w:val="left" w:pos="3060"/>
          <w:tab w:val="left" w:pos="4680"/>
          <w:tab w:val="left" w:pos="7020"/>
        </w:tabs>
        <w:adjustRightInd w:val="0"/>
        <w:snapToGrid w:val="0"/>
        <w:spacing w:line="288" w:lineRule="auto"/>
        <w:ind w:firstLine="590" w:firstLineChars="295"/>
        <w:rPr>
          <w:rFonts w:ascii="宋体" w:hAnsi="宋体"/>
          <w:sz w:val="20"/>
          <w:szCs w:val="20"/>
        </w:rPr>
      </w:pPr>
      <w:r>
        <w:rPr>
          <w:i/>
          <w:sz w:val="20"/>
          <w:szCs w:val="20"/>
        </w:rPr>
        <w:t>q</w:t>
      </w:r>
      <w:r>
        <w:rPr>
          <w:i/>
          <w:sz w:val="20"/>
          <w:szCs w:val="20"/>
          <w:vertAlign w:val="subscript"/>
        </w:rPr>
        <w:t>j</w:t>
      </w:r>
      <w:r>
        <w:rPr>
          <w:iCs/>
        </w:rPr>
        <w:t>——</w:t>
      </w:r>
      <w:r>
        <w:rPr>
          <w:rFonts w:hint="eastAsia" w:ascii="宋体" w:hAnsi="宋体"/>
          <w:sz w:val="20"/>
          <w:szCs w:val="20"/>
        </w:rPr>
        <w:t>第</w:t>
      </w:r>
      <w:r>
        <w:rPr>
          <w:rFonts w:hint="eastAsia" w:ascii="宋体" w:hAnsi="宋体"/>
          <w:i/>
          <w:sz w:val="20"/>
          <w:szCs w:val="20"/>
        </w:rPr>
        <w:t>j</w:t>
      </w:r>
      <w:r>
        <w:rPr>
          <w:rFonts w:hint="eastAsia" w:ascii="宋体" w:hAnsi="宋体"/>
          <w:sz w:val="20"/>
          <w:szCs w:val="20"/>
        </w:rPr>
        <w:t>土条上的附加分布荷载标准值（</w:t>
      </w:r>
      <w:r>
        <w:rPr>
          <w:rFonts w:hint="eastAsia"/>
          <w:sz w:val="20"/>
          <w:szCs w:val="20"/>
        </w:rPr>
        <w:t>kPa</w:t>
      </w:r>
      <w:r>
        <w:rPr>
          <w:rFonts w:hint="eastAsia" w:ascii="宋体" w:hAnsi="宋体"/>
          <w:sz w:val="20"/>
          <w:szCs w:val="20"/>
        </w:rPr>
        <w:t>）；</w:t>
      </w:r>
    </w:p>
    <w:p w14:paraId="2E164A12">
      <w:pPr>
        <w:tabs>
          <w:tab w:val="left" w:pos="658"/>
          <w:tab w:val="left" w:pos="1134"/>
          <w:tab w:val="left" w:pos="1372"/>
          <w:tab w:val="left" w:pos="2160"/>
          <w:tab w:val="left" w:pos="3060"/>
          <w:tab w:val="left" w:pos="4680"/>
          <w:tab w:val="left" w:pos="7020"/>
        </w:tabs>
        <w:adjustRightInd w:val="0"/>
        <w:snapToGrid w:val="0"/>
        <w:spacing w:line="288" w:lineRule="auto"/>
        <w:ind w:firstLine="426" w:firstLineChars="213"/>
        <w:rPr>
          <w:rFonts w:ascii="宋体" w:hAnsi="宋体"/>
          <w:sz w:val="20"/>
          <w:szCs w:val="20"/>
        </w:rPr>
      </w:pPr>
      <w:r>
        <w:rPr>
          <w:i/>
          <w:sz w:val="20"/>
          <w:szCs w:val="20"/>
        </w:rPr>
        <w:t>ΔG</w:t>
      </w:r>
      <w:r>
        <w:rPr>
          <w:i/>
          <w:sz w:val="20"/>
          <w:szCs w:val="20"/>
          <w:vertAlign w:val="subscript"/>
        </w:rPr>
        <w:t>j</w:t>
      </w:r>
      <w:r>
        <w:rPr>
          <w:iCs/>
        </w:rPr>
        <w:t>——</w:t>
      </w:r>
      <w:r>
        <w:rPr>
          <w:rFonts w:hint="eastAsia" w:ascii="宋体" w:hAnsi="宋体"/>
          <w:sz w:val="20"/>
          <w:szCs w:val="20"/>
        </w:rPr>
        <w:t>第</w:t>
      </w:r>
      <w:r>
        <w:rPr>
          <w:rFonts w:hint="eastAsia" w:ascii="宋体" w:hAnsi="宋体"/>
          <w:i/>
          <w:sz w:val="20"/>
          <w:szCs w:val="20"/>
        </w:rPr>
        <w:t>j</w:t>
      </w:r>
      <w:r>
        <w:rPr>
          <w:rFonts w:hint="eastAsia" w:ascii="宋体" w:hAnsi="宋体"/>
          <w:sz w:val="20"/>
          <w:szCs w:val="20"/>
        </w:rPr>
        <w:t>土条的自重（</w:t>
      </w:r>
      <w:r>
        <w:rPr>
          <w:rFonts w:hint="eastAsia"/>
          <w:sz w:val="20"/>
          <w:szCs w:val="20"/>
        </w:rPr>
        <w:t>kN</w:t>
      </w:r>
      <w:r>
        <w:rPr>
          <w:rFonts w:hint="eastAsia" w:ascii="宋体" w:hAnsi="宋体"/>
          <w:sz w:val="20"/>
          <w:szCs w:val="20"/>
        </w:rPr>
        <w:t>），按天然重度计算；</w:t>
      </w:r>
    </w:p>
    <w:p w14:paraId="7C7A71B3">
      <w:pPr>
        <w:tabs>
          <w:tab w:val="left" w:pos="1120"/>
          <w:tab w:val="left" w:pos="1372"/>
          <w:tab w:val="left" w:pos="2160"/>
          <w:tab w:val="left" w:pos="3060"/>
          <w:tab w:val="left" w:pos="4680"/>
          <w:tab w:val="left" w:pos="7020"/>
        </w:tabs>
        <w:adjustRightInd w:val="0"/>
        <w:snapToGrid w:val="0"/>
        <w:spacing w:line="288" w:lineRule="auto"/>
        <w:ind w:firstLine="590" w:firstLineChars="295"/>
        <w:rPr>
          <w:rFonts w:ascii="宋体" w:hAnsi="宋体"/>
          <w:sz w:val="20"/>
          <w:szCs w:val="20"/>
        </w:rPr>
      </w:pPr>
      <w:r>
        <w:rPr>
          <w:i/>
          <w:sz w:val="20"/>
          <w:szCs w:val="20"/>
        </w:rPr>
        <w:t>u</w:t>
      </w:r>
      <w:r>
        <w:rPr>
          <w:i/>
          <w:sz w:val="20"/>
          <w:szCs w:val="20"/>
          <w:vertAlign w:val="subscript"/>
        </w:rPr>
        <w:t>j</w:t>
      </w:r>
      <w:r>
        <w:rPr>
          <w:iCs/>
        </w:rPr>
        <w:t>——</w:t>
      </w:r>
      <w:r>
        <w:rPr>
          <w:rFonts w:hint="eastAsia" w:ascii="宋体" w:hAnsi="宋体"/>
          <w:sz w:val="20"/>
          <w:szCs w:val="20"/>
        </w:rPr>
        <w:t>第</w:t>
      </w:r>
      <w:r>
        <w:rPr>
          <w:rFonts w:hint="eastAsia" w:ascii="宋体" w:hAnsi="宋体"/>
          <w:i/>
          <w:sz w:val="20"/>
          <w:szCs w:val="20"/>
        </w:rPr>
        <w:t>j</w:t>
      </w:r>
      <w:r>
        <w:rPr>
          <w:rFonts w:hint="eastAsia" w:ascii="宋体" w:hAnsi="宋体"/>
          <w:sz w:val="20"/>
          <w:szCs w:val="20"/>
        </w:rPr>
        <w:t>土条滑弧面上的水压力（</w:t>
      </w:r>
      <w:r>
        <w:rPr>
          <w:rFonts w:hint="eastAsia"/>
          <w:sz w:val="20"/>
          <w:szCs w:val="20"/>
        </w:rPr>
        <w:t>kPa</w:t>
      </w:r>
      <w:r>
        <w:rPr>
          <w:rFonts w:hint="eastAsia" w:ascii="宋体" w:hAnsi="宋体"/>
          <w:sz w:val="20"/>
          <w:szCs w:val="20"/>
        </w:rPr>
        <w:t>）；采用落底式截水帷幕时，对地下水位以下的砂土、碎石土、砂质粉土，在基坑外侧，可取</w:t>
      </w:r>
      <w:r>
        <w:rPr>
          <w:i/>
          <w:sz w:val="20"/>
          <w:szCs w:val="20"/>
        </w:rPr>
        <w:t>u</w:t>
      </w:r>
      <w:r>
        <w:rPr>
          <w:i/>
          <w:sz w:val="20"/>
          <w:szCs w:val="20"/>
          <w:vertAlign w:val="subscript"/>
        </w:rPr>
        <w:t>j</w:t>
      </w:r>
      <w:r>
        <w:rPr>
          <w:rFonts w:hAnsi="宋体"/>
          <w:sz w:val="20"/>
          <w:szCs w:val="20"/>
        </w:rPr>
        <w:t>＝</w:t>
      </w:r>
      <w:r>
        <w:rPr>
          <w:i/>
          <w:sz w:val="20"/>
          <w:szCs w:val="20"/>
        </w:rPr>
        <w:t>γ</w:t>
      </w:r>
      <w:r>
        <w:rPr>
          <w:sz w:val="20"/>
          <w:szCs w:val="20"/>
          <w:vertAlign w:val="subscript"/>
        </w:rPr>
        <w:t>w</w:t>
      </w:r>
      <w:r>
        <w:rPr>
          <w:sz w:val="20"/>
          <w:szCs w:val="20"/>
        </w:rPr>
        <w:t>h</w:t>
      </w:r>
      <w:r>
        <w:rPr>
          <w:sz w:val="20"/>
          <w:szCs w:val="20"/>
          <w:vertAlign w:val="subscript"/>
        </w:rPr>
        <w:t>wa</w:t>
      </w:r>
      <w:r>
        <w:rPr>
          <w:rFonts w:hAnsi="宋体"/>
          <w:sz w:val="20"/>
          <w:szCs w:val="20"/>
          <w:vertAlign w:val="subscript"/>
        </w:rPr>
        <w:t>，</w:t>
      </w:r>
      <w:r>
        <w:rPr>
          <w:i/>
          <w:sz w:val="20"/>
          <w:szCs w:val="20"/>
          <w:vertAlign w:val="subscript"/>
        </w:rPr>
        <w:t>j</w:t>
      </w:r>
      <w:r>
        <w:rPr>
          <w:rFonts w:hint="eastAsia" w:ascii="宋体" w:hAnsi="宋体"/>
          <w:sz w:val="20"/>
          <w:szCs w:val="20"/>
        </w:rPr>
        <w:t>，在基坑内侧，可取</w:t>
      </w:r>
      <w:r>
        <w:rPr>
          <w:i/>
          <w:sz w:val="20"/>
          <w:szCs w:val="20"/>
        </w:rPr>
        <w:t>u</w:t>
      </w:r>
      <w:r>
        <w:rPr>
          <w:i/>
          <w:sz w:val="20"/>
          <w:szCs w:val="20"/>
          <w:vertAlign w:val="subscript"/>
        </w:rPr>
        <w:t>j</w:t>
      </w:r>
      <w:r>
        <w:rPr>
          <w:sz w:val="20"/>
          <w:szCs w:val="20"/>
        </w:rPr>
        <w:t>＝</w:t>
      </w:r>
      <w:r>
        <w:rPr>
          <w:i/>
          <w:sz w:val="20"/>
          <w:szCs w:val="20"/>
        </w:rPr>
        <w:t>γ</w:t>
      </w:r>
      <w:r>
        <w:rPr>
          <w:sz w:val="20"/>
          <w:szCs w:val="20"/>
          <w:vertAlign w:val="subscript"/>
        </w:rPr>
        <w:t>w</w:t>
      </w:r>
      <w:r>
        <w:rPr>
          <w:sz w:val="20"/>
          <w:szCs w:val="20"/>
        </w:rPr>
        <w:t>h</w:t>
      </w:r>
      <w:r>
        <w:rPr>
          <w:sz w:val="20"/>
          <w:szCs w:val="20"/>
          <w:vertAlign w:val="subscript"/>
        </w:rPr>
        <w:t>wp</w:t>
      </w:r>
      <w:r>
        <w:rPr>
          <w:rFonts w:hAnsi="宋体"/>
          <w:sz w:val="20"/>
          <w:szCs w:val="20"/>
          <w:vertAlign w:val="subscript"/>
        </w:rPr>
        <w:t>，</w:t>
      </w:r>
      <w:r>
        <w:rPr>
          <w:i/>
          <w:sz w:val="20"/>
          <w:szCs w:val="20"/>
          <w:vertAlign w:val="subscript"/>
        </w:rPr>
        <w:t>j</w:t>
      </w:r>
      <w:r>
        <w:rPr>
          <w:rFonts w:hAnsi="宋体"/>
          <w:sz w:val="20"/>
          <w:szCs w:val="20"/>
        </w:rPr>
        <w:t>；</w:t>
      </w:r>
      <w:r>
        <w:rPr>
          <w:rFonts w:hint="eastAsia" w:ascii="宋体" w:hAnsi="宋体"/>
          <w:sz w:val="20"/>
          <w:szCs w:val="20"/>
        </w:rPr>
        <w:t>滑弧面在地下水位以上或对地下水位以下的黏性土，取</w:t>
      </w:r>
      <w:r>
        <w:rPr>
          <w:rFonts w:hint="eastAsia" w:ascii="宋体" w:hAnsi="宋体"/>
          <w:i/>
          <w:sz w:val="20"/>
          <w:szCs w:val="20"/>
        </w:rPr>
        <w:t>u</w:t>
      </w:r>
      <w:r>
        <w:rPr>
          <w:rFonts w:hint="eastAsia" w:ascii="宋体" w:hAnsi="宋体"/>
          <w:i/>
          <w:sz w:val="20"/>
          <w:szCs w:val="20"/>
          <w:vertAlign w:val="subscript"/>
        </w:rPr>
        <w:t>j</w:t>
      </w:r>
      <w:r>
        <w:rPr>
          <w:rFonts w:hint="eastAsia" w:ascii="宋体" w:hAnsi="宋体"/>
          <w:sz w:val="20"/>
          <w:szCs w:val="20"/>
        </w:rPr>
        <w:t>＝0；</w:t>
      </w:r>
    </w:p>
    <w:p w14:paraId="07AF7F24">
      <w:pPr>
        <w:tabs>
          <w:tab w:val="left" w:pos="658"/>
          <w:tab w:val="left" w:pos="1372"/>
          <w:tab w:val="left" w:pos="2160"/>
          <w:tab w:val="left" w:pos="3060"/>
          <w:tab w:val="left" w:pos="4680"/>
          <w:tab w:val="left" w:pos="7020"/>
        </w:tabs>
        <w:adjustRightInd w:val="0"/>
        <w:snapToGrid w:val="0"/>
        <w:spacing w:line="288" w:lineRule="auto"/>
        <w:ind w:firstLine="566" w:firstLineChars="283"/>
        <w:rPr>
          <w:rFonts w:ascii="宋体" w:hAnsi="宋体"/>
          <w:sz w:val="20"/>
          <w:szCs w:val="20"/>
        </w:rPr>
      </w:pPr>
      <w:r>
        <w:rPr>
          <w:i/>
          <w:sz w:val="20"/>
          <w:szCs w:val="20"/>
        </w:rPr>
        <w:t>γ</w:t>
      </w:r>
      <w:r>
        <w:rPr>
          <w:sz w:val="20"/>
          <w:szCs w:val="20"/>
          <w:vertAlign w:val="subscript"/>
        </w:rPr>
        <w:t>w</w:t>
      </w:r>
      <w:r>
        <w:rPr>
          <w:iCs/>
        </w:rPr>
        <w:t>——</w:t>
      </w:r>
      <w:r>
        <w:rPr>
          <w:rFonts w:hint="eastAsia" w:ascii="宋体" w:hAnsi="宋体"/>
          <w:sz w:val="20"/>
          <w:szCs w:val="20"/>
        </w:rPr>
        <w:t>地下水重度（</w:t>
      </w:r>
      <w:r>
        <w:rPr>
          <w:rFonts w:hint="eastAsia"/>
          <w:sz w:val="20"/>
          <w:szCs w:val="20"/>
        </w:rPr>
        <w:t>kN/m</w:t>
      </w:r>
      <w:r>
        <w:rPr>
          <w:rFonts w:hint="eastAsia"/>
          <w:sz w:val="20"/>
          <w:szCs w:val="20"/>
          <w:vertAlign w:val="superscript"/>
        </w:rPr>
        <w:t>3</w:t>
      </w:r>
      <w:r>
        <w:rPr>
          <w:rFonts w:hint="eastAsia" w:ascii="宋体" w:hAnsi="宋体"/>
          <w:sz w:val="20"/>
          <w:szCs w:val="20"/>
        </w:rPr>
        <w:t>）；</w:t>
      </w:r>
    </w:p>
    <w:p w14:paraId="3B45B695">
      <w:pPr>
        <w:tabs>
          <w:tab w:val="left" w:pos="658"/>
          <w:tab w:val="left" w:pos="1134"/>
          <w:tab w:val="left" w:pos="1372"/>
          <w:tab w:val="left" w:pos="2160"/>
          <w:tab w:val="left" w:pos="3060"/>
          <w:tab w:val="left" w:pos="4680"/>
          <w:tab w:val="left" w:pos="7020"/>
        </w:tabs>
        <w:adjustRightInd w:val="0"/>
        <w:snapToGrid w:val="0"/>
        <w:spacing w:line="288" w:lineRule="auto"/>
        <w:ind w:firstLine="405" w:firstLineChars="203"/>
        <w:rPr>
          <w:rFonts w:ascii="宋体" w:hAnsi="宋体"/>
          <w:sz w:val="20"/>
          <w:szCs w:val="20"/>
        </w:rPr>
      </w:pPr>
      <w:r>
        <w:rPr>
          <w:i/>
          <w:sz w:val="20"/>
          <w:szCs w:val="20"/>
        </w:rPr>
        <w:t>h</w:t>
      </w:r>
      <w:r>
        <w:rPr>
          <w:sz w:val="20"/>
          <w:szCs w:val="20"/>
          <w:vertAlign w:val="subscript"/>
        </w:rPr>
        <w:t>wa</w:t>
      </w:r>
      <w:r>
        <w:rPr>
          <w:rFonts w:hint="eastAsia" w:hAnsi="宋体"/>
          <w:sz w:val="20"/>
          <w:szCs w:val="20"/>
          <w:vertAlign w:val="subscript"/>
        </w:rPr>
        <w:t>,</w:t>
      </w:r>
      <w:r>
        <w:rPr>
          <w:i/>
          <w:sz w:val="20"/>
          <w:szCs w:val="20"/>
          <w:vertAlign w:val="subscript"/>
        </w:rPr>
        <w:t>j</w:t>
      </w:r>
      <w:r>
        <w:rPr>
          <w:iCs/>
        </w:rPr>
        <w:t>——</w:t>
      </w:r>
      <w:r>
        <w:rPr>
          <w:rFonts w:hint="eastAsia" w:ascii="宋体" w:hAnsi="宋体"/>
          <w:sz w:val="20"/>
          <w:szCs w:val="20"/>
        </w:rPr>
        <w:t>基坑外侧第</w:t>
      </w:r>
      <w:r>
        <w:rPr>
          <w:rFonts w:hint="eastAsia"/>
          <w:i/>
          <w:sz w:val="20"/>
          <w:szCs w:val="20"/>
        </w:rPr>
        <w:t>j</w:t>
      </w:r>
      <w:r>
        <w:rPr>
          <w:rFonts w:hint="eastAsia" w:ascii="宋体" w:hAnsi="宋体"/>
          <w:sz w:val="20"/>
          <w:szCs w:val="20"/>
        </w:rPr>
        <w:t>土条滑弧面中点的压力水头（</w:t>
      </w:r>
      <w:r>
        <w:rPr>
          <w:rFonts w:hint="eastAsia"/>
          <w:sz w:val="20"/>
          <w:szCs w:val="20"/>
        </w:rPr>
        <w:t>m</w:t>
      </w:r>
      <w:r>
        <w:rPr>
          <w:rFonts w:hint="eastAsia" w:ascii="宋体" w:hAnsi="宋体"/>
          <w:sz w:val="20"/>
          <w:szCs w:val="20"/>
        </w:rPr>
        <w:t>）；</w:t>
      </w:r>
    </w:p>
    <w:p w14:paraId="5BF93FE9">
      <w:pPr>
        <w:tabs>
          <w:tab w:val="left" w:pos="658"/>
          <w:tab w:val="left" w:pos="1134"/>
          <w:tab w:val="left" w:pos="1372"/>
          <w:tab w:val="left" w:pos="2160"/>
          <w:tab w:val="left" w:pos="3060"/>
          <w:tab w:val="left" w:pos="4680"/>
          <w:tab w:val="left" w:pos="7020"/>
        </w:tabs>
        <w:adjustRightInd w:val="0"/>
        <w:snapToGrid w:val="0"/>
        <w:spacing w:line="288" w:lineRule="auto"/>
        <w:ind w:firstLine="400" w:firstLineChars="200"/>
        <w:rPr>
          <w:rFonts w:ascii="宋体" w:hAnsi="宋体"/>
          <w:sz w:val="20"/>
          <w:szCs w:val="20"/>
        </w:rPr>
      </w:pPr>
      <w:r>
        <w:rPr>
          <w:i/>
          <w:sz w:val="20"/>
          <w:szCs w:val="20"/>
        </w:rPr>
        <w:t>h</w:t>
      </w:r>
      <w:r>
        <w:rPr>
          <w:sz w:val="20"/>
          <w:szCs w:val="20"/>
          <w:vertAlign w:val="subscript"/>
        </w:rPr>
        <w:t>wp</w:t>
      </w:r>
      <w:r>
        <w:rPr>
          <w:rFonts w:hint="eastAsia" w:hAnsi="宋体"/>
          <w:sz w:val="20"/>
          <w:szCs w:val="20"/>
          <w:vertAlign w:val="subscript"/>
        </w:rPr>
        <w:t>,</w:t>
      </w:r>
      <w:r>
        <w:rPr>
          <w:i/>
          <w:sz w:val="20"/>
          <w:szCs w:val="20"/>
          <w:vertAlign w:val="subscript"/>
        </w:rPr>
        <w:t>j</w:t>
      </w:r>
      <w:r>
        <w:rPr>
          <w:iCs/>
        </w:rPr>
        <w:t>——</w:t>
      </w:r>
      <w:r>
        <w:rPr>
          <w:rFonts w:hint="eastAsia" w:ascii="宋体" w:hAnsi="宋体"/>
          <w:sz w:val="20"/>
          <w:szCs w:val="20"/>
        </w:rPr>
        <w:t>基坑内侧第</w:t>
      </w:r>
      <w:r>
        <w:rPr>
          <w:rFonts w:hint="eastAsia"/>
          <w:i/>
          <w:sz w:val="20"/>
          <w:szCs w:val="20"/>
        </w:rPr>
        <w:t>j</w:t>
      </w:r>
      <w:r>
        <w:rPr>
          <w:rFonts w:hint="eastAsia" w:ascii="宋体" w:hAnsi="宋体"/>
          <w:sz w:val="20"/>
          <w:szCs w:val="20"/>
        </w:rPr>
        <w:t>土条滑弧面中点的压力水头（</w:t>
      </w:r>
      <w:r>
        <w:rPr>
          <w:rFonts w:hint="eastAsia"/>
          <w:sz w:val="20"/>
          <w:szCs w:val="20"/>
        </w:rPr>
        <w:t>m</w:t>
      </w:r>
      <w:r>
        <w:rPr>
          <w:rFonts w:hint="eastAsia" w:ascii="宋体" w:hAnsi="宋体"/>
          <w:sz w:val="20"/>
          <w:szCs w:val="20"/>
        </w:rPr>
        <w:t>）；</w:t>
      </w:r>
    </w:p>
    <w:p w14:paraId="14AE618F">
      <w:pPr>
        <w:tabs>
          <w:tab w:val="left" w:pos="660"/>
          <w:tab w:val="left" w:pos="2160"/>
          <w:tab w:val="left" w:pos="3060"/>
          <w:tab w:val="left" w:pos="4680"/>
          <w:tab w:val="left" w:pos="7020"/>
        </w:tabs>
        <w:adjustRightInd w:val="0"/>
        <w:snapToGrid w:val="0"/>
        <w:spacing w:line="288" w:lineRule="auto"/>
        <w:ind w:left="1173" w:leftChars="146" w:hanging="866" w:hangingChars="433"/>
        <w:rPr>
          <w:rFonts w:ascii="宋体" w:hAnsi="宋体"/>
          <w:sz w:val="20"/>
          <w:szCs w:val="20"/>
        </w:rPr>
      </w:pPr>
      <w:r>
        <w:rPr>
          <w:rFonts w:ascii="宋体" w:hAnsi="宋体"/>
          <w:position w:val="-8"/>
          <w:sz w:val="20"/>
          <w:szCs w:val="20"/>
        </w:rPr>
        <w:object>
          <v:shape id="_x0000_i1083" o:spt="75" type="#_x0000_t75" style="height:14.95pt;width:19pt;" o:ole="t" filled="f" o:preferrelative="t" stroked="f" coordsize="21600,21600">
            <v:path/>
            <v:fill on="f" focussize="0,0"/>
            <v:stroke on="f" joinstyle="miter"/>
            <v:imagedata r:id="rId132" o:title=""/>
            <o:lock v:ext="edit" aspectratio="t"/>
            <w10:wrap type="none"/>
            <w10:anchorlock/>
          </v:shape>
          <o:OLEObject Type="Embed" ProgID="Equation.3" ShapeID="_x0000_i1083" DrawAspect="Content" ObjectID="_1468075785" r:id="rId131">
            <o:LockedField>false</o:LockedField>
          </o:OLEObject>
        </w:object>
      </w:r>
      <w:r>
        <w:rPr>
          <w:iCs/>
        </w:rPr>
        <w:t>——</w:t>
      </w:r>
      <w:r>
        <w:rPr>
          <w:rFonts w:hint="eastAsia" w:ascii="宋体" w:hAnsi="宋体"/>
          <w:sz w:val="20"/>
          <w:szCs w:val="20"/>
        </w:rPr>
        <w:t>第</w:t>
      </w:r>
      <w:r>
        <w:rPr>
          <w:rFonts w:ascii="宋体" w:hAnsi="宋体"/>
          <w:position w:val="-6"/>
          <w:sz w:val="20"/>
          <w:szCs w:val="20"/>
        </w:rPr>
        <w:object>
          <v:shape id="_x0000_i1084" o:spt="75" type="#_x0000_t75" style="height:10.85pt;width:7.45pt;" o:ole="t" filled="f" o:preferrelative="t" stroked="f" coordsize="21600,21600">
            <v:path/>
            <v:fill on="f" focussize="0,0"/>
            <v:stroke on="f" joinstyle="miter"/>
            <v:imagedata r:id="rId134" o:title=""/>
            <o:lock v:ext="edit" aspectratio="t"/>
            <w10:wrap type="none"/>
            <w10:anchorlock/>
          </v:shape>
          <o:OLEObject Type="Embed" ProgID="Equation.3" ShapeID="_x0000_i1084" DrawAspect="Content" ObjectID="_1468075786" r:id="rId133">
            <o:LockedField>false</o:LockedField>
          </o:OLEObject>
        </w:object>
      </w:r>
      <w:r>
        <w:rPr>
          <w:rFonts w:hint="eastAsia" w:ascii="宋体" w:hAnsi="宋体"/>
          <w:sz w:val="20"/>
          <w:szCs w:val="20"/>
        </w:rPr>
        <w:t>层锚杆在滑动面以外的锚固段的极限抗拔承载力标准值与锚杆杆体受拉承载力标准值（</w:t>
      </w:r>
      <w:r>
        <w:rPr>
          <w:i/>
          <w:sz w:val="20"/>
          <w:szCs w:val="20"/>
        </w:rPr>
        <w:t>f</w:t>
      </w:r>
      <w:r>
        <w:rPr>
          <w:sz w:val="20"/>
          <w:szCs w:val="20"/>
          <w:vertAlign w:val="subscript"/>
        </w:rPr>
        <w:t>ptk</w:t>
      </w:r>
      <w:r>
        <w:rPr>
          <w:i/>
          <w:sz w:val="20"/>
          <w:szCs w:val="20"/>
        </w:rPr>
        <w:t>A</w:t>
      </w:r>
      <w:r>
        <w:rPr>
          <w:sz w:val="20"/>
          <w:szCs w:val="20"/>
          <w:vertAlign w:val="subscript"/>
        </w:rPr>
        <w:t>p</w:t>
      </w:r>
      <w:r>
        <w:rPr>
          <w:rFonts w:hint="eastAsia" w:ascii="宋体" w:hAnsi="宋体"/>
          <w:sz w:val="20"/>
          <w:szCs w:val="20"/>
        </w:rPr>
        <w:t>）的较小值（</w:t>
      </w:r>
      <w:r>
        <w:rPr>
          <w:sz w:val="20"/>
          <w:szCs w:val="20"/>
        </w:rPr>
        <w:t>kN</w:t>
      </w:r>
      <w:r>
        <w:rPr>
          <w:rFonts w:hint="eastAsia" w:ascii="宋体" w:hAnsi="宋体"/>
          <w:sz w:val="20"/>
          <w:szCs w:val="20"/>
        </w:rPr>
        <w:t>）；锚固段的极限抗拔承载力应按本规程第</w:t>
      </w:r>
      <w:r>
        <w:rPr>
          <w:sz w:val="20"/>
          <w:szCs w:val="20"/>
        </w:rPr>
        <w:t>7.6.3</w:t>
      </w:r>
      <w:r>
        <w:rPr>
          <w:rFonts w:hint="eastAsia" w:ascii="宋体" w:hAnsi="宋体"/>
          <w:sz w:val="20"/>
          <w:szCs w:val="20"/>
        </w:rPr>
        <w:t>条的规定计算，但锚固段应取滑动面以外的长度；对悬臂式、双排桩支挡结构，不考虑</w:t>
      </w:r>
      <w:r>
        <w:rPr>
          <w:rFonts w:ascii="宋体" w:hAnsi="宋体"/>
          <w:position w:val="-16"/>
          <w:sz w:val="20"/>
          <w:szCs w:val="20"/>
        </w:rPr>
        <w:object>
          <v:shape id="_x0000_i1085" o:spt="75" type="#_x0000_t75" style="height:17pt;width:99.15pt;" o:ole="t" filled="f" o:preferrelative="t" stroked="f" coordsize="21600,21600">
            <v:path/>
            <v:fill on="f" focussize="0,0"/>
            <v:stroke on="f" joinstyle="miter"/>
            <v:imagedata r:id="rId136" o:title=""/>
            <o:lock v:ext="edit" aspectratio="t"/>
            <w10:wrap type="none"/>
            <w10:anchorlock/>
          </v:shape>
          <o:OLEObject Type="Embed" ProgID="Equation.3" ShapeID="_x0000_i1085" DrawAspect="Content" ObjectID="_1468075787" r:id="rId135">
            <o:LockedField>false</o:LockedField>
          </o:OLEObject>
        </w:object>
      </w:r>
      <w:r>
        <w:rPr>
          <w:rFonts w:hint="eastAsia" w:ascii="宋体" w:hAnsi="宋体"/>
          <w:sz w:val="20"/>
          <w:szCs w:val="20"/>
        </w:rPr>
        <w:t>项；</w:t>
      </w:r>
    </w:p>
    <w:p w14:paraId="0280845E">
      <w:pPr>
        <w:tabs>
          <w:tab w:val="left" w:pos="672"/>
          <w:tab w:val="left" w:pos="1036"/>
          <w:tab w:val="left" w:pos="1620"/>
          <w:tab w:val="left" w:pos="2160"/>
          <w:tab w:val="left" w:pos="7020"/>
        </w:tabs>
        <w:adjustRightInd w:val="0"/>
        <w:snapToGrid w:val="0"/>
        <w:spacing w:line="288" w:lineRule="auto"/>
        <w:ind w:firstLine="566" w:firstLineChars="283"/>
        <w:rPr>
          <w:rFonts w:ascii="宋体" w:hAnsi="宋体"/>
          <w:sz w:val="20"/>
          <w:szCs w:val="20"/>
        </w:rPr>
      </w:pPr>
      <w:r>
        <w:rPr>
          <w:i/>
          <w:sz w:val="20"/>
          <w:szCs w:val="20"/>
        </w:rPr>
        <w:t>α</w:t>
      </w:r>
      <w:r>
        <w:rPr>
          <w:i/>
          <w:sz w:val="20"/>
          <w:szCs w:val="20"/>
          <w:vertAlign w:val="subscript"/>
        </w:rPr>
        <w:t>k</w:t>
      </w:r>
      <w:r>
        <w:rPr>
          <w:iCs/>
        </w:rPr>
        <w:t>——</w:t>
      </w:r>
      <w:r>
        <w:rPr>
          <w:rFonts w:hint="eastAsia" w:ascii="宋体" w:hAnsi="宋体"/>
          <w:sz w:val="20"/>
          <w:szCs w:val="20"/>
        </w:rPr>
        <w:t>第</w:t>
      </w:r>
      <w:r>
        <w:rPr>
          <w:rFonts w:hint="eastAsia" w:ascii="宋体" w:hAnsi="宋体"/>
          <w:i/>
          <w:sz w:val="20"/>
          <w:szCs w:val="20"/>
        </w:rPr>
        <w:t>k</w:t>
      </w:r>
      <w:r>
        <w:rPr>
          <w:rFonts w:hint="eastAsia" w:ascii="宋体" w:hAnsi="宋体"/>
          <w:sz w:val="20"/>
          <w:szCs w:val="20"/>
        </w:rPr>
        <w:t>层锚杆的倾角（</w:t>
      </w:r>
      <w:r>
        <w:rPr>
          <w:rFonts w:hint="eastAsia"/>
          <w:sz w:val="20"/>
          <w:szCs w:val="20"/>
        </w:rPr>
        <w:t>º</w:t>
      </w:r>
      <w:r>
        <w:rPr>
          <w:rFonts w:hint="eastAsia" w:ascii="宋体" w:hAnsi="宋体"/>
          <w:sz w:val="20"/>
          <w:szCs w:val="20"/>
        </w:rPr>
        <w:t>）；</w:t>
      </w:r>
    </w:p>
    <w:p w14:paraId="31CF802F">
      <w:pPr>
        <w:tabs>
          <w:tab w:val="left" w:pos="672"/>
          <w:tab w:val="left" w:pos="1036"/>
          <w:tab w:val="left" w:pos="1620"/>
          <w:tab w:val="left" w:pos="2160"/>
          <w:tab w:val="left" w:pos="7020"/>
        </w:tabs>
        <w:adjustRightInd w:val="0"/>
        <w:snapToGrid w:val="0"/>
        <w:spacing w:line="288" w:lineRule="auto"/>
        <w:ind w:firstLine="588" w:firstLineChars="294"/>
        <w:rPr>
          <w:rFonts w:ascii="宋体" w:hAnsi="宋体"/>
          <w:sz w:val="20"/>
          <w:szCs w:val="20"/>
        </w:rPr>
      </w:pPr>
      <w:r>
        <w:rPr>
          <w:bCs/>
          <w:i/>
          <w:sz w:val="20"/>
          <w:szCs w:val="20"/>
        </w:rPr>
        <w:t>θ</w:t>
      </w:r>
      <w:r>
        <w:rPr>
          <w:i/>
          <w:sz w:val="20"/>
          <w:szCs w:val="20"/>
          <w:vertAlign w:val="subscript"/>
        </w:rPr>
        <w:t>k</w:t>
      </w:r>
      <w:r>
        <w:rPr>
          <w:iCs/>
        </w:rPr>
        <w:t>——</w:t>
      </w:r>
      <w:r>
        <w:rPr>
          <w:rFonts w:hint="eastAsia" w:ascii="宋体" w:hAnsi="宋体"/>
          <w:sz w:val="20"/>
          <w:szCs w:val="20"/>
        </w:rPr>
        <w:t>滑弧面在第</w:t>
      </w:r>
      <w:r>
        <w:rPr>
          <w:rFonts w:hint="eastAsia" w:ascii="宋体" w:hAnsi="宋体"/>
          <w:i/>
          <w:sz w:val="20"/>
          <w:szCs w:val="20"/>
        </w:rPr>
        <w:t>k</w:t>
      </w:r>
      <w:r>
        <w:rPr>
          <w:rFonts w:hint="eastAsia" w:ascii="宋体" w:hAnsi="宋体"/>
          <w:sz w:val="20"/>
          <w:szCs w:val="20"/>
        </w:rPr>
        <w:t>层锚杆处的法线与垂直面的夹角（</w:t>
      </w:r>
      <w:r>
        <w:rPr>
          <w:rFonts w:hint="eastAsia"/>
          <w:sz w:val="20"/>
          <w:szCs w:val="20"/>
        </w:rPr>
        <w:t>º</w:t>
      </w:r>
      <w:r>
        <w:rPr>
          <w:rFonts w:hint="eastAsia" w:ascii="宋体" w:hAnsi="宋体"/>
          <w:sz w:val="20"/>
          <w:szCs w:val="20"/>
        </w:rPr>
        <w:t>）；</w:t>
      </w:r>
    </w:p>
    <w:p w14:paraId="3D7DC9B8">
      <w:pPr>
        <w:tabs>
          <w:tab w:val="left" w:pos="672"/>
          <w:tab w:val="left" w:pos="1036"/>
          <w:tab w:val="left" w:pos="1620"/>
          <w:tab w:val="left" w:pos="2160"/>
          <w:tab w:val="left" w:pos="7020"/>
        </w:tabs>
        <w:adjustRightInd w:val="0"/>
        <w:snapToGrid w:val="0"/>
        <w:spacing w:line="288" w:lineRule="auto"/>
        <w:ind w:firstLine="448" w:firstLineChars="224"/>
        <w:rPr>
          <w:rFonts w:ascii="宋体" w:hAnsi="宋体"/>
          <w:sz w:val="20"/>
          <w:szCs w:val="20"/>
        </w:rPr>
      </w:pPr>
      <w:r>
        <w:rPr>
          <w:i/>
          <w:sz w:val="20"/>
          <w:szCs w:val="20"/>
        </w:rPr>
        <w:t>S</w:t>
      </w:r>
      <w:r>
        <w:rPr>
          <w:sz w:val="15"/>
          <w:szCs w:val="15"/>
          <w:vertAlign w:val="subscript"/>
        </w:rPr>
        <w:t>X</w:t>
      </w:r>
      <w:r>
        <w:rPr>
          <w:rFonts w:hint="eastAsia"/>
          <w:sz w:val="20"/>
          <w:szCs w:val="20"/>
          <w:vertAlign w:val="subscript"/>
        </w:rPr>
        <w:t>,</w:t>
      </w:r>
      <w:r>
        <w:rPr>
          <w:i/>
          <w:sz w:val="20"/>
          <w:szCs w:val="20"/>
          <w:vertAlign w:val="subscript"/>
        </w:rPr>
        <w:t xml:space="preserve">k </w:t>
      </w:r>
      <w:r>
        <w:rPr>
          <w:iCs/>
        </w:rPr>
        <w:t>——</w:t>
      </w:r>
      <w:r>
        <w:rPr>
          <w:rFonts w:hint="eastAsia" w:ascii="宋体" w:hAnsi="宋体"/>
          <w:sz w:val="20"/>
          <w:szCs w:val="20"/>
        </w:rPr>
        <w:t>第</w:t>
      </w:r>
      <w:r>
        <w:rPr>
          <w:rFonts w:hint="eastAsia"/>
          <w:i/>
          <w:sz w:val="20"/>
          <w:szCs w:val="20"/>
        </w:rPr>
        <w:t>k</w:t>
      </w:r>
      <w:r>
        <w:rPr>
          <w:rFonts w:hint="eastAsia" w:ascii="宋体" w:hAnsi="宋体"/>
          <w:sz w:val="20"/>
          <w:szCs w:val="20"/>
        </w:rPr>
        <w:t>层锚杆的水平间距（</w:t>
      </w:r>
      <w:r>
        <w:rPr>
          <w:rFonts w:hint="eastAsia"/>
          <w:sz w:val="20"/>
          <w:szCs w:val="20"/>
        </w:rPr>
        <w:t>m</w:t>
      </w:r>
      <w:r>
        <w:rPr>
          <w:rFonts w:hint="eastAsia" w:ascii="宋体" w:hAnsi="宋体"/>
          <w:sz w:val="20"/>
          <w:szCs w:val="20"/>
        </w:rPr>
        <w:t xml:space="preserve">）； </w:t>
      </w:r>
    </w:p>
    <w:p w14:paraId="49970DB7">
      <w:pPr>
        <w:tabs>
          <w:tab w:val="left" w:pos="672"/>
          <w:tab w:val="left" w:pos="1036"/>
          <w:tab w:val="left" w:pos="1620"/>
          <w:tab w:val="left" w:pos="2160"/>
          <w:tab w:val="left" w:pos="7020"/>
        </w:tabs>
        <w:adjustRightInd w:val="0"/>
        <w:snapToGrid w:val="0"/>
        <w:spacing w:line="288" w:lineRule="auto"/>
        <w:ind w:firstLine="448" w:firstLineChars="224"/>
        <w:rPr>
          <w:rFonts w:ascii="宋体" w:hAnsi="宋体"/>
          <w:sz w:val="20"/>
          <w:szCs w:val="20"/>
        </w:rPr>
      </w:pPr>
      <w:r>
        <w:rPr>
          <w:rFonts w:hint="eastAsia" w:ascii="宋体" w:hAnsi="宋体"/>
          <w:i/>
          <w:sz w:val="20"/>
          <w:szCs w:val="20"/>
        </w:rPr>
        <w:t>Ψ</w:t>
      </w:r>
      <w:r>
        <w:rPr>
          <w:rFonts w:hint="eastAsia" w:ascii="宋体" w:hAnsi="宋体"/>
          <w:sz w:val="20"/>
          <w:szCs w:val="20"/>
        </w:rPr>
        <w:t>v</w:t>
      </w:r>
      <w:r>
        <w:rPr>
          <w:iCs/>
        </w:rPr>
        <w:t>——</w:t>
      </w:r>
      <w:r>
        <w:rPr>
          <w:rFonts w:hint="eastAsia" w:ascii="宋体" w:hAnsi="宋体"/>
          <w:sz w:val="20"/>
          <w:szCs w:val="20"/>
        </w:rPr>
        <w:t>计算系数；可按</w:t>
      </w:r>
      <w:r>
        <w:rPr>
          <w:i/>
          <w:sz w:val="20"/>
          <w:szCs w:val="20"/>
        </w:rPr>
        <w:t>Ψ</w:t>
      </w:r>
      <w:r>
        <w:rPr>
          <w:sz w:val="20"/>
          <w:szCs w:val="20"/>
        </w:rPr>
        <w:t>v</w:t>
      </w:r>
      <w:r>
        <w:rPr>
          <w:rFonts w:hAnsi="宋体"/>
          <w:sz w:val="20"/>
          <w:szCs w:val="20"/>
        </w:rPr>
        <w:t>＝</w:t>
      </w:r>
      <w:r>
        <w:rPr>
          <w:sz w:val="20"/>
          <w:szCs w:val="20"/>
        </w:rPr>
        <w:t>0.5sin</w:t>
      </w:r>
      <w:r>
        <w:rPr>
          <w:rFonts w:hAnsi="宋体"/>
          <w:sz w:val="20"/>
          <w:szCs w:val="20"/>
        </w:rPr>
        <w:t>（</w:t>
      </w:r>
      <w:r>
        <w:rPr>
          <w:bCs/>
          <w:i/>
          <w:sz w:val="20"/>
          <w:szCs w:val="20"/>
        </w:rPr>
        <w:t>θ</w:t>
      </w:r>
      <w:r>
        <w:rPr>
          <w:i/>
          <w:sz w:val="20"/>
          <w:szCs w:val="20"/>
          <w:vertAlign w:val="subscript"/>
        </w:rPr>
        <w:t>k</w:t>
      </w:r>
      <w:r>
        <w:rPr>
          <w:rFonts w:hAnsi="宋体"/>
          <w:sz w:val="20"/>
          <w:szCs w:val="20"/>
        </w:rPr>
        <w:t>＋</w:t>
      </w:r>
      <w:r>
        <w:rPr>
          <w:i/>
          <w:sz w:val="20"/>
          <w:szCs w:val="20"/>
        </w:rPr>
        <w:t>α</w:t>
      </w:r>
      <w:r>
        <w:rPr>
          <w:i/>
          <w:sz w:val="20"/>
          <w:szCs w:val="20"/>
          <w:vertAlign w:val="subscript"/>
        </w:rPr>
        <w:t>k</w:t>
      </w:r>
      <w:r>
        <w:rPr>
          <w:rFonts w:hAnsi="宋体"/>
          <w:sz w:val="20"/>
          <w:szCs w:val="20"/>
        </w:rPr>
        <w:t>）</w:t>
      </w:r>
      <w:r>
        <w:rPr>
          <w:sz w:val="20"/>
          <w:szCs w:val="20"/>
        </w:rPr>
        <w:t>tan</w:t>
      </w:r>
      <w:r>
        <w:rPr>
          <w:i/>
          <w:sz w:val="20"/>
          <w:szCs w:val="20"/>
        </w:rPr>
        <w:sym w:font="Symbol" w:char="F06A"/>
      </w:r>
      <w:r>
        <w:rPr>
          <w:rFonts w:hint="eastAsia" w:ascii="宋体" w:hAnsi="宋体"/>
          <w:sz w:val="20"/>
          <w:szCs w:val="20"/>
        </w:rPr>
        <w:t>取值；</w:t>
      </w:r>
    </w:p>
    <w:p w14:paraId="5778935B">
      <w:pPr>
        <w:tabs>
          <w:tab w:val="left" w:pos="672"/>
          <w:tab w:val="left" w:pos="1036"/>
          <w:tab w:val="left" w:pos="1620"/>
          <w:tab w:val="left" w:pos="2160"/>
          <w:tab w:val="left" w:pos="7020"/>
        </w:tabs>
        <w:adjustRightInd w:val="0"/>
        <w:snapToGrid w:val="0"/>
        <w:spacing w:line="288" w:lineRule="auto"/>
        <w:ind w:firstLine="616" w:firstLineChars="308"/>
        <w:rPr>
          <w:rFonts w:ascii="宋体" w:hAnsi="宋体"/>
          <w:sz w:val="20"/>
          <w:szCs w:val="20"/>
        </w:rPr>
      </w:pPr>
      <w:r>
        <w:rPr>
          <w:rFonts w:ascii="宋体" w:hAnsi="宋体"/>
          <w:i/>
          <w:sz w:val="20"/>
          <w:szCs w:val="20"/>
        </w:rPr>
        <w:sym w:font="Symbol" w:char="F06A"/>
      </w:r>
      <w:r>
        <w:rPr>
          <w:iCs/>
        </w:rPr>
        <w:t>——</w:t>
      </w:r>
      <w:r>
        <w:rPr>
          <w:rFonts w:hint="eastAsia" w:ascii="宋体" w:hAnsi="宋体"/>
          <w:sz w:val="20"/>
          <w:szCs w:val="20"/>
        </w:rPr>
        <w:t>第</w:t>
      </w:r>
      <w:r>
        <w:rPr>
          <w:rFonts w:hint="eastAsia"/>
          <w:i/>
          <w:sz w:val="20"/>
          <w:szCs w:val="20"/>
        </w:rPr>
        <w:t>k</w:t>
      </w:r>
      <w:r>
        <w:rPr>
          <w:rFonts w:hint="eastAsia" w:ascii="宋体" w:hAnsi="宋体"/>
          <w:sz w:val="20"/>
          <w:szCs w:val="20"/>
        </w:rPr>
        <w:t>层锚杆与滑弧交点处土的内摩擦角（</w:t>
      </w:r>
      <w:r>
        <w:rPr>
          <w:sz w:val="20"/>
          <w:szCs w:val="20"/>
        </w:rPr>
        <w:t>º</w:t>
      </w:r>
      <w:r>
        <w:rPr>
          <w:rFonts w:hint="eastAsia" w:ascii="宋体" w:hAnsi="宋体"/>
          <w:sz w:val="20"/>
          <w:szCs w:val="20"/>
        </w:rPr>
        <w:t>）。</w:t>
      </w:r>
    </w:p>
    <w:p w14:paraId="4B7BF0B1">
      <w:pPr>
        <w:tabs>
          <w:tab w:val="left" w:pos="658"/>
          <w:tab w:val="left" w:pos="720"/>
          <w:tab w:val="left" w:pos="1440"/>
          <w:tab w:val="left" w:pos="2160"/>
          <w:tab w:val="left" w:pos="3060"/>
          <w:tab w:val="left" w:pos="4680"/>
          <w:tab w:val="left" w:pos="7020"/>
        </w:tabs>
        <w:adjustRightInd w:val="0"/>
        <w:snapToGrid w:val="0"/>
        <w:spacing w:line="288" w:lineRule="auto"/>
        <w:ind w:firstLine="402" w:firstLineChars="200"/>
        <w:rPr>
          <w:rFonts w:ascii="宋体" w:hAnsi="宋体"/>
          <w:sz w:val="20"/>
          <w:szCs w:val="20"/>
        </w:rPr>
      </w:pPr>
      <w:r>
        <w:rPr>
          <w:b/>
          <w:sz w:val="20"/>
          <w:szCs w:val="20"/>
        </w:rPr>
        <w:t>3</w:t>
      </w:r>
      <w:r>
        <w:rPr>
          <w:rFonts w:hint="eastAsia" w:ascii="宋体" w:hAnsi="宋体"/>
          <w:sz w:val="20"/>
          <w:szCs w:val="20"/>
        </w:rPr>
        <w:t xml:space="preserve">  当挡土构件底端以下存在相对软弱的土层时，整体稳定性验算滑动面中应包括由圆弧与软弱土层层面组成的复合滑动面。</w:t>
      </w:r>
    </w:p>
    <w:p w14:paraId="77F36F9C">
      <w:pPr>
        <w:adjustRightInd w:val="0"/>
        <w:snapToGrid w:val="0"/>
        <w:spacing w:line="288" w:lineRule="auto"/>
        <w:jc w:val="center"/>
        <w:rPr>
          <w:rFonts w:ascii="宋体" w:hAnsi="宋体"/>
          <w:sz w:val="20"/>
          <w:szCs w:val="20"/>
        </w:rPr>
      </w:pPr>
      <w:r>
        <w:rPr>
          <w:rFonts w:ascii="宋体" w:hAnsi="宋体"/>
          <w:sz w:val="20"/>
          <w:szCs w:val="20"/>
        </w:rPr>
        <w:object>
          <v:shape id="_x0000_i1086" o:spt="75" type="#_x0000_t75" style="height:133.15pt;width:260.85pt;" o:ole="t" filled="f" o:preferrelative="t" stroked="f" coordsize="21600,21600">
            <v:path/>
            <v:fill on="f" focussize="0,0"/>
            <v:stroke on="f" joinstyle="miter"/>
            <v:imagedata r:id="rId138" cropleft="15345f" croptop="9058f" cropright="13869f" cropbottom="14734f" o:title=""/>
            <o:lock v:ext="edit" aspectratio="t"/>
            <w10:wrap type="none"/>
            <w10:anchorlock/>
          </v:shape>
          <o:OLEObject Type="Embed" ProgID="AutoCAD.Drawing.16" ShapeID="_x0000_i1086" DrawAspect="Content" ObjectID="_1468075788" r:id="rId137">
            <o:LockedField>false</o:LockedField>
          </o:OLEObject>
        </w:object>
      </w:r>
    </w:p>
    <w:p w14:paraId="4519AC82">
      <w:pPr>
        <w:adjustRightInd w:val="0"/>
        <w:snapToGrid w:val="0"/>
        <w:spacing w:line="288" w:lineRule="auto"/>
        <w:jc w:val="center"/>
        <w:rPr>
          <w:rFonts w:ascii="宋体" w:hAnsi="宋体"/>
          <w:b/>
          <w:sz w:val="18"/>
          <w:szCs w:val="18"/>
        </w:rPr>
      </w:pPr>
      <w:r>
        <w:rPr>
          <w:rFonts w:ascii="宋体" w:hAnsi="宋体"/>
          <w:b/>
          <w:sz w:val="18"/>
          <w:szCs w:val="18"/>
        </w:rPr>
        <w:t>图</w:t>
      </w:r>
      <w:r>
        <w:rPr>
          <w:b/>
          <w:sz w:val="18"/>
          <w:szCs w:val="18"/>
        </w:rPr>
        <w:t>7.3.3  圆</w:t>
      </w:r>
      <w:r>
        <w:rPr>
          <w:rFonts w:ascii="宋体" w:hAnsi="宋体"/>
          <w:b/>
          <w:sz w:val="18"/>
          <w:szCs w:val="18"/>
        </w:rPr>
        <w:t>弧滑动条分法整体稳定性验算</w:t>
      </w:r>
    </w:p>
    <w:p w14:paraId="23CA334B">
      <w:pPr>
        <w:adjustRightInd w:val="0"/>
        <w:snapToGrid w:val="0"/>
        <w:spacing w:after="156" w:afterLines="50" w:line="288" w:lineRule="auto"/>
        <w:jc w:val="center"/>
        <w:rPr>
          <w:rFonts w:ascii="宋体" w:hAnsi="宋体"/>
          <w:sz w:val="15"/>
          <w:szCs w:val="15"/>
        </w:rPr>
      </w:pPr>
      <w:r>
        <w:rPr>
          <w:rFonts w:hint="eastAsia"/>
          <w:bCs/>
          <w:sz w:val="15"/>
          <w:szCs w:val="15"/>
        </w:rPr>
        <w:t>1</w:t>
      </w:r>
      <w:r>
        <w:rPr>
          <w:rFonts w:hint="eastAsia" w:ascii="宋体" w:hAnsi="宋体"/>
          <w:sz w:val="15"/>
          <w:szCs w:val="15"/>
        </w:rPr>
        <w:t>－任意圆弧滑动面；</w:t>
      </w:r>
      <w:r>
        <w:rPr>
          <w:rFonts w:hint="eastAsia"/>
          <w:bCs/>
          <w:sz w:val="15"/>
          <w:szCs w:val="15"/>
        </w:rPr>
        <w:t>2</w:t>
      </w:r>
      <w:r>
        <w:rPr>
          <w:rFonts w:hint="eastAsia" w:ascii="宋体" w:hAnsi="宋体"/>
          <w:sz w:val="15"/>
          <w:szCs w:val="15"/>
        </w:rPr>
        <w:t>－锚杆</w:t>
      </w:r>
    </w:p>
    <w:p w14:paraId="28964B7B">
      <w:pPr>
        <w:tabs>
          <w:tab w:val="left" w:pos="672"/>
          <w:tab w:val="left" w:pos="1036"/>
          <w:tab w:val="left" w:pos="1620"/>
          <w:tab w:val="left" w:pos="2160"/>
          <w:tab w:val="left" w:pos="7020"/>
        </w:tabs>
        <w:adjustRightInd w:val="0"/>
        <w:snapToGrid w:val="0"/>
        <w:spacing w:line="288" w:lineRule="auto"/>
        <w:rPr>
          <w:rFonts w:ascii="宋体" w:hAnsi="宋体"/>
          <w:sz w:val="20"/>
          <w:szCs w:val="20"/>
        </w:rPr>
      </w:pPr>
      <w:r>
        <w:rPr>
          <w:b/>
          <w:bCs/>
          <w:kern w:val="0"/>
          <w:sz w:val="20"/>
          <w:szCs w:val="20"/>
        </w:rPr>
        <w:t>7.3.4</w:t>
      </w:r>
      <w:r>
        <w:rPr>
          <w:rFonts w:hint="eastAsia" w:ascii="宋体" w:hAnsi="宋体"/>
          <w:sz w:val="20"/>
          <w:szCs w:val="20"/>
        </w:rPr>
        <w:t xml:space="preserve">  支挡式结构的嵌固深度应符合下列坑底隆起稳定性要求：</w:t>
      </w:r>
    </w:p>
    <w:p w14:paraId="67F5FA6F">
      <w:pPr>
        <w:tabs>
          <w:tab w:val="left" w:pos="672"/>
          <w:tab w:val="left" w:pos="1036"/>
          <w:tab w:val="left" w:pos="1620"/>
          <w:tab w:val="left" w:pos="2160"/>
          <w:tab w:val="left" w:pos="7020"/>
        </w:tabs>
        <w:adjustRightInd w:val="0"/>
        <w:snapToGrid w:val="0"/>
        <w:spacing w:line="288" w:lineRule="auto"/>
        <w:ind w:firstLine="402" w:firstLineChars="200"/>
        <w:rPr>
          <w:rFonts w:ascii="宋体" w:hAnsi="宋体"/>
          <w:sz w:val="20"/>
          <w:szCs w:val="20"/>
        </w:rPr>
      </w:pPr>
      <w:r>
        <w:rPr>
          <w:b/>
          <w:sz w:val="20"/>
          <w:szCs w:val="20"/>
        </w:rPr>
        <w:t>1</w:t>
      </w:r>
      <w:r>
        <w:rPr>
          <w:rFonts w:hint="eastAsia" w:ascii="宋体" w:hAnsi="宋体"/>
          <w:sz w:val="20"/>
          <w:szCs w:val="20"/>
        </w:rPr>
        <w:t xml:space="preserve">  有支点的支挡结构的嵌固深度应符合下列规定（图</w:t>
      </w:r>
      <w:r>
        <w:rPr>
          <w:sz w:val="20"/>
          <w:szCs w:val="20"/>
        </w:rPr>
        <w:t>7.3.4-1</w:t>
      </w:r>
      <w:r>
        <w:rPr>
          <w:rFonts w:hint="eastAsia" w:ascii="宋体" w:hAnsi="宋体"/>
          <w:sz w:val="20"/>
          <w:szCs w:val="20"/>
        </w:rPr>
        <w:t>）：</w:t>
      </w:r>
    </w:p>
    <w:p w14:paraId="0C1450D1">
      <w:pPr>
        <w:adjustRightInd w:val="0"/>
        <w:snapToGrid w:val="0"/>
        <w:spacing w:line="288" w:lineRule="auto"/>
        <w:ind w:right="800" w:firstLine="3100" w:firstLineChars="1550"/>
        <w:rPr>
          <w:rFonts w:ascii="宋体" w:hAnsi="宋体"/>
          <w:sz w:val="20"/>
          <w:szCs w:val="20"/>
        </w:rPr>
      </w:pPr>
      <w:r>
        <w:rPr>
          <w:rFonts w:hint="eastAsia" w:ascii="宋体" w:hAnsi="宋体"/>
          <w:sz w:val="20"/>
          <w:szCs w:val="20"/>
        </w:rPr>
        <w:t xml:space="preserve">  </w:t>
      </w:r>
      <w:r>
        <w:rPr>
          <w:rFonts w:ascii="宋体" w:hAnsi="宋体"/>
          <w:sz w:val="20"/>
          <w:szCs w:val="20"/>
        </w:rPr>
        <w:t xml:space="preserve">   </w:t>
      </w:r>
      <w:r>
        <w:rPr>
          <w:rFonts w:ascii="宋体" w:hAnsi="宋体"/>
          <w:position w:val="-22"/>
          <w:sz w:val="20"/>
          <w:szCs w:val="20"/>
        </w:rPr>
        <w:object>
          <v:shape id="_x0000_i1087" o:spt="75" type="#_x0000_t75" style="height:29.9pt;width:86.25pt;" o:ole="t" filled="f" o:preferrelative="t" stroked="f" coordsize="21600,21600">
            <v:path/>
            <v:fill on="f" focussize="0,0"/>
            <v:stroke on="f" joinstyle="miter"/>
            <v:imagedata r:id="rId140" o:title=""/>
            <o:lock v:ext="edit" aspectratio="t"/>
            <w10:wrap type="none"/>
            <w10:anchorlock/>
          </v:shape>
          <o:OLEObject Type="Embed" ProgID="Equation.3" ShapeID="_x0000_i1087" DrawAspect="Content" ObjectID="_1468075789" r:id="rId139">
            <o:LockedField>false</o:LockedField>
          </o:OLEObject>
        </w:object>
      </w:r>
      <w:r>
        <w:rPr>
          <w:rFonts w:ascii="宋体" w:hAnsi="宋体"/>
          <w:sz w:val="20"/>
          <w:szCs w:val="20"/>
        </w:rPr>
        <w:t xml:space="preserve"> </w:t>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 xml:space="preserve">  （</w:t>
      </w:r>
      <w:r>
        <w:rPr>
          <w:sz w:val="20"/>
          <w:szCs w:val="20"/>
        </w:rPr>
        <w:t>7.3.4-1</w:t>
      </w:r>
      <w:r>
        <w:rPr>
          <w:rFonts w:hint="eastAsia" w:ascii="宋体" w:hAnsi="宋体"/>
          <w:sz w:val="20"/>
          <w:szCs w:val="20"/>
        </w:rPr>
        <w:t xml:space="preserve">）                        </w:t>
      </w:r>
    </w:p>
    <w:p w14:paraId="4B67E3E5">
      <w:pPr>
        <w:adjustRightInd w:val="0"/>
        <w:snapToGrid w:val="0"/>
        <w:spacing w:line="288" w:lineRule="auto"/>
        <w:ind w:right="800" w:firstLine="1900" w:firstLineChars="950"/>
        <w:jc w:val="center"/>
        <w:rPr>
          <w:rFonts w:ascii="宋体" w:hAnsi="宋体"/>
          <w:sz w:val="20"/>
          <w:szCs w:val="20"/>
        </w:rPr>
      </w:pPr>
      <w:r>
        <w:rPr>
          <w:rFonts w:ascii="宋体" w:hAnsi="宋体"/>
          <w:position w:val="-24"/>
          <w:sz w:val="20"/>
          <w:szCs w:val="20"/>
        </w:rPr>
        <w:object>
          <v:shape id="_x0000_i1088" o:spt="75" type="#_x0000_t75" style="height:25.8pt;width:99.15pt;" o:ole="t" filled="f" o:preferrelative="t" stroked="f" coordsize="21600,21600">
            <v:path/>
            <v:fill on="f" focussize="0,0"/>
            <v:stroke on="f" joinstyle="miter"/>
            <v:imagedata r:id="rId142" o:title=""/>
            <o:lock v:ext="edit" aspectratio="t"/>
            <w10:wrap type="none"/>
            <w10:anchorlock/>
          </v:shape>
          <o:OLEObject Type="Embed" ProgID="Equation.3" ShapeID="_x0000_i1088" DrawAspect="Content" ObjectID="_1468075790" r:id="rId141">
            <o:LockedField>false</o:LockedField>
          </o:OLEObject>
        </w:object>
      </w:r>
      <w:r>
        <w:rPr>
          <w:rFonts w:ascii="宋体" w:hAnsi="宋体"/>
          <w:sz w:val="20"/>
          <w:szCs w:val="20"/>
        </w:rPr>
        <w:t xml:space="preserve">    </w:t>
      </w:r>
      <w:r>
        <w:rPr>
          <w:rFonts w:hint="eastAsia" w:ascii="宋体" w:hAnsi="宋体"/>
          <w:sz w:val="20"/>
          <w:szCs w:val="20"/>
        </w:rPr>
        <w:t xml:space="preserve">       （</w:t>
      </w:r>
      <w:r>
        <w:rPr>
          <w:sz w:val="20"/>
          <w:szCs w:val="20"/>
        </w:rPr>
        <w:t>7.3.</w:t>
      </w:r>
      <w:r>
        <w:rPr>
          <w:rFonts w:hint="eastAsia"/>
          <w:sz w:val="20"/>
          <w:szCs w:val="20"/>
        </w:rPr>
        <w:t>4-2</w:t>
      </w:r>
      <w:r>
        <w:rPr>
          <w:rFonts w:hint="eastAsia" w:ascii="宋体" w:hAnsi="宋体"/>
          <w:sz w:val="20"/>
          <w:szCs w:val="20"/>
        </w:rPr>
        <w:t>）</w:t>
      </w:r>
    </w:p>
    <w:p w14:paraId="58AD6FA3">
      <w:pPr>
        <w:adjustRightInd w:val="0"/>
        <w:snapToGrid w:val="0"/>
        <w:spacing w:line="288" w:lineRule="auto"/>
        <w:ind w:right="800" w:firstLine="1900" w:firstLineChars="950"/>
        <w:jc w:val="center"/>
        <w:rPr>
          <w:rFonts w:ascii="宋体" w:hAnsi="宋体"/>
          <w:sz w:val="20"/>
          <w:szCs w:val="20"/>
        </w:rPr>
      </w:pPr>
      <w:r>
        <w:rPr>
          <w:rFonts w:ascii="宋体" w:hAnsi="宋体"/>
          <w:position w:val="-14"/>
          <w:sz w:val="20"/>
          <w:szCs w:val="20"/>
        </w:rPr>
        <w:object>
          <v:shape id="_x0000_i1089" o:spt="75" type="#_x0000_t75" style="height:17pt;width:86.25pt;" o:ole="t" filled="f" o:preferrelative="t" stroked="f" coordsize="21600,21600">
            <v:path/>
            <v:fill on="f" focussize="0,0"/>
            <v:stroke on="f" joinstyle="miter"/>
            <v:imagedata r:id="rId144" o:title=""/>
            <o:lock v:ext="edit" aspectratio="t"/>
            <w10:wrap type="none"/>
            <w10:anchorlock/>
          </v:shape>
          <o:OLEObject Type="Embed" ProgID="Equation.3" ShapeID="_x0000_i1089" DrawAspect="Content" ObjectID="_1468075791" r:id="rId143">
            <o:LockedField>false</o:LockedField>
          </o:OLEObject>
        </w:object>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7.3.</w:t>
      </w:r>
      <w:r>
        <w:rPr>
          <w:rFonts w:hint="eastAsia"/>
          <w:sz w:val="20"/>
          <w:szCs w:val="20"/>
        </w:rPr>
        <w:t>4-3</w:t>
      </w:r>
      <w:r>
        <w:rPr>
          <w:rFonts w:hint="eastAsia" w:ascii="宋体" w:hAnsi="宋体"/>
          <w:sz w:val="20"/>
          <w:szCs w:val="20"/>
        </w:rPr>
        <w:t>）</w:t>
      </w:r>
    </w:p>
    <w:p w14:paraId="451E0002">
      <w:pPr>
        <w:tabs>
          <w:tab w:val="left" w:pos="567"/>
          <w:tab w:val="left" w:pos="1036"/>
          <w:tab w:val="left" w:pos="1980"/>
          <w:tab w:val="left" w:pos="2160"/>
          <w:tab w:val="left" w:pos="7020"/>
        </w:tabs>
        <w:adjustRightInd w:val="0"/>
        <w:snapToGrid w:val="0"/>
        <w:spacing w:line="288" w:lineRule="auto"/>
        <w:ind w:left="1200" w:hanging="1200" w:hangingChars="600"/>
        <w:rPr>
          <w:rFonts w:ascii="宋体" w:hAnsi="宋体"/>
          <w:sz w:val="20"/>
          <w:szCs w:val="20"/>
        </w:rPr>
      </w:pPr>
      <w:r>
        <w:rPr>
          <w:rFonts w:hint="eastAsia" w:ascii="宋体" w:hAnsi="宋体"/>
          <w:sz w:val="20"/>
          <w:szCs w:val="20"/>
        </w:rPr>
        <w:t>式中：</w:t>
      </w:r>
      <w:r>
        <w:rPr>
          <w:i/>
          <w:sz w:val="20"/>
          <w:szCs w:val="20"/>
        </w:rPr>
        <w:t>K</w:t>
      </w:r>
      <w:r>
        <w:rPr>
          <w:sz w:val="20"/>
          <w:szCs w:val="20"/>
          <w:vertAlign w:val="subscript"/>
        </w:rPr>
        <w:t>b</w:t>
      </w:r>
      <w:r>
        <w:rPr>
          <w:iCs/>
        </w:rPr>
        <w:t>——</w:t>
      </w:r>
      <w:r>
        <w:rPr>
          <w:rFonts w:hint="eastAsia" w:ascii="宋体" w:hAnsi="宋体"/>
          <w:sz w:val="20"/>
          <w:szCs w:val="20"/>
        </w:rPr>
        <w:t>隆起稳定安全系数；安全等级为一级、二级、三级时，</w:t>
      </w:r>
      <w:r>
        <w:rPr>
          <w:i/>
          <w:sz w:val="20"/>
          <w:szCs w:val="20"/>
        </w:rPr>
        <w:t>K</w:t>
      </w:r>
      <w:r>
        <w:rPr>
          <w:sz w:val="20"/>
          <w:szCs w:val="20"/>
          <w:vertAlign w:val="subscript"/>
        </w:rPr>
        <w:t>b</w:t>
      </w:r>
      <w:r>
        <w:rPr>
          <w:rFonts w:hint="eastAsia"/>
          <w:sz w:val="20"/>
          <w:szCs w:val="20"/>
        </w:rPr>
        <w:t>分别</w:t>
      </w:r>
      <w:r>
        <w:rPr>
          <w:rFonts w:hint="eastAsia" w:ascii="宋体" w:hAnsi="宋体"/>
          <w:sz w:val="20"/>
          <w:szCs w:val="20"/>
        </w:rPr>
        <w:t>取</w:t>
      </w:r>
      <w:r>
        <w:rPr>
          <w:rFonts w:hint="eastAsia"/>
          <w:sz w:val="20"/>
          <w:szCs w:val="20"/>
        </w:rPr>
        <w:t>1.8、1.6、1.4</w:t>
      </w:r>
      <w:r>
        <w:rPr>
          <w:rFonts w:hint="eastAsia" w:ascii="宋体" w:hAnsi="宋体"/>
          <w:sz w:val="20"/>
          <w:szCs w:val="20"/>
        </w:rPr>
        <w:t>；</w:t>
      </w:r>
    </w:p>
    <w:p w14:paraId="0311B9E4">
      <w:pPr>
        <w:tabs>
          <w:tab w:val="left" w:pos="672"/>
          <w:tab w:val="left" w:pos="1106"/>
          <w:tab w:val="left" w:pos="1980"/>
          <w:tab w:val="left" w:pos="2160"/>
          <w:tab w:val="left" w:pos="7020"/>
        </w:tabs>
        <w:adjustRightInd w:val="0"/>
        <w:snapToGrid w:val="0"/>
        <w:spacing w:line="288" w:lineRule="auto"/>
        <w:ind w:left="1243" w:leftChars="12" w:hanging="1218" w:hangingChars="603"/>
        <w:rPr>
          <w:rFonts w:ascii="宋体" w:hAnsi="宋体"/>
          <w:sz w:val="20"/>
          <w:szCs w:val="20"/>
        </w:rPr>
      </w:pPr>
      <w:r>
        <w:rPr>
          <w:i/>
          <w:spacing w:val="1"/>
          <w:w w:val="100"/>
          <w:kern w:val="0"/>
          <w:sz w:val="20"/>
          <w:szCs w:val="20"/>
          <w:fitText w:val="700" w:id="1394263040"/>
        </w:rPr>
        <w:t>γ</w:t>
      </w:r>
      <w:r>
        <w:rPr>
          <w:spacing w:val="1"/>
          <w:w w:val="100"/>
          <w:kern w:val="0"/>
          <w:sz w:val="20"/>
          <w:szCs w:val="20"/>
          <w:fitText w:val="700" w:id="1394263040"/>
          <w:vertAlign w:val="subscript"/>
        </w:rPr>
        <w:t>m1</w:t>
      </w:r>
      <w:r>
        <w:rPr>
          <w:rFonts w:hint="eastAsia"/>
          <w:spacing w:val="1"/>
          <w:w w:val="100"/>
          <w:kern w:val="0"/>
          <w:sz w:val="20"/>
          <w:szCs w:val="20"/>
          <w:fitText w:val="700" w:id="1394263040"/>
        </w:rPr>
        <w:t>、</w:t>
      </w:r>
      <w:r>
        <w:rPr>
          <w:i/>
          <w:spacing w:val="1"/>
          <w:w w:val="100"/>
          <w:kern w:val="0"/>
          <w:sz w:val="20"/>
          <w:szCs w:val="20"/>
          <w:fitText w:val="700" w:id="1394263040"/>
        </w:rPr>
        <w:t>γ</w:t>
      </w:r>
      <w:r>
        <w:rPr>
          <w:spacing w:val="1"/>
          <w:w w:val="100"/>
          <w:kern w:val="0"/>
          <w:sz w:val="20"/>
          <w:szCs w:val="20"/>
          <w:fitText w:val="700" w:id="1394263040"/>
          <w:vertAlign w:val="subscript"/>
        </w:rPr>
        <w:t>m</w:t>
      </w:r>
      <w:r>
        <w:rPr>
          <w:spacing w:val="6"/>
          <w:w w:val="100"/>
          <w:kern w:val="0"/>
          <w:sz w:val="20"/>
          <w:szCs w:val="20"/>
          <w:fitText w:val="700" w:id="1394263040"/>
          <w:vertAlign w:val="subscript"/>
        </w:rPr>
        <w:t>2</w:t>
      </w:r>
      <w:r>
        <w:rPr>
          <w:iCs/>
        </w:rPr>
        <w:t>——</w:t>
      </w:r>
      <w:r>
        <w:rPr>
          <w:rFonts w:hint="eastAsia" w:ascii="宋体" w:hAnsi="宋体"/>
          <w:sz w:val="20"/>
          <w:szCs w:val="20"/>
        </w:rPr>
        <w:t>基坑外、基坑内挡土构件底面以上土的天然重度（</w:t>
      </w:r>
      <w:r>
        <w:rPr>
          <w:sz w:val="20"/>
          <w:szCs w:val="20"/>
        </w:rPr>
        <w:t>kN/m</w:t>
      </w:r>
      <w:r>
        <w:rPr>
          <w:sz w:val="20"/>
          <w:szCs w:val="20"/>
          <w:vertAlign w:val="superscript"/>
        </w:rPr>
        <w:t>3</w:t>
      </w:r>
      <w:r>
        <w:rPr>
          <w:rFonts w:hint="eastAsia" w:ascii="宋体" w:hAnsi="宋体"/>
          <w:sz w:val="20"/>
          <w:szCs w:val="20"/>
        </w:rPr>
        <w:t>）；对多层土，取各层土按厚度加权的平均重度；</w:t>
      </w:r>
    </w:p>
    <w:p w14:paraId="29A81A69">
      <w:pPr>
        <w:adjustRightInd w:val="0"/>
        <w:snapToGrid w:val="0"/>
        <w:spacing w:line="288" w:lineRule="auto"/>
        <w:ind w:firstLine="658" w:firstLineChars="329"/>
        <w:rPr>
          <w:rFonts w:ascii="宋体" w:hAnsi="宋体"/>
          <w:sz w:val="20"/>
          <w:szCs w:val="20"/>
          <w:u w:val="single"/>
        </w:rPr>
      </w:pPr>
      <w:r>
        <w:rPr>
          <w:i/>
          <w:sz w:val="20"/>
          <w:szCs w:val="20"/>
        </w:rPr>
        <w:t>l</w:t>
      </w:r>
      <w:r>
        <w:rPr>
          <w:sz w:val="20"/>
          <w:szCs w:val="20"/>
          <w:vertAlign w:val="subscript"/>
        </w:rPr>
        <w:t xml:space="preserve">d </w:t>
      </w:r>
      <w:r>
        <w:rPr>
          <w:iCs/>
        </w:rPr>
        <w:t>——</w:t>
      </w:r>
      <w:r>
        <w:rPr>
          <w:rFonts w:hint="eastAsia" w:ascii="宋体" w:hAnsi="宋体"/>
          <w:sz w:val="20"/>
          <w:szCs w:val="20"/>
        </w:rPr>
        <w:t>挡土构件的嵌固深度 （</w:t>
      </w:r>
      <w:r>
        <w:rPr>
          <w:rFonts w:hint="eastAsia"/>
          <w:sz w:val="20"/>
          <w:szCs w:val="20"/>
        </w:rPr>
        <w:t>m</w:t>
      </w:r>
      <w:r>
        <w:rPr>
          <w:rFonts w:hint="eastAsia" w:ascii="宋体" w:hAnsi="宋体"/>
          <w:sz w:val="20"/>
          <w:szCs w:val="20"/>
        </w:rPr>
        <w:t>）；</w:t>
      </w:r>
    </w:p>
    <w:p w14:paraId="60EAA468">
      <w:pPr>
        <w:tabs>
          <w:tab w:val="left" w:pos="672"/>
          <w:tab w:val="left" w:pos="1036"/>
          <w:tab w:val="left" w:pos="1980"/>
          <w:tab w:val="left" w:pos="2160"/>
          <w:tab w:val="left" w:pos="7020"/>
        </w:tabs>
        <w:adjustRightInd w:val="0"/>
        <w:snapToGrid w:val="0"/>
        <w:spacing w:line="288" w:lineRule="auto"/>
        <w:ind w:firstLine="686" w:firstLineChars="343"/>
        <w:rPr>
          <w:rFonts w:ascii="宋体" w:hAnsi="宋体"/>
          <w:sz w:val="20"/>
          <w:szCs w:val="20"/>
        </w:rPr>
      </w:pPr>
      <w:r>
        <w:rPr>
          <w:i/>
          <w:sz w:val="20"/>
          <w:szCs w:val="20"/>
        </w:rPr>
        <w:t>h</w:t>
      </w:r>
      <w:r>
        <w:rPr>
          <w:iCs/>
        </w:rPr>
        <w:t>——</w:t>
      </w:r>
      <w:r>
        <w:rPr>
          <w:rFonts w:hint="eastAsia" w:ascii="宋体" w:hAnsi="宋体"/>
          <w:sz w:val="20"/>
          <w:szCs w:val="20"/>
        </w:rPr>
        <w:t>基坑深度（</w:t>
      </w:r>
      <w:r>
        <w:rPr>
          <w:rFonts w:hint="eastAsia"/>
          <w:sz w:val="20"/>
          <w:szCs w:val="20"/>
        </w:rPr>
        <w:t>m</w:t>
      </w:r>
      <w:r>
        <w:rPr>
          <w:rFonts w:hint="eastAsia" w:ascii="宋体" w:hAnsi="宋体"/>
          <w:sz w:val="20"/>
          <w:szCs w:val="20"/>
        </w:rPr>
        <w:t>）；</w:t>
      </w:r>
    </w:p>
    <w:p w14:paraId="0EB687FA">
      <w:pPr>
        <w:tabs>
          <w:tab w:val="left" w:pos="672"/>
          <w:tab w:val="left" w:pos="1036"/>
          <w:tab w:val="left" w:pos="1980"/>
          <w:tab w:val="left" w:pos="2160"/>
          <w:tab w:val="left" w:pos="7020"/>
        </w:tabs>
        <w:adjustRightInd w:val="0"/>
        <w:snapToGrid w:val="0"/>
        <w:spacing w:line="288" w:lineRule="auto"/>
        <w:ind w:firstLine="616" w:firstLineChars="308"/>
        <w:rPr>
          <w:rFonts w:ascii="宋体" w:hAnsi="宋体"/>
          <w:sz w:val="20"/>
          <w:szCs w:val="20"/>
        </w:rPr>
      </w:pPr>
      <w:r>
        <w:rPr>
          <w:i/>
          <w:sz w:val="20"/>
          <w:szCs w:val="20"/>
        </w:rPr>
        <w:t>q</w:t>
      </w:r>
      <w:r>
        <w:rPr>
          <w:sz w:val="20"/>
          <w:szCs w:val="20"/>
          <w:vertAlign w:val="subscript"/>
        </w:rPr>
        <w:t xml:space="preserve">0 </w:t>
      </w:r>
      <w:r>
        <w:rPr>
          <w:iCs/>
        </w:rPr>
        <w:t>——</w:t>
      </w:r>
      <w:r>
        <w:rPr>
          <w:rFonts w:hint="eastAsia" w:ascii="宋体" w:hAnsi="宋体"/>
          <w:sz w:val="20"/>
          <w:szCs w:val="20"/>
        </w:rPr>
        <w:t>地面均布荷载（</w:t>
      </w:r>
      <w:r>
        <w:rPr>
          <w:rFonts w:hint="eastAsia"/>
          <w:sz w:val="20"/>
          <w:szCs w:val="20"/>
        </w:rPr>
        <w:t>kPa</w:t>
      </w:r>
      <w:r>
        <w:rPr>
          <w:rFonts w:hint="eastAsia" w:ascii="宋体" w:hAnsi="宋体"/>
          <w:sz w:val="20"/>
          <w:szCs w:val="20"/>
        </w:rPr>
        <w:t xml:space="preserve">）； </w:t>
      </w:r>
    </w:p>
    <w:p w14:paraId="08F900F2">
      <w:pPr>
        <w:tabs>
          <w:tab w:val="left" w:pos="672"/>
          <w:tab w:val="left" w:pos="1036"/>
          <w:tab w:val="left" w:pos="1980"/>
          <w:tab w:val="left" w:pos="2160"/>
          <w:tab w:val="left" w:pos="7020"/>
        </w:tabs>
        <w:adjustRightInd w:val="0"/>
        <w:snapToGrid w:val="0"/>
        <w:spacing w:line="288" w:lineRule="auto"/>
        <w:ind w:firstLine="182" w:firstLineChars="91"/>
        <w:rPr>
          <w:rFonts w:ascii="宋体" w:hAnsi="宋体"/>
          <w:sz w:val="20"/>
          <w:szCs w:val="20"/>
        </w:rPr>
      </w:pPr>
      <w:r>
        <w:rPr>
          <w:i/>
          <w:iCs/>
          <w:sz w:val="20"/>
          <w:szCs w:val="20"/>
        </w:rPr>
        <w:t>N</w:t>
      </w:r>
      <w:r>
        <w:rPr>
          <w:sz w:val="20"/>
          <w:szCs w:val="20"/>
          <w:vertAlign w:val="subscript"/>
        </w:rPr>
        <w:t>c</w:t>
      </w:r>
      <w:r>
        <w:rPr>
          <w:rFonts w:hAnsi="宋体"/>
          <w:sz w:val="20"/>
          <w:szCs w:val="20"/>
        </w:rPr>
        <w:t>、</w:t>
      </w:r>
      <w:r>
        <w:rPr>
          <w:i/>
          <w:iCs/>
          <w:sz w:val="20"/>
          <w:szCs w:val="20"/>
        </w:rPr>
        <w:t>N</w:t>
      </w:r>
      <w:r>
        <w:rPr>
          <w:sz w:val="20"/>
          <w:szCs w:val="20"/>
          <w:vertAlign w:val="subscript"/>
        </w:rPr>
        <w:t xml:space="preserve">q </w:t>
      </w:r>
      <w:r>
        <w:rPr>
          <w:iCs/>
        </w:rPr>
        <w:t>——</w:t>
      </w:r>
      <w:r>
        <w:rPr>
          <w:rFonts w:hint="eastAsia" w:ascii="宋体" w:hAnsi="宋体"/>
          <w:sz w:val="20"/>
          <w:szCs w:val="20"/>
        </w:rPr>
        <w:t>承载力系数；</w:t>
      </w:r>
    </w:p>
    <w:p w14:paraId="0B3D85DF">
      <w:pPr>
        <w:tabs>
          <w:tab w:val="left" w:pos="672"/>
          <w:tab w:val="left" w:pos="1036"/>
          <w:tab w:val="left" w:pos="1980"/>
          <w:tab w:val="left" w:pos="2160"/>
          <w:tab w:val="left" w:pos="7020"/>
        </w:tabs>
        <w:adjustRightInd w:val="0"/>
        <w:snapToGrid w:val="0"/>
        <w:spacing w:line="288" w:lineRule="auto"/>
        <w:ind w:left="1247" w:leftChars="213" w:hanging="800" w:hangingChars="400"/>
        <w:rPr>
          <w:rFonts w:ascii="宋体" w:hAnsi="宋体"/>
          <w:sz w:val="20"/>
          <w:szCs w:val="20"/>
        </w:rPr>
      </w:pPr>
      <w:r>
        <w:rPr>
          <w:i/>
          <w:sz w:val="20"/>
          <w:szCs w:val="20"/>
        </w:rPr>
        <w:t>c、</w:t>
      </w:r>
      <w:r>
        <w:rPr>
          <w:i/>
          <w:sz w:val="20"/>
          <w:szCs w:val="20"/>
        </w:rPr>
        <w:sym w:font="Symbol" w:char="F06A"/>
      </w:r>
      <w:r>
        <w:rPr>
          <w:iCs/>
        </w:rPr>
        <w:t>——</w:t>
      </w:r>
      <w:r>
        <w:rPr>
          <w:rFonts w:hint="eastAsia" w:ascii="宋体" w:hAnsi="宋体"/>
          <w:sz w:val="20"/>
          <w:szCs w:val="20"/>
        </w:rPr>
        <w:t>挡土构件底面以下土的黏聚力（</w:t>
      </w:r>
      <w:r>
        <w:rPr>
          <w:rFonts w:hint="eastAsia"/>
          <w:sz w:val="20"/>
          <w:szCs w:val="20"/>
        </w:rPr>
        <w:t>kPa</w:t>
      </w:r>
      <w:r>
        <w:rPr>
          <w:rFonts w:hint="eastAsia" w:ascii="宋体" w:hAnsi="宋体"/>
          <w:sz w:val="20"/>
          <w:szCs w:val="20"/>
        </w:rPr>
        <w:t>）、内摩擦角（</w:t>
      </w:r>
      <w:r>
        <w:rPr>
          <w:rFonts w:hint="eastAsia"/>
          <w:sz w:val="20"/>
          <w:szCs w:val="20"/>
        </w:rPr>
        <w:t>º</w:t>
      </w:r>
      <w:r>
        <w:rPr>
          <w:rFonts w:hint="eastAsia" w:ascii="宋体" w:hAnsi="宋体"/>
          <w:sz w:val="20"/>
          <w:szCs w:val="20"/>
        </w:rPr>
        <w:t>），按本规程第</w:t>
      </w:r>
      <w:r>
        <w:rPr>
          <w:rFonts w:hint="eastAsia"/>
          <w:sz w:val="20"/>
          <w:szCs w:val="20"/>
        </w:rPr>
        <w:t>3.1.1</w:t>
      </w:r>
      <w:r>
        <w:rPr>
          <w:sz w:val="20"/>
          <w:szCs w:val="20"/>
        </w:rPr>
        <w:t>3</w:t>
      </w:r>
      <w:r>
        <w:rPr>
          <w:rFonts w:hint="eastAsia" w:ascii="宋体" w:hAnsi="宋体"/>
          <w:sz w:val="20"/>
          <w:szCs w:val="20"/>
        </w:rPr>
        <w:t>条的规定取值。</w:t>
      </w:r>
    </w:p>
    <w:p w14:paraId="2F4CE1C3">
      <w:pPr>
        <w:adjustRightInd w:val="0"/>
        <w:snapToGrid w:val="0"/>
        <w:spacing w:line="288" w:lineRule="auto"/>
        <w:jc w:val="center"/>
        <w:rPr>
          <w:rFonts w:ascii="宋体" w:hAnsi="宋体"/>
          <w:sz w:val="20"/>
          <w:szCs w:val="20"/>
        </w:rPr>
      </w:pPr>
      <w:r>
        <w:rPr>
          <w:rFonts w:ascii="宋体" w:hAnsi="宋体"/>
          <w:sz w:val="20"/>
          <w:szCs w:val="20"/>
        </w:rPr>
        <w:object>
          <v:shape id="_x0000_i1090" o:spt="75" type="#_x0000_t75" style="height:140.6pt;width:186.1pt;" o:ole="t" filled="f" o:preferrelative="t" stroked="f" coordsize="21600,21600">
            <v:path/>
            <v:fill on="f" focussize="0,0"/>
            <v:stroke on="f" joinstyle="miter"/>
            <v:imagedata r:id="rId146" cropleft="15345f" croptop="6991f" cropright="23488f" cropbottom="12441f" o:title=""/>
            <o:lock v:ext="edit" aspectratio="t"/>
            <w10:wrap type="none"/>
            <w10:anchorlock/>
          </v:shape>
          <o:OLEObject Type="Embed" ProgID="AutoCAD.Drawing.16" ShapeID="_x0000_i1090" DrawAspect="Content" ObjectID="_1468075792" r:id="rId145">
            <o:LockedField>false</o:LockedField>
          </o:OLEObject>
        </w:object>
      </w:r>
    </w:p>
    <w:p w14:paraId="4C88D771">
      <w:pPr>
        <w:adjustRightInd w:val="0"/>
        <w:snapToGrid w:val="0"/>
        <w:spacing w:after="156" w:afterLines="50" w:line="288" w:lineRule="auto"/>
        <w:jc w:val="center"/>
        <w:rPr>
          <w:rFonts w:ascii="宋体" w:hAnsi="宋体"/>
          <w:b/>
          <w:sz w:val="18"/>
          <w:szCs w:val="18"/>
        </w:rPr>
      </w:pPr>
      <w:r>
        <w:rPr>
          <w:rFonts w:ascii="宋体" w:hAnsi="宋体"/>
          <w:b/>
          <w:sz w:val="18"/>
          <w:szCs w:val="18"/>
        </w:rPr>
        <w:t>图</w:t>
      </w:r>
      <w:r>
        <w:rPr>
          <w:b/>
          <w:sz w:val="18"/>
          <w:szCs w:val="18"/>
        </w:rPr>
        <w:t>7.3.4-1</w:t>
      </w:r>
      <w:r>
        <w:rPr>
          <w:rFonts w:ascii="宋体" w:hAnsi="宋体"/>
          <w:b/>
          <w:sz w:val="18"/>
          <w:szCs w:val="18"/>
        </w:rPr>
        <w:t xml:space="preserve">  挡土构件底端平面下土的隆起稳定性验算</w:t>
      </w:r>
    </w:p>
    <w:p w14:paraId="7BD954A9">
      <w:pPr>
        <w:adjustRightInd w:val="0"/>
        <w:snapToGrid w:val="0"/>
        <w:spacing w:line="288" w:lineRule="auto"/>
        <w:ind w:firstLine="402" w:firstLineChars="200"/>
        <w:rPr>
          <w:rFonts w:ascii="宋体" w:hAnsi="宋体"/>
          <w:sz w:val="20"/>
          <w:szCs w:val="20"/>
        </w:rPr>
      </w:pPr>
      <w:r>
        <w:rPr>
          <w:b/>
          <w:sz w:val="20"/>
          <w:szCs w:val="20"/>
        </w:rPr>
        <w:t>2</w:t>
      </w:r>
      <w:r>
        <w:rPr>
          <w:rFonts w:hint="eastAsia" w:ascii="宋体" w:hAnsi="宋体"/>
          <w:sz w:val="20"/>
          <w:szCs w:val="20"/>
        </w:rPr>
        <w:t xml:space="preserve">  当挡土构件底面以下有软弱土层时，坑底隆起稳定性的验算部位尚应包括软弱土层。软弱土层的隆起稳定性可按公式（</w:t>
      </w:r>
      <w:r>
        <w:rPr>
          <w:sz w:val="20"/>
          <w:szCs w:val="20"/>
        </w:rPr>
        <w:t>7.3.</w:t>
      </w:r>
      <w:r>
        <w:rPr>
          <w:rFonts w:hint="eastAsia"/>
          <w:sz w:val="20"/>
          <w:szCs w:val="20"/>
        </w:rPr>
        <w:t>4-1</w:t>
      </w:r>
      <w:r>
        <w:rPr>
          <w:rFonts w:hint="eastAsia" w:ascii="宋体" w:hAnsi="宋体"/>
          <w:sz w:val="20"/>
          <w:szCs w:val="20"/>
        </w:rPr>
        <w:t>）验算，但式中的</w:t>
      </w:r>
      <w:r>
        <w:rPr>
          <w:i/>
          <w:sz w:val="20"/>
          <w:szCs w:val="20"/>
        </w:rPr>
        <w:t>γ</w:t>
      </w:r>
      <w:r>
        <w:rPr>
          <w:sz w:val="20"/>
          <w:szCs w:val="20"/>
          <w:vertAlign w:val="subscript"/>
        </w:rPr>
        <w:t>m1</w:t>
      </w:r>
      <w:r>
        <w:rPr>
          <w:rFonts w:hint="eastAsia" w:ascii="宋体" w:hAnsi="宋体"/>
          <w:sz w:val="20"/>
          <w:szCs w:val="20"/>
        </w:rPr>
        <w:t>、</w:t>
      </w:r>
      <w:r>
        <w:rPr>
          <w:i/>
          <w:sz w:val="20"/>
          <w:szCs w:val="20"/>
        </w:rPr>
        <w:t>γ</w:t>
      </w:r>
      <w:r>
        <w:rPr>
          <w:sz w:val="20"/>
          <w:szCs w:val="20"/>
          <w:vertAlign w:val="subscript"/>
        </w:rPr>
        <w:t>m2</w:t>
      </w:r>
      <w:r>
        <w:rPr>
          <w:rFonts w:hint="eastAsia" w:ascii="宋体" w:hAnsi="宋体"/>
          <w:sz w:val="20"/>
          <w:szCs w:val="20"/>
        </w:rPr>
        <w:t>应取软弱土层顶面以上土的重度（图</w:t>
      </w:r>
      <w:r>
        <w:rPr>
          <w:sz w:val="20"/>
          <w:szCs w:val="20"/>
        </w:rPr>
        <w:t>7.3.</w:t>
      </w:r>
      <w:r>
        <w:rPr>
          <w:rFonts w:hint="eastAsia"/>
          <w:sz w:val="20"/>
          <w:szCs w:val="20"/>
        </w:rPr>
        <w:t>4-2</w:t>
      </w:r>
      <w:r>
        <w:rPr>
          <w:rFonts w:hint="eastAsia" w:ascii="宋体" w:hAnsi="宋体"/>
          <w:sz w:val="20"/>
          <w:szCs w:val="20"/>
        </w:rPr>
        <w:t>），</w:t>
      </w:r>
      <w:r>
        <w:rPr>
          <w:i/>
          <w:sz w:val="20"/>
          <w:szCs w:val="20"/>
        </w:rPr>
        <w:t>l</w:t>
      </w:r>
      <w:r>
        <w:rPr>
          <w:sz w:val="20"/>
          <w:szCs w:val="20"/>
          <w:vertAlign w:val="subscript"/>
        </w:rPr>
        <w:t>d</w:t>
      </w:r>
      <w:r>
        <w:rPr>
          <w:rFonts w:hint="eastAsia" w:ascii="宋体" w:hAnsi="宋体"/>
          <w:sz w:val="20"/>
          <w:szCs w:val="20"/>
        </w:rPr>
        <w:t>应以</w:t>
      </w:r>
      <w:r>
        <w:rPr>
          <w:rFonts w:hint="eastAsia"/>
          <w:i/>
          <w:sz w:val="20"/>
          <w:szCs w:val="20"/>
        </w:rPr>
        <w:t>D</w:t>
      </w:r>
      <w:r>
        <w:rPr>
          <w:rFonts w:hint="eastAsia" w:ascii="宋体" w:hAnsi="宋体"/>
          <w:sz w:val="20"/>
          <w:szCs w:val="20"/>
        </w:rPr>
        <w:t>代替。</w:t>
      </w:r>
    </w:p>
    <w:p w14:paraId="09B7C9AC">
      <w:pPr>
        <w:adjustRightInd w:val="0"/>
        <w:snapToGrid w:val="0"/>
        <w:spacing w:line="288" w:lineRule="auto"/>
        <w:ind w:firstLine="300" w:firstLineChars="200"/>
        <w:rPr>
          <w:rFonts w:ascii="宋体" w:hAnsi="宋体"/>
          <w:sz w:val="15"/>
          <w:szCs w:val="15"/>
        </w:rPr>
      </w:pPr>
      <w:r>
        <w:rPr>
          <w:rFonts w:hint="eastAsia" w:ascii="宋体" w:hAnsi="宋体"/>
          <w:sz w:val="15"/>
          <w:szCs w:val="15"/>
        </w:rPr>
        <w:t>注：</w:t>
      </w:r>
      <w:r>
        <w:rPr>
          <w:rFonts w:hint="eastAsia"/>
          <w:i/>
          <w:sz w:val="15"/>
          <w:szCs w:val="15"/>
        </w:rPr>
        <w:t>D</w:t>
      </w:r>
      <w:r>
        <w:rPr>
          <w:rFonts w:hint="eastAsia" w:ascii="宋体" w:hAnsi="宋体"/>
          <w:sz w:val="15"/>
          <w:szCs w:val="15"/>
        </w:rPr>
        <w:t>为基坑底面至软弱土层顶面的土层厚度（</w:t>
      </w:r>
      <w:r>
        <w:rPr>
          <w:rFonts w:hint="eastAsia"/>
          <w:sz w:val="15"/>
          <w:szCs w:val="15"/>
        </w:rPr>
        <w:t>m</w:t>
      </w:r>
      <w:r>
        <w:rPr>
          <w:rFonts w:hint="eastAsia" w:ascii="宋体" w:hAnsi="宋体"/>
          <w:sz w:val="15"/>
          <w:szCs w:val="15"/>
        </w:rPr>
        <w:t>）。</w:t>
      </w:r>
    </w:p>
    <w:p w14:paraId="3A115B6F">
      <w:pPr>
        <w:adjustRightInd w:val="0"/>
        <w:snapToGrid w:val="0"/>
        <w:spacing w:line="288" w:lineRule="auto"/>
        <w:jc w:val="center"/>
        <w:rPr>
          <w:rFonts w:ascii="宋体" w:hAnsi="宋体"/>
          <w:sz w:val="20"/>
          <w:szCs w:val="20"/>
        </w:rPr>
      </w:pPr>
      <w:r>
        <w:rPr>
          <w:rFonts w:ascii="宋体" w:hAnsi="宋体"/>
          <w:sz w:val="20"/>
          <w:szCs w:val="20"/>
        </w:rPr>
        <w:object>
          <v:shape id="_x0000_i1091" o:spt="75" type="#_x0000_t75" style="height:148.1pt;width:199pt;" o:ole="t" filled="f" o:preferrelative="t" stroked="f" coordsize="21600,21600">
            <v:path/>
            <v:fill on="f" focussize="0,0"/>
            <v:stroke on="f" joinstyle="miter"/>
            <v:imagedata r:id="rId148" cropleft="14988f" croptop="7896f" cropright="20763f" cropbottom="7449f" o:title=""/>
            <o:lock v:ext="edit" aspectratio="t"/>
            <w10:wrap type="none"/>
            <w10:anchorlock/>
          </v:shape>
          <o:OLEObject Type="Embed" ProgID="AutoCAD.Drawing.16" ShapeID="_x0000_i1091" DrawAspect="Content" ObjectID="_1468075793" r:id="rId147">
            <o:LockedField>false</o:LockedField>
          </o:OLEObject>
        </w:object>
      </w:r>
    </w:p>
    <w:p w14:paraId="5E536F3B">
      <w:pPr>
        <w:adjustRightInd w:val="0"/>
        <w:snapToGrid w:val="0"/>
        <w:spacing w:after="156" w:afterLines="50" w:line="288" w:lineRule="auto"/>
        <w:jc w:val="center"/>
        <w:rPr>
          <w:rFonts w:ascii="宋体" w:hAnsi="宋体"/>
          <w:b/>
          <w:sz w:val="18"/>
          <w:szCs w:val="18"/>
        </w:rPr>
      </w:pPr>
      <w:r>
        <w:rPr>
          <w:rFonts w:ascii="宋体" w:hAnsi="宋体"/>
          <w:b/>
          <w:sz w:val="18"/>
          <w:szCs w:val="18"/>
        </w:rPr>
        <w:t>图</w:t>
      </w:r>
      <w:r>
        <w:rPr>
          <w:b/>
          <w:sz w:val="18"/>
          <w:szCs w:val="18"/>
        </w:rPr>
        <w:t>7.3.4-2</w:t>
      </w:r>
      <w:r>
        <w:rPr>
          <w:rFonts w:ascii="宋体" w:hAnsi="宋体"/>
          <w:b/>
          <w:sz w:val="18"/>
          <w:szCs w:val="18"/>
        </w:rPr>
        <w:t xml:space="preserve">  软弱土层的隆起稳定性验算</w:t>
      </w:r>
    </w:p>
    <w:p w14:paraId="6BD85082">
      <w:pPr>
        <w:adjustRightInd w:val="0"/>
        <w:snapToGrid w:val="0"/>
        <w:spacing w:line="288" w:lineRule="auto"/>
        <w:ind w:firstLine="402" w:firstLineChars="200"/>
        <w:rPr>
          <w:rFonts w:ascii="宋体" w:hAnsi="宋体"/>
          <w:sz w:val="20"/>
          <w:szCs w:val="20"/>
        </w:rPr>
      </w:pPr>
      <w:r>
        <w:rPr>
          <w:rFonts w:hint="eastAsia"/>
          <w:b/>
          <w:sz w:val="20"/>
          <w:szCs w:val="20"/>
        </w:rPr>
        <w:t>3</w:t>
      </w:r>
      <w:r>
        <w:rPr>
          <w:rFonts w:hint="eastAsia" w:ascii="宋体" w:hAnsi="宋体"/>
          <w:sz w:val="20"/>
          <w:szCs w:val="20"/>
        </w:rPr>
        <w:t xml:space="preserve">  悬臂式支挡结构可不进行隆起稳定性验算。</w:t>
      </w:r>
    </w:p>
    <w:p w14:paraId="392CEB65">
      <w:pPr>
        <w:pStyle w:val="27"/>
        <w:tabs>
          <w:tab w:val="left" w:pos="672"/>
          <w:tab w:val="left" w:pos="1036"/>
          <w:tab w:val="left" w:pos="1620"/>
          <w:tab w:val="left" w:pos="2160"/>
          <w:tab w:val="left" w:pos="7020"/>
        </w:tabs>
        <w:adjustRightInd w:val="0"/>
        <w:snapToGrid w:val="0"/>
        <w:spacing w:after="0" w:line="288" w:lineRule="auto"/>
        <w:ind w:left="0" w:leftChars="0"/>
        <w:rPr>
          <w:rFonts w:ascii="宋体" w:hAnsi="宋体"/>
          <w:sz w:val="20"/>
          <w:szCs w:val="20"/>
        </w:rPr>
      </w:pPr>
      <w:r>
        <w:rPr>
          <w:b/>
          <w:kern w:val="0"/>
          <w:sz w:val="20"/>
          <w:szCs w:val="20"/>
        </w:rPr>
        <w:t>7.3.5</w:t>
      </w:r>
      <w:r>
        <w:rPr>
          <w:rFonts w:hint="eastAsia"/>
          <w:b/>
          <w:sz w:val="20"/>
          <w:szCs w:val="20"/>
        </w:rPr>
        <w:t xml:space="preserve"> </w:t>
      </w:r>
      <w:r>
        <w:rPr>
          <w:rFonts w:hint="eastAsia" w:ascii="宋体" w:hAnsi="宋体"/>
          <w:sz w:val="20"/>
          <w:szCs w:val="20"/>
        </w:rPr>
        <w:t xml:space="preserve"> 采用悬挂式截水帷幕或坑底以下存在水头高于坑底的承压水含水层时，应按本规程附录</w:t>
      </w:r>
      <w:r>
        <w:rPr>
          <w:sz w:val="20"/>
          <w:szCs w:val="20"/>
        </w:rPr>
        <w:t>B</w:t>
      </w:r>
      <w:r>
        <w:rPr>
          <w:rFonts w:hint="eastAsia" w:ascii="宋体" w:hAnsi="宋体"/>
          <w:sz w:val="20"/>
          <w:szCs w:val="20"/>
        </w:rPr>
        <w:t>的规定进行地下水渗透稳定性验算。</w:t>
      </w:r>
    </w:p>
    <w:p w14:paraId="5A8AFE39">
      <w:pPr>
        <w:adjustRightInd w:val="0"/>
        <w:snapToGrid w:val="0"/>
        <w:spacing w:line="288" w:lineRule="auto"/>
        <w:rPr>
          <w:bCs/>
          <w:sz w:val="20"/>
          <w:szCs w:val="20"/>
        </w:rPr>
      </w:pPr>
      <w:r>
        <w:rPr>
          <w:b/>
          <w:bCs/>
          <w:kern w:val="0"/>
          <w:sz w:val="20"/>
          <w:szCs w:val="20"/>
        </w:rPr>
        <w:t>7.3.6</w:t>
      </w:r>
      <w:r>
        <w:rPr>
          <w:rFonts w:hint="eastAsia" w:ascii="宋体" w:hAnsi="宋体"/>
          <w:sz w:val="20"/>
          <w:szCs w:val="20"/>
        </w:rPr>
        <w:t xml:space="preserve">  挡土构件的嵌固深度除应满足本规程第</w:t>
      </w:r>
      <w:r>
        <w:rPr>
          <w:sz w:val="20"/>
          <w:szCs w:val="20"/>
        </w:rPr>
        <w:t>7.3.</w:t>
      </w:r>
      <w:r>
        <w:rPr>
          <w:rFonts w:hint="eastAsia"/>
          <w:sz w:val="20"/>
          <w:szCs w:val="20"/>
        </w:rPr>
        <w:t>1</w:t>
      </w:r>
      <w:r>
        <w:rPr>
          <w:rFonts w:hint="eastAsia" w:ascii="宋体" w:hAnsi="宋体"/>
          <w:sz w:val="20"/>
          <w:szCs w:val="20"/>
        </w:rPr>
        <w:t>条～第</w:t>
      </w:r>
      <w:r>
        <w:rPr>
          <w:sz w:val="20"/>
          <w:szCs w:val="20"/>
        </w:rPr>
        <w:t>7.3.</w:t>
      </w:r>
      <w:r>
        <w:rPr>
          <w:rFonts w:hint="eastAsia"/>
          <w:sz w:val="20"/>
          <w:szCs w:val="20"/>
        </w:rPr>
        <w:t>5</w:t>
      </w:r>
      <w:r>
        <w:rPr>
          <w:rFonts w:hint="eastAsia" w:ascii="宋体" w:hAnsi="宋体"/>
          <w:sz w:val="20"/>
          <w:szCs w:val="20"/>
        </w:rPr>
        <w:t>条的规定外，对悬臂式结构，不宜小于</w:t>
      </w:r>
      <w:r>
        <w:rPr>
          <w:rFonts w:hint="eastAsia"/>
          <w:sz w:val="20"/>
          <w:szCs w:val="20"/>
        </w:rPr>
        <w:t>0.8</w:t>
      </w:r>
      <w:r>
        <w:rPr>
          <w:rFonts w:hint="eastAsia"/>
          <w:i/>
          <w:sz w:val="20"/>
          <w:szCs w:val="20"/>
        </w:rPr>
        <w:t>h</w:t>
      </w:r>
      <w:r>
        <w:rPr>
          <w:rFonts w:hint="eastAsia" w:ascii="宋体" w:hAnsi="宋体"/>
          <w:sz w:val="20"/>
          <w:szCs w:val="20"/>
        </w:rPr>
        <w:t>；对单支点支挡式结构，不宜小于</w:t>
      </w:r>
      <w:r>
        <w:rPr>
          <w:rFonts w:hint="eastAsia"/>
          <w:sz w:val="20"/>
          <w:szCs w:val="20"/>
        </w:rPr>
        <w:t>0.3</w:t>
      </w:r>
      <w:r>
        <w:rPr>
          <w:rFonts w:hint="eastAsia"/>
          <w:i/>
          <w:sz w:val="20"/>
          <w:szCs w:val="20"/>
        </w:rPr>
        <w:t>h</w:t>
      </w:r>
      <w:r>
        <w:rPr>
          <w:rFonts w:hint="eastAsia" w:ascii="宋体" w:hAnsi="宋体"/>
          <w:sz w:val="20"/>
          <w:szCs w:val="20"/>
        </w:rPr>
        <w:t>；对多支点支挡式结构，不宜小于</w:t>
      </w:r>
      <w:r>
        <w:rPr>
          <w:rFonts w:hint="eastAsia"/>
          <w:sz w:val="20"/>
          <w:szCs w:val="20"/>
        </w:rPr>
        <w:t>0.2</w:t>
      </w:r>
      <w:r>
        <w:rPr>
          <w:rFonts w:hint="eastAsia"/>
          <w:i/>
          <w:sz w:val="20"/>
          <w:szCs w:val="20"/>
        </w:rPr>
        <w:t>h</w:t>
      </w:r>
      <w:r>
        <w:rPr>
          <w:rFonts w:hint="eastAsia" w:ascii="宋体" w:hAnsi="宋体"/>
          <w:sz w:val="20"/>
          <w:szCs w:val="20"/>
        </w:rPr>
        <w:t>。</w:t>
      </w:r>
      <w:bookmarkStart w:id="59" w:name="_Toc413157303"/>
      <w:bookmarkStart w:id="60" w:name="_Toc413756033"/>
      <w:bookmarkStart w:id="61" w:name="_Toc311619308"/>
      <w:bookmarkStart w:id="62" w:name="_Toc468104708"/>
      <w:bookmarkStart w:id="63" w:name="_Toc428777567"/>
    </w:p>
    <w:p w14:paraId="7139EA79">
      <w:pPr>
        <w:pStyle w:val="7"/>
        <w:keepNext w:val="0"/>
        <w:keepLines w:val="0"/>
        <w:adjustRightInd w:val="0"/>
        <w:snapToGrid w:val="0"/>
        <w:spacing w:before="312" w:beforeLines="100" w:after="312" w:afterLines="100" w:line="288" w:lineRule="auto"/>
        <w:jc w:val="center"/>
        <w:rPr>
          <w:rFonts w:ascii="宋体" w:hAnsi="宋体"/>
          <w:b w:val="0"/>
          <w:sz w:val="20"/>
          <w:szCs w:val="20"/>
        </w:rPr>
      </w:pPr>
      <w:bookmarkStart w:id="64" w:name="_Toc139613728"/>
      <w:r>
        <w:rPr>
          <w:bCs w:val="0"/>
          <w:sz w:val="20"/>
          <w:szCs w:val="20"/>
        </w:rPr>
        <w:t>7</w:t>
      </w:r>
      <w:r>
        <w:rPr>
          <w:rFonts w:hint="eastAsia"/>
          <w:bCs w:val="0"/>
          <w:sz w:val="20"/>
          <w:szCs w:val="20"/>
        </w:rPr>
        <w:t>.4</w:t>
      </w:r>
      <w:r>
        <w:rPr>
          <w:bCs w:val="0"/>
          <w:sz w:val="20"/>
          <w:szCs w:val="20"/>
        </w:rPr>
        <w:t xml:space="preserve">  </w:t>
      </w:r>
      <w:r>
        <w:rPr>
          <w:rFonts w:hint="eastAsia" w:ascii="黑体" w:hAnsi="黑体" w:eastAsia="黑体"/>
          <w:b w:val="0"/>
          <w:sz w:val="20"/>
          <w:szCs w:val="20"/>
        </w:rPr>
        <w:t>双排桩设计</w:t>
      </w:r>
      <w:bookmarkEnd w:id="59"/>
      <w:bookmarkEnd w:id="60"/>
      <w:bookmarkEnd w:id="61"/>
      <w:bookmarkEnd w:id="62"/>
      <w:bookmarkEnd w:id="63"/>
      <w:bookmarkEnd w:id="64"/>
    </w:p>
    <w:p w14:paraId="0AB80E91">
      <w:pPr>
        <w:adjustRightInd w:val="0"/>
        <w:snapToGrid w:val="0"/>
        <w:spacing w:line="288" w:lineRule="auto"/>
        <w:rPr>
          <w:rFonts w:ascii="宋体" w:hAnsi="宋体"/>
          <w:sz w:val="20"/>
          <w:szCs w:val="20"/>
        </w:rPr>
      </w:pPr>
      <w:r>
        <w:rPr>
          <w:b/>
          <w:bCs/>
          <w:kern w:val="0"/>
          <w:sz w:val="20"/>
          <w:szCs w:val="20"/>
        </w:rPr>
        <w:t>7.4.1</w:t>
      </w:r>
      <w:r>
        <w:rPr>
          <w:rFonts w:hint="eastAsia" w:ascii="宋体" w:hAnsi="宋体"/>
          <w:sz w:val="20"/>
          <w:szCs w:val="20"/>
        </w:rPr>
        <w:t xml:space="preserve">  双排桩结构可采用图</w:t>
      </w:r>
      <w:r>
        <w:rPr>
          <w:sz w:val="20"/>
          <w:szCs w:val="20"/>
        </w:rPr>
        <w:t>7.4.1</w:t>
      </w:r>
      <w:r>
        <w:rPr>
          <w:rFonts w:hint="eastAsia" w:ascii="宋体" w:hAnsi="宋体"/>
          <w:sz w:val="20"/>
          <w:szCs w:val="20"/>
        </w:rPr>
        <w:t>所示的平面刚架结构模型进行计算。</w:t>
      </w:r>
    </w:p>
    <w:p w14:paraId="1D3DEE66">
      <w:pPr>
        <w:adjustRightInd w:val="0"/>
        <w:snapToGrid w:val="0"/>
        <w:spacing w:line="288" w:lineRule="auto"/>
        <w:jc w:val="center"/>
        <w:rPr>
          <w:rFonts w:ascii="宋体" w:hAnsi="宋体"/>
          <w:sz w:val="20"/>
          <w:szCs w:val="20"/>
        </w:rPr>
      </w:pPr>
      <w:r>
        <w:rPr>
          <w:rFonts w:ascii="宋体" w:hAnsi="宋体"/>
          <w:sz w:val="20"/>
          <w:szCs w:val="20"/>
        </w:rPr>
        <w:object>
          <v:shape id="_x0000_i1092" o:spt="75" type="#_x0000_t75" style="height:211.9pt;width:140.6pt;" o:ole="t" filled="f" o:preferrelative="t" stroked="f" coordsize="21600,21600">
            <v:path/>
            <v:fill on="f" focussize="0,0"/>
            <v:stroke on="f" joinstyle="miter"/>
            <v:imagedata r:id="rId150" cropleft="23310f" croptop="393f" cropright="24250f" cropbottom="393f" o:title=""/>
            <o:lock v:ext="edit" aspectratio="t"/>
            <w10:wrap type="none"/>
            <w10:anchorlock/>
          </v:shape>
          <o:OLEObject Type="Embed" ProgID="AutoCAD.Drawing.16" ShapeID="_x0000_i1092" DrawAspect="Content" ObjectID="_1468075794" r:id="rId149">
            <o:LockedField>false</o:LockedField>
          </o:OLEObject>
        </w:object>
      </w:r>
      <w:r>
        <w:rPr>
          <w:rFonts w:ascii="宋体" w:hAnsi="宋体"/>
          <w:sz w:val="20"/>
          <w:szCs w:val="20"/>
        </w:rPr>
        <w:object>
          <v:shape id="_x0000_i1093" o:spt="75" type="#_x0000_t75" style="height:144pt;width:148.1pt;" o:ole="t" filled="f" o:preferrelative="t" stroked="f" coordsize="21600,21600">
            <v:path/>
            <v:fill on="f" focussize="0,0"/>
            <v:stroke on="f" joinstyle="miter"/>
            <v:imagedata r:id="rId152" cropleft="20490f" croptop="5997f" cropright="23787f" cropbottom="12627f" o:title=""/>
            <o:lock v:ext="edit" aspectratio="t"/>
            <w10:wrap type="none"/>
            <w10:anchorlock/>
          </v:shape>
          <o:OLEObject Type="Embed" ProgID="AutoCAD.Drawing.16" ShapeID="_x0000_i1093" DrawAspect="Content" ObjectID="_1468075795" r:id="rId151">
            <o:LockedField>false</o:LockedField>
          </o:OLEObject>
        </w:object>
      </w:r>
    </w:p>
    <w:p w14:paraId="29C3EC4C">
      <w:pPr>
        <w:adjustRightInd w:val="0"/>
        <w:snapToGrid w:val="0"/>
        <w:spacing w:line="288" w:lineRule="auto"/>
        <w:jc w:val="center"/>
        <w:rPr>
          <w:rFonts w:ascii="宋体" w:hAnsi="宋体"/>
          <w:b/>
          <w:sz w:val="18"/>
          <w:szCs w:val="18"/>
        </w:rPr>
      </w:pPr>
      <w:r>
        <w:rPr>
          <w:rFonts w:hint="eastAsia" w:ascii="宋体" w:hAnsi="宋体"/>
          <w:b/>
          <w:sz w:val="18"/>
          <w:szCs w:val="18"/>
        </w:rPr>
        <w:t xml:space="preserve">       </w:t>
      </w:r>
      <w:r>
        <w:rPr>
          <w:rFonts w:ascii="宋体" w:hAnsi="宋体"/>
          <w:b/>
          <w:sz w:val="18"/>
          <w:szCs w:val="18"/>
        </w:rPr>
        <w:t>图</w:t>
      </w:r>
      <w:r>
        <w:rPr>
          <w:b/>
          <w:sz w:val="18"/>
          <w:szCs w:val="18"/>
        </w:rPr>
        <w:t>7.4.1</w:t>
      </w:r>
      <w:r>
        <w:rPr>
          <w:rFonts w:ascii="宋体" w:hAnsi="宋体"/>
          <w:b/>
          <w:sz w:val="18"/>
          <w:szCs w:val="18"/>
        </w:rPr>
        <w:t xml:space="preserve">  双排桩计算   </w:t>
      </w:r>
      <w:r>
        <w:rPr>
          <w:rFonts w:hint="eastAsia" w:ascii="宋体" w:hAnsi="宋体"/>
          <w:b/>
          <w:sz w:val="18"/>
          <w:szCs w:val="18"/>
        </w:rPr>
        <w:t xml:space="preserve">    </w:t>
      </w:r>
      <w:r>
        <w:rPr>
          <w:rFonts w:ascii="宋体" w:hAnsi="宋体"/>
          <w:b/>
          <w:sz w:val="18"/>
          <w:szCs w:val="18"/>
        </w:rPr>
        <w:t>图</w:t>
      </w:r>
      <w:r>
        <w:rPr>
          <w:b/>
          <w:sz w:val="18"/>
          <w:szCs w:val="18"/>
        </w:rPr>
        <w:t>7.4.2</w:t>
      </w:r>
      <w:r>
        <w:rPr>
          <w:rFonts w:ascii="宋体" w:hAnsi="宋体"/>
          <w:b/>
          <w:sz w:val="18"/>
          <w:szCs w:val="18"/>
        </w:rPr>
        <w:t xml:space="preserve">  双排桩桩顶连梁及计算宽度</w:t>
      </w:r>
    </w:p>
    <w:p w14:paraId="2AC4625D">
      <w:pPr>
        <w:adjustRightInd w:val="0"/>
        <w:snapToGrid w:val="0"/>
        <w:spacing w:line="288" w:lineRule="auto"/>
        <w:ind w:firstLine="301"/>
        <w:jc w:val="center"/>
        <w:rPr>
          <w:rFonts w:ascii="宋体" w:hAnsi="宋体"/>
          <w:sz w:val="15"/>
          <w:szCs w:val="15"/>
        </w:rPr>
      </w:pPr>
      <w:r>
        <w:rPr>
          <w:rFonts w:hint="eastAsia"/>
          <w:bCs/>
          <w:sz w:val="15"/>
          <w:szCs w:val="15"/>
        </w:rPr>
        <w:t>1</w:t>
      </w:r>
      <w:r>
        <w:rPr>
          <w:rFonts w:hint="eastAsia" w:ascii="宋体" w:hAnsi="宋体"/>
          <w:sz w:val="15"/>
          <w:szCs w:val="15"/>
        </w:rPr>
        <w:t>－前排桩；</w:t>
      </w:r>
      <w:r>
        <w:rPr>
          <w:rFonts w:hint="eastAsia"/>
          <w:bCs/>
          <w:sz w:val="15"/>
          <w:szCs w:val="15"/>
        </w:rPr>
        <w:t>2</w:t>
      </w:r>
      <w:r>
        <w:rPr>
          <w:rFonts w:hint="eastAsia" w:ascii="宋体" w:hAnsi="宋体"/>
          <w:sz w:val="15"/>
          <w:szCs w:val="15"/>
        </w:rPr>
        <w:t>－后排桩；</w:t>
      </w:r>
      <w:r>
        <w:rPr>
          <w:rFonts w:hint="eastAsia"/>
          <w:bCs/>
          <w:sz w:val="15"/>
          <w:szCs w:val="15"/>
        </w:rPr>
        <w:t>3</w:t>
      </w:r>
      <w:r>
        <w:rPr>
          <w:rFonts w:hint="eastAsia" w:ascii="宋体" w:hAnsi="宋体"/>
          <w:sz w:val="15"/>
          <w:szCs w:val="15"/>
        </w:rPr>
        <w:t xml:space="preserve">－刚架梁     </w:t>
      </w:r>
      <w:r>
        <w:rPr>
          <w:rFonts w:hint="eastAsia"/>
          <w:bCs/>
          <w:sz w:val="15"/>
          <w:szCs w:val="15"/>
        </w:rPr>
        <w:t>1</w:t>
      </w:r>
      <w:r>
        <w:rPr>
          <w:rFonts w:hint="eastAsia" w:ascii="宋体" w:hAnsi="宋体"/>
          <w:sz w:val="15"/>
          <w:szCs w:val="15"/>
        </w:rPr>
        <w:t>－前排桩；</w:t>
      </w:r>
      <w:r>
        <w:rPr>
          <w:rFonts w:hint="eastAsia"/>
          <w:bCs/>
          <w:sz w:val="15"/>
          <w:szCs w:val="15"/>
        </w:rPr>
        <w:t>2</w:t>
      </w:r>
      <w:r>
        <w:rPr>
          <w:rFonts w:hint="eastAsia" w:ascii="宋体" w:hAnsi="宋体"/>
          <w:sz w:val="15"/>
          <w:szCs w:val="15"/>
        </w:rPr>
        <w:t>－后排桩；</w:t>
      </w:r>
      <w:r>
        <w:rPr>
          <w:rFonts w:hint="eastAsia"/>
          <w:bCs/>
          <w:sz w:val="15"/>
          <w:szCs w:val="15"/>
        </w:rPr>
        <w:t>3</w:t>
      </w:r>
      <w:r>
        <w:rPr>
          <w:rFonts w:hint="eastAsia" w:ascii="宋体" w:hAnsi="宋体"/>
          <w:sz w:val="15"/>
          <w:szCs w:val="15"/>
        </w:rPr>
        <w:t xml:space="preserve">－排桩对称中心线；                 </w:t>
      </w:r>
    </w:p>
    <w:p w14:paraId="1C1DFE78">
      <w:pPr>
        <w:adjustRightInd w:val="0"/>
        <w:snapToGrid w:val="0"/>
        <w:spacing w:after="156" w:afterLines="50" w:line="288" w:lineRule="auto"/>
        <w:ind w:firstLine="301"/>
        <w:jc w:val="center"/>
        <w:rPr>
          <w:rFonts w:ascii="宋体" w:hAnsi="宋体"/>
          <w:sz w:val="15"/>
          <w:szCs w:val="15"/>
        </w:rPr>
      </w:pPr>
      <w:r>
        <w:rPr>
          <w:rFonts w:hint="eastAsia" w:ascii="宋体" w:hAnsi="宋体"/>
          <w:sz w:val="15"/>
          <w:szCs w:val="15"/>
        </w:rPr>
        <w:t xml:space="preserve">                                </w:t>
      </w:r>
      <w:r>
        <w:rPr>
          <w:rFonts w:hint="eastAsia"/>
          <w:bCs/>
          <w:sz w:val="15"/>
          <w:szCs w:val="15"/>
        </w:rPr>
        <w:t>4</w:t>
      </w:r>
      <w:r>
        <w:rPr>
          <w:rFonts w:hint="eastAsia" w:ascii="宋体" w:hAnsi="宋体"/>
          <w:sz w:val="15"/>
          <w:szCs w:val="15"/>
        </w:rPr>
        <w:t>-桩顶冠梁；</w:t>
      </w:r>
      <w:r>
        <w:rPr>
          <w:rFonts w:hint="eastAsia"/>
          <w:bCs/>
          <w:sz w:val="15"/>
          <w:szCs w:val="15"/>
        </w:rPr>
        <w:t>5</w:t>
      </w:r>
      <w:r>
        <w:rPr>
          <w:rFonts w:hint="eastAsia" w:ascii="宋体" w:hAnsi="宋体"/>
          <w:sz w:val="15"/>
          <w:szCs w:val="15"/>
        </w:rPr>
        <w:t>-刚架梁</w:t>
      </w:r>
    </w:p>
    <w:p w14:paraId="3547E40C">
      <w:pPr>
        <w:adjustRightInd w:val="0"/>
        <w:snapToGrid w:val="0"/>
        <w:spacing w:line="288" w:lineRule="auto"/>
        <w:rPr>
          <w:rFonts w:ascii="宋体" w:hAnsi="宋体"/>
          <w:sz w:val="20"/>
          <w:szCs w:val="20"/>
        </w:rPr>
      </w:pPr>
      <w:r>
        <w:rPr>
          <w:b/>
          <w:kern w:val="0"/>
          <w:sz w:val="20"/>
          <w:szCs w:val="20"/>
        </w:rPr>
        <w:t>7.4.2</w:t>
      </w:r>
      <w:r>
        <w:rPr>
          <w:rFonts w:hint="eastAsia" w:ascii="宋体" w:hAnsi="宋体"/>
          <w:sz w:val="20"/>
          <w:szCs w:val="20"/>
        </w:rPr>
        <w:t xml:space="preserve">  采用图</w:t>
      </w:r>
      <w:r>
        <w:rPr>
          <w:sz w:val="20"/>
          <w:szCs w:val="20"/>
        </w:rPr>
        <w:t>7.4.1</w:t>
      </w:r>
      <w:r>
        <w:rPr>
          <w:rFonts w:hint="eastAsia" w:ascii="宋体" w:hAnsi="宋体"/>
          <w:sz w:val="20"/>
          <w:szCs w:val="20"/>
        </w:rPr>
        <w:t>的结构模型时，应按现行行业标准《建筑基坑支护技术规程》</w:t>
      </w:r>
      <w:r>
        <w:rPr>
          <w:sz w:val="20"/>
          <w:szCs w:val="20"/>
        </w:rPr>
        <w:t>JGJ 120</w:t>
      </w:r>
      <w:r>
        <w:rPr>
          <w:rFonts w:hint="eastAsia" w:ascii="宋体" w:hAnsi="宋体"/>
          <w:sz w:val="20"/>
          <w:szCs w:val="20"/>
        </w:rPr>
        <w:t>的有关规定计算。</w:t>
      </w:r>
    </w:p>
    <w:p w14:paraId="3D8D1D31">
      <w:pPr>
        <w:adjustRightInd w:val="0"/>
        <w:snapToGrid w:val="0"/>
        <w:spacing w:line="288" w:lineRule="auto"/>
        <w:rPr>
          <w:rFonts w:ascii="宋体" w:hAnsi="宋体"/>
          <w:sz w:val="20"/>
          <w:szCs w:val="20"/>
        </w:rPr>
      </w:pPr>
      <w:r>
        <w:rPr>
          <w:b/>
          <w:kern w:val="0"/>
          <w:sz w:val="20"/>
          <w:szCs w:val="20"/>
        </w:rPr>
        <w:t>7.4.3</w:t>
      </w:r>
      <w:r>
        <w:rPr>
          <w:rFonts w:hint="eastAsia" w:ascii="宋体" w:hAnsi="宋体"/>
          <w:sz w:val="20"/>
          <w:szCs w:val="20"/>
        </w:rPr>
        <w:t xml:space="preserve">  双排桩结构的嵌固稳定性应符合下式规定（图</w:t>
      </w:r>
      <w:r>
        <w:rPr>
          <w:sz w:val="20"/>
          <w:szCs w:val="20"/>
        </w:rPr>
        <w:t>7.4.3</w:t>
      </w:r>
      <w:r>
        <w:rPr>
          <w:rFonts w:hint="eastAsia" w:ascii="宋体" w:hAnsi="宋体"/>
          <w:sz w:val="20"/>
          <w:szCs w:val="20"/>
        </w:rPr>
        <w:t>）：</w:t>
      </w:r>
    </w:p>
    <w:p w14:paraId="641B9C5C">
      <w:pPr>
        <w:adjustRightInd w:val="0"/>
        <w:snapToGrid w:val="0"/>
        <w:spacing w:line="288" w:lineRule="auto"/>
        <w:ind w:firstLine="1900" w:firstLineChars="950"/>
        <w:jc w:val="center"/>
        <w:rPr>
          <w:rFonts w:ascii="宋体" w:hAnsi="宋体"/>
          <w:sz w:val="20"/>
          <w:szCs w:val="20"/>
        </w:rPr>
      </w:pPr>
      <w:r>
        <w:rPr>
          <w:rFonts w:ascii="宋体" w:hAnsi="宋体"/>
          <w:position w:val="-22"/>
          <w:sz w:val="20"/>
          <w:szCs w:val="20"/>
        </w:rPr>
        <w:object>
          <v:shape id="_x0000_i1094" o:spt="75" type="#_x0000_t75" style="height:33.3pt;width:82.85pt;" o:ole="t" filled="f" o:preferrelative="t" stroked="f" coordsize="21600,21600">
            <v:path/>
            <v:fill on="f" focussize="0,0"/>
            <v:stroke on="f" joinstyle="miter"/>
            <v:imagedata r:id="rId154" o:title=""/>
            <o:lock v:ext="edit" aspectratio="t"/>
            <w10:wrap type="none"/>
            <w10:anchorlock/>
          </v:shape>
          <o:OLEObject Type="Embed" ProgID="Equation.3" ShapeID="_x0000_i1094" DrawAspect="Content" ObjectID="_1468075796" r:id="rId153">
            <o:LockedField>false</o:LockedField>
          </o:OLEObject>
        </w:object>
      </w:r>
      <w:r>
        <w:rPr>
          <w:rFonts w:ascii="宋体" w:hAnsi="宋体"/>
          <w:sz w:val="20"/>
          <w:szCs w:val="20"/>
        </w:rPr>
        <w:t xml:space="preserve"> </w:t>
      </w:r>
      <w:r>
        <w:rPr>
          <w:rFonts w:ascii="宋体" w:hAnsi="宋体"/>
          <w:sz w:val="20"/>
          <w:szCs w:val="20"/>
        </w:rPr>
        <w:tab/>
      </w:r>
      <w:r>
        <w:rPr>
          <w:rFonts w:ascii="宋体" w:hAnsi="宋体"/>
          <w:sz w:val="20"/>
          <w:szCs w:val="20"/>
        </w:rPr>
        <w:t xml:space="preserve"> </w: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w:t>
      </w:r>
      <w:r>
        <w:rPr>
          <w:sz w:val="20"/>
          <w:szCs w:val="20"/>
        </w:rPr>
        <w:t>7.4.</w:t>
      </w:r>
      <w:r>
        <w:rPr>
          <w:rFonts w:hint="eastAsia"/>
          <w:sz w:val="20"/>
          <w:szCs w:val="20"/>
        </w:rPr>
        <w:t>3</w:t>
      </w:r>
      <w:r>
        <w:rPr>
          <w:rFonts w:hint="eastAsia" w:ascii="宋体" w:hAnsi="宋体"/>
          <w:sz w:val="20"/>
          <w:szCs w:val="20"/>
        </w:rPr>
        <w:t>）</w:t>
      </w:r>
    </w:p>
    <w:p w14:paraId="6E3AC518">
      <w:pPr>
        <w:adjustRightInd w:val="0"/>
        <w:snapToGrid w:val="0"/>
        <w:spacing w:line="288" w:lineRule="auto"/>
        <w:rPr>
          <w:rFonts w:ascii="宋体" w:hAnsi="宋体"/>
          <w:sz w:val="20"/>
          <w:szCs w:val="20"/>
        </w:rPr>
      </w:pPr>
      <w:r>
        <w:rPr>
          <w:rFonts w:hint="eastAsia" w:ascii="宋体" w:hAnsi="宋体"/>
          <w:sz w:val="20"/>
          <w:szCs w:val="20"/>
        </w:rPr>
        <w:t>式中：</w:t>
      </w:r>
      <w:r>
        <w:rPr>
          <w:i/>
          <w:sz w:val="20"/>
          <w:szCs w:val="20"/>
        </w:rPr>
        <w:t>K</w:t>
      </w:r>
      <w:r>
        <w:rPr>
          <w:sz w:val="20"/>
          <w:szCs w:val="20"/>
          <w:vertAlign w:val="subscript"/>
        </w:rPr>
        <w:t>e</w:t>
      </w:r>
      <w:r>
        <w:rPr>
          <w:iCs/>
        </w:rPr>
        <w:t>——</w:t>
      </w:r>
      <w:r>
        <w:rPr>
          <w:rFonts w:hint="eastAsia" w:ascii="宋体" w:hAnsi="宋体"/>
          <w:sz w:val="20"/>
          <w:szCs w:val="20"/>
        </w:rPr>
        <w:t>嵌固稳定安全系数；安全等级为一级、二级、三级时，</w:t>
      </w:r>
      <w:r>
        <w:rPr>
          <w:i/>
          <w:sz w:val="20"/>
          <w:szCs w:val="20"/>
        </w:rPr>
        <w:t>K</w:t>
      </w:r>
      <w:r>
        <w:rPr>
          <w:sz w:val="20"/>
          <w:szCs w:val="20"/>
          <w:vertAlign w:val="subscript"/>
        </w:rPr>
        <w:t>e</w:t>
      </w:r>
      <w:r>
        <w:rPr>
          <w:rFonts w:hint="eastAsia" w:ascii="宋体" w:hAnsi="宋体"/>
          <w:sz w:val="20"/>
          <w:szCs w:val="20"/>
        </w:rPr>
        <w:t>分别取</w:t>
      </w:r>
      <w:r>
        <w:rPr>
          <w:rFonts w:hint="eastAsia"/>
          <w:sz w:val="20"/>
          <w:szCs w:val="20"/>
        </w:rPr>
        <w:t>1.25、1.2、1.15</w:t>
      </w:r>
      <w:r>
        <w:rPr>
          <w:rFonts w:hint="eastAsia" w:ascii="宋体" w:hAnsi="宋体"/>
          <w:sz w:val="20"/>
          <w:szCs w:val="20"/>
        </w:rPr>
        <w:t>；</w:t>
      </w:r>
    </w:p>
    <w:p w14:paraId="130CF997">
      <w:pPr>
        <w:adjustRightInd w:val="0"/>
        <w:snapToGrid w:val="0"/>
        <w:spacing w:line="288" w:lineRule="auto"/>
        <w:ind w:left="1134" w:leftChars="16" w:hanging="1100" w:hangingChars="550"/>
        <w:rPr>
          <w:rFonts w:ascii="宋体" w:hAnsi="宋体"/>
          <w:sz w:val="20"/>
          <w:szCs w:val="20"/>
        </w:rPr>
      </w:pPr>
      <w:r>
        <w:rPr>
          <w:i/>
          <w:sz w:val="20"/>
          <w:szCs w:val="20"/>
        </w:rPr>
        <w:t>E</w:t>
      </w:r>
      <w:r>
        <w:rPr>
          <w:sz w:val="20"/>
          <w:szCs w:val="20"/>
          <w:vertAlign w:val="subscript"/>
        </w:rPr>
        <w:t>ak</w:t>
      </w:r>
      <w:r>
        <w:rPr>
          <w:rFonts w:hAnsi="宋体"/>
          <w:sz w:val="20"/>
          <w:szCs w:val="20"/>
        </w:rPr>
        <w:t>、</w:t>
      </w:r>
      <w:r>
        <w:rPr>
          <w:i/>
          <w:sz w:val="20"/>
          <w:szCs w:val="20"/>
        </w:rPr>
        <w:t>E</w:t>
      </w:r>
      <w:r>
        <w:rPr>
          <w:sz w:val="20"/>
          <w:szCs w:val="20"/>
          <w:vertAlign w:val="subscript"/>
        </w:rPr>
        <w:t>pk</w:t>
      </w:r>
      <w:r>
        <w:rPr>
          <w:iCs/>
        </w:rPr>
        <w:t>——</w:t>
      </w:r>
      <w:r>
        <w:rPr>
          <w:rFonts w:hint="eastAsia" w:ascii="宋体" w:hAnsi="宋体"/>
          <w:sz w:val="20"/>
          <w:szCs w:val="20"/>
        </w:rPr>
        <w:t>基坑外侧主动土压力、基坑内侧被动土压力的标准值（</w:t>
      </w:r>
      <w:r>
        <w:rPr>
          <w:rFonts w:hint="eastAsia"/>
          <w:sz w:val="20"/>
          <w:szCs w:val="20"/>
        </w:rPr>
        <w:t>kN</w:t>
      </w:r>
      <w:r>
        <w:rPr>
          <w:rFonts w:hint="eastAsia" w:ascii="宋体" w:hAnsi="宋体"/>
          <w:sz w:val="20"/>
          <w:szCs w:val="20"/>
        </w:rPr>
        <w:t>）；</w:t>
      </w:r>
    </w:p>
    <w:p w14:paraId="1F87676E">
      <w:pPr>
        <w:adjustRightInd w:val="0"/>
        <w:snapToGrid w:val="0"/>
        <w:spacing w:line="288" w:lineRule="auto"/>
        <w:ind w:left="1145" w:leftChars="139" w:hanging="853" w:hangingChars="427"/>
        <w:rPr>
          <w:rFonts w:ascii="宋体" w:hAnsi="宋体"/>
          <w:sz w:val="20"/>
          <w:szCs w:val="20"/>
        </w:rPr>
      </w:pPr>
      <w:r>
        <w:rPr>
          <w:i/>
          <w:sz w:val="20"/>
          <w:szCs w:val="20"/>
        </w:rPr>
        <w:t>z</w:t>
      </w:r>
      <w:r>
        <w:rPr>
          <w:sz w:val="20"/>
          <w:szCs w:val="20"/>
          <w:vertAlign w:val="subscript"/>
        </w:rPr>
        <w:t>a</w:t>
      </w:r>
      <w:r>
        <w:rPr>
          <w:rFonts w:hAnsi="宋体"/>
          <w:sz w:val="20"/>
          <w:szCs w:val="20"/>
        </w:rPr>
        <w:t>、</w:t>
      </w:r>
      <w:r>
        <w:rPr>
          <w:i/>
          <w:sz w:val="20"/>
          <w:szCs w:val="20"/>
        </w:rPr>
        <w:t>z</w:t>
      </w:r>
      <w:r>
        <w:rPr>
          <w:sz w:val="20"/>
          <w:szCs w:val="20"/>
          <w:vertAlign w:val="subscript"/>
        </w:rPr>
        <w:t>p</w:t>
      </w:r>
      <w:r>
        <w:rPr>
          <w:iCs/>
        </w:rPr>
        <w:t>——</w:t>
      </w:r>
      <w:r>
        <w:rPr>
          <w:rFonts w:hint="eastAsia" w:ascii="宋体" w:hAnsi="宋体"/>
          <w:sz w:val="20"/>
          <w:szCs w:val="20"/>
        </w:rPr>
        <w:t>分别为基坑外侧主动土压力、基坑内侧被动土压力的合力作用点至挡土构件底端的距离（</w:t>
      </w:r>
      <w:r>
        <w:rPr>
          <w:sz w:val="20"/>
          <w:szCs w:val="20"/>
        </w:rPr>
        <w:t>m</w:t>
      </w:r>
      <w:r>
        <w:rPr>
          <w:rFonts w:hint="eastAsia" w:ascii="宋体" w:hAnsi="宋体"/>
          <w:sz w:val="20"/>
          <w:szCs w:val="20"/>
        </w:rPr>
        <w:t>）；</w:t>
      </w:r>
    </w:p>
    <w:p w14:paraId="567A2103">
      <w:pPr>
        <w:tabs>
          <w:tab w:val="left" w:pos="672"/>
          <w:tab w:val="left" w:pos="1036"/>
          <w:tab w:val="left" w:pos="2160"/>
          <w:tab w:val="left" w:pos="7020"/>
          <w:tab w:val="right" w:pos="8460"/>
        </w:tabs>
        <w:adjustRightInd w:val="0"/>
        <w:snapToGrid w:val="0"/>
        <w:spacing w:line="288" w:lineRule="auto"/>
        <w:ind w:firstLine="567" w:firstLineChars="315"/>
        <w:rPr>
          <w:rFonts w:ascii="宋体" w:hAnsi="宋体"/>
          <w:sz w:val="20"/>
          <w:szCs w:val="20"/>
        </w:rPr>
      </w:pPr>
      <w:r>
        <w:rPr>
          <w:i/>
          <w:sz w:val="18"/>
          <w:szCs w:val="18"/>
        </w:rPr>
        <w:t>G</w:t>
      </w:r>
      <w:r>
        <w:rPr>
          <w:rFonts w:hint="eastAsia"/>
          <w:i/>
          <w:sz w:val="18"/>
          <w:szCs w:val="18"/>
        </w:rPr>
        <w:t xml:space="preserve"> </w:t>
      </w:r>
      <w:r>
        <w:rPr>
          <w:iCs/>
        </w:rPr>
        <w:t>——</w:t>
      </w:r>
      <w:r>
        <w:rPr>
          <w:rFonts w:hint="eastAsia" w:ascii="宋体" w:hAnsi="宋体"/>
          <w:sz w:val="20"/>
          <w:szCs w:val="20"/>
        </w:rPr>
        <w:t>双排桩、桩顶连梁和桩间土的自重之和（</w:t>
      </w:r>
      <w:r>
        <w:rPr>
          <w:rFonts w:hint="eastAsia"/>
          <w:sz w:val="20"/>
          <w:szCs w:val="20"/>
        </w:rPr>
        <w:t>kN</w:t>
      </w:r>
      <w:r>
        <w:rPr>
          <w:rFonts w:hint="eastAsia" w:ascii="宋体" w:hAnsi="宋体"/>
          <w:sz w:val="20"/>
          <w:szCs w:val="20"/>
        </w:rPr>
        <w:t>）；</w:t>
      </w:r>
    </w:p>
    <w:p w14:paraId="365E3238">
      <w:pPr>
        <w:tabs>
          <w:tab w:val="left" w:pos="672"/>
          <w:tab w:val="left" w:pos="1036"/>
          <w:tab w:val="left" w:pos="2160"/>
          <w:tab w:val="left" w:pos="7020"/>
          <w:tab w:val="right" w:pos="8460"/>
        </w:tabs>
        <w:adjustRightInd w:val="0"/>
        <w:snapToGrid w:val="0"/>
        <w:spacing w:line="288" w:lineRule="auto"/>
        <w:ind w:left="1146" w:leftChars="260" w:hanging="600" w:hangingChars="286"/>
        <w:rPr>
          <w:rFonts w:ascii="宋体" w:hAnsi="宋体"/>
          <w:sz w:val="20"/>
          <w:szCs w:val="20"/>
        </w:rPr>
      </w:pPr>
      <w:r>
        <w:rPr>
          <w:i/>
        </w:rPr>
        <w:t>z</w:t>
      </w:r>
      <w:r>
        <w:rPr>
          <w:sz w:val="15"/>
          <w:szCs w:val="15"/>
          <w:vertAlign w:val="subscript"/>
        </w:rPr>
        <w:t>G</w:t>
      </w:r>
      <w:r>
        <w:rPr>
          <w:rFonts w:hint="eastAsia"/>
          <w:sz w:val="15"/>
          <w:szCs w:val="15"/>
          <w:vertAlign w:val="subscript"/>
        </w:rPr>
        <w:t xml:space="preserve"> </w:t>
      </w:r>
      <w:r>
        <w:rPr>
          <w:iCs/>
        </w:rPr>
        <w:t>——</w:t>
      </w:r>
      <w:r>
        <w:rPr>
          <w:rFonts w:hint="eastAsia" w:ascii="宋体" w:hAnsi="宋体"/>
          <w:sz w:val="20"/>
          <w:szCs w:val="20"/>
        </w:rPr>
        <w:t>双排桩、桩顶连梁和桩间土的合力重心至前排桩边缘的水平距离（</w:t>
      </w:r>
      <w:r>
        <w:rPr>
          <w:rFonts w:hint="eastAsia"/>
          <w:sz w:val="20"/>
          <w:szCs w:val="20"/>
        </w:rPr>
        <w:t>m</w:t>
      </w:r>
      <w:r>
        <w:rPr>
          <w:rFonts w:hint="eastAsia" w:ascii="宋体" w:hAnsi="宋体"/>
          <w:sz w:val="20"/>
          <w:szCs w:val="20"/>
        </w:rPr>
        <w:t>）。</w:t>
      </w:r>
    </w:p>
    <w:p w14:paraId="124D7838">
      <w:pPr>
        <w:adjustRightInd w:val="0"/>
        <w:snapToGrid w:val="0"/>
        <w:spacing w:line="288" w:lineRule="auto"/>
        <w:jc w:val="center"/>
        <w:rPr>
          <w:rFonts w:ascii="宋体" w:hAnsi="宋体"/>
          <w:sz w:val="20"/>
          <w:szCs w:val="20"/>
        </w:rPr>
      </w:pPr>
      <w:r>
        <w:rPr>
          <w:rFonts w:ascii="宋体" w:hAnsi="宋体"/>
          <w:sz w:val="20"/>
          <w:szCs w:val="20"/>
        </w:rPr>
        <w:object>
          <v:shape id="_x0000_i1095" o:spt="75" type="#_x0000_t75" style="height:182.6pt;width:220.05pt;" o:ole="t" filled="f" o:preferrelative="t" stroked="f" coordsize="21600,21600">
            <v:path/>
            <v:fill on="f" focussize="0,0"/>
            <v:stroke on="f" joinstyle="miter"/>
            <v:imagedata r:id="rId156" cropleft="16221f" croptop="2836f" cropright="20033f" cropbottom="4122f" o:title=""/>
            <o:lock v:ext="edit" aspectratio="t"/>
            <w10:wrap type="none"/>
            <w10:anchorlock/>
          </v:shape>
          <o:OLEObject Type="Embed" ProgID="AutoCAD.Drawing.16" ShapeID="_x0000_i1095" DrawAspect="Content" ObjectID="_1468075797" r:id="rId155">
            <o:LockedField>false</o:LockedField>
          </o:OLEObject>
        </w:object>
      </w:r>
    </w:p>
    <w:p w14:paraId="61A426A9">
      <w:pPr>
        <w:adjustRightInd w:val="0"/>
        <w:snapToGrid w:val="0"/>
        <w:spacing w:before="156" w:beforeLines="50" w:line="288" w:lineRule="auto"/>
        <w:jc w:val="center"/>
        <w:rPr>
          <w:rFonts w:ascii="宋体" w:hAnsi="宋体"/>
          <w:b/>
          <w:sz w:val="18"/>
          <w:szCs w:val="18"/>
        </w:rPr>
      </w:pPr>
      <w:r>
        <w:rPr>
          <w:rFonts w:ascii="宋体" w:hAnsi="宋体"/>
          <w:b/>
          <w:sz w:val="18"/>
          <w:szCs w:val="18"/>
        </w:rPr>
        <w:t>图7.4.3 双排桩抗倾覆稳定性验算</w:t>
      </w:r>
    </w:p>
    <w:p w14:paraId="5DD35268">
      <w:pPr>
        <w:adjustRightInd w:val="0"/>
        <w:snapToGrid w:val="0"/>
        <w:spacing w:after="156" w:afterLines="50" w:line="288" w:lineRule="auto"/>
        <w:jc w:val="center"/>
        <w:rPr>
          <w:rFonts w:ascii="宋体" w:hAnsi="宋体"/>
          <w:sz w:val="15"/>
          <w:szCs w:val="15"/>
        </w:rPr>
      </w:pPr>
      <w:r>
        <w:rPr>
          <w:rFonts w:hint="eastAsia"/>
          <w:bCs/>
          <w:sz w:val="15"/>
          <w:szCs w:val="15"/>
        </w:rPr>
        <w:t>1</w:t>
      </w:r>
      <w:r>
        <w:rPr>
          <w:rFonts w:hint="eastAsia" w:ascii="宋体" w:hAnsi="宋体"/>
          <w:sz w:val="15"/>
          <w:szCs w:val="15"/>
        </w:rPr>
        <w:t>－前排桩；</w:t>
      </w:r>
      <w:r>
        <w:rPr>
          <w:rFonts w:hint="eastAsia"/>
          <w:bCs/>
          <w:sz w:val="15"/>
          <w:szCs w:val="15"/>
        </w:rPr>
        <w:t>2</w:t>
      </w:r>
      <w:r>
        <w:rPr>
          <w:rFonts w:hint="eastAsia" w:ascii="宋体" w:hAnsi="宋体"/>
          <w:sz w:val="15"/>
          <w:szCs w:val="15"/>
        </w:rPr>
        <w:t>－后排桩；</w:t>
      </w:r>
      <w:r>
        <w:rPr>
          <w:rFonts w:hint="eastAsia"/>
          <w:bCs/>
          <w:sz w:val="15"/>
          <w:szCs w:val="15"/>
        </w:rPr>
        <w:t>3</w:t>
      </w:r>
      <w:r>
        <w:rPr>
          <w:rFonts w:hint="eastAsia" w:ascii="宋体" w:hAnsi="宋体"/>
          <w:sz w:val="15"/>
          <w:szCs w:val="15"/>
        </w:rPr>
        <w:t>－刚架梁</w:t>
      </w:r>
    </w:p>
    <w:p w14:paraId="59ED64C3">
      <w:pPr>
        <w:adjustRightInd w:val="0"/>
        <w:snapToGrid w:val="0"/>
        <w:spacing w:line="288" w:lineRule="auto"/>
        <w:rPr>
          <w:rFonts w:ascii="宋体" w:hAnsi="宋体"/>
          <w:sz w:val="20"/>
          <w:szCs w:val="20"/>
        </w:rPr>
      </w:pPr>
      <w:r>
        <w:rPr>
          <w:b/>
          <w:kern w:val="0"/>
          <w:sz w:val="20"/>
          <w:szCs w:val="20"/>
        </w:rPr>
        <w:t>7.4.4</w:t>
      </w:r>
      <w:r>
        <w:rPr>
          <w:rFonts w:hint="eastAsia" w:ascii="宋体" w:hAnsi="宋体"/>
          <w:sz w:val="20"/>
          <w:szCs w:val="20"/>
        </w:rPr>
        <w:t xml:space="preserve">  双排桩排距宜取</w:t>
      </w:r>
      <w:r>
        <w:rPr>
          <w:rFonts w:hint="eastAsia"/>
          <w:sz w:val="20"/>
          <w:szCs w:val="20"/>
        </w:rPr>
        <w:t>2</w:t>
      </w:r>
      <w:r>
        <w:rPr>
          <w:rFonts w:hint="eastAsia"/>
          <w:i/>
          <w:sz w:val="20"/>
          <w:szCs w:val="20"/>
        </w:rPr>
        <w:t>d</w:t>
      </w:r>
      <w:r>
        <w:rPr>
          <w:rFonts w:hint="eastAsia" w:ascii="宋体" w:hAnsi="宋体"/>
          <w:sz w:val="20"/>
          <w:szCs w:val="20"/>
        </w:rPr>
        <w:t>～</w:t>
      </w:r>
      <w:r>
        <w:rPr>
          <w:rFonts w:hint="eastAsia"/>
          <w:sz w:val="20"/>
          <w:szCs w:val="20"/>
        </w:rPr>
        <w:t>5</w:t>
      </w:r>
      <w:r>
        <w:rPr>
          <w:rFonts w:hint="eastAsia"/>
          <w:i/>
          <w:sz w:val="20"/>
          <w:szCs w:val="20"/>
        </w:rPr>
        <w:t>d</w:t>
      </w:r>
      <w:r>
        <w:rPr>
          <w:rFonts w:hint="eastAsia" w:ascii="宋体" w:hAnsi="宋体"/>
          <w:sz w:val="20"/>
          <w:szCs w:val="20"/>
        </w:rPr>
        <w:t>。刚架梁的宽度不应小于</w:t>
      </w:r>
      <w:r>
        <w:rPr>
          <w:rFonts w:hint="eastAsia"/>
          <w:i/>
          <w:sz w:val="20"/>
          <w:szCs w:val="20"/>
        </w:rPr>
        <w:t>d</w:t>
      </w:r>
      <w:r>
        <w:rPr>
          <w:rFonts w:hint="eastAsia" w:ascii="宋体" w:hAnsi="宋体"/>
          <w:sz w:val="20"/>
          <w:szCs w:val="20"/>
        </w:rPr>
        <w:t>，高度不宜小于</w:t>
      </w:r>
      <w:r>
        <w:rPr>
          <w:rFonts w:hint="eastAsia"/>
          <w:sz w:val="20"/>
          <w:szCs w:val="20"/>
        </w:rPr>
        <w:t>0.8</w:t>
      </w:r>
      <w:r>
        <w:rPr>
          <w:rFonts w:hint="eastAsia"/>
          <w:i/>
          <w:sz w:val="20"/>
          <w:szCs w:val="20"/>
        </w:rPr>
        <w:t>d</w:t>
      </w:r>
      <w:r>
        <w:rPr>
          <w:rFonts w:hint="eastAsia" w:ascii="宋体" w:hAnsi="宋体"/>
          <w:sz w:val="20"/>
          <w:szCs w:val="20"/>
        </w:rPr>
        <w:t>，刚架梁高度与双排桩排距的比值宜取</w:t>
      </w:r>
      <w:r>
        <w:rPr>
          <w:rFonts w:hint="eastAsia"/>
          <w:sz w:val="20"/>
          <w:szCs w:val="20"/>
        </w:rPr>
        <w:t>1/6</w:t>
      </w:r>
      <w:r>
        <w:rPr>
          <w:rFonts w:hint="eastAsia" w:ascii="宋体" w:hAnsi="宋体"/>
          <w:sz w:val="20"/>
          <w:szCs w:val="20"/>
        </w:rPr>
        <w:t>～</w:t>
      </w:r>
      <w:r>
        <w:rPr>
          <w:rFonts w:hint="eastAsia"/>
          <w:sz w:val="20"/>
          <w:szCs w:val="20"/>
        </w:rPr>
        <w:t>1/3</w:t>
      </w:r>
      <w:r>
        <w:rPr>
          <w:rFonts w:hint="eastAsia" w:ascii="宋体" w:hAnsi="宋体"/>
          <w:sz w:val="20"/>
          <w:szCs w:val="20"/>
        </w:rPr>
        <w:t>。</w:t>
      </w:r>
    </w:p>
    <w:p w14:paraId="665A4C58">
      <w:pPr>
        <w:adjustRightInd w:val="0"/>
        <w:snapToGrid w:val="0"/>
        <w:spacing w:line="288" w:lineRule="auto"/>
        <w:rPr>
          <w:rFonts w:ascii="宋体" w:hAnsi="宋体"/>
          <w:sz w:val="20"/>
          <w:szCs w:val="20"/>
        </w:rPr>
      </w:pPr>
      <w:r>
        <w:rPr>
          <w:b/>
          <w:kern w:val="0"/>
          <w:sz w:val="20"/>
          <w:szCs w:val="20"/>
        </w:rPr>
        <w:t>7.4.5</w:t>
      </w:r>
      <w:r>
        <w:rPr>
          <w:b/>
          <w:sz w:val="20"/>
          <w:szCs w:val="20"/>
        </w:rPr>
        <w:t xml:space="preserve">  </w:t>
      </w:r>
      <w:r>
        <w:rPr>
          <w:rFonts w:hint="eastAsia" w:ascii="宋体" w:hAnsi="宋体"/>
          <w:sz w:val="20"/>
          <w:szCs w:val="20"/>
        </w:rPr>
        <w:t>双排桩结构的嵌固深度，对淤泥质土，不宜小于</w:t>
      </w:r>
      <w:r>
        <w:rPr>
          <w:rFonts w:hint="eastAsia"/>
          <w:sz w:val="20"/>
          <w:szCs w:val="20"/>
        </w:rPr>
        <w:t>1.0</w:t>
      </w:r>
      <w:r>
        <w:rPr>
          <w:rFonts w:hint="eastAsia"/>
          <w:i/>
          <w:sz w:val="20"/>
          <w:szCs w:val="20"/>
        </w:rPr>
        <w:t>h</w:t>
      </w:r>
      <w:r>
        <w:rPr>
          <w:rFonts w:hint="eastAsia" w:ascii="宋体" w:hAnsi="宋体"/>
          <w:sz w:val="20"/>
          <w:szCs w:val="20"/>
        </w:rPr>
        <w:t>；对淤泥，不宜小于</w:t>
      </w:r>
      <w:r>
        <w:rPr>
          <w:rFonts w:hint="eastAsia"/>
          <w:sz w:val="20"/>
          <w:szCs w:val="20"/>
        </w:rPr>
        <w:t>1.2</w:t>
      </w:r>
      <w:r>
        <w:rPr>
          <w:rFonts w:hint="eastAsia"/>
          <w:i/>
          <w:sz w:val="20"/>
          <w:szCs w:val="20"/>
        </w:rPr>
        <w:t>h</w:t>
      </w:r>
      <w:r>
        <w:rPr>
          <w:rFonts w:hint="eastAsia" w:ascii="宋体" w:hAnsi="宋体"/>
          <w:sz w:val="20"/>
          <w:szCs w:val="20"/>
        </w:rPr>
        <w:t>；对一般黏性土、砂土，不宜小于</w:t>
      </w:r>
      <w:r>
        <w:rPr>
          <w:rFonts w:hint="eastAsia"/>
          <w:sz w:val="20"/>
          <w:szCs w:val="20"/>
        </w:rPr>
        <w:t>0.6</w:t>
      </w:r>
      <w:r>
        <w:rPr>
          <w:rFonts w:hint="eastAsia"/>
          <w:i/>
          <w:sz w:val="20"/>
          <w:szCs w:val="20"/>
        </w:rPr>
        <w:t>h</w:t>
      </w:r>
      <w:r>
        <w:rPr>
          <w:rFonts w:hint="eastAsia" w:ascii="宋体" w:hAnsi="宋体"/>
          <w:sz w:val="20"/>
          <w:szCs w:val="20"/>
        </w:rPr>
        <w:t>。前排桩桩端宜处于桩端阻力较高的土层。采用泥浆护壁灌注桩时，施工时的孔底沉渣厚度不应大于</w:t>
      </w:r>
      <w:r>
        <w:rPr>
          <w:rFonts w:hint="eastAsia"/>
          <w:sz w:val="20"/>
          <w:szCs w:val="20"/>
        </w:rPr>
        <w:t>50mm</w:t>
      </w:r>
      <w:r>
        <w:rPr>
          <w:rFonts w:hint="eastAsia" w:ascii="宋体" w:hAnsi="宋体"/>
          <w:sz w:val="20"/>
          <w:szCs w:val="20"/>
        </w:rPr>
        <w:t>，或应采用桩底后注浆加固。</w:t>
      </w:r>
    </w:p>
    <w:p w14:paraId="41B45690">
      <w:pPr>
        <w:adjustRightInd w:val="0"/>
        <w:snapToGrid w:val="0"/>
        <w:spacing w:line="288" w:lineRule="auto"/>
        <w:rPr>
          <w:rFonts w:ascii="宋体" w:hAnsi="宋体"/>
          <w:sz w:val="20"/>
          <w:szCs w:val="20"/>
        </w:rPr>
      </w:pPr>
      <w:r>
        <w:rPr>
          <w:b/>
          <w:kern w:val="0"/>
          <w:sz w:val="20"/>
          <w:szCs w:val="20"/>
        </w:rPr>
        <w:t>7.4.6</w:t>
      </w:r>
      <w:r>
        <w:rPr>
          <w:rFonts w:hint="eastAsia" w:ascii="宋体" w:hAnsi="宋体"/>
          <w:sz w:val="20"/>
          <w:szCs w:val="20"/>
        </w:rPr>
        <w:t xml:space="preserve">  双排桩应按偏心受压、偏心受拉构件进行截面承载力计算，刚架梁应根据其跨高比按普通受弯构件或深受弯构件进行截面承载力计算。双排桩结构的截面承载力和构造应符合现行国家标准《混凝土结构设计规范》</w:t>
      </w:r>
      <w:r>
        <w:rPr>
          <w:rFonts w:hint="eastAsia"/>
          <w:sz w:val="20"/>
          <w:szCs w:val="20"/>
        </w:rPr>
        <w:t>GB 50010</w:t>
      </w:r>
      <w:r>
        <w:rPr>
          <w:rFonts w:hint="eastAsia" w:ascii="宋体" w:hAnsi="宋体"/>
          <w:sz w:val="20"/>
          <w:szCs w:val="20"/>
        </w:rPr>
        <w:t>的有关规定。</w:t>
      </w:r>
    </w:p>
    <w:p w14:paraId="7823D7FC">
      <w:pPr>
        <w:adjustRightInd w:val="0"/>
        <w:snapToGrid w:val="0"/>
        <w:spacing w:line="288" w:lineRule="auto"/>
        <w:rPr>
          <w:rFonts w:ascii="宋体" w:hAnsi="宋体"/>
          <w:sz w:val="20"/>
          <w:szCs w:val="20"/>
        </w:rPr>
      </w:pPr>
      <w:r>
        <w:rPr>
          <w:b/>
          <w:kern w:val="0"/>
          <w:sz w:val="20"/>
          <w:szCs w:val="20"/>
        </w:rPr>
        <w:t>7.4.7</w:t>
      </w:r>
      <w:r>
        <w:rPr>
          <w:rFonts w:hint="eastAsia" w:ascii="宋体" w:hAnsi="宋体"/>
          <w:sz w:val="20"/>
          <w:szCs w:val="20"/>
        </w:rPr>
        <w:t xml:space="preserve">  双排桩与刚架梁节点处，受拉钢筋的搭接长度不应小于受拉钢筋的锚固长度的</w:t>
      </w:r>
      <w:r>
        <w:rPr>
          <w:rFonts w:hint="eastAsia"/>
          <w:sz w:val="20"/>
          <w:szCs w:val="20"/>
        </w:rPr>
        <w:t>1.5</w:t>
      </w:r>
      <w:r>
        <w:rPr>
          <w:rFonts w:hint="eastAsia" w:ascii="宋体" w:hAnsi="宋体"/>
          <w:sz w:val="20"/>
          <w:szCs w:val="20"/>
        </w:rPr>
        <w:t>倍。其节点构造尚应符合现行国家标准《混凝土结构设计规范》</w:t>
      </w:r>
      <w:r>
        <w:rPr>
          <w:rFonts w:hint="eastAsia"/>
          <w:sz w:val="20"/>
          <w:szCs w:val="20"/>
        </w:rPr>
        <w:t>GB</w:t>
      </w:r>
      <w:r>
        <w:rPr>
          <w:sz w:val="20"/>
          <w:szCs w:val="20"/>
        </w:rPr>
        <w:t xml:space="preserve"> </w:t>
      </w:r>
      <w:r>
        <w:rPr>
          <w:rFonts w:hint="eastAsia"/>
          <w:sz w:val="20"/>
          <w:szCs w:val="20"/>
        </w:rPr>
        <w:t>50010</w:t>
      </w:r>
      <w:r>
        <w:rPr>
          <w:rFonts w:hint="eastAsia" w:ascii="宋体" w:hAnsi="宋体"/>
          <w:sz w:val="20"/>
          <w:szCs w:val="20"/>
        </w:rPr>
        <w:t>对框架顶层端节点的有关规定。</w:t>
      </w:r>
      <w:bookmarkStart w:id="65" w:name="_Toc428777568"/>
      <w:bookmarkStart w:id="66" w:name="_Toc468104709"/>
      <w:bookmarkStart w:id="67" w:name="_Toc413756029"/>
      <w:bookmarkStart w:id="68" w:name="_Toc413157299"/>
    </w:p>
    <w:p w14:paraId="55D7CA26">
      <w:pPr>
        <w:pStyle w:val="7"/>
        <w:keepNext w:val="0"/>
        <w:keepLines w:val="0"/>
        <w:adjustRightInd w:val="0"/>
        <w:snapToGrid w:val="0"/>
        <w:spacing w:before="312" w:beforeLines="100" w:after="312" w:afterLines="100" w:line="288" w:lineRule="auto"/>
        <w:jc w:val="center"/>
        <w:rPr>
          <w:rFonts w:ascii="宋体" w:hAnsi="宋体"/>
          <w:b w:val="0"/>
          <w:sz w:val="20"/>
          <w:szCs w:val="20"/>
        </w:rPr>
      </w:pPr>
      <w:bookmarkStart w:id="69" w:name="_Toc139613729"/>
      <w:r>
        <w:rPr>
          <w:bCs w:val="0"/>
          <w:sz w:val="20"/>
          <w:szCs w:val="20"/>
        </w:rPr>
        <w:t>7</w:t>
      </w:r>
      <w:r>
        <w:rPr>
          <w:rFonts w:hint="eastAsia"/>
          <w:bCs w:val="0"/>
          <w:sz w:val="20"/>
          <w:szCs w:val="20"/>
        </w:rPr>
        <w:t>.5</w:t>
      </w:r>
      <w:r>
        <w:rPr>
          <w:bCs w:val="0"/>
          <w:sz w:val="20"/>
          <w:szCs w:val="20"/>
        </w:rPr>
        <w:t xml:space="preserve">  </w:t>
      </w:r>
      <w:r>
        <w:rPr>
          <w:rFonts w:hint="eastAsia" w:ascii="黑体" w:hAnsi="黑体" w:eastAsia="黑体"/>
          <w:b w:val="0"/>
          <w:sz w:val="20"/>
          <w:szCs w:val="20"/>
        </w:rPr>
        <w:t>截面承载力计算</w:t>
      </w:r>
      <w:bookmarkEnd w:id="65"/>
      <w:bookmarkEnd w:id="66"/>
      <w:bookmarkEnd w:id="67"/>
      <w:bookmarkEnd w:id="68"/>
      <w:bookmarkEnd w:id="69"/>
    </w:p>
    <w:p w14:paraId="758D6E73">
      <w:pPr>
        <w:adjustRightInd w:val="0"/>
        <w:snapToGrid w:val="0"/>
        <w:spacing w:line="288" w:lineRule="auto"/>
        <w:rPr>
          <w:rFonts w:ascii="宋体" w:hAnsi="宋体"/>
          <w:sz w:val="20"/>
          <w:szCs w:val="20"/>
        </w:rPr>
      </w:pPr>
      <w:r>
        <w:rPr>
          <w:b/>
          <w:kern w:val="0"/>
          <w:sz w:val="20"/>
          <w:szCs w:val="20"/>
        </w:rPr>
        <w:t>7.5.1</w:t>
      </w:r>
      <w:r>
        <w:rPr>
          <w:rFonts w:hint="eastAsia" w:ascii="宋体" w:hAnsi="宋体"/>
          <w:sz w:val="20"/>
          <w:szCs w:val="20"/>
        </w:rPr>
        <w:t xml:space="preserve">  进行支挡式结构的截面设计时，截面弯矩设计值</w:t>
      </w:r>
      <w:r>
        <w:rPr>
          <w:i/>
          <w:iCs/>
          <w:sz w:val="20"/>
          <w:szCs w:val="20"/>
        </w:rPr>
        <w:t>M</w:t>
      </w:r>
      <w:r>
        <w:rPr>
          <w:rFonts w:hint="eastAsia" w:ascii="宋体" w:hAnsi="宋体"/>
          <w:sz w:val="20"/>
          <w:szCs w:val="20"/>
        </w:rPr>
        <w:t>、剪力设计值</w:t>
      </w:r>
      <w:r>
        <w:rPr>
          <w:rFonts w:hint="eastAsia" w:ascii="宋体" w:hAnsi="宋体"/>
          <w:i/>
          <w:iCs/>
          <w:sz w:val="20"/>
          <w:szCs w:val="20"/>
        </w:rPr>
        <w:t>V</w:t>
      </w:r>
      <w:r>
        <w:rPr>
          <w:rFonts w:hint="eastAsia" w:ascii="宋体" w:hAnsi="宋体"/>
          <w:iCs/>
          <w:sz w:val="20"/>
          <w:szCs w:val="20"/>
        </w:rPr>
        <w:t>、轴力设计值</w:t>
      </w:r>
      <w:r>
        <w:rPr>
          <w:rFonts w:hint="eastAsia" w:ascii="宋体" w:hAnsi="宋体"/>
          <w:i/>
          <w:iCs/>
          <w:sz w:val="20"/>
          <w:szCs w:val="20"/>
        </w:rPr>
        <w:t>N</w:t>
      </w:r>
      <w:r>
        <w:rPr>
          <w:rFonts w:hint="eastAsia" w:ascii="宋体" w:hAnsi="宋体"/>
          <w:sz w:val="20"/>
          <w:szCs w:val="20"/>
        </w:rPr>
        <w:t>应按下列公式计算：</w:t>
      </w:r>
    </w:p>
    <w:p w14:paraId="75C6CCA9">
      <w:pPr>
        <w:adjustRightInd w:val="0"/>
        <w:snapToGrid w:val="0"/>
        <w:spacing w:line="288" w:lineRule="auto"/>
        <w:ind w:firstLine="3400" w:firstLineChars="1700"/>
        <w:rPr>
          <w:rFonts w:ascii="宋体" w:hAnsi="宋体"/>
          <w:sz w:val="20"/>
          <w:szCs w:val="20"/>
        </w:rPr>
      </w:pPr>
      <w:r>
        <w:rPr>
          <w:i/>
          <w:iCs/>
          <w:sz w:val="20"/>
          <w:szCs w:val="20"/>
        </w:rPr>
        <w:t>M</w:t>
      </w:r>
      <w:r>
        <w:rPr>
          <w:sz w:val="20"/>
          <w:szCs w:val="20"/>
        </w:rPr>
        <w:t>=</w:t>
      </w:r>
      <w:r>
        <w:rPr>
          <w:i/>
          <w:sz w:val="24"/>
          <w:szCs w:val="24"/>
        </w:rPr>
        <w:t>γ</w:t>
      </w:r>
      <w:r>
        <w:rPr>
          <w:sz w:val="16"/>
          <w:szCs w:val="16"/>
          <w:vertAlign w:val="subscript"/>
        </w:rPr>
        <w:t>F</w:t>
      </w:r>
      <w:r>
        <w:rPr>
          <w:rFonts w:hint="eastAsia"/>
          <w:sz w:val="16"/>
          <w:szCs w:val="16"/>
          <w:vertAlign w:val="subscript"/>
        </w:rPr>
        <w:t xml:space="preserve"> </w:t>
      </w:r>
      <w:r>
        <w:rPr>
          <w:i/>
          <w:sz w:val="24"/>
          <w:szCs w:val="24"/>
        </w:rPr>
        <w:t>γ</w:t>
      </w:r>
      <w:r>
        <w:rPr>
          <w:sz w:val="16"/>
          <w:szCs w:val="16"/>
          <w:vertAlign w:val="subscript"/>
        </w:rPr>
        <w:t>0</w:t>
      </w:r>
      <w:r>
        <w:rPr>
          <w:rFonts w:hint="eastAsia"/>
          <w:sz w:val="16"/>
          <w:szCs w:val="16"/>
          <w:vertAlign w:val="subscript"/>
        </w:rPr>
        <w:t xml:space="preserve"> </w:t>
      </w:r>
      <w:r>
        <w:rPr>
          <w:i/>
          <w:sz w:val="20"/>
          <w:szCs w:val="20"/>
        </w:rPr>
        <w:t>η</w:t>
      </w:r>
      <w:r>
        <w:rPr>
          <w:i/>
          <w:iCs/>
          <w:sz w:val="20"/>
          <w:szCs w:val="20"/>
        </w:rPr>
        <w:t>M</w:t>
      </w:r>
      <w:r>
        <w:rPr>
          <w:sz w:val="16"/>
          <w:szCs w:val="16"/>
          <w:vertAlign w:val="subscript"/>
        </w:rPr>
        <w:t>k</w:t>
      </w:r>
      <w:r>
        <w:rPr>
          <w:sz w:val="20"/>
          <w:szCs w:val="20"/>
          <w:vertAlign w:val="subscript"/>
        </w:rPr>
        <w:tab/>
      </w:r>
      <w:r>
        <w:rPr>
          <w:rFonts w:ascii="宋体" w:hAnsi="宋体"/>
          <w:sz w:val="20"/>
          <w:szCs w:val="20"/>
          <w:vertAlign w:val="subscript"/>
        </w:rPr>
        <w:tab/>
      </w:r>
      <w:r>
        <w:rPr>
          <w:rFonts w:ascii="宋体" w:hAnsi="宋体"/>
          <w:sz w:val="20"/>
          <w:szCs w:val="20"/>
          <w:vertAlign w:val="subscript"/>
        </w:rPr>
        <w:tab/>
      </w:r>
      <w:r>
        <w:rPr>
          <w:rFonts w:ascii="宋体" w:hAnsi="宋体"/>
          <w:sz w:val="20"/>
          <w:szCs w:val="20"/>
          <w:vertAlign w:val="subscript"/>
        </w:rPr>
        <w:t xml:space="preserve">  </w:t>
      </w:r>
      <w:r>
        <w:rPr>
          <w:rFonts w:hint="eastAsia" w:ascii="宋体" w:hAnsi="宋体"/>
          <w:sz w:val="20"/>
          <w:szCs w:val="20"/>
          <w:vertAlign w:val="subscript"/>
        </w:rPr>
        <w:t xml:space="preserve">       </w:t>
      </w:r>
      <w:r>
        <w:rPr>
          <w:rFonts w:hint="eastAsia" w:ascii="宋体" w:hAnsi="宋体"/>
          <w:sz w:val="20"/>
          <w:szCs w:val="20"/>
        </w:rPr>
        <w:t>（</w:t>
      </w:r>
      <w:r>
        <w:rPr>
          <w:sz w:val="20"/>
          <w:szCs w:val="20"/>
        </w:rPr>
        <w:t>7.5.</w:t>
      </w:r>
      <w:r>
        <w:rPr>
          <w:rFonts w:hint="eastAsia"/>
          <w:sz w:val="20"/>
          <w:szCs w:val="20"/>
        </w:rPr>
        <w:t>1-1</w:t>
      </w:r>
      <w:r>
        <w:rPr>
          <w:rFonts w:hint="eastAsia" w:ascii="宋体" w:hAnsi="宋体"/>
          <w:sz w:val="20"/>
          <w:szCs w:val="20"/>
        </w:rPr>
        <w:t>）</w:t>
      </w:r>
    </w:p>
    <w:p w14:paraId="30A50A05">
      <w:pPr>
        <w:adjustRightInd w:val="0"/>
        <w:snapToGrid w:val="0"/>
        <w:spacing w:line="288" w:lineRule="auto"/>
        <w:ind w:firstLine="400" w:firstLineChars="200"/>
        <w:jc w:val="center"/>
        <w:rPr>
          <w:rFonts w:ascii="宋体" w:hAnsi="宋体"/>
          <w:sz w:val="20"/>
          <w:szCs w:val="20"/>
        </w:rPr>
      </w:pPr>
      <w:r>
        <w:rPr>
          <w:i/>
          <w:iCs/>
          <w:sz w:val="20"/>
          <w:szCs w:val="20"/>
        </w:rPr>
        <w:t>V</w:t>
      </w:r>
      <w:r>
        <w:rPr>
          <w:sz w:val="20"/>
          <w:szCs w:val="20"/>
        </w:rPr>
        <w:t>=</w:t>
      </w:r>
      <w:r>
        <w:rPr>
          <w:i/>
          <w:sz w:val="24"/>
          <w:szCs w:val="24"/>
        </w:rPr>
        <w:t>γ</w:t>
      </w:r>
      <w:r>
        <w:rPr>
          <w:sz w:val="16"/>
          <w:szCs w:val="16"/>
          <w:vertAlign w:val="subscript"/>
        </w:rPr>
        <w:t>F</w:t>
      </w:r>
      <w:r>
        <w:rPr>
          <w:rFonts w:hint="eastAsia"/>
          <w:sz w:val="16"/>
          <w:szCs w:val="16"/>
          <w:vertAlign w:val="subscript"/>
        </w:rPr>
        <w:t xml:space="preserve"> </w:t>
      </w:r>
      <w:r>
        <w:rPr>
          <w:i/>
          <w:sz w:val="24"/>
          <w:szCs w:val="24"/>
        </w:rPr>
        <w:t>γ</w:t>
      </w:r>
      <w:r>
        <w:rPr>
          <w:sz w:val="16"/>
          <w:szCs w:val="16"/>
          <w:vertAlign w:val="subscript"/>
        </w:rPr>
        <w:t>0</w:t>
      </w:r>
      <w:r>
        <w:rPr>
          <w:i/>
          <w:iCs/>
          <w:sz w:val="20"/>
          <w:szCs w:val="20"/>
        </w:rPr>
        <w:t>V</w:t>
      </w:r>
      <w:r>
        <w:rPr>
          <w:sz w:val="16"/>
          <w:szCs w:val="16"/>
          <w:vertAlign w:val="subscript"/>
        </w:rPr>
        <w:t>k</w:t>
      </w:r>
      <w:r>
        <w:rPr>
          <w:rFonts w:hint="eastAsia" w:ascii="宋体" w:hAnsi="宋体"/>
          <w:sz w:val="20"/>
          <w:szCs w:val="20"/>
        </w:rPr>
        <w:t xml:space="preserve">    </w: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7.5.</w:t>
      </w:r>
      <w:r>
        <w:rPr>
          <w:rFonts w:hint="eastAsia"/>
          <w:sz w:val="20"/>
          <w:szCs w:val="20"/>
        </w:rPr>
        <w:t>1-2</w:t>
      </w:r>
      <w:r>
        <w:rPr>
          <w:rFonts w:hint="eastAsia" w:ascii="宋体" w:hAnsi="宋体"/>
          <w:sz w:val="20"/>
          <w:szCs w:val="20"/>
        </w:rPr>
        <w:t>）</w:t>
      </w:r>
    </w:p>
    <w:p w14:paraId="123416E0">
      <w:pPr>
        <w:adjustRightInd w:val="0"/>
        <w:snapToGrid w:val="0"/>
        <w:spacing w:line="288" w:lineRule="auto"/>
        <w:ind w:firstLine="400" w:firstLineChars="200"/>
        <w:jc w:val="center"/>
        <w:rPr>
          <w:rFonts w:ascii="宋体" w:hAnsi="宋体"/>
          <w:sz w:val="20"/>
          <w:szCs w:val="20"/>
        </w:rPr>
      </w:pPr>
      <w:r>
        <w:rPr>
          <w:i/>
          <w:iCs/>
          <w:sz w:val="20"/>
          <w:szCs w:val="20"/>
        </w:rPr>
        <w:t>N</w:t>
      </w:r>
      <w:r>
        <w:rPr>
          <w:sz w:val="20"/>
          <w:szCs w:val="20"/>
        </w:rPr>
        <w:t>=</w:t>
      </w:r>
      <w:r>
        <w:rPr>
          <w:i/>
          <w:sz w:val="24"/>
          <w:szCs w:val="24"/>
        </w:rPr>
        <w:t>γ</w:t>
      </w:r>
      <w:r>
        <w:rPr>
          <w:sz w:val="16"/>
          <w:szCs w:val="16"/>
          <w:vertAlign w:val="subscript"/>
        </w:rPr>
        <w:t>F</w:t>
      </w:r>
      <w:r>
        <w:rPr>
          <w:rFonts w:hint="eastAsia"/>
          <w:sz w:val="16"/>
          <w:szCs w:val="16"/>
          <w:vertAlign w:val="subscript"/>
        </w:rPr>
        <w:t xml:space="preserve"> </w:t>
      </w:r>
      <w:r>
        <w:rPr>
          <w:i/>
          <w:sz w:val="24"/>
          <w:szCs w:val="24"/>
        </w:rPr>
        <w:t>γ</w:t>
      </w:r>
      <w:r>
        <w:rPr>
          <w:sz w:val="16"/>
          <w:szCs w:val="16"/>
          <w:vertAlign w:val="subscript"/>
        </w:rPr>
        <w:t>0</w:t>
      </w:r>
      <w:r>
        <w:rPr>
          <w:i/>
          <w:iCs/>
          <w:sz w:val="20"/>
          <w:szCs w:val="20"/>
        </w:rPr>
        <w:t>N</w:t>
      </w:r>
      <w:r>
        <w:rPr>
          <w:sz w:val="16"/>
          <w:szCs w:val="16"/>
          <w:vertAlign w:val="subscript"/>
        </w:rPr>
        <w:t>k</w:t>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7.5.</w:t>
      </w:r>
      <w:r>
        <w:rPr>
          <w:rFonts w:hint="eastAsia"/>
          <w:sz w:val="20"/>
          <w:szCs w:val="20"/>
        </w:rPr>
        <w:t>1-3</w:t>
      </w:r>
      <w:r>
        <w:rPr>
          <w:rFonts w:hint="eastAsia" w:ascii="宋体" w:hAnsi="宋体"/>
          <w:sz w:val="20"/>
          <w:szCs w:val="20"/>
        </w:rPr>
        <w:t>）</w:t>
      </w:r>
    </w:p>
    <w:p w14:paraId="2B4F17E6">
      <w:pPr>
        <w:adjustRightInd w:val="0"/>
        <w:snapToGrid w:val="0"/>
        <w:spacing w:line="288" w:lineRule="auto"/>
        <w:rPr>
          <w:rFonts w:ascii="宋体" w:hAnsi="宋体"/>
          <w:sz w:val="20"/>
          <w:szCs w:val="20"/>
        </w:rPr>
      </w:pPr>
      <w:r>
        <w:rPr>
          <w:rFonts w:hint="eastAsia" w:ascii="宋体" w:hAnsi="宋体"/>
          <w:sz w:val="20"/>
          <w:szCs w:val="20"/>
        </w:rPr>
        <w:t>式中：</w:t>
      </w:r>
      <w:r>
        <w:rPr>
          <w:i/>
          <w:sz w:val="24"/>
          <w:szCs w:val="24"/>
        </w:rPr>
        <w:t>γ</w:t>
      </w:r>
      <w:r>
        <w:rPr>
          <w:sz w:val="16"/>
          <w:szCs w:val="16"/>
          <w:vertAlign w:val="subscript"/>
        </w:rPr>
        <w:t>F</w:t>
      </w:r>
      <w:r>
        <w:rPr>
          <w:iCs/>
        </w:rPr>
        <w:t>——</w:t>
      </w:r>
      <w:r>
        <w:rPr>
          <w:rFonts w:hint="eastAsia" w:ascii="宋体" w:hAnsi="宋体"/>
          <w:sz w:val="20"/>
          <w:szCs w:val="20"/>
        </w:rPr>
        <w:t>综合分项系数，按本规程第</w:t>
      </w:r>
      <w:r>
        <w:rPr>
          <w:rFonts w:hint="eastAsia"/>
          <w:sz w:val="20"/>
          <w:szCs w:val="20"/>
        </w:rPr>
        <w:t>3.</w:t>
      </w:r>
      <w:r>
        <w:rPr>
          <w:sz w:val="20"/>
          <w:szCs w:val="20"/>
        </w:rPr>
        <w:t>3</w:t>
      </w:r>
      <w:r>
        <w:rPr>
          <w:rFonts w:hint="eastAsia"/>
          <w:sz w:val="20"/>
          <w:szCs w:val="20"/>
        </w:rPr>
        <w:t>.1</w:t>
      </w:r>
      <w:r>
        <w:rPr>
          <w:rFonts w:hint="eastAsia" w:ascii="宋体" w:hAnsi="宋体"/>
          <w:sz w:val="20"/>
          <w:szCs w:val="20"/>
        </w:rPr>
        <w:t>条确定；</w:t>
      </w:r>
    </w:p>
    <w:p w14:paraId="7E028739">
      <w:pPr>
        <w:adjustRightInd w:val="0"/>
        <w:snapToGrid w:val="0"/>
        <w:spacing w:line="288" w:lineRule="auto"/>
        <w:ind w:firstLine="600" w:firstLineChars="250"/>
        <w:rPr>
          <w:rFonts w:ascii="宋体" w:hAnsi="宋体"/>
          <w:sz w:val="20"/>
          <w:szCs w:val="20"/>
        </w:rPr>
      </w:pPr>
      <w:r>
        <w:rPr>
          <w:i/>
          <w:sz w:val="24"/>
          <w:szCs w:val="24"/>
        </w:rPr>
        <w:t>γ</w:t>
      </w:r>
      <w:r>
        <w:rPr>
          <w:sz w:val="16"/>
          <w:szCs w:val="16"/>
          <w:vertAlign w:val="subscript"/>
        </w:rPr>
        <w:t>0</w:t>
      </w:r>
      <w:r>
        <w:rPr>
          <w:iCs/>
        </w:rPr>
        <w:t>——</w:t>
      </w:r>
      <w:r>
        <w:rPr>
          <w:rFonts w:hint="eastAsia" w:ascii="宋体" w:hAnsi="宋体"/>
          <w:sz w:val="20"/>
          <w:szCs w:val="20"/>
        </w:rPr>
        <w:t>结构构件重要性系数，按本规程第</w:t>
      </w:r>
      <w:r>
        <w:rPr>
          <w:rFonts w:hint="eastAsia"/>
          <w:sz w:val="20"/>
          <w:szCs w:val="20"/>
        </w:rPr>
        <w:t>3.1.6</w:t>
      </w:r>
      <w:r>
        <w:rPr>
          <w:rFonts w:hint="eastAsia" w:ascii="宋体" w:hAnsi="宋体"/>
          <w:sz w:val="20"/>
          <w:szCs w:val="20"/>
        </w:rPr>
        <w:t>条确定；</w:t>
      </w:r>
    </w:p>
    <w:p w14:paraId="5EBC2B52">
      <w:pPr>
        <w:adjustRightInd w:val="0"/>
        <w:snapToGrid w:val="0"/>
        <w:spacing w:line="288" w:lineRule="auto"/>
        <w:ind w:left="1174" w:leftChars="299" w:hanging="546" w:hangingChars="273"/>
        <w:rPr>
          <w:rFonts w:ascii="宋体" w:hAnsi="宋体"/>
          <w:sz w:val="20"/>
          <w:szCs w:val="20"/>
          <w:vertAlign w:val="subscript"/>
        </w:rPr>
      </w:pPr>
      <w:r>
        <w:rPr>
          <w:i/>
          <w:sz w:val="20"/>
          <w:szCs w:val="20"/>
        </w:rPr>
        <w:t>η</w:t>
      </w:r>
      <w:r>
        <w:rPr>
          <w:iCs/>
        </w:rPr>
        <w:t>——</w:t>
      </w:r>
      <w:r>
        <w:rPr>
          <w:rFonts w:hint="eastAsia" w:ascii="宋体" w:hAnsi="宋体" w:cs="宋体"/>
          <w:sz w:val="20"/>
          <w:szCs w:val="20"/>
        </w:rPr>
        <w:t>支护桩</w:t>
      </w:r>
      <w:r>
        <w:rPr>
          <w:rFonts w:hint="eastAsia" w:ascii="宋体" w:hAnsi="宋体"/>
          <w:sz w:val="20"/>
          <w:szCs w:val="20"/>
        </w:rPr>
        <w:t>弯矩折减系数，当采用截水帷幕或悬臂式支挡结构时，</w:t>
      </w:r>
      <w:r>
        <w:rPr>
          <w:i/>
          <w:sz w:val="20"/>
          <w:szCs w:val="20"/>
        </w:rPr>
        <w:t>η</w:t>
      </w:r>
      <w:r>
        <w:rPr>
          <w:rFonts w:hint="eastAsia" w:ascii="宋体" w:hAnsi="宋体"/>
          <w:sz w:val="20"/>
          <w:szCs w:val="20"/>
        </w:rPr>
        <w:t>取值不应小于</w:t>
      </w:r>
      <w:r>
        <w:rPr>
          <w:rFonts w:hint="eastAsia"/>
          <w:sz w:val="20"/>
          <w:szCs w:val="20"/>
        </w:rPr>
        <w:t>0.9</w:t>
      </w:r>
      <w:r>
        <w:rPr>
          <w:rFonts w:hint="eastAsia" w:ascii="宋体" w:hAnsi="宋体"/>
          <w:sz w:val="20"/>
          <w:szCs w:val="20"/>
        </w:rPr>
        <w:t>，其它情况</w:t>
      </w:r>
      <w:r>
        <w:rPr>
          <w:i/>
          <w:sz w:val="20"/>
          <w:szCs w:val="20"/>
        </w:rPr>
        <w:t>η</w:t>
      </w:r>
      <w:r>
        <w:rPr>
          <w:rFonts w:hint="eastAsia" w:ascii="宋体" w:hAnsi="宋体"/>
          <w:sz w:val="20"/>
          <w:szCs w:val="20"/>
        </w:rPr>
        <w:t>取值不应小于</w:t>
      </w:r>
      <w:r>
        <w:rPr>
          <w:rFonts w:hint="eastAsia"/>
          <w:sz w:val="20"/>
          <w:szCs w:val="20"/>
        </w:rPr>
        <w:t>0.8</w:t>
      </w:r>
      <w:r>
        <w:rPr>
          <w:rFonts w:hint="eastAsia" w:ascii="宋体" w:hAnsi="宋体"/>
          <w:sz w:val="20"/>
          <w:szCs w:val="20"/>
        </w:rPr>
        <w:t>；</w:t>
      </w:r>
    </w:p>
    <w:p w14:paraId="21D7E68E">
      <w:pPr>
        <w:adjustRightInd w:val="0"/>
        <w:snapToGrid w:val="0"/>
        <w:spacing w:line="288" w:lineRule="auto"/>
        <w:ind w:left="1181" w:leftChars="254" w:hanging="648" w:hangingChars="324"/>
        <w:rPr>
          <w:rFonts w:ascii="宋体" w:hAnsi="宋体"/>
          <w:sz w:val="20"/>
          <w:szCs w:val="20"/>
          <w:vertAlign w:val="subscript"/>
        </w:rPr>
      </w:pPr>
      <w:r>
        <w:rPr>
          <w:i/>
          <w:iCs/>
          <w:sz w:val="20"/>
          <w:szCs w:val="20"/>
        </w:rPr>
        <w:t>M</w:t>
      </w:r>
      <w:r>
        <w:rPr>
          <w:sz w:val="16"/>
          <w:szCs w:val="16"/>
          <w:vertAlign w:val="subscript"/>
        </w:rPr>
        <w:t>k</w:t>
      </w:r>
      <w:r>
        <w:rPr>
          <w:iCs/>
        </w:rPr>
        <w:t>——</w:t>
      </w:r>
      <w:r>
        <w:rPr>
          <w:rFonts w:hint="eastAsia" w:ascii="宋体" w:hAnsi="宋体"/>
          <w:sz w:val="20"/>
          <w:szCs w:val="20"/>
        </w:rPr>
        <w:t>截面弯矩标准值（</w:t>
      </w:r>
      <w:r>
        <w:rPr>
          <w:rFonts w:hint="eastAsia"/>
          <w:sz w:val="20"/>
          <w:szCs w:val="20"/>
        </w:rPr>
        <w:t>kN</w:t>
      </w:r>
      <w:r>
        <w:rPr>
          <w:rFonts w:hint="eastAsia" w:ascii="宋体" w:hAnsi="宋体"/>
          <w:sz w:val="20"/>
          <w:szCs w:val="20"/>
        </w:rPr>
        <w:t>·</w:t>
      </w:r>
      <w:r>
        <w:rPr>
          <w:sz w:val="20"/>
          <w:szCs w:val="20"/>
        </w:rPr>
        <w:t>m</w:t>
      </w:r>
      <w:r>
        <w:rPr>
          <w:rFonts w:hint="eastAsia" w:ascii="宋体" w:hAnsi="宋体"/>
          <w:sz w:val="20"/>
          <w:szCs w:val="20"/>
        </w:rPr>
        <w:t>），按本规程第</w:t>
      </w:r>
      <w:r>
        <w:rPr>
          <w:sz w:val="20"/>
          <w:szCs w:val="20"/>
        </w:rPr>
        <w:t>7</w:t>
      </w:r>
      <w:r>
        <w:rPr>
          <w:rFonts w:hint="eastAsia"/>
          <w:sz w:val="20"/>
          <w:szCs w:val="20"/>
        </w:rPr>
        <w:t>.2</w:t>
      </w:r>
      <w:r>
        <w:rPr>
          <w:rFonts w:hint="eastAsia" w:ascii="宋体" w:hAnsi="宋体"/>
          <w:sz w:val="20"/>
          <w:szCs w:val="20"/>
        </w:rPr>
        <w:t>节规定计算；</w:t>
      </w:r>
    </w:p>
    <w:p w14:paraId="14DB4654">
      <w:pPr>
        <w:adjustRightInd w:val="0"/>
        <w:snapToGrid w:val="0"/>
        <w:spacing w:line="288" w:lineRule="auto"/>
        <w:ind w:firstLine="574" w:firstLineChars="287"/>
        <w:rPr>
          <w:rFonts w:ascii="宋体" w:hAnsi="宋体"/>
          <w:sz w:val="20"/>
          <w:szCs w:val="20"/>
        </w:rPr>
      </w:pPr>
      <w:r>
        <w:rPr>
          <w:i/>
          <w:iCs/>
          <w:sz w:val="20"/>
          <w:szCs w:val="20"/>
        </w:rPr>
        <w:t>V</w:t>
      </w:r>
      <w:r>
        <w:rPr>
          <w:sz w:val="16"/>
          <w:szCs w:val="16"/>
          <w:vertAlign w:val="subscript"/>
        </w:rPr>
        <w:t>k</w:t>
      </w:r>
      <w:r>
        <w:rPr>
          <w:iCs/>
        </w:rPr>
        <w:t>——</w:t>
      </w:r>
      <w:r>
        <w:rPr>
          <w:rFonts w:hint="eastAsia" w:ascii="宋体" w:hAnsi="宋体"/>
          <w:sz w:val="20"/>
          <w:szCs w:val="20"/>
        </w:rPr>
        <w:t>截面剪力标准值（</w:t>
      </w:r>
      <w:r>
        <w:rPr>
          <w:rFonts w:hint="eastAsia"/>
          <w:sz w:val="20"/>
          <w:szCs w:val="20"/>
        </w:rPr>
        <w:t>kN</w:t>
      </w:r>
      <w:r>
        <w:rPr>
          <w:rFonts w:hint="eastAsia" w:ascii="宋体" w:hAnsi="宋体"/>
          <w:sz w:val="20"/>
          <w:szCs w:val="20"/>
        </w:rPr>
        <w:t>），按本规程第</w:t>
      </w:r>
      <w:r>
        <w:rPr>
          <w:sz w:val="20"/>
          <w:szCs w:val="20"/>
        </w:rPr>
        <w:t>7</w:t>
      </w:r>
      <w:r>
        <w:rPr>
          <w:rFonts w:hint="eastAsia"/>
          <w:sz w:val="20"/>
          <w:szCs w:val="20"/>
        </w:rPr>
        <w:t>.2</w:t>
      </w:r>
      <w:r>
        <w:rPr>
          <w:rFonts w:hint="eastAsia" w:ascii="宋体" w:hAnsi="宋体"/>
          <w:sz w:val="20"/>
          <w:szCs w:val="20"/>
        </w:rPr>
        <w:t>节规定计算；</w:t>
      </w:r>
    </w:p>
    <w:p w14:paraId="11FFE183">
      <w:pPr>
        <w:adjustRightInd w:val="0"/>
        <w:snapToGrid w:val="0"/>
        <w:spacing w:line="288" w:lineRule="auto"/>
        <w:ind w:firstLine="574" w:firstLineChars="287"/>
        <w:rPr>
          <w:rFonts w:ascii="宋体" w:hAnsi="宋体"/>
          <w:sz w:val="20"/>
          <w:szCs w:val="20"/>
        </w:rPr>
      </w:pPr>
      <w:r>
        <w:rPr>
          <w:i/>
          <w:iCs/>
          <w:sz w:val="20"/>
          <w:szCs w:val="20"/>
        </w:rPr>
        <w:t>N</w:t>
      </w:r>
      <w:r>
        <w:rPr>
          <w:sz w:val="16"/>
          <w:szCs w:val="16"/>
          <w:vertAlign w:val="subscript"/>
        </w:rPr>
        <w:t>k</w:t>
      </w:r>
      <w:r>
        <w:rPr>
          <w:iCs/>
        </w:rPr>
        <w:t>——</w:t>
      </w:r>
      <w:r>
        <w:rPr>
          <w:rFonts w:hint="eastAsia" w:ascii="宋体" w:hAnsi="宋体"/>
          <w:sz w:val="20"/>
          <w:szCs w:val="20"/>
        </w:rPr>
        <w:t>截面轴力标准值（</w:t>
      </w:r>
      <w:r>
        <w:rPr>
          <w:rFonts w:hint="eastAsia"/>
          <w:sz w:val="20"/>
          <w:szCs w:val="20"/>
        </w:rPr>
        <w:t>kN</w:t>
      </w:r>
      <w:r>
        <w:rPr>
          <w:rFonts w:hint="eastAsia" w:ascii="宋体" w:hAnsi="宋体"/>
          <w:sz w:val="20"/>
          <w:szCs w:val="20"/>
        </w:rPr>
        <w:t>），按本规程第</w:t>
      </w:r>
      <w:r>
        <w:rPr>
          <w:sz w:val="20"/>
          <w:szCs w:val="20"/>
        </w:rPr>
        <w:t>7</w:t>
      </w:r>
      <w:r>
        <w:rPr>
          <w:rFonts w:hint="eastAsia"/>
          <w:sz w:val="20"/>
          <w:szCs w:val="20"/>
        </w:rPr>
        <w:t>.2</w:t>
      </w:r>
      <w:r>
        <w:rPr>
          <w:rFonts w:hint="eastAsia" w:ascii="宋体" w:hAnsi="宋体"/>
          <w:sz w:val="20"/>
          <w:szCs w:val="20"/>
        </w:rPr>
        <w:t>节规定计算。</w:t>
      </w:r>
    </w:p>
    <w:p w14:paraId="75BEA949">
      <w:pPr>
        <w:adjustRightInd w:val="0"/>
        <w:snapToGrid w:val="0"/>
        <w:spacing w:line="288" w:lineRule="auto"/>
        <w:rPr>
          <w:rFonts w:ascii="宋体" w:hAnsi="宋体"/>
          <w:sz w:val="20"/>
          <w:szCs w:val="20"/>
        </w:rPr>
      </w:pPr>
      <w:r>
        <w:rPr>
          <w:b/>
          <w:kern w:val="0"/>
          <w:sz w:val="20"/>
          <w:szCs w:val="20"/>
        </w:rPr>
        <w:t>7.5.2</w:t>
      </w:r>
      <w:r>
        <w:rPr>
          <w:rFonts w:hint="eastAsia" w:ascii="宋体" w:hAnsi="宋体"/>
          <w:sz w:val="20"/>
          <w:szCs w:val="20"/>
        </w:rPr>
        <w:t xml:space="preserve">  挡土构件的截面承载力应按下列规定计算：</w:t>
      </w:r>
    </w:p>
    <w:p w14:paraId="41CEDC08">
      <w:pPr>
        <w:adjustRightInd w:val="0"/>
        <w:snapToGrid w:val="0"/>
        <w:spacing w:line="288" w:lineRule="auto"/>
        <w:ind w:firstLine="402" w:firstLineChars="200"/>
        <w:rPr>
          <w:rFonts w:ascii="宋体" w:hAnsi="宋体"/>
          <w:sz w:val="20"/>
          <w:szCs w:val="20"/>
        </w:rPr>
      </w:pPr>
      <w:r>
        <w:rPr>
          <w:b/>
          <w:sz w:val="20"/>
          <w:szCs w:val="20"/>
        </w:rPr>
        <w:t>1</w:t>
      </w:r>
      <w:r>
        <w:rPr>
          <w:rFonts w:hint="eastAsia" w:ascii="宋体" w:hAnsi="宋体"/>
          <w:sz w:val="20"/>
          <w:szCs w:val="20"/>
        </w:rPr>
        <w:t xml:space="preserve">  圆形截面混凝土支护桩，其正截面受弯承载力可按现行行业标准《建筑基坑支护技术规程》</w:t>
      </w:r>
      <w:r>
        <w:rPr>
          <w:rFonts w:hint="eastAsia"/>
          <w:sz w:val="20"/>
          <w:szCs w:val="20"/>
        </w:rPr>
        <w:t>JGJ</w:t>
      </w:r>
      <w:r>
        <w:rPr>
          <w:sz w:val="20"/>
          <w:szCs w:val="20"/>
        </w:rPr>
        <w:t xml:space="preserve"> </w:t>
      </w:r>
      <w:r>
        <w:rPr>
          <w:rFonts w:hint="eastAsia"/>
          <w:sz w:val="20"/>
          <w:szCs w:val="20"/>
        </w:rPr>
        <w:t>120的</w:t>
      </w:r>
      <w:r>
        <w:rPr>
          <w:rFonts w:hint="eastAsia" w:ascii="宋体" w:hAnsi="宋体"/>
          <w:sz w:val="20"/>
          <w:szCs w:val="20"/>
        </w:rPr>
        <w:t>规定计算，斜截面承载力可按现行国家标准《混凝土结构设计规范》</w:t>
      </w:r>
      <w:r>
        <w:rPr>
          <w:rFonts w:hint="eastAsia"/>
          <w:sz w:val="20"/>
          <w:szCs w:val="20"/>
        </w:rPr>
        <w:t>GB</w:t>
      </w:r>
      <w:r>
        <w:rPr>
          <w:sz w:val="20"/>
          <w:szCs w:val="20"/>
        </w:rPr>
        <w:t xml:space="preserve"> </w:t>
      </w:r>
      <w:r>
        <w:rPr>
          <w:rFonts w:hint="eastAsia"/>
          <w:sz w:val="20"/>
          <w:szCs w:val="20"/>
        </w:rPr>
        <w:t>50010</w:t>
      </w:r>
      <w:r>
        <w:rPr>
          <w:rFonts w:hint="eastAsia" w:ascii="宋体" w:hAnsi="宋体"/>
          <w:sz w:val="20"/>
          <w:szCs w:val="20"/>
        </w:rPr>
        <w:t>的规定计算；</w:t>
      </w:r>
    </w:p>
    <w:p w14:paraId="2FD9A2A7">
      <w:pPr>
        <w:adjustRightInd w:val="0"/>
        <w:snapToGrid w:val="0"/>
        <w:spacing w:line="288" w:lineRule="auto"/>
        <w:ind w:firstLine="402" w:firstLineChars="200"/>
        <w:rPr>
          <w:rFonts w:ascii="宋体" w:hAnsi="宋体"/>
          <w:sz w:val="20"/>
          <w:szCs w:val="20"/>
        </w:rPr>
      </w:pPr>
      <w:r>
        <w:rPr>
          <w:rFonts w:hint="eastAsia"/>
          <w:b/>
          <w:sz w:val="20"/>
          <w:szCs w:val="20"/>
        </w:rPr>
        <w:t>2</w:t>
      </w:r>
      <w:r>
        <w:rPr>
          <w:rFonts w:hint="eastAsia" w:ascii="宋体" w:hAnsi="宋体"/>
          <w:sz w:val="20"/>
          <w:szCs w:val="20"/>
        </w:rPr>
        <w:t xml:space="preserve">  地下连续墙或矩形截面混凝土支护桩，其正截面受弯承载力和斜截面承载力应按现行国家标准《混凝土结构设计规范》</w:t>
      </w:r>
      <w:r>
        <w:rPr>
          <w:rFonts w:hint="eastAsia"/>
          <w:sz w:val="20"/>
          <w:szCs w:val="20"/>
        </w:rPr>
        <w:t>GB</w:t>
      </w:r>
      <w:r>
        <w:rPr>
          <w:sz w:val="20"/>
          <w:szCs w:val="20"/>
        </w:rPr>
        <w:t xml:space="preserve"> </w:t>
      </w:r>
      <w:r>
        <w:rPr>
          <w:rFonts w:hint="eastAsia"/>
          <w:sz w:val="20"/>
          <w:szCs w:val="20"/>
        </w:rPr>
        <w:t>50010</w:t>
      </w:r>
      <w:r>
        <w:rPr>
          <w:rFonts w:hint="eastAsia" w:ascii="宋体" w:hAnsi="宋体"/>
          <w:sz w:val="20"/>
          <w:szCs w:val="20"/>
        </w:rPr>
        <w:t>的规定计算，并应符合其有关构造要求；</w:t>
      </w:r>
    </w:p>
    <w:p w14:paraId="6AF06547">
      <w:pPr>
        <w:spacing w:line="340" w:lineRule="exact"/>
        <w:ind w:firstLine="420"/>
        <w:rPr>
          <w:bCs/>
          <w:sz w:val="20"/>
          <w:szCs w:val="20"/>
        </w:rPr>
      </w:pPr>
      <w:bookmarkStart w:id="70" w:name="_Toc468104710"/>
      <w:bookmarkStart w:id="71" w:name="_Toc428777569"/>
      <w:bookmarkStart w:id="72" w:name="_Toc413756030"/>
      <w:bookmarkStart w:id="73" w:name="_Toc413157300"/>
      <w:r>
        <w:rPr>
          <w:rFonts w:hint="eastAsia"/>
          <w:b/>
          <w:bCs/>
        </w:rPr>
        <w:t xml:space="preserve">3  </w:t>
      </w:r>
      <w:r>
        <w:rPr>
          <w:rFonts w:hint="eastAsia"/>
          <w:bCs/>
          <w:sz w:val="20"/>
          <w:szCs w:val="20"/>
        </w:rPr>
        <w:t>型钢桩、钢管桩、钢板桩排桩的截面承载力应按现行国家标准《钢结构设计规范》GB 50017的有关规定进行计算；</w:t>
      </w:r>
    </w:p>
    <w:p w14:paraId="1373D67E">
      <w:pPr>
        <w:spacing w:line="340" w:lineRule="exact"/>
        <w:ind w:firstLine="420"/>
        <w:rPr>
          <w:bCs/>
          <w:sz w:val="20"/>
          <w:szCs w:val="20"/>
        </w:rPr>
      </w:pPr>
      <w:r>
        <w:rPr>
          <w:rFonts w:hint="eastAsia"/>
          <w:b/>
          <w:bCs/>
          <w:sz w:val="20"/>
          <w:szCs w:val="20"/>
        </w:rPr>
        <w:t>4</w:t>
      </w:r>
      <w:r>
        <w:rPr>
          <w:bCs/>
          <w:sz w:val="20"/>
          <w:szCs w:val="20"/>
        </w:rPr>
        <w:t xml:space="preserve">  预制</w:t>
      </w:r>
      <w:r>
        <w:rPr>
          <w:rFonts w:hint="eastAsia"/>
          <w:bCs/>
          <w:sz w:val="20"/>
          <w:szCs w:val="20"/>
        </w:rPr>
        <w:t>管</w:t>
      </w:r>
      <w:r>
        <w:rPr>
          <w:bCs/>
          <w:sz w:val="20"/>
          <w:szCs w:val="20"/>
        </w:rPr>
        <w:t>桩截面承载力能力</w:t>
      </w:r>
      <w:r>
        <w:rPr>
          <w:rFonts w:hint="eastAsia"/>
          <w:sz w:val="20"/>
          <w:szCs w:val="20"/>
        </w:rPr>
        <w:t>应符合现行行业标准《预应力混凝土管桩技术标准》</w:t>
      </w:r>
      <w:r>
        <w:rPr>
          <w:sz w:val="20"/>
          <w:szCs w:val="20"/>
        </w:rPr>
        <w:t>JGJ/T</w:t>
      </w:r>
      <w:r>
        <w:rPr>
          <w:rFonts w:hint="eastAsia"/>
          <w:sz w:val="20"/>
          <w:szCs w:val="20"/>
        </w:rPr>
        <w:t xml:space="preserve"> </w:t>
      </w:r>
      <w:r>
        <w:rPr>
          <w:sz w:val="20"/>
          <w:szCs w:val="20"/>
        </w:rPr>
        <w:t>406</w:t>
      </w:r>
      <w:r>
        <w:rPr>
          <w:rFonts w:hint="eastAsia"/>
          <w:sz w:val="20"/>
          <w:szCs w:val="20"/>
        </w:rPr>
        <w:t>的有关规定。预制空心或实心矩形桩</w:t>
      </w:r>
      <w:r>
        <w:rPr>
          <w:bCs/>
          <w:sz w:val="20"/>
          <w:szCs w:val="20"/>
        </w:rPr>
        <w:t>截面承载力能力</w:t>
      </w:r>
      <w:r>
        <w:rPr>
          <w:rFonts w:hint="eastAsia"/>
          <w:sz w:val="20"/>
          <w:szCs w:val="20"/>
        </w:rPr>
        <w:t>应按</w:t>
      </w:r>
      <w:r>
        <w:rPr>
          <w:rFonts w:hint="eastAsia"/>
          <w:bCs/>
          <w:sz w:val="20"/>
          <w:szCs w:val="20"/>
        </w:rPr>
        <w:t>现行国家标准</w:t>
      </w:r>
      <w:r>
        <w:rPr>
          <w:rFonts w:hint="eastAsia"/>
          <w:sz w:val="20"/>
          <w:szCs w:val="20"/>
        </w:rPr>
        <w:t>《混凝土结构设计规范》GB 50010</w:t>
      </w:r>
      <w:r>
        <w:rPr>
          <w:rFonts w:hint="eastAsia"/>
          <w:bCs/>
          <w:sz w:val="20"/>
          <w:szCs w:val="20"/>
        </w:rPr>
        <w:t>的有关规定进行计算；</w:t>
      </w:r>
    </w:p>
    <w:p w14:paraId="66E6AEFE">
      <w:pPr>
        <w:spacing w:line="340" w:lineRule="exact"/>
        <w:ind w:firstLine="420"/>
        <w:rPr>
          <w:bCs/>
          <w:sz w:val="20"/>
          <w:szCs w:val="20"/>
        </w:rPr>
      </w:pPr>
      <w:r>
        <w:rPr>
          <w:rFonts w:hint="eastAsia"/>
          <w:b/>
          <w:sz w:val="20"/>
          <w:szCs w:val="20"/>
        </w:rPr>
        <w:t>5</w:t>
      </w:r>
      <w:r>
        <w:rPr>
          <w:rFonts w:hint="eastAsia"/>
          <w:bCs/>
          <w:sz w:val="20"/>
          <w:szCs w:val="20"/>
        </w:rPr>
        <w:t xml:space="preserve">  </w:t>
      </w:r>
      <w:r>
        <w:rPr>
          <w:bCs/>
          <w:sz w:val="20"/>
          <w:szCs w:val="20"/>
        </w:rPr>
        <w:t>当预制桩采用等强接桩</w:t>
      </w:r>
      <w:r>
        <w:rPr>
          <w:rFonts w:hint="eastAsia"/>
          <w:bCs/>
          <w:sz w:val="20"/>
          <w:szCs w:val="20"/>
        </w:rPr>
        <w:t>、</w:t>
      </w:r>
      <w:r>
        <w:rPr>
          <w:sz w:val="20"/>
          <w:szCs w:val="20"/>
        </w:rPr>
        <w:t>无工程经验或试验数据时，接桩</w:t>
      </w:r>
      <w:r>
        <w:rPr>
          <w:rFonts w:hint="eastAsia"/>
          <w:sz w:val="20"/>
          <w:szCs w:val="20"/>
        </w:rPr>
        <w:t>部位</w:t>
      </w:r>
      <w:r>
        <w:rPr>
          <w:sz w:val="20"/>
          <w:szCs w:val="20"/>
        </w:rPr>
        <w:t>承载力</w:t>
      </w:r>
      <w:r>
        <w:rPr>
          <w:rFonts w:hint="eastAsia"/>
          <w:sz w:val="20"/>
          <w:szCs w:val="20"/>
        </w:rPr>
        <w:t>应</w:t>
      </w:r>
      <w:r>
        <w:rPr>
          <w:sz w:val="20"/>
          <w:szCs w:val="20"/>
        </w:rPr>
        <w:t>通过试验验证确定；</w:t>
      </w:r>
      <w:r>
        <w:rPr>
          <w:rFonts w:hint="eastAsia"/>
          <w:sz w:val="20"/>
          <w:szCs w:val="20"/>
        </w:rPr>
        <w:t>当</w:t>
      </w:r>
      <w:r>
        <w:rPr>
          <w:sz w:val="20"/>
          <w:szCs w:val="20"/>
        </w:rPr>
        <w:t>采用焊接连接时，接桩</w:t>
      </w:r>
      <w:r>
        <w:rPr>
          <w:rFonts w:hint="eastAsia"/>
          <w:sz w:val="20"/>
          <w:szCs w:val="20"/>
        </w:rPr>
        <w:t>部位</w:t>
      </w:r>
      <w:r>
        <w:rPr>
          <w:sz w:val="20"/>
          <w:szCs w:val="20"/>
        </w:rPr>
        <w:t>承载力应</w:t>
      </w:r>
      <w:r>
        <w:rPr>
          <w:rFonts w:hint="eastAsia"/>
          <w:sz w:val="20"/>
          <w:szCs w:val="20"/>
        </w:rPr>
        <w:t>按</w:t>
      </w:r>
      <w:r>
        <w:rPr>
          <w:sz w:val="20"/>
          <w:szCs w:val="20"/>
        </w:rPr>
        <w:t>现行行业标准《预应力混凝土管桩技术标准》</w:t>
      </w:r>
      <w:r>
        <w:rPr>
          <w:rFonts w:hint="eastAsia"/>
          <w:sz w:val="20"/>
          <w:szCs w:val="20"/>
        </w:rPr>
        <w:t>J</w:t>
      </w:r>
      <w:r>
        <w:rPr>
          <w:sz w:val="20"/>
          <w:szCs w:val="20"/>
        </w:rPr>
        <w:t>GJ/T</w:t>
      </w:r>
      <w:r>
        <w:rPr>
          <w:rFonts w:hint="eastAsia"/>
          <w:sz w:val="20"/>
          <w:szCs w:val="20"/>
        </w:rPr>
        <w:t xml:space="preserve"> </w:t>
      </w:r>
      <w:r>
        <w:rPr>
          <w:sz w:val="20"/>
          <w:szCs w:val="20"/>
        </w:rPr>
        <w:t>406的相关规定计算确定</w:t>
      </w:r>
      <w:r>
        <w:rPr>
          <w:rFonts w:hint="eastAsia"/>
          <w:sz w:val="20"/>
          <w:szCs w:val="20"/>
        </w:rPr>
        <w:t>；</w:t>
      </w:r>
      <w:r>
        <w:rPr>
          <w:bCs/>
          <w:sz w:val="20"/>
          <w:szCs w:val="20"/>
        </w:rPr>
        <w:t xml:space="preserve"> </w:t>
      </w:r>
    </w:p>
    <w:p w14:paraId="4302B90E">
      <w:pPr>
        <w:spacing w:line="340" w:lineRule="exact"/>
        <w:ind w:firstLine="420"/>
        <w:rPr>
          <w:sz w:val="20"/>
          <w:szCs w:val="20"/>
        </w:rPr>
      </w:pPr>
      <w:r>
        <w:rPr>
          <w:b/>
          <w:bCs/>
          <w:sz w:val="20"/>
          <w:szCs w:val="20"/>
        </w:rPr>
        <w:t>6</w:t>
      </w:r>
      <w:r>
        <w:rPr>
          <w:rFonts w:hint="eastAsia"/>
          <w:b/>
          <w:bCs/>
          <w:sz w:val="20"/>
          <w:szCs w:val="20"/>
        </w:rPr>
        <w:t xml:space="preserve">  </w:t>
      </w:r>
      <w:r>
        <w:rPr>
          <w:rFonts w:hint="eastAsia"/>
          <w:bCs/>
          <w:sz w:val="20"/>
          <w:szCs w:val="20"/>
        </w:rPr>
        <w:t>其它材料、形状的挡土构件，其截面承载力计算</w:t>
      </w:r>
      <w:r>
        <w:rPr>
          <w:rFonts w:hint="eastAsia"/>
          <w:sz w:val="20"/>
          <w:szCs w:val="20"/>
        </w:rPr>
        <w:t>按国家现行规范的有关规定执行。</w:t>
      </w:r>
    </w:p>
    <w:p w14:paraId="1A570DAB">
      <w:pPr>
        <w:pStyle w:val="7"/>
        <w:keepNext w:val="0"/>
        <w:keepLines w:val="0"/>
        <w:adjustRightInd w:val="0"/>
        <w:snapToGrid w:val="0"/>
        <w:spacing w:before="312" w:beforeLines="100" w:after="312" w:afterLines="100" w:line="288" w:lineRule="auto"/>
        <w:jc w:val="center"/>
        <w:rPr>
          <w:rFonts w:ascii="黑体" w:hAnsi="黑体" w:eastAsia="黑体"/>
          <w:b w:val="0"/>
          <w:sz w:val="20"/>
          <w:szCs w:val="20"/>
        </w:rPr>
      </w:pPr>
      <w:bookmarkStart w:id="74" w:name="_Toc139613730"/>
      <w:r>
        <w:rPr>
          <w:rFonts w:eastAsia="黑体"/>
          <w:sz w:val="20"/>
          <w:szCs w:val="20"/>
        </w:rPr>
        <w:t>7.6</w:t>
      </w:r>
      <w:r>
        <w:rPr>
          <w:rFonts w:ascii="黑体" w:hAnsi="黑体" w:eastAsia="黑体"/>
          <w:b w:val="0"/>
          <w:sz w:val="20"/>
          <w:szCs w:val="20"/>
        </w:rPr>
        <w:t xml:space="preserve">  </w:t>
      </w:r>
      <w:r>
        <w:rPr>
          <w:rFonts w:hint="eastAsia" w:ascii="黑体" w:hAnsi="黑体" w:eastAsia="黑体"/>
          <w:b w:val="0"/>
          <w:sz w:val="20"/>
          <w:szCs w:val="20"/>
        </w:rPr>
        <w:t>锚杆计算</w:t>
      </w:r>
      <w:bookmarkEnd w:id="70"/>
      <w:bookmarkEnd w:id="71"/>
      <w:bookmarkEnd w:id="72"/>
      <w:bookmarkEnd w:id="73"/>
      <w:bookmarkEnd w:id="74"/>
    </w:p>
    <w:p w14:paraId="21C18724">
      <w:pPr>
        <w:adjustRightInd w:val="0"/>
        <w:snapToGrid w:val="0"/>
        <w:spacing w:line="288" w:lineRule="auto"/>
        <w:rPr>
          <w:rFonts w:ascii="宋体" w:hAnsi="宋体"/>
          <w:sz w:val="20"/>
          <w:szCs w:val="20"/>
        </w:rPr>
      </w:pPr>
      <w:r>
        <w:rPr>
          <w:b/>
          <w:kern w:val="0"/>
          <w:sz w:val="20"/>
          <w:szCs w:val="20"/>
        </w:rPr>
        <w:t>7.6.1</w:t>
      </w:r>
      <w:r>
        <w:rPr>
          <w:rFonts w:hint="eastAsia" w:ascii="宋体" w:hAnsi="宋体"/>
          <w:sz w:val="20"/>
          <w:szCs w:val="20"/>
        </w:rPr>
        <w:t xml:space="preserve">  确定锚杆杆体截面面积时，锚杆轴向拉力设计值</w:t>
      </w:r>
      <w:r>
        <w:rPr>
          <w:i/>
          <w:iCs/>
          <w:sz w:val="20"/>
          <w:szCs w:val="20"/>
        </w:rPr>
        <w:t>N</w:t>
      </w:r>
      <w:r>
        <w:rPr>
          <w:rFonts w:hint="eastAsia" w:ascii="宋体" w:hAnsi="宋体"/>
          <w:sz w:val="20"/>
          <w:szCs w:val="20"/>
        </w:rPr>
        <w:t>应按式</w:t>
      </w:r>
      <w:r>
        <w:rPr>
          <w:sz w:val="20"/>
          <w:szCs w:val="20"/>
        </w:rPr>
        <w:t>7.5.1-3</w:t>
      </w:r>
      <w:r>
        <w:rPr>
          <w:rFonts w:hint="eastAsia" w:ascii="宋体" w:hAnsi="宋体"/>
          <w:sz w:val="20"/>
          <w:szCs w:val="20"/>
        </w:rPr>
        <w:t>计算。</w:t>
      </w:r>
    </w:p>
    <w:p w14:paraId="6CB92249">
      <w:pPr>
        <w:pStyle w:val="23"/>
        <w:adjustRightInd w:val="0"/>
        <w:snapToGrid w:val="0"/>
        <w:spacing w:line="288" w:lineRule="auto"/>
        <w:rPr>
          <w:rFonts w:ascii="宋体" w:hAnsi="宋体"/>
          <w:sz w:val="20"/>
          <w:szCs w:val="20"/>
        </w:rPr>
      </w:pPr>
      <w:r>
        <w:rPr>
          <w:b/>
          <w:kern w:val="0"/>
          <w:sz w:val="20"/>
          <w:szCs w:val="20"/>
        </w:rPr>
        <w:t>7.6.2</w:t>
      </w:r>
      <w:r>
        <w:rPr>
          <w:rFonts w:hint="eastAsia" w:ascii="宋体" w:hAnsi="宋体"/>
          <w:sz w:val="20"/>
          <w:szCs w:val="20"/>
        </w:rPr>
        <w:t xml:space="preserve">  锚杆的极限抗拔承载力应符合下式规定：</w:t>
      </w:r>
    </w:p>
    <w:p w14:paraId="77073552">
      <w:pPr>
        <w:adjustRightInd w:val="0"/>
        <w:snapToGrid w:val="0"/>
        <w:spacing w:line="288" w:lineRule="auto"/>
        <w:ind w:firstLine="400" w:firstLineChars="200"/>
        <w:jc w:val="center"/>
        <w:rPr>
          <w:rFonts w:ascii="宋体" w:hAnsi="宋体"/>
          <w:sz w:val="20"/>
          <w:szCs w:val="20"/>
        </w:rPr>
      </w:pPr>
      <w:r>
        <w:rPr>
          <w:rFonts w:hint="eastAsia" w:ascii="宋体" w:hAnsi="宋体"/>
          <w:kern w:val="0"/>
          <w:sz w:val="20"/>
          <w:szCs w:val="20"/>
        </w:rPr>
        <w:t xml:space="preserve">                    </w:t>
      </w:r>
      <w:r>
        <w:rPr>
          <w:rFonts w:ascii="宋体" w:hAnsi="宋体"/>
          <w:kern w:val="0"/>
          <w:position w:val="-22"/>
          <w:sz w:val="20"/>
          <w:szCs w:val="20"/>
        </w:rPr>
        <w:object>
          <v:shape id="_x0000_i1096" o:spt="75" type="#_x0000_t75" style="height:29.95pt;width:42.05pt;" o:ole="t" filled="f" o:preferrelative="t" stroked="f" coordsize="21600,21600">
            <v:path/>
            <v:fill on="f" focussize="0,0"/>
            <v:stroke on="f" joinstyle="miter"/>
            <v:imagedata r:id="rId158" o:title=""/>
            <o:lock v:ext="edit" aspectratio="t"/>
            <w10:wrap type="none"/>
            <w10:anchorlock/>
          </v:shape>
          <o:OLEObject Type="Embed" ProgID="Equation.3" ShapeID="_x0000_i1096" DrawAspect="Content" ObjectID="_1468075798" r:id="rId157">
            <o:LockedField>false</o:LockedField>
          </o:OLEObject>
        </w:object>
      </w:r>
      <w:r>
        <w:rPr>
          <w:rFonts w:ascii="宋体" w:hAnsi="宋体"/>
          <w:sz w:val="20"/>
          <w:szCs w:val="20"/>
        </w:rPr>
        <w:tab/>
      </w:r>
      <w:r>
        <w:rPr>
          <w:rFonts w:hint="eastAsia" w:ascii="宋体" w:hAnsi="宋体"/>
          <w:sz w:val="20"/>
          <w:szCs w:val="20"/>
        </w:rPr>
        <w:t xml:space="preserve">                  （</w:t>
      </w:r>
      <w:r>
        <w:rPr>
          <w:sz w:val="20"/>
          <w:szCs w:val="20"/>
        </w:rPr>
        <w:t>7.6.</w:t>
      </w:r>
      <w:r>
        <w:rPr>
          <w:rFonts w:hint="eastAsia"/>
          <w:sz w:val="20"/>
          <w:szCs w:val="20"/>
        </w:rPr>
        <w:t>2</w:t>
      </w:r>
      <w:r>
        <w:rPr>
          <w:rFonts w:hint="eastAsia" w:ascii="宋体" w:hAnsi="宋体"/>
          <w:sz w:val="20"/>
          <w:szCs w:val="20"/>
        </w:rPr>
        <w:t>）</w:t>
      </w:r>
    </w:p>
    <w:p w14:paraId="6F973D3C">
      <w:pPr>
        <w:adjustRightInd w:val="0"/>
        <w:snapToGrid w:val="0"/>
        <w:spacing w:line="288" w:lineRule="auto"/>
        <w:ind w:left="1200" w:hanging="1200" w:hangingChars="600"/>
        <w:rPr>
          <w:rFonts w:ascii="宋体" w:hAnsi="宋体"/>
          <w:sz w:val="20"/>
          <w:szCs w:val="20"/>
        </w:rPr>
      </w:pPr>
      <w:r>
        <w:rPr>
          <w:rFonts w:hint="eastAsia" w:ascii="宋体" w:hAnsi="宋体"/>
          <w:sz w:val="20"/>
          <w:szCs w:val="20"/>
        </w:rPr>
        <w:t>式中：</w:t>
      </w:r>
      <w:r>
        <w:rPr>
          <w:i/>
          <w:sz w:val="20"/>
          <w:szCs w:val="20"/>
        </w:rPr>
        <w:t>K</w:t>
      </w:r>
      <w:r>
        <w:rPr>
          <w:sz w:val="20"/>
          <w:szCs w:val="20"/>
          <w:vertAlign w:val="subscript"/>
        </w:rPr>
        <w:t>t</w:t>
      </w:r>
      <w:r>
        <w:rPr>
          <w:iCs/>
        </w:rPr>
        <w:t>——</w:t>
      </w:r>
      <w:r>
        <w:rPr>
          <w:rFonts w:ascii="宋体" w:hAnsi="宋体"/>
          <w:sz w:val="20"/>
          <w:szCs w:val="20"/>
        </w:rPr>
        <w:t>锚</w:t>
      </w:r>
      <w:r>
        <w:rPr>
          <w:rFonts w:hint="eastAsia" w:ascii="宋体" w:hAnsi="宋体"/>
          <w:sz w:val="20"/>
          <w:szCs w:val="20"/>
        </w:rPr>
        <w:t>杆抗拔安全系数；安全等级为一级、二级、三级时，</w:t>
      </w:r>
      <w:r>
        <w:rPr>
          <w:i/>
          <w:sz w:val="20"/>
          <w:szCs w:val="20"/>
        </w:rPr>
        <w:t>K</w:t>
      </w:r>
      <w:r>
        <w:rPr>
          <w:sz w:val="20"/>
          <w:szCs w:val="20"/>
          <w:vertAlign w:val="subscript"/>
        </w:rPr>
        <w:t>t</w:t>
      </w:r>
      <w:r>
        <w:rPr>
          <w:rFonts w:hint="eastAsia"/>
          <w:sz w:val="20"/>
          <w:szCs w:val="20"/>
        </w:rPr>
        <w:t>分别</w:t>
      </w:r>
      <w:r>
        <w:rPr>
          <w:rFonts w:hint="eastAsia" w:ascii="宋体" w:hAnsi="宋体"/>
          <w:sz w:val="20"/>
          <w:szCs w:val="20"/>
        </w:rPr>
        <w:t>取</w:t>
      </w:r>
      <w:r>
        <w:rPr>
          <w:rFonts w:hint="eastAsia"/>
          <w:sz w:val="20"/>
          <w:szCs w:val="20"/>
        </w:rPr>
        <w:t>1.8、1.6、1.4</w:t>
      </w:r>
      <w:r>
        <w:rPr>
          <w:rFonts w:hint="eastAsia" w:ascii="宋体" w:hAnsi="宋体"/>
          <w:sz w:val="20"/>
          <w:szCs w:val="20"/>
        </w:rPr>
        <w:t xml:space="preserve">； </w:t>
      </w:r>
    </w:p>
    <w:p w14:paraId="6B82A462">
      <w:pPr>
        <w:tabs>
          <w:tab w:val="left" w:pos="672"/>
          <w:tab w:val="left" w:pos="1620"/>
          <w:tab w:val="left" w:pos="2160"/>
          <w:tab w:val="left" w:pos="7020"/>
        </w:tabs>
        <w:adjustRightInd w:val="0"/>
        <w:snapToGrid w:val="0"/>
        <w:spacing w:line="288" w:lineRule="auto"/>
        <w:ind w:left="1186" w:leftChars="279" w:hanging="600" w:hangingChars="300"/>
        <w:rPr>
          <w:rFonts w:ascii="宋体" w:hAnsi="宋体"/>
          <w:sz w:val="20"/>
          <w:szCs w:val="20"/>
        </w:rPr>
      </w:pPr>
      <w:r>
        <w:rPr>
          <w:i/>
          <w:sz w:val="20"/>
          <w:szCs w:val="20"/>
        </w:rPr>
        <w:t>R</w:t>
      </w:r>
      <w:r>
        <w:rPr>
          <w:sz w:val="20"/>
          <w:szCs w:val="20"/>
          <w:vertAlign w:val="subscript"/>
        </w:rPr>
        <w:t>k</w:t>
      </w:r>
      <w:r>
        <w:rPr>
          <w:iCs/>
        </w:rPr>
        <w:t>——</w:t>
      </w:r>
      <w:r>
        <w:rPr>
          <w:rFonts w:hint="eastAsia" w:ascii="宋体" w:hAnsi="宋体"/>
          <w:sz w:val="20"/>
          <w:szCs w:val="20"/>
        </w:rPr>
        <w:t>锚杆极限抗拔承载力标准值（</w:t>
      </w:r>
      <w:r>
        <w:rPr>
          <w:rFonts w:hint="eastAsia"/>
          <w:sz w:val="20"/>
          <w:szCs w:val="20"/>
        </w:rPr>
        <w:t>kN），</w:t>
      </w:r>
      <w:r>
        <w:rPr>
          <w:rFonts w:hint="eastAsia" w:ascii="宋体" w:hAnsi="宋体"/>
          <w:sz w:val="20"/>
          <w:szCs w:val="20"/>
        </w:rPr>
        <w:t>按本规程第</w:t>
      </w:r>
      <w:r>
        <w:rPr>
          <w:sz w:val="20"/>
          <w:szCs w:val="20"/>
        </w:rPr>
        <w:t>7.6.</w:t>
      </w:r>
      <w:r>
        <w:rPr>
          <w:rFonts w:hint="eastAsia"/>
          <w:sz w:val="20"/>
          <w:szCs w:val="20"/>
        </w:rPr>
        <w:t>3</w:t>
      </w:r>
      <w:r>
        <w:rPr>
          <w:rFonts w:hint="eastAsia" w:ascii="宋体" w:hAnsi="宋体"/>
          <w:sz w:val="20"/>
          <w:szCs w:val="20"/>
        </w:rPr>
        <w:t>条的规定确定；</w:t>
      </w:r>
    </w:p>
    <w:p w14:paraId="52DD0C9F">
      <w:pPr>
        <w:tabs>
          <w:tab w:val="left" w:pos="672"/>
          <w:tab w:val="left" w:pos="1620"/>
          <w:tab w:val="left" w:pos="2160"/>
          <w:tab w:val="left" w:pos="7020"/>
        </w:tabs>
        <w:adjustRightInd w:val="0"/>
        <w:snapToGrid w:val="0"/>
        <w:spacing w:line="288" w:lineRule="auto"/>
        <w:ind w:left="1175" w:leftChars="266" w:hanging="616" w:hangingChars="308"/>
        <w:rPr>
          <w:rFonts w:ascii="宋体" w:hAnsi="宋体"/>
          <w:sz w:val="20"/>
          <w:szCs w:val="20"/>
        </w:rPr>
      </w:pPr>
      <w:r>
        <w:rPr>
          <w:i/>
          <w:sz w:val="20"/>
          <w:szCs w:val="20"/>
        </w:rPr>
        <w:t>N</w:t>
      </w:r>
      <w:r>
        <w:rPr>
          <w:sz w:val="20"/>
          <w:szCs w:val="20"/>
          <w:vertAlign w:val="subscript"/>
        </w:rPr>
        <w:t>k</w:t>
      </w:r>
      <w:r>
        <w:rPr>
          <w:iCs/>
        </w:rPr>
        <w:t>——</w:t>
      </w:r>
      <w:r>
        <w:rPr>
          <w:rFonts w:hint="eastAsia" w:ascii="宋体" w:hAnsi="宋体"/>
          <w:sz w:val="20"/>
          <w:szCs w:val="20"/>
        </w:rPr>
        <w:t>锚杆轴向拉力标准值（</w:t>
      </w:r>
      <w:r>
        <w:rPr>
          <w:rFonts w:hint="eastAsia"/>
          <w:sz w:val="20"/>
          <w:szCs w:val="20"/>
        </w:rPr>
        <w:t>kN），</w:t>
      </w:r>
      <w:r>
        <w:rPr>
          <w:rFonts w:hint="eastAsia" w:ascii="宋体" w:hAnsi="宋体"/>
          <w:sz w:val="20"/>
          <w:szCs w:val="20"/>
        </w:rPr>
        <w:t>按本规程第</w:t>
      </w:r>
      <w:r>
        <w:rPr>
          <w:sz w:val="20"/>
          <w:szCs w:val="20"/>
        </w:rPr>
        <w:t>7</w:t>
      </w:r>
      <w:r>
        <w:rPr>
          <w:rFonts w:hint="eastAsia"/>
          <w:sz w:val="20"/>
          <w:szCs w:val="20"/>
        </w:rPr>
        <w:t>.2</w:t>
      </w:r>
      <w:r>
        <w:rPr>
          <w:rFonts w:hint="eastAsia" w:ascii="宋体" w:hAnsi="宋体"/>
          <w:sz w:val="20"/>
          <w:szCs w:val="20"/>
        </w:rPr>
        <w:t>节的规定计算。</w:t>
      </w:r>
    </w:p>
    <w:p w14:paraId="66699E2F">
      <w:pPr>
        <w:tabs>
          <w:tab w:val="left" w:pos="720"/>
          <w:tab w:val="left" w:pos="854"/>
          <w:tab w:val="left" w:pos="1620"/>
          <w:tab w:val="left" w:pos="2160"/>
          <w:tab w:val="left" w:pos="3060"/>
          <w:tab w:val="left" w:pos="7020"/>
        </w:tabs>
        <w:adjustRightInd w:val="0"/>
        <w:snapToGrid w:val="0"/>
        <w:spacing w:line="288" w:lineRule="auto"/>
        <w:rPr>
          <w:rFonts w:ascii="宋体" w:hAnsi="宋体"/>
          <w:sz w:val="20"/>
          <w:szCs w:val="20"/>
        </w:rPr>
      </w:pPr>
      <w:r>
        <w:rPr>
          <w:b/>
          <w:kern w:val="0"/>
          <w:sz w:val="20"/>
          <w:szCs w:val="20"/>
        </w:rPr>
        <w:t>7.6.3</w:t>
      </w:r>
      <w:r>
        <w:rPr>
          <w:rFonts w:hint="eastAsia" w:ascii="宋体" w:hAnsi="宋体"/>
          <w:bCs/>
          <w:sz w:val="20"/>
          <w:szCs w:val="20"/>
        </w:rPr>
        <w:t xml:space="preserve">  </w:t>
      </w:r>
      <w:r>
        <w:rPr>
          <w:rFonts w:hint="eastAsia" w:ascii="宋体" w:hAnsi="宋体"/>
          <w:sz w:val="20"/>
          <w:szCs w:val="20"/>
        </w:rPr>
        <w:t>锚杆极限抗拔承载力应按下列规定确定：</w:t>
      </w:r>
    </w:p>
    <w:p w14:paraId="56BCA47F">
      <w:pPr>
        <w:tabs>
          <w:tab w:val="left" w:pos="720"/>
          <w:tab w:val="left" w:pos="854"/>
          <w:tab w:val="left" w:pos="1620"/>
          <w:tab w:val="left" w:pos="2160"/>
          <w:tab w:val="left" w:pos="3060"/>
          <w:tab w:val="left" w:pos="7020"/>
        </w:tabs>
        <w:adjustRightInd w:val="0"/>
        <w:snapToGrid w:val="0"/>
        <w:spacing w:line="288" w:lineRule="auto"/>
        <w:ind w:firstLine="402" w:firstLineChars="200"/>
        <w:rPr>
          <w:rFonts w:ascii="宋体" w:hAnsi="宋体"/>
          <w:snapToGrid w:val="0"/>
          <w:kern w:val="0"/>
          <w:sz w:val="20"/>
          <w:szCs w:val="20"/>
        </w:rPr>
      </w:pPr>
      <w:r>
        <w:rPr>
          <w:rFonts w:hint="eastAsia"/>
          <w:b/>
          <w:sz w:val="20"/>
          <w:szCs w:val="20"/>
        </w:rPr>
        <w:t>1</w:t>
      </w:r>
      <w:r>
        <w:rPr>
          <w:rFonts w:hint="eastAsia" w:ascii="宋体" w:hAnsi="宋体"/>
          <w:sz w:val="20"/>
          <w:szCs w:val="20"/>
        </w:rPr>
        <w:t xml:space="preserve">  锚杆极限抗拔承载力应通过抗拔试验确定，试验方法应符合现行行业标准《建筑基坑支护</w:t>
      </w:r>
      <w:r>
        <w:rPr>
          <w:rFonts w:hint="eastAsia" w:ascii="宋体" w:hAnsi="宋体"/>
          <w:snapToGrid w:val="0"/>
          <w:kern w:val="0"/>
          <w:sz w:val="20"/>
          <w:szCs w:val="20"/>
        </w:rPr>
        <w:t>技术规程》</w:t>
      </w:r>
      <w:r>
        <w:rPr>
          <w:rFonts w:hint="eastAsia"/>
          <w:sz w:val="20"/>
          <w:szCs w:val="20"/>
        </w:rPr>
        <w:t>JGJ 120</w:t>
      </w:r>
      <w:r>
        <w:rPr>
          <w:rFonts w:hint="eastAsia" w:ascii="宋体" w:hAnsi="宋体"/>
          <w:snapToGrid w:val="0"/>
          <w:kern w:val="0"/>
          <w:sz w:val="20"/>
          <w:szCs w:val="20"/>
        </w:rPr>
        <w:t>的规定；</w:t>
      </w:r>
    </w:p>
    <w:p w14:paraId="2615155B">
      <w:pPr>
        <w:tabs>
          <w:tab w:val="left" w:pos="720"/>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rFonts w:hint="eastAsia"/>
          <w:b/>
          <w:sz w:val="20"/>
          <w:szCs w:val="20"/>
        </w:rPr>
        <w:t>2</w:t>
      </w:r>
      <w:r>
        <w:rPr>
          <w:rFonts w:hint="eastAsia" w:ascii="宋体" w:hAnsi="宋体"/>
          <w:bCs/>
          <w:sz w:val="20"/>
          <w:szCs w:val="20"/>
        </w:rPr>
        <w:t xml:space="preserve">  </w:t>
      </w:r>
      <w:r>
        <w:rPr>
          <w:rFonts w:hint="eastAsia" w:ascii="宋体" w:hAnsi="宋体"/>
          <w:sz w:val="20"/>
          <w:szCs w:val="20"/>
        </w:rPr>
        <w:t>锚杆极限抗拔承载力标准值</w:t>
      </w:r>
      <w:r>
        <w:rPr>
          <w:rFonts w:hint="eastAsia" w:ascii="宋体" w:hAnsi="宋体"/>
          <w:snapToGrid w:val="0"/>
          <w:kern w:val="0"/>
          <w:sz w:val="20"/>
          <w:szCs w:val="20"/>
        </w:rPr>
        <w:t>也可按下式估算，并应按</w:t>
      </w:r>
      <w:r>
        <w:rPr>
          <w:rFonts w:hint="eastAsia" w:ascii="宋体" w:hAnsi="宋体"/>
          <w:sz w:val="20"/>
          <w:szCs w:val="20"/>
        </w:rPr>
        <w:t>现行行业标准《建筑基坑支护</w:t>
      </w:r>
      <w:r>
        <w:rPr>
          <w:rFonts w:hint="eastAsia" w:ascii="宋体" w:hAnsi="宋体"/>
          <w:snapToGrid w:val="0"/>
          <w:kern w:val="0"/>
          <w:sz w:val="20"/>
          <w:szCs w:val="20"/>
        </w:rPr>
        <w:t>技术规程》</w:t>
      </w:r>
      <w:r>
        <w:rPr>
          <w:rFonts w:hint="eastAsia"/>
          <w:sz w:val="20"/>
          <w:szCs w:val="20"/>
        </w:rPr>
        <w:t>JGJ 120</w:t>
      </w:r>
      <w:r>
        <w:rPr>
          <w:rFonts w:hint="eastAsia" w:ascii="宋体" w:hAnsi="宋体"/>
          <w:snapToGrid w:val="0"/>
          <w:kern w:val="0"/>
          <w:sz w:val="20"/>
          <w:szCs w:val="20"/>
        </w:rPr>
        <w:t>的有关规定进行</w:t>
      </w:r>
      <w:r>
        <w:rPr>
          <w:rFonts w:hint="eastAsia" w:ascii="宋体" w:hAnsi="宋体"/>
          <w:sz w:val="20"/>
          <w:szCs w:val="20"/>
        </w:rPr>
        <w:t>锚杆验收试验。</w:t>
      </w:r>
    </w:p>
    <w:p w14:paraId="1571D39A">
      <w:pPr>
        <w:adjustRightInd w:val="0"/>
        <w:snapToGrid w:val="0"/>
        <w:spacing w:line="288" w:lineRule="auto"/>
        <w:ind w:firstLine="400" w:firstLineChars="200"/>
        <w:jc w:val="right"/>
        <w:rPr>
          <w:rFonts w:ascii="宋体" w:hAnsi="宋体"/>
          <w:sz w:val="20"/>
          <w:szCs w:val="20"/>
        </w:rPr>
      </w:pPr>
      <w:r>
        <w:rPr>
          <w:rFonts w:hint="eastAsia" w:ascii="宋体" w:hAnsi="宋体"/>
          <w:sz w:val="20"/>
          <w:szCs w:val="20"/>
        </w:rPr>
        <w:t xml:space="preserve">                </w:t>
      </w:r>
      <w:r>
        <w:rPr>
          <w:rFonts w:ascii="宋体" w:hAnsi="宋体"/>
          <w:position w:val="-14"/>
          <w:sz w:val="20"/>
          <w:szCs w:val="20"/>
        </w:rPr>
        <w:object>
          <v:shape id="_x0000_i1097" o:spt="75" type="#_x0000_t75" style="height:19pt;width:67.95pt;" o:ole="t" filled="f" o:preferrelative="t" stroked="f" coordsize="21600,21600">
            <v:path/>
            <v:fill on="f" focussize="0,0"/>
            <v:stroke on="f" joinstyle="miter"/>
            <v:imagedata r:id="rId160" o:title=""/>
            <o:lock v:ext="edit" aspectratio="t"/>
            <w10:wrap type="none"/>
            <w10:anchorlock/>
          </v:shape>
          <o:OLEObject Type="Embed" ProgID="Equation.3" ShapeID="_x0000_i1097" DrawAspect="Content" ObjectID="_1468075799" r:id="rId159">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7.6.</w:t>
      </w:r>
      <w:r>
        <w:rPr>
          <w:rFonts w:hint="eastAsia"/>
          <w:sz w:val="20"/>
          <w:szCs w:val="20"/>
        </w:rPr>
        <w:t>3</w:t>
      </w:r>
      <w:r>
        <w:rPr>
          <w:rFonts w:hint="eastAsia" w:ascii="宋体" w:hAnsi="宋体"/>
          <w:sz w:val="20"/>
          <w:szCs w:val="20"/>
        </w:rPr>
        <w:t>）</w:t>
      </w:r>
    </w:p>
    <w:p w14:paraId="0C90F87D">
      <w:pPr>
        <w:adjustRightInd w:val="0"/>
        <w:snapToGrid w:val="0"/>
        <w:spacing w:line="288" w:lineRule="auto"/>
        <w:rPr>
          <w:rFonts w:ascii="宋体" w:hAnsi="宋体"/>
          <w:sz w:val="20"/>
          <w:szCs w:val="20"/>
        </w:rPr>
      </w:pPr>
      <w:r>
        <w:rPr>
          <w:rFonts w:hint="eastAsia" w:ascii="宋体" w:hAnsi="宋体"/>
          <w:sz w:val="20"/>
          <w:szCs w:val="20"/>
        </w:rPr>
        <w:t>式中：</w:t>
      </w:r>
      <w:r>
        <w:rPr>
          <w:rFonts w:ascii="宋体" w:hAnsi="宋体"/>
          <w:i/>
          <w:sz w:val="20"/>
          <w:szCs w:val="20"/>
        </w:rPr>
        <w:t>d</w:t>
      </w:r>
      <w:r>
        <w:rPr>
          <w:iCs/>
        </w:rPr>
        <w:t>——</w:t>
      </w:r>
      <w:r>
        <w:rPr>
          <w:rFonts w:hint="eastAsia" w:ascii="宋体" w:hAnsi="宋体"/>
          <w:sz w:val="20"/>
          <w:szCs w:val="20"/>
        </w:rPr>
        <w:t>锚杆的锚固体直径（</w:t>
      </w:r>
      <w:r>
        <w:rPr>
          <w:sz w:val="20"/>
          <w:szCs w:val="20"/>
        </w:rPr>
        <w:t>m</w:t>
      </w:r>
      <w:r>
        <w:rPr>
          <w:rFonts w:hint="eastAsia" w:ascii="宋体" w:hAnsi="宋体"/>
          <w:sz w:val="20"/>
          <w:szCs w:val="20"/>
        </w:rPr>
        <w:t>）；</w:t>
      </w:r>
    </w:p>
    <w:p w14:paraId="4FEDAEEC">
      <w:pPr>
        <w:adjustRightInd w:val="0"/>
        <w:snapToGrid w:val="0"/>
        <w:spacing w:line="288" w:lineRule="auto"/>
        <w:ind w:left="1123" w:leftChars="286" w:hanging="522" w:hangingChars="261"/>
        <w:rPr>
          <w:rFonts w:ascii="宋体" w:hAnsi="宋体"/>
          <w:sz w:val="20"/>
          <w:szCs w:val="20"/>
        </w:rPr>
      </w:pPr>
      <w:r>
        <w:rPr>
          <w:i/>
          <w:sz w:val="20"/>
          <w:szCs w:val="20"/>
        </w:rPr>
        <w:t>l</w:t>
      </w:r>
      <w:r>
        <w:rPr>
          <w:rFonts w:hint="eastAsia"/>
          <w:i/>
          <w:iCs/>
          <w:vertAlign w:val="subscript"/>
        </w:rPr>
        <w:t>i</w:t>
      </w:r>
      <w:r>
        <w:rPr>
          <w:iCs/>
        </w:rPr>
        <w:t>——</w:t>
      </w:r>
      <w:r>
        <w:rPr>
          <w:rFonts w:hint="eastAsia" w:ascii="宋体" w:hAnsi="宋体"/>
          <w:sz w:val="20"/>
          <w:szCs w:val="20"/>
        </w:rPr>
        <w:t>锚杆的锚固段在第</w:t>
      </w:r>
      <w:r>
        <w:rPr>
          <w:i/>
          <w:iCs/>
          <w:sz w:val="20"/>
          <w:szCs w:val="20"/>
        </w:rPr>
        <w:t>i</w:t>
      </w:r>
      <w:r>
        <w:rPr>
          <w:rFonts w:hint="eastAsia" w:ascii="宋体" w:hAnsi="宋体"/>
          <w:sz w:val="20"/>
          <w:szCs w:val="20"/>
        </w:rPr>
        <w:t>土层中的长度（</w:t>
      </w:r>
      <w:r>
        <w:rPr>
          <w:rFonts w:hint="eastAsia"/>
          <w:sz w:val="20"/>
          <w:szCs w:val="20"/>
        </w:rPr>
        <w:t>m</w:t>
      </w:r>
      <w:r>
        <w:rPr>
          <w:rFonts w:hint="eastAsia" w:ascii="宋体" w:hAnsi="宋体"/>
          <w:sz w:val="20"/>
          <w:szCs w:val="20"/>
        </w:rPr>
        <w:t>）；锚固段长度为锚杆在理论直线滑动面以外的长度，理论直线滑动面按本规程第</w:t>
      </w:r>
      <w:r>
        <w:rPr>
          <w:sz w:val="20"/>
          <w:szCs w:val="20"/>
        </w:rPr>
        <w:t>7.6.5</w:t>
      </w:r>
      <w:r>
        <w:rPr>
          <w:rFonts w:hint="eastAsia" w:ascii="宋体" w:hAnsi="宋体"/>
          <w:sz w:val="20"/>
          <w:szCs w:val="20"/>
        </w:rPr>
        <w:t>条的规定确定；</w:t>
      </w:r>
    </w:p>
    <w:p w14:paraId="495CF89C">
      <w:pPr>
        <w:tabs>
          <w:tab w:val="left" w:pos="854"/>
        </w:tabs>
        <w:adjustRightInd w:val="0"/>
        <w:snapToGrid w:val="0"/>
        <w:spacing w:line="288" w:lineRule="auto"/>
        <w:ind w:left="1135" w:leftChars="213" w:hanging="688" w:hangingChars="344"/>
        <w:rPr>
          <w:rFonts w:ascii="宋体" w:hAnsi="宋体"/>
          <w:sz w:val="20"/>
          <w:szCs w:val="20"/>
        </w:rPr>
      </w:pPr>
      <w:r>
        <w:rPr>
          <w:rFonts w:hint="eastAsia"/>
          <w:i/>
          <w:sz w:val="20"/>
          <w:szCs w:val="20"/>
        </w:rPr>
        <w:t>q</w:t>
      </w:r>
      <w:r>
        <w:rPr>
          <w:rFonts w:hint="eastAsia"/>
          <w:sz w:val="15"/>
          <w:szCs w:val="15"/>
          <w:vertAlign w:val="subscript"/>
        </w:rPr>
        <w:t>sk</w:t>
      </w:r>
      <w:r>
        <w:rPr>
          <w:rFonts w:hint="eastAsia"/>
          <w:sz w:val="20"/>
          <w:szCs w:val="20"/>
          <w:vertAlign w:val="subscript"/>
        </w:rPr>
        <w:t>,</w:t>
      </w:r>
      <w:r>
        <w:rPr>
          <w:rFonts w:hint="eastAsia"/>
          <w:i/>
          <w:sz w:val="20"/>
          <w:szCs w:val="20"/>
          <w:vertAlign w:val="subscript"/>
        </w:rPr>
        <w:t>i</w:t>
      </w:r>
      <w:r>
        <w:rPr>
          <w:iCs/>
        </w:rPr>
        <w:t>——</w:t>
      </w:r>
      <w:r>
        <w:rPr>
          <w:rFonts w:hint="eastAsia" w:ascii="宋体" w:hAnsi="宋体"/>
          <w:sz w:val="20"/>
          <w:szCs w:val="20"/>
        </w:rPr>
        <w:t>锚固体与第</w:t>
      </w:r>
      <w:r>
        <w:rPr>
          <w:i/>
          <w:iCs/>
          <w:sz w:val="20"/>
          <w:szCs w:val="20"/>
        </w:rPr>
        <w:t>i</w:t>
      </w:r>
      <w:r>
        <w:rPr>
          <w:rFonts w:hint="eastAsia" w:ascii="宋体" w:hAnsi="宋体"/>
          <w:sz w:val="20"/>
          <w:szCs w:val="20"/>
        </w:rPr>
        <w:t>土层之间的极限粘结强度标准值（</w:t>
      </w:r>
      <w:r>
        <w:rPr>
          <w:rFonts w:hint="eastAsia"/>
          <w:sz w:val="20"/>
          <w:szCs w:val="20"/>
        </w:rPr>
        <w:t>kPa</w:t>
      </w:r>
      <w:r>
        <w:rPr>
          <w:rFonts w:hint="eastAsia" w:ascii="宋体" w:hAnsi="宋体"/>
          <w:sz w:val="20"/>
          <w:szCs w:val="20"/>
        </w:rPr>
        <w:t>），应根据工程经验并结合表</w:t>
      </w:r>
      <w:r>
        <w:rPr>
          <w:sz w:val="20"/>
          <w:szCs w:val="20"/>
        </w:rPr>
        <w:t>7.6.</w:t>
      </w:r>
      <w:r>
        <w:rPr>
          <w:rFonts w:hint="eastAsia"/>
          <w:sz w:val="20"/>
          <w:szCs w:val="20"/>
        </w:rPr>
        <w:t>3</w:t>
      </w:r>
      <w:r>
        <w:rPr>
          <w:rFonts w:hint="eastAsia" w:ascii="宋体" w:hAnsi="宋体"/>
          <w:sz w:val="20"/>
          <w:szCs w:val="20"/>
        </w:rPr>
        <w:t>取值。</w:t>
      </w:r>
    </w:p>
    <w:p w14:paraId="0B3B8E0B">
      <w:pPr>
        <w:tabs>
          <w:tab w:val="left" w:pos="720"/>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b/>
          <w:sz w:val="20"/>
          <w:szCs w:val="20"/>
        </w:rPr>
        <w:t>3</w:t>
      </w:r>
      <w:r>
        <w:rPr>
          <w:rFonts w:hint="eastAsia" w:ascii="宋体" w:hAnsi="宋体"/>
          <w:sz w:val="20"/>
          <w:szCs w:val="20"/>
        </w:rPr>
        <w:t xml:space="preserve">  基坑侧壁安全等级为三级时，可按公式</w:t>
      </w:r>
      <w:r>
        <w:rPr>
          <w:sz w:val="20"/>
          <w:szCs w:val="20"/>
        </w:rPr>
        <w:t>7.6.</w:t>
      </w:r>
      <w:r>
        <w:rPr>
          <w:rFonts w:hint="eastAsia"/>
          <w:sz w:val="20"/>
          <w:szCs w:val="20"/>
        </w:rPr>
        <w:t>3</w:t>
      </w:r>
      <w:r>
        <w:rPr>
          <w:rFonts w:hint="eastAsia" w:ascii="宋体" w:hAnsi="宋体"/>
          <w:sz w:val="20"/>
          <w:szCs w:val="20"/>
        </w:rPr>
        <w:t>确定锚杆极限抗拔承载力。</w:t>
      </w:r>
    </w:p>
    <w:p w14:paraId="2861C93F">
      <w:pPr>
        <w:tabs>
          <w:tab w:val="left" w:pos="720"/>
          <w:tab w:val="left" w:pos="854"/>
          <w:tab w:val="left" w:pos="1620"/>
          <w:tab w:val="left" w:pos="2160"/>
          <w:tab w:val="left" w:pos="3060"/>
          <w:tab w:val="left" w:pos="7020"/>
        </w:tabs>
        <w:adjustRightInd w:val="0"/>
        <w:snapToGrid w:val="0"/>
        <w:spacing w:before="156" w:beforeLines="50" w:after="156" w:afterLines="50" w:line="288" w:lineRule="auto"/>
        <w:jc w:val="center"/>
        <w:rPr>
          <w:rFonts w:ascii="宋体" w:hAnsi="宋体"/>
          <w:b/>
          <w:bCs/>
          <w:sz w:val="18"/>
          <w:szCs w:val="18"/>
        </w:rPr>
      </w:pPr>
      <w:r>
        <w:rPr>
          <w:rFonts w:hint="eastAsia" w:ascii="宋体" w:hAnsi="宋体"/>
          <w:b/>
          <w:bCs/>
          <w:sz w:val="18"/>
          <w:szCs w:val="18"/>
        </w:rPr>
        <w:t>表</w:t>
      </w:r>
      <w:r>
        <w:rPr>
          <w:b/>
          <w:bCs/>
          <w:sz w:val="18"/>
          <w:szCs w:val="18"/>
        </w:rPr>
        <w:t>7.6.3</w:t>
      </w:r>
      <w:r>
        <w:rPr>
          <w:rFonts w:hint="eastAsia" w:ascii="宋体" w:hAnsi="宋体"/>
          <w:b/>
          <w:bCs/>
          <w:sz w:val="18"/>
          <w:szCs w:val="18"/>
        </w:rPr>
        <w:t xml:space="preserve">  土体与锚固体极限粘结强度</w:t>
      </w:r>
      <w:r>
        <w:rPr>
          <w:rFonts w:ascii="宋体" w:hAnsi="宋体"/>
          <w:b/>
          <w:i/>
          <w:sz w:val="18"/>
          <w:szCs w:val="18"/>
        </w:rPr>
        <w:t>q</w:t>
      </w:r>
      <w:r>
        <w:rPr>
          <w:rFonts w:ascii="宋体" w:hAnsi="宋体"/>
          <w:b/>
          <w:sz w:val="18"/>
          <w:szCs w:val="18"/>
          <w:vertAlign w:val="subscript"/>
        </w:rPr>
        <w:t>sk</w:t>
      </w:r>
      <w:r>
        <w:rPr>
          <w:rFonts w:hint="eastAsia" w:ascii="宋体" w:hAnsi="宋体"/>
          <w:b/>
          <w:bCs/>
          <w:sz w:val="18"/>
          <w:szCs w:val="18"/>
        </w:rPr>
        <w:t>标准值</w:t>
      </w:r>
    </w:p>
    <w:tbl>
      <w:tblPr>
        <w:tblStyle w:val="34"/>
        <w:tblW w:w="584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34" w:type="dxa"/>
          <w:left w:w="28" w:type="dxa"/>
          <w:bottom w:w="34" w:type="dxa"/>
          <w:right w:w="28" w:type="dxa"/>
        </w:tblCellMar>
      </w:tblPr>
      <w:tblGrid>
        <w:gridCol w:w="1869"/>
        <w:gridCol w:w="2037"/>
        <w:gridCol w:w="1934"/>
      </w:tblGrid>
      <w:tr w14:paraId="4C481FF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1869" w:type="dxa"/>
            <w:vAlign w:val="center"/>
          </w:tcPr>
          <w:p w14:paraId="189F6E5C">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土的名称</w:t>
            </w:r>
          </w:p>
        </w:tc>
        <w:tc>
          <w:tcPr>
            <w:tcW w:w="2037" w:type="dxa"/>
            <w:vAlign w:val="center"/>
          </w:tcPr>
          <w:p w14:paraId="7A5A7F28">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土的状态</w:t>
            </w:r>
          </w:p>
        </w:tc>
        <w:tc>
          <w:tcPr>
            <w:tcW w:w="1934" w:type="dxa"/>
            <w:vAlign w:val="center"/>
          </w:tcPr>
          <w:p w14:paraId="0973138E">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i/>
                <w:sz w:val="15"/>
                <w:szCs w:val="15"/>
              </w:rPr>
              <w:t>q</w:t>
            </w:r>
            <w:r>
              <w:rPr>
                <w:sz w:val="15"/>
                <w:szCs w:val="15"/>
                <w:vertAlign w:val="subscript"/>
              </w:rPr>
              <w:t>sk</w:t>
            </w:r>
            <w:r>
              <w:rPr>
                <w:rFonts w:hAnsi="宋体"/>
                <w:sz w:val="15"/>
                <w:szCs w:val="15"/>
              </w:rPr>
              <w:t>（</w:t>
            </w:r>
            <w:r>
              <w:rPr>
                <w:sz w:val="15"/>
                <w:szCs w:val="15"/>
              </w:rPr>
              <w:t>kPa</w:t>
            </w:r>
            <w:r>
              <w:rPr>
                <w:rFonts w:hAnsi="宋体"/>
                <w:sz w:val="15"/>
                <w:szCs w:val="15"/>
              </w:rPr>
              <w:t>）</w:t>
            </w:r>
          </w:p>
        </w:tc>
      </w:tr>
      <w:tr w14:paraId="03D8F94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1869" w:type="dxa"/>
            <w:vAlign w:val="center"/>
          </w:tcPr>
          <w:p w14:paraId="563641D6">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填</w:t>
            </w:r>
            <w:r>
              <w:rPr>
                <w:sz w:val="15"/>
                <w:szCs w:val="15"/>
              </w:rPr>
              <w:t xml:space="preserve">    </w:t>
            </w:r>
            <w:r>
              <w:rPr>
                <w:rFonts w:hAnsi="宋体"/>
                <w:sz w:val="15"/>
                <w:szCs w:val="15"/>
              </w:rPr>
              <w:t>土</w:t>
            </w:r>
          </w:p>
        </w:tc>
        <w:tc>
          <w:tcPr>
            <w:tcW w:w="2037" w:type="dxa"/>
            <w:vAlign w:val="center"/>
          </w:tcPr>
          <w:p w14:paraId="2677A83C">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int="eastAsia"/>
                <w:sz w:val="15"/>
                <w:szCs w:val="15"/>
              </w:rPr>
              <w:t>－</w:t>
            </w:r>
          </w:p>
        </w:tc>
        <w:tc>
          <w:tcPr>
            <w:tcW w:w="1934" w:type="dxa"/>
            <w:vAlign w:val="center"/>
          </w:tcPr>
          <w:p w14:paraId="18879909">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16</w:t>
            </w:r>
            <w:r>
              <w:rPr>
                <w:rFonts w:hAnsi="宋体"/>
                <w:sz w:val="15"/>
                <w:szCs w:val="15"/>
              </w:rPr>
              <w:t>～</w:t>
            </w:r>
            <w:r>
              <w:rPr>
                <w:sz w:val="15"/>
                <w:szCs w:val="15"/>
              </w:rPr>
              <w:t>20</w:t>
            </w:r>
          </w:p>
        </w:tc>
      </w:tr>
      <w:tr w14:paraId="3C66B5E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1869" w:type="dxa"/>
            <w:vAlign w:val="center"/>
          </w:tcPr>
          <w:p w14:paraId="5B78FCD4">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淤</w:t>
            </w:r>
            <w:r>
              <w:rPr>
                <w:sz w:val="15"/>
                <w:szCs w:val="15"/>
              </w:rPr>
              <w:t xml:space="preserve">    </w:t>
            </w:r>
            <w:r>
              <w:rPr>
                <w:rFonts w:hAnsi="宋体"/>
                <w:sz w:val="15"/>
                <w:szCs w:val="15"/>
              </w:rPr>
              <w:t>泥</w:t>
            </w:r>
          </w:p>
        </w:tc>
        <w:tc>
          <w:tcPr>
            <w:tcW w:w="2037" w:type="dxa"/>
            <w:vAlign w:val="center"/>
          </w:tcPr>
          <w:p w14:paraId="3D52D0C5">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int="eastAsia"/>
                <w:sz w:val="15"/>
                <w:szCs w:val="15"/>
              </w:rPr>
              <w:t>－</w:t>
            </w:r>
          </w:p>
        </w:tc>
        <w:tc>
          <w:tcPr>
            <w:tcW w:w="1934" w:type="dxa"/>
            <w:vAlign w:val="center"/>
          </w:tcPr>
          <w:p w14:paraId="1BE42A8E">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10</w:t>
            </w:r>
            <w:r>
              <w:rPr>
                <w:rFonts w:hAnsi="宋体"/>
                <w:sz w:val="15"/>
                <w:szCs w:val="15"/>
              </w:rPr>
              <w:t>～</w:t>
            </w:r>
            <w:r>
              <w:rPr>
                <w:sz w:val="15"/>
                <w:szCs w:val="15"/>
              </w:rPr>
              <w:t>16</w:t>
            </w:r>
          </w:p>
        </w:tc>
      </w:tr>
      <w:tr w14:paraId="17561EA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1869" w:type="dxa"/>
            <w:vAlign w:val="center"/>
          </w:tcPr>
          <w:p w14:paraId="53CE0B79">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淤泥质土</w:t>
            </w:r>
          </w:p>
        </w:tc>
        <w:tc>
          <w:tcPr>
            <w:tcW w:w="2037" w:type="dxa"/>
            <w:vAlign w:val="center"/>
          </w:tcPr>
          <w:p w14:paraId="042E58AE">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int="eastAsia"/>
                <w:sz w:val="15"/>
                <w:szCs w:val="15"/>
              </w:rPr>
              <w:t>－</w:t>
            </w:r>
          </w:p>
        </w:tc>
        <w:tc>
          <w:tcPr>
            <w:tcW w:w="1934" w:type="dxa"/>
            <w:vAlign w:val="center"/>
          </w:tcPr>
          <w:p w14:paraId="5F98A31C">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16</w:t>
            </w:r>
            <w:r>
              <w:rPr>
                <w:rFonts w:hAnsi="宋体"/>
                <w:sz w:val="15"/>
                <w:szCs w:val="15"/>
              </w:rPr>
              <w:t>～</w:t>
            </w:r>
            <w:r>
              <w:rPr>
                <w:sz w:val="15"/>
                <w:szCs w:val="15"/>
              </w:rPr>
              <w:t>20</w:t>
            </w:r>
          </w:p>
        </w:tc>
      </w:tr>
      <w:tr w14:paraId="45885B0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1869" w:type="dxa"/>
            <w:vAlign w:val="center"/>
          </w:tcPr>
          <w:p w14:paraId="1EC47795">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黏</w:t>
            </w:r>
            <w:r>
              <w:rPr>
                <w:sz w:val="15"/>
                <w:szCs w:val="15"/>
              </w:rPr>
              <w:t xml:space="preserve"> </w:t>
            </w:r>
            <w:r>
              <w:rPr>
                <w:rFonts w:hAnsi="宋体"/>
                <w:sz w:val="15"/>
                <w:szCs w:val="15"/>
              </w:rPr>
              <w:t>性</w:t>
            </w:r>
            <w:r>
              <w:rPr>
                <w:sz w:val="15"/>
                <w:szCs w:val="15"/>
              </w:rPr>
              <w:t xml:space="preserve"> </w:t>
            </w:r>
            <w:r>
              <w:rPr>
                <w:rFonts w:hAnsi="宋体"/>
                <w:sz w:val="15"/>
                <w:szCs w:val="15"/>
              </w:rPr>
              <w:t>土</w:t>
            </w:r>
          </w:p>
        </w:tc>
        <w:tc>
          <w:tcPr>
            <w:tcW w:w="2037" w:type="dxa"/>
            <w:vAlign w:val="center"/>
          </w:tcPr>
          <w:p w14:paraId="54E24545">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i/>
                <w:sz w:val="15"/>
                <w:szCs w:val="15"/>
              </w:rPr>
              <w:t>I</w:t>
            </w:r>
            <w:r>
              <w:rPr>
                <w:sz w:val="15"/>
                <w:szCs w:val="15"/>
                <w:vertAlign w:val="subscript"/>
              </w:rPr>
              <w:t>L</w:t>
            </w:r>
            <w:r>
              <w:rPr>
                <w:rFonts w:hAnsi="宋体"/>
                <w:sz w:val="15"/>
                <w:szCs w:val="15"/>
              </w:rPr>
              <w:t>＞</w:t>
            </w:r>
            <w:r>
              <w:rPr>
                <w:sz w:val="15"/>
                <w:szCs w:val="15"/>
              </w:rPr>
              <w:t>1</w:t>
            </w:r>
          </w:p>
          <w:p w14:paraId="0E0E01F4">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0.75</w:t>
            </w:r>
            <w:r>
              <w:rPr>
                <w:rFonts w:hAnsi="宋体"/>
                <w:sz w:val="15"/>
                <w:szCs w:val="15"/>
              </w:rPr>
              <w:t>＜</w:t>
            </w:r>
            <w:r>
              <w:rPr>
                <w:i/>
                <w:sz w:val="15"/>
                <w:szCs w:val="15"/>
              </w:rPr>
              <w:t>I</w:t>
            </w:r>
            <w:r>
              <w:rPr>
                <w:sz w:val="15"/>
                <w:szCs w:val="15"/>
                <w:vertAlign w:val="subscript"/>
              </w:rPr>
              <w:t>L</w:t>
            </w:r>
            <w:r>
              <w:rPr>
                <w:rFonts w:hint="eastAsia" w:ascii="宋体" w:hAnsi="宋体"/>
                <w:sz w:val="15"/>
                <w:szCs w:val="15"/>
              </w:rPr>
              <w:t>≤</w:t>
            </w:r>
            <w:r>
              <w:rPr>
                <w:sz w:val="15"/>
                <w:szCs w:val="15"/>
              </w:rPr>
              <w:t>1</w:t>
            </w:r>
          </w:p>
          <w:p w14:paraId="00B3A453">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0.50</w:t>
            </w:r>
            <w:r>
              <w:rPr>
                <w:rFonts w:hAnsi="宋体"/>
                <w:sz w:val="15"/>
                <w:szCs w:val="15"/>
              </w:rPr>
              <w:t>＜</w:t>
            </w:r>
            <w:r>
              <w:rPr>
                <w:i/>
                <w:sz w:val="15"/>
                <w:szCs w:val="15"/>
              </w:rPr>
              <w:t>I</w:t>
            </w:r>
            <w:r>
              <w:rPr>
                <w:sz w:val="15"/>
                <w:szCs w:val="15"/>
                <w:vertAlign w:val="subscript"/>
              </w:rPr>
              <w:t>L</w:t>
            </w:r>
            <w:r>
              <w:rPr>
                <w:rFonts w:hint="eastAsia" w:ascii="宋体" w:hAnsi="宋体"/>
                <w:sz w:val="15"/>
                <w:szCs w:val="15"/>
              </w:rPr>
              <w:t>≤</w:t>
            </w:r>
            <w:r>
              <w:rPr>
                <w:sz w:val="15"/>
                <w:szCs w:val="15"/>
              </w:rPr>
              <w:t>0.75</w:t>
            </w:r>
          </w:p>
          <w:p w14:paraId="10EC7099">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0.25</w:t>
            </w:r>
            <w:r>
              <w:rPr>
                <w:rFonts w:hAnsi="宋体"/>
                <w:sz w:val="15"/>
                <w:szCs w:val="15"/>
              </w:rPr>
              <w:t>＜</w:t>
            </w:r>
            <w:r>
              <w:rPr>
                <w:i/>
                <w:sz w:val="15"/>
                <w:szCs w:val="15"/>
              </w:rPr>
              <w:t>I</w:t>
            </w:r>
            <w:r>
              <w:rPr>
                <w:sz w:val="15"/>
                <w:szCs w:val="15"/>
                <w:vertAlign w:val="subscript"/>
              </w:rPr>
              <w:t>L</w:t>
            </w:r>
            <w:r>
              <w:rPr>
                <w:rFonts w:hint="eastAsia" w:ascii="宋体" w:hAnsi="宋体"/>
                <w:sz w:val="15"/>
                <w:szCs w:val="15"/>
              </w:rPr>
              <w:t>≤</w:t>
            </w:r>
            <w:r>
              <w:rPr>
                <w:sz w:val="15"/>
                <w:szCs w:val="15"/>
              </w:rPr>
              <w:t>0.50</w:t>
            </w:r>
          </w:p>
          <w:p w14:paraId="70452A26">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0.0</w:t>
            </w:r>
            <w:r>
              <w:rPr>
                <w:rFonts w:hAnsi="宋体"/>
                <w:sz w:val="15"/>
                <w:szCs w:val="15"/>
              </w:rPr>
              <w:t>＜</w:t>
            </w:r>
            <w:r>
              <w:rPr>
                <w:i/>
                <w:sz w:val="15"/>
                <w:szCs w:val="15"/>
              </w:rPr>
              <w:t>I</w:t>
            </w:r>
            <w:r>
              <w:rPr>
                <w:sz w:val="15"/>
                <w:szCs w:val="15"/>
                <w:vertAlign w:val="subscript"/>
              </w:rPr>
              <w:t>L</w:t>
            </w:r>
            <w:r>
              <w:rPr>
                <w:rFonts w:hint="eastAsia" w:ascii="宋体" w:hAnsi="宋体"/>
                <w:sz w:val="15"/>
                <w:szCs w:val="15"/>
              </w:rPr>
              <w:t>≤</w:t>
            </w:r>
            <w:r>
              <w:rPr>
                <w:sz w:val="15"/>
                <w:szCs w:val="15"/>
              </w:rPr>
              <w:t>0.25</w:t>
            </w:r>
          </w:p>
          <w:p w14:paraId="59999831">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i/>
                <w:sz w:val="15"/>
                <w:szCs w:val="15"/>
              </w:rPr>
              <w:t>I</w:t>
            </w:r>
            <w:r>
              <w:rPr>
                <w:sz w:val="15"/>
                <w:szCs w:val="15"/>
                <w:vertAlign w:val="subscript"/>
              </w:rPr>
              <w:t>L</w:t>
            </w:r>
            <w:r>
              <w:rPr>
                <w:rFonts w:hint="eastAsia" w:ascii="宋体" w:hAnsi="宋体"/>
                <w:sz w:val="15"/>
                <w:szCs w:val="15"/>
              </w:rPr>
              <w:t>≤</w:t>
            </w:r>
            <w:r>
              <w:rPr>
                <w:sz w:val="15"/>
                <w:szCs w:val="15"/>
              </w:rPr>
              <w:t>0</w:t>
            </w:r>
          </w:p>
        </w:tc>
        <w:tc>
          <w:tcPr>
            <w:tcW w:w="1934" w:type="dxa"/>
            <w:vAlign w:val="center"/>
          </w:tcPr>
          <w:p w14:paraId="30BE5C02">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18</w:t>
            </w:r>
            <w:r>
              <w:rPr>
                <w:rFonts w:hAnsi="宋体"/>
                <w:sz w:val="15"/>
                <w:szCs w:val="15"/>
              </w:rPr>
              <w:t>～</w:t>
            </w:r>
            <w:r>
              <w:rPr>
                <w:sz w:val="15"/>
                <w:szCs w:val="15"/>
              </w:rPr>
              <w:t>30</w:t>
            </w:r>
          </w:p>
          <w:p w14:paraId="17C5678B">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30</w:t>
            </w:r>
            <w:r>
              <w:rPr>
                <w:rFonts w:hAnsi="宋体"/>
                <w:sz w:val="15"/>
                <w:szCs w:val="15"/>
              </w:rPr>
              <w:t>～</w:t>
            </w:r>
            <w:r>
              <w:rPr>
                <w:sz w:val="15"/>
                <w:szCs w:val="15"/>
              </w:rPr>
              <w:t>40</w:t>
            </w:r>
          </w:p>
          <w:p w14:paraId="12D37EE7">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40</w:t>
            </w:r>
            <w:r>
              <w:rPr>
                <w:rFonts w:hAnsi="宋体"/>
                <w:sz w:val="15"/>
                <w:szCs w:val="15"/>
              </w:rPr>
              <w:t>～</w:t>
            </w:r>
            <w:r>
              <w:rPr>
                <w:sz w:val="15"/>
                <w:szCs w:val="15"/>
              </w:rPr>
              <w:t>53</w:t>
            </w:r>
          </w:p>
          <w:p w14:paraId="0D0C2F42">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53</w:t>
            </w:r>
            <w:r>
              <w:rPr>
                <w:rFonts w:hAnsi="宋体"/>
                <w:sz w:val="15"/>
                <w:szCs w:val="15"/>
              </w:rPr>
              <w:t>～</w:t>
            </w:r>
            <w:r>
              <w:rPr>
                <w:sz w:val="15"/>
                <w:szCs w:val="15"/>
              </w:rPr>
              <w:t>65</w:t>
            </w:r>
          </w:p>
          <w:p w14:paraId="1EEB93B9">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65</w:t>
            </w:r>
            <w:r>
              <w:rPr>
                <w:rFonts w:hAnsi="宋体"/>
                <w:sz w:val="15"/>
                <w:szCs w:val="15"/>
              </w:rPr>
              <w:t>～</w:t>
            </w:r>
            <w:r>
              <w:rPr>
                <w:sz w:val="15"/>
                <w:szCs w:val="15"/>
              </w:rPr>
              <w:t>73</w:t>
            </w:r>
          </w:p>
          <w:p w14:paraId="26E95248">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73</w:t>
            </w:r>
            <w:r>
              <w:rPr>
                <w:rFonts w:hAnsi="宋体"/>
                <w:sz w:val="15"/>
                <w:szCs w:val="15"/>
              </w:rPr>
              <w:t>～</w:t>
            </w:r>
            <w:r>
              <w:rPr>
                <w:sz w:val="15"/>
                <w:szCs w:val="15"/>
              </w:rPr>
              <w:t>80</w:t>
            </w:r>
          </w:p>
        </w:tc>
      </w:tr>
      <w:tr w14:paraId="51C4849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1869" w:type="dxa"/>
            <w:vAlign w:val="center"/>
          </w:tcPr>
          <w:p w14:paraId="618EE8A5">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粉</w:t>
            </w:r>
            <w:r>
              <w:rPr>
                <w:sz w:val="15"/>
                <w:szCs w:val="15"/>
              </w:rPr>
              <w:t xml:space="preserve">    </w:t>
            </w:r>
            <w:r>
              <w:rPr>
                <w:rFonts w:hAnsi="宋体"/>
                <w:sz w:val="15"/>
                <w:szCs w:val="15"/>
              </w:rPr>
              <w:t>土</w:t>
            </w:r>
          </w:p>
        </w:tc>
        <w:tc>
          <w:tcPr>
            <w:tcW w:w="2037" w:type="dxa"/>
            <w:vAlign w:val="center"/>
          </w:tcPr>
          <w:p w14:paraId="7FC70DF2">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e</w:t>
            </w:r>
            <w:r>
              <w:rPr>
                <w:rFonts w:hAnsi="宋体"/>
                <w:sz w:val="15"/>
                <w:szCs w:val="15"/>
              </w:rPr>
              <w:t>＞</w:t>
            </w:r>
            <w:r>
              <w:rPr>
                <w:sz w:val="15"/>
                <w:szCs w:val="15"/>
              </w:rPr>
              <w:t>0.90</w:t>
            </w:r>
          </w:p>
          <w:p w14:paraId="46BD6935">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0.75</w:t>
            </w:r>
            <w:r>
              <w:rPr>
                <w:rFonts w:hAnsi="宋体"/>
                <w:sz w:val="15"/>
                <w:szCs w:val="15"/>
              </w:rPr>
              <w:t>＜</w:t>
            </w:r>
            <w:r>
              <w:rPr>
                <w:sz w:val="15"/>
                <w:szCs w:val="15"/>
              </w:rPr>
              <w:t>e</w:t>
            </w:r>
            <w:r>
              <w:rPr>
                <w:rFonts w:hint="eastAsia" w:ascii="宋体" w:hAnsi="宋体"/>
                <w:sz w:val="15"/>
                <w:szCs w:val="15"/>
              </w:rPr>
              <w:t>≤</w:t>
            </w:r>
            <w:r>
              <w:rPr>
                <w:sz w:val="15"/>
                <w:szCs w:val="15"/>
              </w:rPr>
              <w:t>0.90</w:t>
            </w:r>
          </w:p>
          <w:p w14:paraId="1CCA5C4A">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e</w:t>
            </w:r>
            <w:r>
              <w:rPr>
                <w:rFonts w:hint="eastAsia" w:ascii="宋体" w:hAnsi="宋体"/>
                <w:sz w:val="15"/>
                <w:szCs w:val="15"/>
              </w:rPr>
              <w:t>≤</w:t>
            </w:r>
            <w:r>
              <w:rPr>
                <w:sz w:val="15"/>
                <w:szCs w:val="15"/>
              </w:rPr>
              <w:t>0.75</w:t>
            </w:r>
          </w:p>
        </w:tc>
        <w:tc>
          <w:tcPr>
            <w:tcW w:w="1934" w:type="dxa"/>
            <w:vAlign w:val="center"/>
          </w:tcPr>
          <w:p w14:paraId="6CEDF940">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22</w:t>
            </w:r>
            <w:r>
              <w:rPr>
                <w:rFonts w:hAnsi="宋体"/>
                <w:sz w:val="15"/>
                <w:szCs w:val="15"/>
              </w:rPr>
              <w:t>～</w:t>
            </w:r>
            <w:r>
              <w:rPr>
                <w:sz w:val="15"/>
                <w:szCs w:val="15"/>
              </w:rPr>
              <w:t>44</w:t>
            </w:r>
          </w:p>
          <w:p w14:paraId="1E706125">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44</w:t>
            </w:r>
            <w:r>
              <w:rPr>
                <w:rFonts w:hAnsi="宋体"/>
                <w:sz w:val="15"/>
                <w:szCs w:val="15"/>
              </w:rPr>
              <w:t>～</w:t>
            </w:r>
            <w:r>
              <w:rPr>
                <w:sz w:val="15"/>
                <w:szCs w:val="15"/>
              </w:rPr>
              <w:t>64</w:t>
            </w:r>
          </w:p>
          <w:p w14:paraId="733F9891">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64</w:t>
            </w:r>
            <w:r>
              <w:rPr>
                <w:rFonts w:hAnsi="宋体"/>
                <w:sz w:val="15"/>
                <w:szCs w:val="15"/>
              </w:rPr>
              <w:t>～</w:t>
            </w:r>
            <w:r>
              <w:rPr>
                <w:sz w:val="15"/>
                <w:szCs w:val="15"/>
              </w:rPr>
              <w:t>100</w:t>
            </w:r>
          </w:p>
        </w:tc>
      </w:tr>
      <w:tr w14:paraId="14EE6A2A">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1869" w:type="dxa"/>
            <w:vAlign w:val="center"/>
          </w:tcPr>
          <w:p w14:paraId="0DE7114F">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粉砂、细砂</w:t>
            </w:r>
          </w:p>
        </w:tc>
        <w:tc>
          <w:tcPr>
            <w:tcW w:w="2037" w:type="dxa"/>
            <w:vAlign w:val="center"/>
          </w:tcPr>
          <w:p w14:paraId="34769E63">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稍</w:t>
            </w:r>
            <w:r>
              <w:rPr>
                <w:sz w:val="15"/>
                <w:szCs w:val="15"/>
              </w:rPr>
              <w:t xml:space="preserve">    </w:t>
            </w:r>
            <w:r>
              <w:rPr>
                <w:rFonts w:hAnsi="宋体"/>
                <w:sz w:val="15"/>
                <w:szCs w:val="15"/>
              </w:rPr>
              <w:t>密</w:t>
            </w:r>
          </w:p>
          <w:p w14:paraId="61301D1D">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中</w:t>
            </w:r>
            <w:r>
              <w:rPr>
                <w:sz w:val="15"/>
                <w:szCs w:val="15"/>
              </w:rPr>
              <w:t xml:space="preserve">    </w:t>
            </w:r>
            <w:r>
              <w:rPr>
                <w:rFonts w:hAnsi="宋体"/>
                <w:sz w:val="15"/>
                <w:szCs w:val="15"/>
              </w:rPr>
              <w:t>密</w:t>
            </w:r>
          </w:p>
          <w:p w14:paraId="62786AC6">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密</w:t>
            </w:r>
            <w:r>
              <w:rPr>
                <w:sz w:val="15"/>
                <w:szCs w:val="15"/>
              </w:rPr>
              <w:t xml:space="preserve">    </w:t>
            </w:r>
            <w:r>
              <w:rPr>
                <w:rFonts w:hAnsi="宋体"/>
                <w:sz w:val="15"/>
                <w:szCs w:val="15"/>
              </w:rPr>
              <w:t>实</w:t>
            </w:r>
          </w:p>
        </w:tc>
        <w:tc>
          <w:tcPr>
            <w:tcW w:w="1934" w:type="dxa"/>
            <w:vAlign w:val="center"/>
          </w:tcPr>
          <w:p w14:paraId="547F46DD">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22</w:t>
            </w:r>
            <w:r>
              <w:rPr>
                <w:rFonts w:hAnsi="宋体"/>
                <w:sz w:val="15"/>
                <w:szCs w:val="15"/>
              </w:rPr>
              <w:t>～</w:t>
            </w:r>
            <w:r>
              <w:rPr>
                <w:sz w:val="15"/>
                <w:szCs w:val="15"/>
              </w:rPr>
              <w:t>42</w:t>
            </w:r>
          </w:p>
          <w:p w14:paraId="7EFFEFB8">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42</w:t>
            </w:r>
            <w:r>
              <w:rPr>
                <w:rFonts w:hAnsi="宋体"/>
                <w:sz w:val="15"/>
                <w:szCs w:val="15"/>
              </w:rPr>
              <w:t>～</w:t>
            </w:r>
            <w:r>
              <w:rPr>
                <w:sz w:val="15"/>
                <w:szCs w:val="15"/>
              </w:rPr>
              <w:t>63</w:t>
            </w:r>
          </w:p>
          <w:p w14:paraId="15CE0418">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63</w:t>
            </w:r>
            <w:r>
              <w:rPr>
                <w:rFonts w:hAnsi="宋体"/>
                <w:sz w:val="15"/>
                <w:szCs w:val="15"/>
              </w:rPr>
              <w:t>～</w:t>
            </w:r>
            <w:r>
              <w:rPr>
                <w:sz w:val="15"/>
                <w:szCs w:val="15"/>
              </w:rPr>
              <w:t>85</w:t>
            </w:r>
          </w:p>
        </w:tc>
      </w:tr>
      <w:tr w14:paraId="035B732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1869" w:type="dxa"/>
            <w:vAlign w:val="center"/>
          </w:tcPr>
          <w:p w14:paraId="14DA1B23">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中</w:t>
            </w:r>
            <w:r>
              <w:rPr>
                <w:sz w:val="15"/>
                <w:szCs w:val="15"/>
              </w:rPr>
              <w:t xml:space="preserve">    </w:t>
            </w:r>
            <w:r>
              <w:rPr>
                <w:rFonts w:hAnsi="宋体"/>
                <w:sz w:val="15"/>
                <w:szCs w:val="15"/>
              </w:rPr>
              <w:t>砂</w:t>
            </w:r>
          </w:p>
        </w:tc>
        <w:tc>
          <w:tcPr>
            <w:tcW w:w="2037" w:type="dxa"/>
            <w:vAlign w:val="center"/>
          </w:tcPr>
          <w:p w14:paraId="2383DB93">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稍</w:t>
            </w:r>
            <w:r>
              <w:rPr>
                <w:sz w:val="15"/>
                <w:szCs w:val="15"/>
              </w:rPr>
              <w:t xml:space="preserve">    </w:t>
            </w:r>
            <w:r>
              <w:rPr>
                <w:rFonts w:hAnsi="宋体"/>
                <w:sz w:val="15"/>
                <w:szCs w:val="15"/>
              </w:rPr>
              <w:t>密</w:t>
            </w:r>
          </w:p>
          <w:p w14:paraId="0E0263EE">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中</w:t>
            </w:r>
            <w:r>
              <w:rPr>
                <w:sz w:val="15"/>
                <w:szCs w:val="15"/>
              </w:rPr>
              <w:t xml:space="preserve">    </w:t>
            </w:r>
            <w:r>
              <w:rPr>
                <w:rFonts w:hAnsi="宋体"/>
                <w:sz w:val="15"/>
                <w:szCs w:val="15"/>
              </w:rPr>
              <w:t>密</w:t>
            </w:r>
          </w:p>
          <w:p w14:paraId="2CE6723C">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rFonts w:hAnsi="宋体"/>
                <w:sz w:val="15"/>
                <w:szCs w:val="15"/>
              </w:rPr>
              <w:t>密</w:t>
            </w:r>
            <w:r>
              <w:rPr>
                <w:sz w:val="15"/>
                <w:szCs w:val="15"/>
              </w:rPr>
              <w:t xml:space="preserve">    </w:t>
            </w:r>
            <w:r>
              <w:rPr>
                <w:rFonts w:hAnsi="宋体"/>
                <w:sz w:val="15"/>
                <w:szCs w:val="15"/>
              </w:rPr>
              <w:t>实</w:t>
            </w:r>
          </w:p>
        </w:tc>
        <w:tc>
          <w:tcPr>
            <w:tcW w:w="1934" w:type="dxa"/>
            <w:vAlign w:val="center"/>
          </w:tcPr>
          <w:p w14:paraId="36C93B32">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54</w:t>
            </w:r>
            <w:r>
              <w:rPr>
                <w:rFonts w:hAnsi="宋体"/>
                <w:sz w:val="15"/>
                <w:szCs w:val="15"/>
              </w:rPr>
              <w:t>～</w:t>
            </w:r>
            <w:r>
              <w:rPr>
                <w:sz w:val="15"/>
                <w:szCs w:val="15"/>
              </w:rPr>
              <w:t>74</w:t>
            </w:r>
          </w:p>
          <w:p w14:paraId="2B5E6CA0">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74</w:t>
            </w:r>
            <w:r>
              <w:rPr>
                <w:rFonts w:hAnsi="宋体"/>
                <w:sz w:val="15"/>
                <w:szCs w:val="15"/>
              </w:rPr>
              <w:t>～</w:t>
            </w:r>
            <w:r>
              <w:rPr>
                <w:sz w:val="15"/>
                <w:szCs w:val="15"/>
              </w:rPr>
              <w:t>90</w:t>
            </w:r>
          </w:p>
          <w:p w14:paraId="0824B617">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90</w:t>
            </w:r>
            <w:r>
              <w:rPr>
                <w:rFonts w:hAnsi="宋体"/>
                <w:sz w:val="15"/>
                <w:szCs w:val="15"/>
              </w:rPr>
              <w:t>～</w:t>
            </w:r>
            <w:r>
              <w:rPr>
                <w:sz w:val="15"/>
                <w:szCs w:val="15"/>
              </w:rPr>
              <w:t>120</w:t>
            </w:r>
          </w:p>
        </w:tc>
      </w:tr>
      <w:tr w14:paraId="6F2B9B4F">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1869" w:type="dxa"/>
            <w:vAlign w:val="center"/>
          </w:tcPr>
          <w:p w14:paraId="0724BD64">
            <w:pPr>
              <w:tabs>
                <w:tab w:val="left" w:pos="720"/>
                <w:tab w:val="left" w:pos="854"/>
                <w:tab w:val="left" w:pos="1620"/>
                <w:tab w:val="left" w:pos="2160"/>
                <w:tab w:val="left" w:pos="3060"/>
                <w:tab w:val="left" w:pos="7020"/>
              </w:tabs>
              <w:adjustRightInd w:val="0"/>
              <w:snapToGrid w:val="0"/>
              <w:spacing w:line="264" w:lineRule="auto"/>
              <w:jc w:val="center"/>
              <w:rPr>
                <w:rFonts w:hAnsi="宋体"/>
                <w:sz w:val="15"/>
                <w:szCs w:val="15"/>
              </w:rPr>
            </w:pPr>
            <w:r>
              <w:rPr>
                <w:rFonts w:hint="eastAsia" w:ascii="宋体" w:hAnsi="宋体"/>
                <w:sz w:val="15"/>
                <w:szCs w:val="15"/>
              </w:rPr>
              <w:t>粗</w:t>
            </w:r>
            <w:r>
              <w:rPr>
                <w:rFonts w:ascii="宋体" w:hAnsi="宋体"/>
                <w:sz w:val="15"/>
                <w:szCs w:val="15"/>
              </w:rPr>
              <w:t xml:space="preserve">    </w:t>
            </w:r>
            <w:r>
              <w:rPr>
                <w:rFonts w:hint="eastAsia" w:ascii="宋体" w:hAnsi="宋体"/>
                <w:sz w:val="15"/>
                <w:szCs w:val="15"/>
              </w:rPr>
              <w:t>砂</w:t>
            </w:r>
          </w:p>
        </w:tc>
        <w:tc>
          <w:tcPr>
            <w:tcW w:w="2037" w:type="dxa"/>
            <w:vAlign w:val="center"/>
          </w:tcPr>
          <w:p w14:paraId="54426DFD">
            <w:pPr>
              <w:tabs>
                <w:tab w:val="left" w:pos="720"/>
                <w:tab w:val="left" w:pos="854"/>
                <w:tab w:val="left" w:pos="1620"/>
                <w:tab w:val="left" w:pos="2160"/>
                <w:tab w:val="left" w:pos="3060"/>
                <w:tab w:val="left" w:pos="7020"/>
              </w:tabs>
              <w:adjustRightInd w:val="0"/>
              <w:snapToGrid w:val="0"/>
              <w:spacing w:line="264" w:lineRule="auto"/>
              <w:jc w:val="center"/>
              <w:rPr>
                <w:rFonts w:ascii="宋体" w:hAnsi="宋体"/>
                <w:sz w:val="15"/>
                <w:szCs w:val="15"/>
              </w:rPr>
            </w:pPr>
            <w:r>
              <w:rPr>
                <w:rFonts w:hint="eastAsia" w:ascii="宋体" w:hAnsi="宋体"/>
                <w:sz w:val="15"/>
                <w:szCs w:val="15"/>
              </w:rPr>
              <w:t>稍</w:t>
            </w:r>
            <w:r>
              <w:rPr>
                <w:rFonts w:ascii="宋体" w:hAnsi="宋体"/>
                <w:sz w:val="15"/>
                <w:szCs w:val="15"/>
              </w:rPr>
              <w:t xml:space="preserve">    </w:t>
            </w:r>
            <w:r>
              <w:rPr>
                <w:rFonts w:hint="eastAsia" w:ascii="宋体" w:hAnsi="宋体"/>
                <w:sz w:val="15"/>
                <w:szCs w:val="15"/>
              </w:rPr>
              <w:t>密</w:t>
            </w:r>
          </w:p>
          <w:p w14:paraId="5AE314D2">
            <w:pPr>
              <w:tabs>
                <w:tab w:val="left" w:pos="720"/>
                <w:tab w:val="left" w:pos="854"/>
                <w:tab w:val="left" w:pos="1620"/>
                <w:tab w:val="left" w:pos="2160"/>
                <w:tab w:val="left" w:pos="3060"/>
                <w:tab w:val="left" w:pos="7020"/>
              </w:tabs>
              <w:adjustRightInd w:val="0"/>
              <w:snapToGrid w:val="0"/>
              <w:spacing w:line="264" w:lineRule="auto"/>
              <w:jc w:val="center"/>
              <w:rPr>
                <w:rFonts w:ascii="宋体" w:hAnsi="宋体"/>
                <w:sz w:val="15"/>
                <w:szCs w:val="15"/>
              </w:rPr>
            </w:pPr>
            <w:r>
              <w:rPr>
                <w:rFonts w:hint="eastAsia" w:ascii="宋体" w:hAnsi="宋体"/>
                <w:sz w:val="15"/>
                <w:szCs w:val="15"/>
              </w:rPr>
              <w:t>中</w:t>
            </w:r>
            <w:r>
              <w:rPr>
                <w:rFonts w:ascii="宋体" w:hAnsi="宋体"/>
                <w:sz w:val="15"/>
                <w:szCs w:val="15"/>
              </w:rPr>
              <w:t xml:space="preserve">    </w:t>
            </w:r>
            <w:r>
              <w:rPr>
                <w:rFonts w:hint="eastAsia" w:ascii="宋体" w:hAnsi="宋体"/>
                <w:sz w:val="15"/>
                <w:szCs w:val="15"/>
              </w:rPr>
              <w:t>密</w:t>
            </w:r>
          </w:p>
          <w:p w14:paraId="71EAB2D5">
            <w:pPr>
              <w:tabs>
                <w:tab w:val="left" w:pos="720"/>
                <w:tab w:val="left" w:pos="854"/>
                <w:tab w:val="left" w:pos="1620"/>
                <w:tab w:val="left" w:pos="2160"/>
                <w:tab w:val="left" w:pos="3060"/>
                <w:tab w:val="left" w:pos="7020"/>
              </w:tabs>
              <w:adjustRightInd w:val="0"/>
              <w:snapToGrid w:val="0"/>
              <w:spacing w:line="264" w:lineRule="auto"/>
              <w:jc w:val="center"/>
              <w:rPr>
                <w:rFonts w:hAnsi="宋体"/>
                <w:sz w:val="15"/>
                <w:szCs w:val="15"/>
              </w:rPr>
            </w:pPr>
            <w:r>
              <w:rPr>
                <w:rFonts w:hint="eastAsia" w:ascii="宋体" w:hAnsi="宋体"/>
                <w:sz w:val="15"/>
                <w:szCs w:val="15"/>
              </w:rPr>
              <w:t>密</w:t>
            </w:r>
            <w:r>
              <w:rPr>
                <w:rFonts w:ascii="宋体" w:hAnsi="宋体"/>
                <w:sz w:val="15"/>
                <w:szCs w:val="15"/>
              </w:rPr>
              <w:t xml:space="preserve">    </w:t>
            </w:r>
            <w:r>
              <w:rPr>
                <w:rFonts w:hint="eastAsia" w:ascii="宋体" w:hAnsi="宋体"/>
                <w:sz w:val="15"/>
                <w:szCs w:val="15"/>
              </w:rPr>
              <w:t>实</w:t>
            </w:r>
          </w:p>
        </w:tc>
        <w:tc>
          <w:tcPr>
            <w:tcW w:w="1934" w:type="dxa"/>
            <w:vAlign w:val="center"/>
          </w:tcPr>
          <w:p w14:paraId="34AD559B">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90</w:t>
            </w:r>
            <w:r>
              <w:rPr>
                <w:rFonts w:hAnsi="宋体"/>
                <w:sz w:val="15"/>
                <w:szCs w:val="15"/>
              </w:rPr>
              <w:t>～</w:t>
            </w:r>
            <w:r>
              <w:rPr>
                <w:sz w:val="15"/>
                <w:szCs w:val="15"/>
              </w:rPr>
              <w:t>130</w:t>
            </w:r>
          </w:p>
          <w:p w14:paraId="16633E71">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130</w:t>
            </w:r>
            <w:r>
              <w:rPr>
                <w:rFonts w:hAnsi="宋体"/>
                <w:sz w:val="15"/>
                <w:szCs w:val="15"/>
              </w:rPr>
              <w:t>～</w:t>
            </w:r>
            <w:r>
              <w:rPr>
                <w:sz w:val="15"/>
                <w:szCs w:val="15"/>
              </w:rPr>
              <w:t>170</w:t>
            </w:r>
          </w:p>
          <w:p w14:paraId="3EAB9529">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170</w:t>
            </w:r>
            <w:r>
              <w:rPr>
                <w:rFonts w:hAnsi="宋体"/>
                <w:sz w:val="15"/>
                <w:szCs w:val="15"/>
              </w:rPr>
              <w:t>～</w:t>
            </w:r>
            <w:r>
              <w:rPr>
                <w:sz w:val="15"/>
                <w:szCs w:val="15"/>
              </w:rPr>
              <w:t>220</w:t>
            </w:r>
          </w:p>
        </w:tc>
      </w:tr>
      <w:tr w14:paraId="412B26A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1869" w:type="dxa"/>
            <w:vAlign w:val="center"/>
          </w:tcPr>
          <w:p w14:paraId="79242F3E">
            <w:pPr>
              <w:tabs>
                <w:tab w:val="left" w:pos="720"/>
                <w:tab w:val="left" w:pos="854"/>
                <w:tab w:val="left" w:pos="1620"/>
                <w:tab w:val="left" w:pos="2160"/>
                <w:tab w:val="left" w:pos="3060"/>
                <w:tab w:val="left" w:pos="7020"/>
              </w:tabs>
              <w:adjustRightInd w:val="0"/>
              <w:snapToGrid w:val="0"/>
              <w:spacing w:line="264" w:lineRule="auto"/>
              <w:jc w:val="center"/>
              <w:rPr>
                <w:rFonts w:hAnsi="宋体"/>
                <w:sz w:val="15"/>
                <w:szCs w:val="15"/>
              </w:rPr>
            </w:pPr>
            <w:r>
              <w:rPr>
                <w:rFonts w:hint="eastAsia" w:ascii="宋体" w:hAnsi="宋体"/>
                <w:sz w:val="15"/>
                <w:szCs w:val="15"/>
              </w:rPr>
              <w:t>砾</w:t>
            </w:r>
            <w:r>
              <w:rPr>
                <w:rFonts w:ascii="宋体" w:hAnsi="宋体"/>
                <w:sz w:val="15"/>
                <w:szCs w:val="15"/>
              </w:rPr>
              <w:t xml:space="preserve">    </w:t>
            </w:r>
            <w:r>
              <w:rPr>
                <w:rFonts w:hint="eastAsia" w:ascii="宋体" w:hAnsi="宋体"/>
                <w:sz w:val="15"/>
                <w:szCs w:val="15"/>
              </w:rPr>
              <w:t>砂</w:t>
            </w:r>
          </w:p>
        </w:tc>
        <w:tc>
          <w:tcPr>
            <w:tcW w:w="2037" w:type="dxa"/>
            <w:vAlign w:val="center"/>
          </w:tcPr>
          <w:p w14:paraId="409A033F">
            <w:pPr>
              <w:tabs>
                <w:tab w:val="left" w:pos="720"/>
                <w:tab w:val="left" w:pos="854"/>
                <w:tab w:val="left" w:pos="1620"/>
                <w:tab w:val="left" w:pos="2160"/>
                <w:tab w:val="left" w:pos="3060"/>
                <w:tab w:val="left" w:pos="7020"/>
              </w:tabs>
              <w:adjustRightInd w:val="0"/>
              <w:snapToGrid w:val="0"/>
              <w:spacing w:line="264" w:lineRule="auto"/>
              <w:jc w:val="center"/>
              <w:rPr>
                <w:rFonts w:hAnsi="宋体"/>
                <w:sz w:val="15"/>
                <w:szCs w:val="15"/>
              </w:rPr>
            </w:pPr>
            <w:r>
              <w:rPr>
                <w:rFonts w:hint="eastAsia" w:ascii="宋体" w:hAnsi="宋体"/>
                <w:sz w:val="15"/>
                <w:szCs w:val="15"/>
              </w:rPr>
              <w:t>中密、密实</w:t>
            </w:r>
          </w:p>
        </w:tc>
        <w:tc>
          <w:tcPr>
            <w:tcW w:w="1934" w:type="dxa"/>
            <w:vAlign w:val="center"/>
          </w:tcPr>
          <w:p w14:paraId="5F9BCA68">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190</w:t>
            </w:r>
            <w:r>
              <w:rPr>
                <w:rFonts w:hAnsi="宋体"/>
                <w:sz w:val="15"/>
                <w:szCs w:val="15"/>
              </w:rPr>
              <w:t>～</w:t>
            </w:r>
            <w:r>
              <w:rPr>
                <w:sz w:val="15"/>
                <w:szCs w:val="15"/>
              </w:rPr>
              <w:t>260</w:t>
            </w:r>
          </w:p>
        </w:tc>
      </w:tr>
      <w:tr w14:paraId="7E242BC7">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1869" w:type="dxa"/>
            <w:vAlign w:val="center"/>
          </w:tcPr>
          <w:p w14:paraId="64631EF1">
            <w:pPr>
              <w:tabs>
                <w:tab w:val="left" w:pos="720"/>
                <w:tab w:val="left" w:pos="854"/>
                <w:tab w:val="left" w:pos="1620"/>
                <w:tab w:val="left" w:pos="2160"/>
                <w:tab w:val="left" w:pos="3060"/>
                <w:tab w:val="left" w:pos="7020"/>
              </w:tabs>
              <w:adjustRightInd w:val="0"/>
              <w:snapToGrid w:val="0"/>
              <w:spacing w:line="264" w:lineRule="auto"/>
              <w:jc w:val="center"/>
              <w:rPr>
                <w:rFonts w:hAnsi="宋体"/>
                <w:sz w:val="15"/>
                <w:szCs w:val="15"/>
              </w:rPr>
            </w:pPr>
            <w:r>
              <w:rPr>
                <w:rFonts w:hint="eastAsia" w:ascii="宋体" w:hAnsi="宋体"/>
                <w:sz w:val="15"/>
                <w:szCs w:val="15"/>
              </w:rPr>
              <w:t>卵    石</w:t>
            </w:r>
          </w:p>
        </w:tc>
        <w:tc>
          <w:tcPr>
            <w:tcW w:w="2037" w:type="dxa"/>
            <w:vAlign w:val="center"/>
          </w:tcPr>
          <w:p w14:paraId="13DEF424">
            <w:pPr>
              <w:tabs>
                <w:tab w:val="left" w:pos="720"/>
                <w:tab w:val="left" w:pos="854"/>
                <w:tab w:val="left" w:pos="1620"/>
                <w:tab w:val="left" w:pos="2160"/>
                <w:tab w:val="left" w:pos="3060"/>
                <w:tab w:val="left" w:pos="7020"/>
              </w:tabs>
              <w:adjustRightInd w:val="0"/>
              <w:snapToGrid w:val="0"/>
              <w:spacing w:line="264" w:lineRule="auto"/>
              <w:jc w:val="center"/>
              <w:rPr>
                <w:rFonts w:hAnsi="宋体"/>
                <w:sz w:val="15"/>
                <w:szCs w:val="15"/>
              </w:rPr>
            </w:pPr>
            <w:r>
              <w:rPr>
                <w:rFonts w:hint="eastAsia" w:ascii="宋体" w:hAnsi="宋体"/>
                <w:sz w:val="15"/>
                <w:szCs w:val="15"/>
              </w:rPr>
              <w:t>中密、密实</w:t>
            </w:r>
          </w:p>
        </w:tc>
        <w:tc>
          <w:tcPr>
            <w:tcW w:w="1934" w:type="dxa"/>
            <w:vAlign w:val="center"/>
          </w:tcPr>
          <w:p w14:paraId="3A58D1FD">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200</w:t>
            </w:r>
            <w:r>
              <w:rPr>
                <w:rFonts w:hAnsi="宋体"/>
                <w:sz w:val="15"/>
                <w:szCs w:val="15"/>
              </w:rPr>
              <w:t>～</w:t>
            </w:r>
            <w:r>
              <w:rPr>
                <w:sz w:val="15"/>
                <w:szCs w:val="15"/>
              </w:rPr>
              <w:t>300</w:t>
            </w:r>
          </w:p>
        </w:tc>
      </w:tr>
    </w:tbl>
    <w:p w14:paraId="43A5E01C">
      <w:pPr>
        <w:rPr>
          <w:rFonts w:ascii="宋体" w:hAnsi="宋体"/>
          <w:sz w:val="15"/>
          <w:szCs w:val="15"/>
        </w:rPr>
      </w:pPr>
    </w:p>
    <w:p w14:paraId="07A2EA17">
      <w:pPr>
        <w:pStyle w:val="18"/>
        <w:adjustRightInd w:val="0"/>
        <w:snapToGrid w:val="0"/>
        <w:spacing w:after="156" w:afterLines="50" w:line="288" w:lineRule="auto"/>
        <w:ind w:left="720" w:leftChars="200" w:hanging="300" w:hangingChars="200"/>
        <w:rPr>
          <w:rFonts w:ascii="宋体" w:hAnsi="宋体"/>
          <w:sz w:val="20"/>
          <w:szCs w:val="20"/>
        </w:rPr>
      </w:pPr>
      <w:r>
        <w:rPr>
          <w:rFonts w:hint="eastAsia" w:ascii="宋体" w:hAnsi="宋体"/>
          <w:bCs/>
          <w:sz w:val="15"/>
          <w:szCs w:val="15"/>
        </w:rPr>
        <w:t>注：表中</w:t>
      </w:r>
      <w:r>
        <w:rPr>
          <w:rFonts w:ascii="Times New Roman" w:hAnsi="Times New Roman"/>
          <w:bCs/>
          <w:i/>
          <w:sz w:val="18"/>
          <w:szCs w:val="18"/>
        </w:rPr>
        <w:t>q</w:t>
      </w:r>
      <w:r>
        <w:rPr>
          <w:rFonts w:ascii="Times New Roman" w:hAnsi="Times New Roman"/>
          <w:bCs/>
          <w:sz w:val="18"/>
          <w:szCs w:val="18"/>
          <w:vertAlign w:val="subscript"/>
        </w:rPr>
        <w:t>sk</w:t>
      </w:r>
      <w:r>
        <w:rPr>
          <w:rFonts w:hint="eastAsia" w:ascii="宋体" w:hAnsi="宋体"/>
          <w:bCs/>
          <w:sz w:val="15"/>
          <w:szCs w:val="15"/>
        </w:rPr>
        <w:t>系采用直孔一次常压注浆工艺的经验值，当采用二次注浆、扩孔工艺时可根据试验确定。</w:t>
      </w:r>
    </w:p>
    <w:p w14:paraId="1F4A283B">
      <w:pPr>
        <w:adjustRightInd w:val="0"/>
        <w:snapToGrid w:val="0"/>
        <w:spacing w:line="288" w:lineRule="auto"/>
        <w:rPr>
          <w:rFonts w:ascii="宋体" w:hAnsi="宋体"/>
          <w:sz w:val="20"/>
          <w:szCs w:val="20"/>
        </w:rPr>
      </w:pPr>
      <w:r>
        <w:rPr>
          <w:b/>
          <w:kern w:val="0"/>
          <w:sz w:val="20"/>
          <w:szCs w:val="20"/>
        </w:rPr>
        <w:t>7.6.4</w:t>
      </w:r>
      <w:r>
        <w:rPr>
          <w:b/>
          <w:sz w:val="20"/>
          <w:szCs w:val="20"/>
        </w:rPr>
        <w:t xml:space="preserve"> </w:t>
      </w:r>
      <w:r>
        <w:rPr>
          <w:rFonts w:hint="eastAsia" w:ascii="宋体" w:hAnsi="宋体"/>
          <w:sz w:val="20"/>
          <w:szCs w:val="20"/>
        </w:rPr>
        <w:t xml:space="preserve"> 锚杆杆体的截面面积应符合下式规定：</w:t>
      </w:r>
    </w:p>
    <w:p w14:paraId="58BCA236">
      <w:pPr>
        <w:tabs>
          <w:tab w:val="left" w:pos="602"/>
          <w:tab w:val="left" w:pos="854"/>
          <w:tab w:val="left" w:pos="1620"/>
          <w:tab w:val="left" w:pos="2160"/>
          <w:tab w:val="left" w:pos="7020"/>
        </w:tabs>
        <w:adjustRightInd w:val="0"/>
        <w:snapToGrid w:val="0"/>
        <w:spacing w:line="288" w:lineRule="auto"/>
        <w:ind w:firstLine="402" w:firstLineChars="200"/>
        <w:rPr>
          <w:rFonts w:ascii="宋体" w:hAnsi="宋体"/>
          <w:sz w:val="20"/>
          <w:szCs w:val="20"/>
        </w:rPr>
      </w:pPr>
      <w:r>
        <w:rPr>
          <w:b/>
          <w:sz w:val="20"/>
          <w:szCs w:val="20"/>
        </w:rPr>
        <w:t>1</w:t>
      </w:r>
      <w:r>
        <w:rPr>
          <w:rFonts w:ascii="宋体" w:hAnsi="宋体"/>
          <w:sz w:val="20"/>
          <w:szCs w:val="20"/>
        </w:rPr>
        <w:t xml:space="preserve"> </w:t>
      </w:r>
      <w:r>
        <w:rPr>
          <w:rFonts w:hint="eastAsia" w:ascii="宋体" w:hAnsi="宋体"/>
          <w:sz w:val="20"/>
          <w:szCs w:val="20"/>
        </w:rPr>
        <w:t xml:space="preserve"> 普通钢筋：</w:t>
      </w:r>
    </w:p>
    <w:p w14:paraId="3C5575BF">
      <w:pPr>
        <w:adjustRightInd w:val="0"/>
        <w:snapToGrid w:val="0"/>
        <w:spacing w:line="288" w:lineRule="auto"/>
        <w:ind w:left="283" w:leftChars="135" w:firstLine="566" w:firstLineChars="283"/>
        <w:jc w:val="center"/>
        <w:rPr>
          <w:rFonts w:ascii="宋体" w:hAnsi="宋体"/>
          <w:sz w:val="20"/>
          <w:szCs w:val="20"/>
        </w:rPr>
      </w:pPr>
      <w:r>
        <w:rPr>
          <w:rFonts w:ascii="宋体" w:hAnsi="宋体"/>
          <w:position w:val="-24"/>
          <w:sz w:val="20"/>
          <w:szCs w:val="20"/>
        </w:rPr>
        <w:object>
          <v:shape id="_x0000_i1098" o:spt="75" type="#_x0000_t75" style="height:27.65pt;width:44.95pt;" o:ole="t" filled="t" o:preferrelative="t" stroked="f" coordsize="21600,21600">
            <v:path/>
            <v:fill on="t" focussize="0,0"/>
            <v:stroke on="f" joinstyle="miter"/>
            <v:imagedata r:id="rId162" o:title=""/>
            <o:lock v:ext="edit" aspectratio="t"/>
            <w10:wrap type="none"/>
            <w10:anchorlock/>
          </v:shape>
          <o:OLEObject Type="Embed" ProgID="Equation.3" ShapeID="_x0000_i1098" DrawAspect="Content" ObjectID="_1468075800" r:id="rId161">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hint="eastAsia" w:ascii="宋体" w:hAnsi="宋体"/>
          <w:sz w:val="20"/>
          <w:szCs w:val="20"/>
        </w:rPr>
        <w:t xml:space="preserve">     （</w:t>
      </w:r>
      <w:r>
        <w:rPr>
          <w:sz w:val="20"/>
          <w:szCs w:val="20"/>
        </w:rPr>
        <w:t>7.6.</w:t>
      </w:r>
      <w:r>
        <w:rPr>
          <w:rFonts w:hint="eastAsia"/>
          <w:sz w:val="20"/>
          <w:szCs w:val="20"/>
        </w:rPr>
        <w:t>4-</w:t>
      </w:r>
      <w:r>
        <w:rPr>
          <w:sz w:val="20"/>
          <w:szCs w:val="20"/>
        </w:rPr>
        <w:t>1</w:t>
      </w:r>
      <w:r>
        <w:rPr>
          <w:rFonts w:hint="eastAsia" w:ascii="宋体" w:hAnsi="宋体"/>
          <w:sz w:val="20"/>
          <w:szCs w:val="20"/>
        </w:rPr>
        <w:t>）</w:t>
      </w:r>
    </w:p>
    <w:p w14:paraId="030FF4C5">
      <w:pPr>
        <w:adjustRightInd w:val="0"/>
        <w:snapToGrid w:val="0"/>
        <w:spacing w:line="288" w:lineRule="auto"/>
        <w:ind w:firstLine="402" w:firstLineChars="200"/>
        <w:rPr>
          <w:rFonts w:ascii="宋体" w:hAnsi="宋体"/>
          <w:sz w:val="20"/>
          <w:szCs w:val="20"/>
        </w:rPr>
      </w:pPr>
      <w:r>
        <w:rPr>
          <w:b/>
          <w:sz w:val="20"/>
          <w:szCs w:val="20"/>
        </w:rPr>
        <w:t>2</w:t>
      </w:r>
      <w:r>
        <w:rPr>
          <w:rFonts w:ascii="宋体" w:hAnsi="宋体"/>
          <w:sz w:val="20"/>
          <w:szCs w:val="20"/>
        </w:rPr>
        <w:t xml:space="preserve"> </w:t>
      </w:r>
      <w:r>
        <w:rPr>
          <w:rFonts w:hint="eastAsia" w:ascii="宋体" w:hAnsi="宋体"/>
          <w:sz w:val="20"/>
          <w:szCs w:val="20"/>
        </w:rPr>
        <w:t xml:space="preserve"> 预应力钢筋：</w:t>
      </w:r>
    </w:p>
    <w:p w14:paraId="054315DF">
      <w:pPr>
        <w:adjustRightInd w:val="0"/>
        <w:snapToGrid w:val="0"/>
        <w:spacing w:line="288" w:lineRule="auto"/>
        <w:ind w:left="4" w:right="-200" w:firstLine="3200" w:firstLineChars="1600"/>
        <w:rPr>
          <w:rFonts w:ascii="宋体" w:hAnsi="宋体"/>
          <w:sz w:val="20"/>
          <w:szCs w:val="20"/>
        </w:rPr>
      </w:pPr>
      <w:r>
        <w:rPr>
          <w:rFonts w:ascii="宋体" w:hAnsi="宋体"/>
          <w:position w:val="-24"/>
          <w:sz w:val="20"/>
          <w:szCs w:val="20"/>
        </w:rPr>
        <w:object>
          <v:shape id="_x0000_i1099" o:spt="75" type="#_x0000_t75" style="height:27.65pt;width:51.85pt;" o:ole="t" filled="t" o:preferrelative="t" stroked="f" coordsize="21600,21600">
            <v:path/>
            <v:fill on="t" focussize="0,0"/>
            <v:stroke on="f" joinstyle="miter"/>
            <v:imagedata r:id="rId164" o:title=""/>
            <o:lock v:ext="edit" aspectratio="t"/>
            <w10:wrap type="none"/>
            <w10:anchorlock/>
          </v:shape>
          <o:OLEObject Type="Embed" ProgID="Equation.3" ShapeID="_x0000_i1099" DrawAspect="Content" ObjectID="_1468075801" r:id="rId163">
            <o:LockedField>false</o:LockedField>
          </o:OLEObject>
        </w:object>
      </w:r>
      <w:r>
        <w:rPr>
          <w:rFonts w:ascii="宋体" w:hAnsi="宋体"/>
          <w:sz w:val="20"/>
          <w:szCs w:val="20"/>
        </w:rPr>
        <w:tab/>
      </w:r>
      <w:r>
        <w:rPr>
          <w:rFonts w:hint="eastAsia" w:ascii="宋体" w:hAnsi="宋体"/>
          <w:sz w:val="20"/>
          <w:szCs w:val="20"/>
        </w:rPr>
        <w:t xml:space="preserve">                 （</w:t>
      </w:r>
      <w:r>
        <w:rPr>
          <w:sz w:val="20"/>
          <w:szCs w:val="20"/>
        </w:rPr>
        <w:t>7.6.</w:t>
      </w:r>
      <w:r>
        <w:rPr>
          <w:rFonts w:hint="eastAsia"/>
          <w:sz w:val="20"/>
          <w:szCs w:val="20"/>
        </w:rPr>
        <w:t>4-</w:t>
      </w:r>
      <w:r>
        <w:rPr>
          <w:sz w:val="20"/>
          <w:szCs w:val="20"/>
        </w:rPr>
        <w:t>2</w:t>
      </w:r>
      <w:r>
        <w:rPr>
          <w:rFonts w:hint="eastAsia" w:ascii="宋体" w:hAnsi="宋体"/>
          <w:sz w:val="20"/>
          <w:szCs w:val="20"/>
        </w:rPr>
        <w:t>）</w:t>
      </w:r>
    </w:p>
    <w:p w14:paraId="47A9A8F8">
      <w:pPr>
        <w:adjustRightInd w:val="0"/>
        <w:snapToGrid w:val="0"/>
        <w:spacing w:line="288" w:lineRule="auto"/>
        <w:ind w:left="1162" w:hanging="1162" w:hangingChars="581"/>
        <w:rPr>
          <w:rFonts w:ascii="宋体" w:hAnsi="宋体"/>
          <w:sz w:val="20"/>
          <w:szCs w:val="20"/>
        </w:rPr>
      </w:pPr>
      <w:r>
        <w:rPr>
          <w:rFonts w:hint="eastAsia" w:ascii="宋体" w:hAnsi="宋体"/>
          <w:sz w:val="20"/>
          <w:szCs w:val="20"/>
        </w:rPr>
        <w:t>式中：</w:t>
      </w:r>
      <w:r>
        <w:rPr>
          <w:i/>
          <w:sz w:val="20"/>
          <w:szCs w:val="20"/>
        </w:rPr>
        <w:t>N</w:t>
      </w:r>
      <w:r>
        <w:rPr>
          <w:iCs/>
        </w:rPr>
        <w:t>——</w:t>
      </w:r>
      <w:r>
        <w:rPr>
          <w:rFonts w:hint="eastAsia" w:ascii="宋体" w:hAnsi="宋体"/>
          <w:sz w:val="20"/>
          <w:szCs w:val="20"/>
        </w:rPr>
        <w:t>锚杆轴向拉力设计值（</w:t>
      </w:r>
      <w:r>
        <w:rPr>
          <w:sz w:val="20"/>
          <w:szCs w:val="20"/>
        </w:rPr>
        <w:t>kN</w:t>
      </w:r>
      <w:r>
        <w:rPr>
          <w:rFonts w:hint="eastAsia" w:ascii="宋体" w:hAnsi="宋体"/>
          <w:sz w:val="20"/>
          <w:szCs w:val="20"/>
        </w:rPr>
        <w:t>），按本规程第</w:t>
      </w:r>
      <w:r>
        <w:rPr>
          <w:sz w:val="20"/>
          <w:szCs w:val="20"/>
        </w:rPr>
        <w:t>7.6.</w:t>
      </w:r>
      <w:r>
        <w:rPr>
          <w:rFonts w:hint="eastAsia"/>
          <w:sz w:val="20"/>
          <w:szCs w:val="20"/>
        </w:rPr>
        <w:t>1</w:t>
      </w:r>
      <w:r>
        <w:rPr>
          <w:rFonts w:hint="eastAsia" w:ascii="宋体" w:hAnsi="宋体"/>
          <w:sz w:val="20"/>
          <w:szCs w:val="20"/>
        </w:rPr>
        <w:t>条的规定确定；</w:t>
      </w:r>
    </w:p>
    <w:p w14:paraId="008947AC">
      <w:pPr>
        <w:adjustRightInd w:val="0"/>
        <w:snapToGrid w:val="0"/>
        <w:spacing w:line="288" w:lineRule="auto"/>
        <w:ind w:left="1145" w:leftChars="68" w:hanging="1002" w:hangingChars="501"/>
        <w:rPr>
          <w:rFonts w:ascii="宋体" w:hAnsi="宋体"/>
          <w:sz w:val="20"/>
          <w:szCs w:val="20"/>
        </w:rPr>
      </w:pPr>
      <w:r>
        <w:rPr>
          <w:i/>
          <w:sz w:val="20"/>
          <w:szCs w:val="20"/>
        </w:rPr>
        <w:t>A</w:t>
      </w:r>
      <w:r>
        <w:rPr>
          <w:sz w:val="20"/>
          <w:szCs w:val="20"/>
          <w:vertAlign w:val="subscript"/>
        </w:rPr>
        <w:t>s</w:t>
      </w:r>
      <w:r>
        <w:rPr>
          <w:rFonts w:hAnsi="宋体"/>
          <w:sz w:val="20"/>
          <w:szCs w:val="20"/>
        </w:rPr>
        <w:t>、</w:t>
      </w:r>
      <w:r>
        <w:rPr>
          <w:i/>
          <w:sz w:val="20"/>
          <w:szCs w:val="20"/>
        </w:rPr>
        <w:t>A</w:t>
      </w:r>
      <w:r>
        <w:rPr>
          <w:sz w:val="20"/>
          <w:szCs w:val="20"/>
          <w:vertAlign w:val="subscript"/>
        </w:rPr>
        <w:t>p</w:t>
      </w:r>
      <w:r>
        <w:rPr>
          <w:rFonts w:hint="eastAsia"/>
          <w:sz w:val="20"/>
          <w:szCs w:val="20"/>
          <w:vertAlign w:val="subscript"/>
        </w:rPr>
        <w:t xml:space="preserve"> </w:t>
      </w:r>
      <w:r>
        <w:rPr>
          <w:iCs/>
        </w:rPr>
        <w:t>——</w:t>
      </w:r>
      <w:r>
        <w:rPr>
          <w:rFonts w:hint="eastAsia" w:ascii="宋体" w:hAnsi="宋体"/>
          <w:sz w:val="20"/>
          <w:szCs w:val="20"/>
        </w:rPr>
        <w:t>锚杆杆体的普通钢筋、预应力钢筋截面面积（</w:t>
      </w:r>
      <w:r>
        <w:rPr>
          <w:rFonts w:hint="eastAsia"/>
          <w:sz w:val="20"/>
          <w:szCs w:val="20"/>
        </w:rPr>
        <w:t>m</w:t>
      </w:r>
      <w:r>
        <w:rPr>
          <w:sz w:val="20"/>
          <w:szCs w:val="20"/>
          <w:vertAlign w:val="superscript"/>
        </w:rPr>
        <w:t>2</w:t>
      </w:r>
      <w:r>
        <w:rPr>
          <w:rFonts w:hint="eastAsia" w:ascii="宋体" w:hAnsi="宋体"/>
          <w:sz w:val="20"/>
          <w:szCs w:val="20"/>
        </w:rPr>
        <w:t>）；</w:t>
      </w:r>
    </w:p>
    <w:p w14:paraId="5AE66D96">
      <w:pPr>
        <w:tabs>
          <w:tab w:val="left" w:pos="602"/>
          <w:tab w:val="left" w:pos="854"/>
          <w:tab w:val="left" w:pos="1134"/>
          <w:tab w:val="left" w:pos="1276"/>
          <w:tab w:val="left" w:pos="1620"/>
          <w:tab w:val="left" w:pos="2160"/>
          <w:tab w:val="left" w:pos="3060"/>
          <w:tab w:val="left" w:pos="7020"/>
        </w:tabs>
        <w:adjustRightInd w:val="0"/>
        <w:snapToGrid w:val="0"/>
        <w:spacing w:after="156" w:afterLines="50" w:line="288" w:lineRule="auto"/>
        <w:ind w:firstLine="168" w:firstLineChars="84"/>
        <w:rPr>
          <w:rFonts w:ascii="宋体" w:hAnsi="宋体"/>
          <w:sz w:val="20"/>
          <w:szCs w:val="20"/>
        </w:rPr>
      </w:pPr>
      <w:r>
        <w:rPr>
          <w:i/>
          <w:sz w:val="20"/>
          <w:szCs w:val="20"/>
        </w:rPr>
        <w:t>f</w:t>
      </w:r>
      <w:r>
        <w:rPr>
          <w:sz w:val="20"/>
          <w:szCs w:val="20"/>
          <w:vertAlign w:val="subscript"/>
        </w:rPr>
        <w:t>y</w:t>
      </w:r>
      <w:r>
        <w:rPr>
          <w:rFonts w:hAnsi="宋体"/>
          <w:sz w:val="20"/>
          <w:szCs w:val="20"/>
        </w:rPr>
        <w:t>、</w:t>
      </w:r>
      <w:r>
        <w:rPr>
          <w:i/>
          <w:sz w:val="20"/>
          <w:szCs w:val="20"/>
        </w:rPr>
        <w:t>f</w:t>
      </w:r>
      <w:r>
        <w:rPr>
          <w:sz w:val="20"/>
          <w:szCs w:val="20"/>
          <w:vertAlign w:val="subscript"/>
        </w:rPr>
        <w:t>p y</w:t>
      </w:r>
      <w:r>
        <w:rPr>
          <w:iCs/>
        </w:rPr>
        <w:t>——</w:t>
      </w:r>
      <w:r>
        <w:rPr>
          <w:rFonts w:hint="eastAsia" w:ascii="宋体" w:hAnsi="宋体"/>
          <w:sz w:val="20"/>
          <w:szCs w:val="20"/>
        </w:rPr>
        <w:t>普通钢筋、预应力钢筋抗拉强度设计值（</w:t>
      </w:r>
      <w:r>
        <w:rPr>
          <w:rFonts w:hint="eastAsia"/>
          <w:sz w:val="20"/>
          <w:szCs w:val="20"/>
        </w:rPr>
        <w:t>kN</w:t>
      </w:r>
      <w:r>
        <w:rPr>
          <w:rFonts w:hint="eastAsia" w:ascii="宋体" w:hAnsi="宋体"/>
          <w:sz w:val="20"/>
          <w:szCs w:val="20"/>
        </w:rPr>
        <w:t>/</w:t>
      </w:r>
      <w:r>
        <w:rPr>
          <w:rFonts w:hint="eastAsia"/>
          <w:sz w:val="20"/>
          <w:szCs w:val="20"/>
        </w:rPr>
        <w:t>m</w:t>
      </w:r>
      <w:r>
        <w:rPr>
          <w:sz w:val="20"/>
          <w:szCs w:val="20"/>
          <w:vertAlign w:val="superscript"/>
        </w:rPr>
        <w:t>2</w:t>
      </w:r>
      <w:r>
        <w:rPr>
          <w:rFonts w:hint="eastAsia" w:ascii="宋体" w:hAnsi="宋体"/>
          <w:sz w:val="20"/>
          <w:szCs w:val="20"/>
        </w:rPr>
        <w:t>）。</w:t>
      </w:r>
    </w:p>
    <w:p w14:paraId="3D7E0085">
      <w:pPr>
        <w:pStyle w:val="27"/>
        <w:tabs>
          <w:tab w:val="left" w:pos="672"/>
          <w:tab w:val="left" w:pos="1036"/>
          <w:tab w:val="left" w:pos="1620"/>
          <w:tab w:val="left" w:pos="2160"/>
          <w:tab w:val="left" w:pos="7020"/>
        </w:tabs>
        <w:adjustRightInd w:val="0"/>
        <w:snapToGrid w:val="0"/>
        <w:spacing w:after="0" w:line="288" w:lineRule="auto"/>
        <w:ind w:left="0" w:leftChars="0"/>
        <w:rPr>
          <w:rFonts w:ascii="宋体" w:hAnsi="宋体"/>
          <w:sz w:val="20"/>
          <w:szCs w:val="20"/>
        </w:rPr>
      </w:pPr>
      <w:r>
        <w:rPr>
          <w:b/>
          <w:spacing w:val="3"/>
          <w:kern w:val="0"/>
          <w:sz w:val="20"/>
          <w:szCs w:val="20"/>
          <w:fitText w:val="503" w:id="1394238720"/>
        </w:rPr>
        <w:pict>
          <v:shape id="_x0000_s1265" o:spid="_x0000_s1265" o:spt="75" type="#_x0000_t75" style="position:absolute;left:0pt;margin-left:44.05pt;margin-top:17.35pt;height:45.4pt;width:196.15pt;z-index:251660288;mso-width-relative:page;mso-height-relative:page;" o:ole="t" filled="f" o:preferrelative="t" stroked="f" coordsize="21600,21600">
            <v:path/>
            <v:fill on="f" focussize="0,0"/>
            <v:stroke on="f" joinstyle="miter"/>
            <v:imagedata r:id="rId166" o:title=""/>
            <o:lock v:ext="edit" aspectratio="t"/>
          </v:shape>
          <o:OLEObject Type="Embed" ProgID="Equation.3" ShapeID="_x0000_s1265" DrawAspect="Content" ObjectID="_1468075802" r:id="rId165">
            <o:LockedField>false</o:LockedField>
          </o:OLEObject>
        </w:pict>
      </w:r>
      <w:r>
        <w:rPr>
          <w:b/>
          <w:kern w:val="0"/>
          <w:sz w:val="20"/>
          <w:szCs w:val="20"/>
        </w:rPr>
        <w:t>7.6.5</w:t>
      </w:r>
      <w:r>
        <w:rPr>
          <w:rFonts w:hint="eastAsia" w:ascii="宋体" w:hAnsi="宋体"/>
          <w:sz w:val="20"/>
          <w:szCs w:val="20"/>
        </w:rPr>
        <w:t xml:space="preserve">  </w:t>
      </w:r>
      <w:r>
        <w:rPr>
          <w:rFonts w:ascii="宋体" w:hAnsi="宋体"/>
          <w:sz w:val="20"/>
          <w:szCs w:val="20"/>
        </w:rPr>
        <w:t>锚杆</w:t>
      </w:r>
      <w:r>
        <w:rPr>
          <w:rFonts w:hint="eastAsia" w:ascii="宋体" w:hAnsi="宋体"/>
          <w:sz w:val="20"/>
          <w:szCs w:val="20"/>
        </w:rPr>
        <w:t>的非锚固</w:t>
      </w:r>
      <w:r>
        <w:rPr>
          <w:rFonts w:ascii="宋体" w:hAnsi="宋体"/>
          <w:sz w:val="20"/>
          <w:szCs w:val="20"/>
        </w:rPr>
        <w:t>段长度</w:t>
      </w:r>
      <w:r>
        <w:rPr>
          <w:rFonts w:hint="eastAsia" w:ascii="宋体" w:hAnsi="宋体"/>
          <w:sz w:val="20"/>
          <w:szCs w:val="20"/>
        </w:rPr>
        <w:t>应按下式确定，且不应小于</w:t>
      </w:r>
      <w:r>
        <w:rPr>
          <w:rFonts w:hint="eastAsia"/>
          <w:sz w:val="20"/>
          <w:szCs w:val="20"/>
        </w:rPr>
        <w:t>5.0m</w:t>
      </w:r>
      <w:r>
        <w:rPr>
          <w:rFonts w:hint="eastAsia" w:ascii="宋体" w:hAnsi="宋体"/>
          <w:sz w:val="20"/>
          <w:szCs w:val="20"/>
        </w:rPr>
        <w:t>（</w:t>
      </w:r>
      <w:r>
        <w:rPr>
          <w:rFonts w:ascii="宋体" w:hAnsi="宋体"/>
          <w:sz w:val="20"/>
          <w:szCs w:val="20"/>
        </w:rPr>
        <w:t>图</w:t>
      </w:r>
      <w:r>
        <w:rPr>
          <w:sz w:val="20"/>
          <w:szCs w:val="20"/>
        </w:rPr>
        <w:t>7.6.5</w:t>
      </w:r>
      <w:r>
        <w:rPr>
          <w:rFonts w:hint="eastAsia" w:ascii="宋体" w:hAnsi="宋体"/>
          <w:sz w:val="20"/>
          <w:szCs w:val="20"/>
        </w:rPr>
        <w:t>）：</w:t>
      </w:r>
    </w:p>
    <w:p w14:paraId="7CBB6F4E">
      <w:pPr>
        <w:adjustRightInd w:val="0"/>
        <w:snapToGrid w:val="0"/>
        <w:spacing w:line="288" w:lineRule="auto"/>
        <w:ind w:firstLine="400" w:firstLineChars="200"/>
        <w:jc w:val="right"/>
        <w:rPr>
          <w:rFonts w:ascii="宋体" w:hAnsi="宋体"/>
          <w:sz w:val="20"/>
          <w:szCs w:val="20"/>
        </w:rPr>
      </w:pPr>
      <w:r>
        <w:rPr>
          <w:rFonts w:hint="eastAsia" w:ascii="宋体" w:hAnsi="宋体"/>
          <w:sz w:val="20"/>
          <w:szCs w:val="20"/>
        </w:rPr>
        <w:t xml:space="preserve">          </w:t>
      </w:r>
    </w:p>
    <w:p w14:paraId="50BF7142">
      <w:pPr>
        <w:adjustRightInd w:val="0"/>
        <w:snapToGrid w:val="0"/>
        <w:spacing w:line="288" w:lineRule="auto"/>
        <w:ind w:right="800" w:firstLine="6400" w:firstLineChars="3200"/>
        <w:rPr>
          <w:rFonts w:ascii="宋体" w:hAnsi="宋体"/>
          <w:sz w:val="20"/>
          <w:szCs w:val="20"/>
        </w:rPr>
      </w:pPr>
      <w:r>
        <w:rPr>
          <w:rFonts w:hint="eastAsia" w:ascii="宋体" w:hAnsi="宋体"/>
          <w:sz w:val="20"/>
          <w:szCs w:val="20"/>
        </w:rPr>
        <w:t>（</w:t>
      </w:r>
      <w:r>
        <w:rPr>
          <w:sz w:val="20"/>
          <w:szCs w:val="20"/>
        </w:rPr>
        <w:t>7.6.</w:t>
      </w:r>
      <w:r>
        <w:rPr>
          <w:rFonts w:hint="eastAsia"/>
          <w:sz w:val="20"/>
          <w:szCs w:val="20"/>
        </w:rPr>
        <w:t>5</w:t>
      </w:r>
      <w:r>
        <w:rPr>
          <w:rFonts w:hint="eastAsia" w:ascii="宋体" w:hAnsi="宋体"/>
          <w:sz w:val="20"/>
          <w:szCs w:val="20"/>
        </w:rPr>
        <w:t>）</w:t>
      </w:r>
    </w:p>
    <w:p w14:paraId="37AA4734">
      <w:pPr>
        <w:pStyle w:val="2"/>
        <w:ind w:left="0" w:leftChars="0" w:firstLine="0" w:firstLineChars="0"/>
      </w:pPr>
    </w:p>
    <w:p w14:paraId="65F111E7">
      <w:pPr>
        <w:adjustRightInd w:val="0"/>
        <w:snapToGrid w:val="0"/>
        <w:spacing w:line="288" w:lineRule="auto"/>
        <w:rPr>
          <w:rFonts w:ascii="宋体" w:hAnsi="宋体"/>
          <w:sz w:val="20"/>
          <w:szCs w:val="20"/>
        </w:rPr>
      </w:pPr>
      <w:r>
        <w:rPr>
          <w:rFonts w:hint="eastAsia" w:ascii="宋体" w:hAnsi="宋体"/>
          <w:sz w:val="20"/>
          <w:szCs w:val="20"/>
        </w:rPr>
        <w:t>式中：</w:t>
      </w:r>
      <w:r>
        <w:rPr>
          <w:i/>
          <w:sz w:val="20"/>
          <w:szCs w:val="20"/>
        </w:rPr>
        <w:t>l</w:t>
      </w:r>
      <w:r>
        <w:rPr>
          <w:sz w:val="20"/>
          <w:szCs w:val="20"/>
          <w:vertAlign w:val="subscript"/>
        </w:rPr>
        <w:t>f</w:t>
      </w:r>
      <w:r>
        <w:rPr>
          <w:iCs/>
        </w:rPr>
        <w:t>——</w:t>
      </w:r>
      <w:r>
        <w:rPr>
          <w:rFonts w:ascii="宋体" w:hAnsi="宋体"/>
          <w:sz w:val="20"/>
          <w:szCs w:val="20"/>
        </w:rPr>
        <w:t>锚杆</w:t>
      </w:r>
      <w:r>
        <w:rPr>
          <w:rFonts w:hint="eastAsia" w:ascii="宋体" w:hAnsi="宋体"/>
          <w:sz w:val="20"/>
          <w:szCs w:val="20"/>
        </w:rPr>
        <w:t>非锚固</w:t>
      </w:r>
      <w:r>
        <w:rPr>
          <w:rFonts w:ascii="宋体" w:hAnsi="宋体"/>
          <w:sz w:val="20"/>
          <w:szCs w:val="20"/>
        </w:rPr>
        <w:t>段长度</w:t>
      </w:r>
      <w:r>
        <w:rPr>
          <w:rFonts w:hint="eastAsia" w:ascii="宋体" w:hAnsi="宋体"/>
          <w:sz w:val="20"/>
          <w:szCs w:val="20"/>
        </w:rPr>
        <w:t>（</w:t>
      </w:r>
      <w:r>
        <w:rPr>
          <w:rFonts w:hint="eastAsia"/>
          <w:sz w:val="20"/>
          <w:szCs w:val="20"/>
        </w:rPr>
        <w:t>m</w:t>
      </w:r>
      <w:r>
        <w:rPr>
          <w:rFonts w:hint="eastAsia" w:ascii="宋体" w:hAnsi="宋体"/>
          <w:sz w:val="20"/>
          <w:szCs w:val="20"/>
        </w:rPr>
        <w:t>）；</w:t>
      </w:r>
    </w:p>
    <w:p w14:paraId="14B811E8">
      <w:pPr>
        <w:adjustRightInd w:val="0"/>
        <w:snapToGrid w:val="0"/>
        <w:spacing w:line="288" w:lineRule="auto"/>
        <w:ind w:firstLine="602" w:firstLineChars="301"/>
        <w:rPr>
          <w:rFonts w:ascii="宋体" w:hAnsi="宋体"/>
          <w:sz w:val="20"/>
          <w:szCs w:val="20"/>
        </w:rPr>
      </w:pPr>
      <w:r>
        <w:rPr>
          <w:i/>
          <w:sz w:val="20"/>
          <w:szCs w:val="20"/>
        </w:rPr>
        <w:t>α</w:t>
      </w:r>
      <w:r>
        <w:rPr>
          <w:iCs/>
        </w:rPr>
        <w:t>——</w:t>
      </w:r>
      <w:r>
        <w:rPr>
          <w:rFonts w:hint="eastAsia" w:ascii="宋体" w:hAnsi="宋体"/>
          <w:sz w:val="20"/>
          <w:szCs w:val="20"/>
        </w:rPr>
        <w:t>锚杆倾角（º）；</w:t>
      </w:r>
    </w:p>
    <w:p w14:paraId="22525CBA">
      <w:pPr>
        <w:adjustRightInd w:val="0"/>
        <w:snapToGrid w:val="0"/>
        <w:spacing w:line="288" w:lineRule="auto"/>
        <w:ind w:firstLine="566" w:firstLineChars="283"/>
        <w:rPr>
          <w:rFonts w:ascii="宋体" w:hAnsi="宋体"/>
          <w:sz w:val="20"/>
          <w:szCs w:val="20"/>
        </w:rPr>
      </w:pPr>
      <w:r>
        <w:rPr>
          <w:i/>
          <w:sz w:val="20"/>
          <w:szCs w:val="20"/>
        </w:rPr>
        <w:t>ɑ</w:t>
      </w:r>
      <w:r>
        <w:rPr>
          <w:rFonts w:ascii="宋体" w:hAnsi="宋体"/>
          <w:sz w:val="20"/>
          <w:szCs w:val="20"/>
          <w:vertAlign w:val="subscript"/>
        </w:rPr>
        <w:t>1</w:t>
      </w:r>
      <w:r>
        <w:rPr>
          <w:iCs/>
        </w:rPr>
        <w:t>——</w:t>
      </w:r>
      <w:r>
        <w:rPr>
          <w:rFonts w:hint="eastAsia" w:ascii="宋体" w:hAnsi="宋体"/>
          <w:sz w:val="20"/>
          <w:szCs w:val="20"/>
        </w:rPr>
        <w:t>锚杆的锚头中点至基坑底面的距离（</w:t>
      </w:r>
      <w:r>
        <w:rPr>
          <w:rFonts w:hint="eastAsia"/>
          <w:sz w:val="20"/>
          <w:szCs w:val="20"/>
        </w:rPr>
        <w:t>m</w:t>
      </w:r>
      <w:r>
        <w:rPr>
          <w:rFonts w:hint="eastAsia" w:ascii="宋体" w:hAnsi="宋体"/>
          <w:sz w:val="20"/>
          <w:szCs w:val="20"/>
        </w:rPr>
        <w:t>）；</w:t>
      </w:r>
    </w:p>
    <w:p w14:paraId="7F948348">
      <w:pPr>
        <w:adjustRightInd w:val="0"/>
        <w:snapToGrid w:val="0"/>
        <w:spacing w:line="288" w:lineRule="auto"/>
        <w:ind w:firstLine="566" w:firstLineChars="283"/>
        <w:rPr>
          <w:rFonts w:ascii="宋体" w:hAnsi="宋体"/>
          <w:sz w:val="20"/>
          <w:szCs w:val="20"/>
        </w:rPr>
      </w:pPr>
      <w:r>
        <w:rPr>
          <w:i/>
          <w:sz w:val="20"/>
          <w:szCs w:val="20"/>
        </w:rPr>
        <w:t>ɑ</w:t>
      </w:r>
      <w:r>
        <w:rPr>
          <w:rFonts w:ascii="宋体" w:hAnsi="宋体"/>
          <w:sz w:val="20"/>
          <w:szCs w:val="20"/>
          <w:vertAlign w:val="subscript"/>
        </w:rPr>
        <w:t>2</w:t>
      </w:r>
      <w:r>
        <w:rPr>
          <w:iCs/>
        </w:rPr>
        <w:t>——</w:t>
      </w:r>
      <w:r>
        <w:rPr>
          <w:rFonts w:hint="eastAsia" w:ascii="宋体" w:hAnsi="宋体"/>
          <w:sz w:val="20"/>
          <w:szCs w:val="20"/>
        </w:rPr>
        <w:t>基坑底面至基坑外侧主动土压力强度与基坑内侧被动土压力强度等值点</w:t>
      </w:r>
      <w:r>
        <w:rPr>
          <w:sz w:val="20"/>
          <w:szCs w:val="20"/>
        </w:rPr>
        <w:t>O</w:t>
      </w:r>
      <w:r>
        <w:rPr>
          <w:rFonts w:hint="eastAsia" w:ascii="宋体" w:hAnsi="宋体"/>
          <w:sz w:val="20"/>
          <w:szCs w:val="20"/>
        </w:rPr>
        <w:t>的距离（</w:t>
      </w:r>
      <w:r>
        <w:rPr>
          <w:rFonts w:hint="eastAsia"/>
          <w:sz w:val="20"/>
          <w:szCs w:val="20"/>
        </w:rPr>
        <w:t>m</w:t>
      </w:r>
      <w:r>
        <w:rPr>
          <w:rFonts w:hint="eastAsia" w:ascii="宋体" w:hAnsi="宋体"/>
          <w:sz w:val="20"/>
          <w:szCs w:val="20"/>
        </w:rPr>
        <w:t>）；对成层土，当存在多个等值点时应按其中最深的等值点计算；</w:t>
      </w:r>
    </w:p>
    <w:p w14:paraId="15CB5453">
      <w:pPr>
        <w:adjustRightInd w:val="0"/>
        <w:snapToGrid w:val="0"/>
        <w:spacing w:line="288" w:lineRule="auto"/>
        <w:ind w:firstLine="588" w:firstLineChars="294"/>
        <w:rPr>
          <w:rFonts w:ascii="宋体" w:hAnsi="宋体"/>
          <w:sz w:val="20"/>
          <w:szCs w:val="20"/>
        </w:rPr>
      </w:pPr>
      <w:r>
        <w:rPr>
          <w:rFonts w:hint="eastAsia"/>
          <w:i/>
          <w:sz w:val="20"/>
          <w:szCs w:val="20"/>
        </w:rPr>
        <w:t xml:space="preserve">d </w:t>
      </w:r>
      <w:r>
        <w:rPr>
          <w:iCs/>
        </w:rPr>
        <w:t>——</w:t>
      </w:r>
      <w:r>
        <w:rPr>
          <w:rFonts w:hint="eastAsia" w:ascii="宋体" w:hAnsi="宋体"/>
          <w:sz w:val="20"/>
          <w:szCs w:val="20"/>
        </w:rPr>
        <w:t>挡土构件的水平尺寸（</w:t>
      </w:r>
      <w:r>
        <w:rPr>
          <w:rFonts w:hint="eastAsia"/>
          <w:sz w:val="20"/>
          <w:szCs w:val="20"/>
        </w:rPr>
        <w:t>m</w:t>
      </w:r>
      <w:r>
        <w:rPr>
          <w:rFonts w:hint="eastAsia" w:ascii="宋体" w:hAnsi="宋体"/>
          <w:sz w:val="20"/>
          <w:szCs w:val="20"/>
        </w:rPr>
        <w:t>）；</w:t>
      </w:r>
    </w:p>
    <w:p w14:paraId="23326187">
      <w:pPr>
        <w:adjustRightInd w:val="0"/>
        <w:snapToGrid w:val="0"/>
        <w:spacing w:line="288" w:lineRule="auto"/>
        <w:ind w:firstLine="546" w:firstLineChars="273"/>
        <w:rPr>
          <w:rFonts w:ascii="宋体" w:hAnsi="宋体"/>
          <w:sz w:val="20"/>
          <w:szCs w:val="20"/>
        </w:rPr>
      </w:pPr>
      <w:r>
        <w:rPr>
          <w:i/>
          <w:sz w:val="20"/>
          <w:szCs w:val="20"/>
        </w:rPr>
        <w:t>φ</w:t>
      </w:r>
      <w:r>
        <w:rPr>
          <w:sz w:val="20"/>
          <w:szCs w:val="20"/>
          <w:vertAlign w:val="subscript"/>
        </w:rPr>
        <w:t>m</w:t>
      </w:r>
      <w:r>
        <w:rPr>
          <w:rFonts w:hint="eastAsia"/>
          <w:sz w:val="20"/>
          <w:szCs w:val="20"/>
          <w:vertAlign w:val="subscript"/>
        </w:rPr>
        <w:t xml:space="preserve"> </w:t>
      </w:r>
      <w:r>
        <w:rPr>
          <w:iCs/>
        </w:rPr>
        <w:t>——</w:t>
      </w:r>
      <w:r>
        <w:rPr>
          <w:sz w:val="20"/>
          <w:szCs w:val="20"/>
        </w:rPr>
        <w:t>O</w:t>
      </w:r>
      <w:r>
        <w:rPr>
          <w:rFonts w:hint="eastAsia" w:ascii="宋体" w:hAnsi="宋体"/>
          <w:sz w:val="20"/>
          <w:szCs w:val="20"/>
        </w:rPr>
        <w:t>点以上各土层按厚度加权的等效内摩擦角（º）。</w:t>
      </w:r>
    </w:p>
    <w:p w14:paraId="71D74573">
      <w:pPr>
        <w:adjustRightInd w:val="0"/>
        <w:snapToGrid w:val="0"/>
        <w:spacing w:line="288" w:lineRule="auto"/>
        <w:ind w:firstLine="400" w:firstLineChars="200"/>
        <w:jc w:val="center"/>
        <w:rPr>
          <w:rFonts w:ascii="宋体" w:hAnsi="宋体"/>
          <w:sz w:val="20"/>
          <w:szCs w:val="20"/>
        </w:rPr>
      </w:pPr>
      <w:r>
        <w:rPr>
          <w:rFonts w:ascii="宋体" w:hAnsi="宋体"/>
          <w:sz w:val="20"/>
          <w:szCs w:val="20"/>
        </w:rPr>
        <w:object>
          <v:shape id="_x0000_i1100" o:spt="75" type="#_x0000_t75" style="height:205.05pt;width:275.35pt;" o:ole="t" filled="f" o:preferrelative="t" stroked="f" coordsize="21600,21600">
            <v:path/>
            <v:fill on="f" focussize="0,0"/>
            <v:stroke on="f" joinstyle="miter"/>
            <v:imagedata r:id="rId168" cropleft="15345f" croptop="1203f" cropright="14842f" cropbottom="4496f" o:title=""/>
            <o:lock v:ext="edit" aspectratio="t"/>
            <w10:wrap type="none"/>
            <w10:anchorlock/>
          </v:shape>
          <o:OLEObject Type="Embed" ProgID="AutoCAD.Drawing.16" ShapeID="_x0000_i1100" DrawAspect="Content" ObjectID="_1468075803" r:id="rId167">
            <o:LockedField>false</o:LockedField>
          </o:OLEObject>
        </w:object>
      </w:r>
    </w:p>
    <w:p w14:paraId="30237F5B">
      <w:pPr>
        <w:adjustRightInd w:val="0"/>
        <w:snapToGrid w:val="0"/>
        <w:spacing w:line="288" w:lineRule="auto"/>
        <w:ind w:firstLine="361" w:firstLineChars="200"/>
        <w:jc w:val="center"/>
        <w:rPr>
          <w:rFonts w:ascii="宋体" w:hAnsi="宋体"/>
          <w:b/>
          <w:sz w:val="18"/>
          <w:szCs w:val="18"/>
        </w:rPr>
      </w:pPr>
      <w:r>
        <w:rPr>
          <w:rFonts w:ascii="宋体" w:hAnsi="宋体"/>
          <w:b/>
          <w:sz w:val="18"/>
          <w:szCs w:val="18"/>
        </w:rPr>
        <w:t>图7.6.5  锚杆非锚固段长度计算</w:t>
      </w:r>
    </w:p>
    <w:p w14:paraId="22BBB76E">
      <w:pPr>
        <w:adjustRightInd w:val="0"/>
        <w:snapToGrid w:val="0"/>
        <w:spacing w:after="156" w:afterLines="50" w:line="288" w:lineRule="auto"/>
        <w:jc w:val="center"/>
        <w:rPr>
          <w:rFonts w:ascii="宋体" w:hAnsi="宋体"/>
          <w:sz w:val="15"/>
          <w:szCs w:val="15"/>
        </w:rPr>
      </w:pPr>
      <w:r>
        <w:rPr>
          <w:bCs/>
          <w:sz w:val="15"/>
          <w:szCs w:val="15"/>
        </w:rPr>
        <w:t>1</w:t>
      </w:r>
      <w:r>
        <w:rPr>
          <w:rFonts w:ascii="宋体" w:hAnsi="宋体"/>
          <w:sz w:val="15"/>
          <w:szCs w:val="15"/>
        </w:rPr>
        <w:t>－挡土构件；</w:t>
      </w:r>
      <w:r>
        <w:rPr>
          <w:bCs/>
          <w:sz w:val="15"/>
          <w:szCs w:val="15"/>
        </w:rPr>
        <w:t>2</w:t>
      </w:r>
      <w:r>
        <w:rPr>
          <w:rFonts w:ascii="宋体" w:hAnsi="宋体"/>
          <w:sz w:val="15"/>
          <w:szCs w:val="15"/>
        </w:rPr>
        <w:t>－锚杆；</w:t>
      </w:r>
      <w:r>
        <w:rPr>
          <w:bCs/>
          <w:sz w:val="15"/>
          <w:szCs w:val="15"/>
        </w:rPr>
        <w:t>3</w:t>
      </w:r>
      <w:r>
        <w:rPr>
          <w:rFonts w:ascii="宋体" w:hAnsi="宋体"/>
          <w:sz w:val="15"/>
          <w:szCs w:val="15"/>
        </w:rPr>
        <w:t>－理论直线滑动面</w:t>
      </w:r>
    </w:p>
    <w:p w14:paraId="7BAE18AF">
      <w:pPr>
        <w:tabs>
          <w:tab w:val="left" w:pos="616"/>
          <w:tab w:val="left" w:pos="854"/>
          <w:tab w:val="left" w:pos="1620"/>
          <w:tab w:val="left" w:pos="2160"/>
          <w:tab w:val="left" w:pos="3060"/>
          <w:tab w:val="left" w:pos="7020"/>
        </w:tabs>
        <w:adjustRightInd w:val="0"/>
        <w:snapToGrid w:val="0"/>
        <w:spacing w:line="288" w:lineRule="auto"/>
        <w:rPr>
          <w:rFonts w:ascii="宋体" w:hAnsi="宋体"/>
          <w:sz w:val="20"/>
          <w:szCs w:val="20"/>
        </w:rPr>
      </w:pPr>
      <w:r>
        <w:rPr>
          <w:b/>
          <w:kern w:val="0"/>
          <w:sz w:val="20"/>
          <w:szCs w:val="20"/>
        </w:rPr>
        <w:t xml:space="preserve">7.6.6 </w:t>
      </w:r>
      <w:r>
        <w:rPr>
          <w:rFonts w:hint="eastAsia" w:ascii="宋体" w:hAnsi="宋体"/>
          <w:sz w:val="20"/>
          <w:szCs w:val="20"/>
        </w:rPr>
        <w:t xml:space="preserve"> 锚杆锁定值应根据支护结构变形要求及锚固段地层条件确定，</w:t>
      </w:r>
      <w:r>
        <w:rPr>
          <w:rFonts w:hint="eastAsia" w:ascii="宋体" w:hAnsi="宋体"/>
          <w:kern w:val="0"/>
          <w:sz w:val="20"/>
          <w:szCs w:val="20"/>
        </w:rPr>
        <w:t>宜取锚杆轴向拉力标准值的</w:t>
      </w:r>
      <w:r>
        <w:rPr>
          <w:rFonts w:hint="eastAsia"/>
          <w:sz w:val="20"/>
          <w:szCs w:val="20"/>
        </w:rPr>
        <w:t>0.75</w:t>
      </w:r>
      <w:r>
        <w:rPr>
          <w:rFonts w:hint="eastAsia" w:ascii="宋体" w:hAnsi="宋体"/>
          <w:kern w:val="0"/>
          <w:sz w:val="20"/>
          <w:szCs w:val="20"/>
        </w:rPr>
        <w:t>倍</w:t>
      </w:r>
      <w:r>
        <w:rPr>
          <w:rFonts w:hint="eastAsia" w:ascii="宋体" w:hAnsi="宋体"/>
          <w:sz w:val="20"/>
          <w:szCs w:val="20"/>
        </w:rPr>
        <w:t>～</w:t>
      </w:r>
      <w:r>
        <w:rPr>
          <w:rFonts w:hint="eastAsia"/>
          <w:sz w:val="20"/>
          <w:szCs w:val="20"/>
        </w:rPr>
        <w:t>0.9</w:t>
      </w:r>
      <w:r>
        <w:rPr>
          <w:rFonts w:hint="eastAsia" w:ascii="宋体" w:hAnsi="宋体"/>
          <w:kern w:val="0"/>
          <w:sz w:val="20"/>
          <w:szCs w:val="20"/>
        </w:rPr>
        <w:t>倍</w:t>
      </w:r>
      <w:r>
        <w:rPr>
          <w:rFonts w:hint="eastAsia" w:ascii="宋体" w:hAnsi="宋体"/>
          <w:sz w:val="20"/>
          <w:szCs w:val="20"/>
        </w:rPr>
        <w:t>。</w:t>
      </w:r>
    </w:p>
    <w:p w14:paraId="3544682C">
      <w:pPr>
        <w:tabs>
          <w:tab w:val="left" w:pos="616"/>
          <w:tab w:val="left" w:pos="854"/>
          <w:tab w:val="left" w:pos="1620"/>
          <w:tab w:val="left" w:pos="2160"/>
          <w:tab w:val="left" w:pos="3060"/>
          <w:tab w:val="left" w:pos="7020"/>
        </w:tabs>
        <w:adjustRightInd w:val="0"/>
        <w:snapToGrid w:val="0"/>
        <w:spacing w:line="288" w:lineRule="auto"/>
        <w:rPr>
          <w:rFonts w:ascii="宋体" w:hAnsi="宋体"/>
          <w:bCs/>
          <w:sz w:val="20"/>
          <w:szCs w:val="20"/>
        </w:rPr>
      </w:pPr>
      <w:r>
        <w:rPr>
          <w:b/>
          <w:kern w:val="0"/>
          <w:sz w:val="20"/>
          <w:szCs w:val="20"/>
        </w:rPr>
        <w:t>7.6.7</w:t>
      </w:r>
      <w:r>
        <w:rPr>
          <w:rFonts w:hint="eastAsia"/>
          <w:b/>
          <w:bCs/>
          <w:sz w:val="20"/>
          <w:szCs w:val="20"/>
        </w:rPr>
        <w:t xml:space="preserve"> </w:t>
      </w:r>
      <w:r>
        <w:rPr>
          <w:rFonts w:hint="eastAsia" w:ascii="宋体" w:hAnsi="宋体"/>
          <w:bCs/>
          <w:sz w:val="20"/>
          <w:szCs w:val="20"/>
        </w:rPr>
        <w:t xml:space="preserve"> </w:t>
      </w:r>
      <w:r>
        <w:rPr>
          <w:rFonts w:hint="eastAsia" w:ascii="宋体" w:hAnsi="宋体"/>
          <w:sz w:val="20"/>
          <w:szCs w:val="20"/>
        </w:rPr>
        <w:t>锚杆腰梁的内力应按受弯构件设计，</w:t>
      </w:r>
      <w:r>
        <w:rPr>
          <w:rFonts w:hint="eastAsia" w:ascii="宋体" w:hAnsi="宋体"/>
          <w:bCs/>
          <w:sz w:val="20"/>
          <w:szCs w:val="20"/>
        </w:rPr>
        <w:t>当</w:t>
      </w:r>
      <w:r>
        <w:rPr>
          <w:rFonts w:hint="eastAsia" w:ascii="宋体" w:hAnsi="宋体"/>
          <w:sz w:val="20"/>
          <w:szCs w:val="20"/>
        </w:rPr>
        <w:t>锚杆锚固在混凝土冠梁上时，冠梁应按受弯构件设计。</w:t>
      </w:r>
      <w:r>
        <w:rPr>
          <w:rFonts w:hint="eastAsia" w:ascii="宋体" w:hAnsi="宋体"/>
          <w:bCs/>
          <w:sz w:val="20"/>
          <w:szCs w:val="20"/>
        </w:rPr>
        <w:t>其内力应根据实际约束条件按连续梁或简支梁计算，</w:t>
      </w:r>
      <w:r>
        <w:rPr>
          <w:rFonts w:hint="eastAsia" w:ascii="宋体" w:hAnsi="宋体"/>
          <w:sz w:val="20"/>
          <w:szCs w:val="20"/>
        </w:rPr>
        <w:t>锚杆腰梁的</w:t>
      </w:r>
      <w:r>
        <w:rPr>
          <w:rFonts w:hint="eastAsia" w:ascii="宋体" w:hAnsi="宋体"/>
          <w:bCs/>
          <w:sz w:val="20"/>
          <w:szCs w:val="20"/>
        </w:rPr>
        <w:t>内力设计值根据本规程第</w:t>
      </w:r>
      <w:r>
        <w:rPr>
          <w:bCs/>
          <w:sz w:val="20"/>
          <w:szCs w:val="20"/>
        </w:rPr>
        <w:t>7.5.1</w:t>
      </w:r>
      <w:r>
        <w:rPr>
          <w:rFonts w:hint="eastAsia" w:ascii="宋体" w:hAnsi="宋体"/>
          <w:bCs/>
          <w:sz w:val="20"/>
          <w:szCs w:val="20"/>
        </w:rPr>
        <w:t>条确定，腰梁正截面、斜截面承载力计算应符合</w:t>
      </w:r>
      <w:r>
        <w:rPr>
          <w:rFonts w:hint="eastAsia" w:ascii="宋体" w:hAnsi="宋体"/>
          <w:sz w:val="20"/>
          <w:szCs w:val="20"/>
        </w:rPr>
        <w:t>现行国家标准《钢结构设计规</w:t>
      </w:r>
      <w:r>
        <w:rPr>
          <w:rFonts w:hint="eastAsia" w:ascii="宋体" w:hAnsi="宋体"/>
          <w:bCs/>
          <w:sz w:val="20"/>
          <w:szCs w:val="20"/>
        </w:rPr>
        <w:t>范》</w:t>
      </w:r>
      <w:r>
        <w:rPr>
          <w:bCs/>
          <w:sz w:val="20"/>
          <w:szCs w:val="20"/>
        </w:rPr>
        <w:t>GB 50017</w:t>
      </w:r>
      <w:r>
        <w:rPr>
          <w:rFonts w:hint="eastAsia" w:ascii="宋体" w:hAnsi="宋体"/>
          <w:sz w:val="20"/>
          <w:szCs w:val="20"/>
        </w:rPr>
        <w:t>或《混凝土结构设计规范》</w:t>
      </w:r>
      <w:r>
        <w:rPr>
          <w:sz w:val="20"/>
          <w:szCs w:val="20"/>
        </w:rPr>
        <w:t>GB 50010</w:t>
      </w:r>
      <w:r>
        <w:rPr>
          <w:rFonts w:hint="eastAsia" w:ascii="宋体" w:hAnsi="宋体"/>
          <w:sz w:val="20"/>
          <w:szCs w:val="20"/>
        </w:rPr>
        <w:t>的规定</w:t>
      </w:r>
      <w:r>
        <w:rPr>
          <w:rFonts w:hint="eastAsia" w:ascii="宋体" w:hAnsi="宋体"/>
          <w:bCs/>
          <w:sz w:val="20"/>
          <w:szCs w:val="20"/>
        </w:rPr>
        <w:t>。无特殊要求时，锚杆腰梁型号可按本规程附录</w:t>
      </w:r>
      <w:r>
        <w:rPr>
          <w:bCs/>
          <w:sz w:val="20"/>
          <w:szCs w:val="20"/>
        </w:rPr>
        <w:t>C</w:t>
      </w:r>
      <w:r>
        <w:rPr>
          <w:rFonts w:hint="eastAsia" w:ascii="宋体" w:hAnsi="宋体"/>
          <w:bCs/>
          <w:sz w:val="20"/>
          <w:szCs w:val="20"/>
        </w:rPr>
        <w:t>选择。</w:t>
      </w:r>
    </w:p>
    <w:p w14:paraId="26D31AC6">
      <w:pPr>
        <w:tabs>
          <w:tab w:val="left" w:pos="616"/>
          <w:tab w:val="left" w:pos="854"/>
          <w:tab w:val="left" w:pos="1620"/>
          <w:tab w:val="left" w:pos="2160"/>
          <w:tab w:val="left" w:pos="3060"/>
          <w:tab w:val="left" w:pos="7020"/>
        </w:tabs>
        <w:adjustRightInd w:val="0"/>
        <w:snapToGrid w:val="0"/>
        <w:spacing w:line="288" w:lineRule="auto"/>
        <w:rPr>
          <w:rFonts w:ascii="宋体" w:hAnsi="宋体"/>
          <w:sz w:val="20"/>
          <w:szCs w:val="20"/>
        </w:rPr>
      </w:pPr>
      <w:r>
        <w:rPr>
          <w:b/>
          <w:kern w:val="0"/>
          <w:sz w:val="20"/>
          <w:szCs w:val="20"/>
        </w:rPr>
        <w:t>7.6.8</w:t>
      </w:r>
      <w:r>
        <w:rPr>
          <w:rFonts w:hint="eastAsia" w:ascii="宋体" w:hAnsi="宋体"/>
          <w:bCs/>
          <w:sz w:val="20"/>
          <w:szCs w:val="20"/>
        </w:rPr>
        <w:t xml:space="preserve">  当锚杆倾角较大时</w:t>
      </w:r>
      <w:r>
        <w:rPr>
          <w:rFonts w:hint="eastAsia" w:ascii="宋体" w:hAnsi="宋体"/>
          <w:sz w:val="20"/>
          <w:szCs w:val="20"/>
        </w:rPr>
        <w:t>，应计算腰梁与挡土构件之间的连接在</w:t>
      </w:r>
      <w:r>
        <w:rPr>
          <w:rFonts w:hint="eastAsia" w:ascii="宋体" w:hAnsi="宋体"/>
          <w:bCs/>
          <w:sz w:val="20"/>
          <w:szCs w:val="20"/>
        </w:rPr>
        <w:t>锚杆垂直分力作用下的受剪承载力与挡土结构的竖向承载力</w:t>
      </w:r>
      <w:r>
        <w:rPr>
          <w:rFonts w:hint="eastAsia" w:ascii="宋体" w:hAnsi="宋体"/>
          <w:sz w:val="20"/>
          <w:szCs w:val="20"/>
        </w:rPr>
        <w:t>。</w:t>
      </w:r>
    </w:p>
    <w:p w14:paraId="226F71AB">
      <w:pPr>
        <w:tabs>
          <w:tab w:val="left" w:pos="616"/>
          <w:tab w:val="left" w:pos="854"/>
          <w:tab w:val="left" w:pos="1620"/>
          <w:tab w:val="left" w:pos="2160"/>
          <w:tab w:val="left" w:pos="3060"/>
          <w:tab w:val="left" w:pos="7020"/>
        </w:tabs>
        <w:adjustRightInd w:val="0"/>
        <w:snapToGrid w:val="0"/>
        <w:spacing w:line="288" w:lineRule="auto"/>
        <w:rPr>
          <w:rFonts w:ascii="宋体" w:hAnsi="宋体"/>
          <w:b/>
          <w:sz w:val="20"/>
          <w:szCs w:val="20"/>
        </w:rPr>
      </w:pPr>
      <w:r>
        <w:rPr>
          <w:b/>
          <w:kern w:val="0"/>
          <w:sz w:val="20"/>
          <w:szCs w:val="20"/>
        </w:rPr>
        <w:t>7.6.9</w:t>
      </w:r>
      <w:r>
        <w:rPr>
          <w:rFonts w:hint="eastAsia" w:ascii="宋体" w:hAnsi="宋体"/>
          <w:bCs/>
          <w:sz w:val="20"/>
          <w:szCs w:val="20"/>
        </w:rPr>
        <w:t xml:space="preserve">  </w:t>
      </w:r>
      <w:r>
        <w:rPr>
          <w:rFonts w:hint="eastAsia" w:ascii="宋体" w:hAnsi="宋体"/>
          <w:sz w:val="20"/>
          <w:szCs w:val="20"/>
        </w:rPr>
        <w:t>对压力型锚杆，应验算注浆体的受压承载力。</w:t>
      </w:r>
      <w:bookmarkStart w:id="75" w:name="_Toc428777570"/>
      <w:bookmarkStart w:id="76" w:name="_Toc413756031"/>
      <w:bookmarkStart w:id="77" w:name="_Toc413157301"/>
      <w:bookmarkStart w:id="78" w:name="_Toc468104711"/>
    </w:p>
    <w:p w14:paraId="3AD50A38">
      <w:pPr>
        <w:pStyle w:val="7"/>
        <w:keepNext w:val="0"/>
        <w:keepLines w:val="0"/>
        <w:adjustRightInd w:val="0"/>
        <w:snapToGrid w:val="0"/>
        <w:spacing w:before="312" w:beforeLines="100" w:after="312" w:afterLines="100" w:line="288" w:lineRule="auto"/>
        <w:jc w:val="center"/>
        <w:rPr>
          <w:rFonts w:ascii="宋体" w:hAnsi="宋体"/>
          <w:b w:val="0"/>
          <w:sz w:val="20"/>
          <w:szCs w:val="20"/>
        </w:rPr>
      </w:pPr>
      <w:bookmarkStart w:id="79" w:name="_Toc139613731"/>
      <w:r>
        <w:rPr>
          <w:sz w:val="20"/>
          <w:szCs w:val="20"/>
        </w:rPr>
        <w:t>7</w:t>
      </w:r>
      <w:r>
        <w:rPr>
          <w:rFonts w:hint="eastAsia"/>
          <w:sz w:val="20"/>
          <w:szCs w:val="20"/>
        </w:rPr>
        <w:t>.7</w:t>
      </w:r>
      <w:r>
        <w:rPr>
          <w:sz w:val="20"/>
          <w:szCs w:val="20"/>
        </w:rPr>
        <w:t xml:space="preserve">  </w:t>
      </w:r>
      <w:r>
        <w:rPr>
          <w:rFonts w:hint="eastAsia" w:ascii="黑体" w:hAnsi="黑体" w:eastAsia="黑体"/>
          <w:b w:val="0"/>
          <w:sz w:val="20"/>
          <w:szCs w:val="20"/>
        </w:rPr>
        <w:t>构造要求</w:t>
      </w:r>
      <w:bookmarkEnd w:id="75"/>
      <w:bookmarkEnd w:id="76"/>
      <w:bookmarkEnd w:id="77"/>
      <w:bookmarkEnd w:id="78"/>
      <w:bookmarkEnd w:id="79"/>
    </w:p>
    <w:p w14:paraId="097F4A1A">
      <w:pPr>
        <w:adjustRightInd w:val="0"/>
        <w:snapToGrid w:val="0"/>
        <w:spacing w:before="156" w:beforeLines="50" w:after="156" w:afterLines="50" w:line="288" w:lineRule="auto"/>
        <w:jc w:val="center"/>
        <w:rPr>
          <w:rFonts w:ascii="宋体" w:hAnsi="宋体"/>
          <w:sz w:val="20"/>
          <w:szCs w:val="20"/>
        </w:rPr>
      </w:pPr>
      <w:r>
        <w:rPr>
          <w:rFonts w:hint="eastAsia" w:ascii="宋体" w:hAnsi="宋体"/>
          <w:sz w:val="20"/>
          <w:szCs w:val="20"/>
        </w:rPr>
        <w:t>Ⅰ  排桩</w:t>
      </w:r>
    </w:p>
    <w:p w14:paraId="4A42388F">
      <w:pPr>
        <w:adjustRightInd w:val="0"/>
        <w:snapToGrid w:val="0"/>
        <w:spacing w:line="288" w:lineRule="auto"/>
        <w:rPr>
          <w:rFonts w:ascii="宋体" w:hAnsi="宋体"/>
          <w:sz w:val="20"/>
          <w:szCs w:val="20"/>
        </w:rPr>
      </w:pPr>
      <w:r>
        <w:rPr>
          <w:b/>
          <w:kern w:val="0"/>
          <w:sz w:val="20"/>
          <w:szCs w:val="20"/>
        </w:rPr>
        <w:t>7.7.1</w:t>
      </w:r>
      <w:r>
        <w:rPr>
          <w:rFonts w:hint="eastAsia" w:ascii="宋体" w:hAnsi="宋体"/>
          <w:sz w:val="20"/>
          <w:szCs w:val="20"/>
        </w:rPr>
        <w:t xml:space="preserve">  钢筋混凝土排桩间距应根据排桩受力及桩间土稳定条件确定，</w:t>
      </w:r>
      <w:r>
        <w:rPr>
          <w:rFonts w:hint="eastAsia" w:ascii="宋体" w:hAnsi="宋体"/>
          <w:bCs/>
          <w:sz w:val="20"/>
          <w:szCs w:val="20"/>
        </w:rPr>
        <w:t>排桩间距宜取</w:t>
      </w:r>
      <w:r>
        <w:rPr>
          <w:bCs/>
          <w:sz w:val="20"/>
          <w:szCs w:val="20"/>
        </w:rPr>
        <w:t>1</w:t>
      </w:r>
      <w:r>
        <w:rPr>
          <w:sz w:val="20"/>
          <w:szCs w:val="20"/>
        </w:rPr>
        <w:t>.5</w:t>
      </w:r>
      <w:r>
        <w:rPr>
          <w:i/>
          <w:sz w:val="20"/>
          <w:szCs w:val="20"/>
        </w:rPr>
        <w:t>d</w:t>
      </w:r>
      <w:r>
        <w:rPr>
          <w:rFonts w:hAnsi="宋体"/>
          <w:sz w:val="20"/>
          <w:szCs w:val="20"/>
        </w:rPr>
        <w:t>～</w:t>
      </w:r>
      <w:r>
        <w:rPr>
          <w:sz w:val="20"/>
          <w:szCs w:val="20"/>
        </w:rPr>
        <w:t>2.5</w:t>
      </w:r>
      <w:r>
        <w:rPr>
          <w:i/>
          <w:sz w:val="20"/>
          <w:szCs w:val="20"/>
        </w:rPr>
        <w:t>d</w:t>
      </w:r>
      <w:r>
        <w:rPr>
          <w:rFonts w:hint="eastAsia" w:ascii="宋体" w:hAnsi="宋体"/>
          <w:sz w:val="20"/>
          <w:szCs w:val="20"/>
        </w:rPr>
        <w:t>（</w:t>
      </w:r>
      <w:r>
        <w:rPr>
          <w:i/>
          <w:sz w:val="20"/>
          <w:szCs w:val="20"/>
        </w:rPr>
        <w:t>d</w:t>
      </w:r>
      <w:r>
        <w:rPr>
          <w:rFonts w:hint="eastAsia" w:ascii="宋体" w:hAnsi="宋体"/>
          <w:sz w:val="20"/>
          <w:szCs w:val="20"/>
        </w:rPr>
        <w:t>为桩径）；桩径大时宜取大值，反之宜取小值；黏性土宜取大值，砂土宜取小值。</w:t>
      </w:r>
    </w:p>
    <w:p w14:paraId="1AEAE5B3">
      <w:pPr>
        <w:adjustRightInd w:val="0"/>
        <w:snapToGrid w:val="0"/>
        <w:spacing w:line="288" w:lineRule="auto"/>
        <w:rPr>
          <w:rFonts w:ascii="宋体" w:hAnsi="宋体"/>
          <w:sz w:val="20"/>
          <w:szCs w:val="20"/>
        </w:rPr>
      </w:pPr>
      <w:r>
        <w:rPr>
          <w:b/>
          <w:kern w:val="0"/>
          <w:sz w:val="20"/>
          <w:szCs w:val="20"/>
        </w:rPr>
        <w:t>7.7.2</w:t>
      </w:r>
      <w:r>
        <w:rPr>
          <w:rFonts w:hint="eastAsia" w:ascii="宋体" w:hAnsi="宋体"/>
          <w:sz w:val="20"/>
          <w:szCs w:val="20"/>
        </w:rPr>
        <w:t xml:space="preserve">  钢筋混凝土排桩的钢筋配置及混凝土强度等级应符合下列规定：</w:t>
      </w:r>
    </w:p>
    <w:p w14:paraId="767D5081">
      <w:pPr>
        <w:adjustRightInd w:val="0"/>
        <w:snapToGrid w:val="0"/>
        <w:spacing w:line="288" w:lineRule="auto"/>
        <w:ind w:firstLine="402" w:firstLineChars="200"/>
        <w:rPr>
          <w:rFonts w:ascii="宋体" w:hAnsi="宋体"/>
          <w:sz w:val="20"/>
          <w:szCs w:val="20"/>
        </w:rPr>
      </w:pPr>
      <w:r>
        <w:rPr>
          <w:rFonts w:hint="eastAsia"/>
          <w:b/>
          <w:bCs/>
          <w:sz w:val="20"/>
          <w:szCs w:val="20"/>
        </w:rPr>
        <w:t>1</w:t>
      </w:r>
      <w:r>
        <w:rPr>
          <w:rFonts w:ascii="宋体" w:hAnsi="宋体"/>
          <w:sz w:val="20"/>
          <w:szCs w:val="20"/>
        </w:rPr>
        <w:t xml:space="preserve">  </w:t>
      </w:r>
      <w:r>
        <w:rPr>
          <w:rFonts w:hint="eastAsia" w:ascii="宋体" w:hAnsi="宋体"/>
          <w:sz w:val="20"/>
          <w:szCs w:val="20"/>
        </w:rPr>
        <w:t>纵向受力钢筋应采用</w:t>
      </w:r>
      <w:r>
        <w:rPr>
          <w:sz w:val="20"/>
          <w:szCs w:val="20"/>
        </w:rPr>
        <w:t>HRB400</w:t>
      </w:r>
      <w:r>
        <w:rPr>
          <w:rFonts w:hAnsi="宋体"/>
          <w:sz w:val="20"/>
          <w:szCs w:val="20"/>
        </w:rPr>
        <w:t>、</w:t>
      </w:r>
      <w:r>
        <w:rPr>
          <w:sz w:val="20"/>
          <w:szCs w:val="20"/>
        </w:rPr>
        <w:t>HRB500</w:t>
      </w:r>
      <w:r>
        <w:rPr>
          <w:rFonts w:hint="eastAsia" w:ascii="宋体" w:hAnsi="宋体"/>
          <w:sz w:val="20"/>
          <w:szCs w:val="20"/>
        </w:rPr>
        <w:t>钢筋，数量不宜少于8根，净间距不应小于</w:t>
      </w:r>
      <w:r>
        <w:rPr>
          <w:rFonts w:hint="eastAsia"/>
          <w:sz w:val="20"/>
          <w:szCs w:val="20"/>
        </w:rPr>
        <w:t>60mm</w:t>
      </w:r>
      <w:r>
        <w:rPr>
          <w:rFonts w:hint="eastAsia" w:ascii="宋体" w:hAnsi="宋体"/>
          <w:sz w:val="20"/>
          <w:szCs w:val="20"/>
        </w:rPr>
        <w:t>；</w:t>
      </w:r>
    </w:p>
    <w:p w14:paraId="5AAE7E29">
      <w:pPr>
        <w:adjustRightInd w:val="0"/>
        <w:snapToGrid w:val="0"/>
        <w:spacing w:line="288" w:lineRule="auto"/>
        <w:ind w:firstLine="402" w:firstLineChars="200"/>
        <w:rPr>
          <w:rFonts w:ascii="宋体" w:hAnsi="宋体"/>
          <w:sz w:val="20"/>
          <w:szCs w:val="20"/>
        </w:rPr>
      </w:pPr>
      <w:r>
        <w:rPr>
          <w:rFonts w:hint="eastAsia"/>
          <w:b/>
          <w:bCs/>
          <w:sz w:val="20"/>
          <w:szCs w:val="20"/>
        </w:rPr>
        <w:t>2</w:t>
      </w:r>
      <w:r>
        <w:rPr>
          <w:rFonts w:ascii="宋体" w:hAnsi="宋体"/>
          <w:sz w:val="20"/>
          <w:szCs w:val="20"/>
        </w:rPr>
        <w:t xml:space="preserve">  </w:t>
      </w:r>
      <w:r>
        <w:rPr>
          <w:rFonts w:hint="eastAsia" w:ascii="宋体" w:hAnsi="宋体"/>
          <w:sz w:val="20"/>
          <w:szCs w:val="20"/>
        </w:rPr>
        <w:t>箍筋宜采用</w:t>
      </w:r>
      <w:r>
        <w:rPr>
          <w:rFonts w:hint="eastAsia"/>
          <w:sz w:val="20"/>
          <w:szCs w:val="20"/>
        </w:rPr>
        <w:t>HPB300</w:t>
      </w:r>
      <w:r>
        <w:rPr>
          <w:rFonts w:hint="eastAsia" w:ascii="宋体" w:hAnsi="宋体"/>
          <w:sz w:val="20"/>
          <w:szCs w:val="20"/>
        </w:rPr>
        <w:t>钢筋，并宜采用螺旋筋；箍筋直径不应小于纵向受力钢筋最大直径的</w:t>
      </w:r>
      <w:r>
        <w:rPr>
          <w:rFonts w:hint="eastAsia"/>
          <w:sz w:val="20"/>
          <w:szCs w:val="20"/>
        </w:rPr>
        <w:t>1/4</w:t>
      </w:r>
      <w:r>
        <w:rPr>
          <w:rFonts w:hint="eastAsia" w:ascii="宋体" w:hAnsi="宋体"/>
          <w:sz w:val="20"/>
          <w:szCs w:val="20"/>
        </w:rPr>
        <w:t>，且不应小于</w:t>
      </w:r>
      <w:r>
        <w:rPr>
          <w:rFonts w:hint="eastAsia"/>
          <w:sz w:val="20"/>
          <w:szCs w:val="20"/>
        </w:rPr>
        <w:t>6mm</w:t>
      </w:r>
      <w:r>
        <w:rPr>
          <w:rFonts w:hint="eastAsia" w:ascii="宋体" w:hAnsi="宋体"/>
          <w:sz w:val="20"/>
          <w:szCs w:val="20"/>
        </w:rPr>
        <w:t>；箍筋间距宜取</w:t>
      </w:r>
      <w:r>
        <w:rPr>
          <w:rFonts w:hint="eastAsia"/>
          <w:sz w:val="20"/>
          <w:szCs w:val="20"/>
        </w:rPr>
        <w:t>100mm～200mm</w:t>
      </w:r>
      <w:r>
        <w:rPr>
          <w:rFonts w:hint="eastAsia" w:ascii="宋体" w:hAnsi="宋体"/>
          <w:sz w:val="20"/>
          <w:szCs w:val="20"/>
        </w:rPr>
        <w:t>, 且不应大于</w:t>
      </w:r>
      <w:r>
        <w:rPr>
          <w:rFonts w:hint="eastAsia"/>
          <w:sz w:val="20"/>
          <w:szCs w:val="20"/>
        </w:rPr>
        <w:t>400mm</w:t>
      </w:r>
      <w:r>
        <w:rPr>
          <w:rFonts w:hint="eastAsia" w:ascii="宋体" w:hAnsi="宋体"/>
          <w:sz w:val="20"/>
          <w:szCs w:val="20"/>
        </w:rPr>
        <w:t>及桩的直径；</w:t>
      </w:r>
    </w:p>
    <w:p w14:paraId="195BB44B">
      <w:pPr>
        <w:adjustRightInd w:val="0"/>
        <w:snapToGrid w:val="0"/>
        <w:spacing w:line="288" w:lineRule="auto"/>
        <w:ind w:firstLine="402" w:firstLineChars="200"/>
        <w:rPr>
          <w:rFonts w:ascii="宋体" w:hAnsi="宋体"/>
          <w:sz w:val="20"/>
          <w:szCs w:val="20"/>
        </w:rPr>
      </w:pPr>
      <w:r>
        <w:rPr>
          <w:rFonts w:hint="eastAsia"/>
          <w:b/>
          <w:bCs/>
          <w:sz w:val="20"/>
          <w:szCs w:val="20"/>
        </w:rPr>
        <w:t>3</w:t>
      </w:r>
      <w:r>
        <w:rPr>
          <w:rFonts w:ascii="宋体" w:hAnsi="宋体"/>
          <w:sz w:val="20"/>
          <w:szCs w:val="20"/>
        </w:rPr>
        <w:t xml:space="preserve">  </w:t>
      </w:r>
      <w:r>
        <w:rPr>
          <w:rFonts w:hint="eastAsia" w:ascii="宋体" w:hAnsi="宋体"/>
          <w:sz w:val="20"/>
          <w:szCs w:val="20"/>
        </w:rPr>
        <w:t>钢筋笼宜配置加强筋，加强箍筋应满足钢筋笼起吊安装要求，宜选用</w:t>
      </w:r>
      <w:r>
        <w:rPr>
          <w:rFonts w:hint="eastAsia"/>
          <w:sz w:val="20"/>
          <w:szCs w:val="20"/>
        </w:rPr>
        <w:t>HPB300、HRB400</w:t>
      </w:r>
      <w:r>
        <w:rPr>
          <w:rFonts w:hint="eastAsia" w:ascii="宋体" w:hAnsi="宋体"/>
          <w:sz w:val="20"/>
          <w:szCs w:val="20"/>
        </w:rPr>
        <w:t>钢筋，间距宜取</w:t>
      </w:r>
      <w:r>
        <w:rPr>
          <w:rFonts w:hint="eastAsia"/>
          <w:sz w:val="20"/>
          <w:szCs w:val="20"/>
        </w:rPr>
        <w:t>1000mm～2000mm</w:t>
      </w:r>
      <w:r>
        <w:rPr>
          <w:rFonts w:hint="eastAsia" w:ascii="宋体" w:hAnsi="宋体"/>
          <w:sz w:val="20"/>
          <w:szCs w:val="20"/>
        </w:rPr>
        <w:t xml:space="preserve">； </w:t>
      </w:r>
    </w:p>
    <w:p w14:paraId="1EA0113D">
      <w:pPr>
        <w:adjustRightInd w:val="0"/>
        <w:snapToGrid w:val="0"/>
        <w:spacing w:line="288" w:lineRule="auto"/>
        <w:ind w:firstLine="402" w:firstLineChars="200"/>
        <w:rPr>
          <w:rFonts w:ascii="宋体" w:hAnsi="宋体"/>
          <w:sz w:val="20"/>
          <w:szCs w:val="20"/>
        </w:rPr>
      </w:pPr>
      <w:r>
        <w:rPr>
          <w:rFonts w:hint="eastAsia"/>
          <w:b/>
          <w:bCs/>
          <w:sz w:val="20"/>
          <w:szCs w:val="20"/>
        </w:rPr>
        <w:t>4</w:t>
      </w:r>
      <w:r>
        <w:rPr>
          <w:rFonts w:hint="eastAsia" w:ascii="宋体" w:hAnsi="宋体"/>
          <w:sz w:val="20"/>
          <w:szCs w:val="20"/>
        </w:rPr>
        <w:t xml:space="preserve">  纵向受力钢筋的保护层厚度不应小于</w:t>
      </w:r>
      <w:r>
        <w:rPr>
          <w:rFonts w:hint="eastAsia"/>
          <w:sz w:val="20"/>
          <w:szCs w:val="20"/>
        </w:rPr>
        <w:t>35mm</w:t>
      </w:r>
      <w:r>
        <w:rPr>
          <w:rFonts w:hint="eastAsia" w:ascii="宋体" w:hAnsi="宋体"/>
          <w:sz w:val="20"/>
          <w:szCs w:val="20"/>
        </w:rPr>
        <w:t>，水下灌注混凝土时，不宜小于</w:t>
      </w:r>
      <w:r>
        <w:rPr>
          <w:rFonts w:hint="eastAsia"/>
          <w:sz w:val="20"/>
          <w:szCs w:val="20"/>
        </w:rPr>
        <w:t>50</w:t>
      </w:r>
      <w:r>
        <w:rPr>
          <w:sz w:val="20"/>
          <w:szCs w:val="20"/>
        </w:rPr>
        <w:t>mm</w:t>
      </w:r>
      <w:r>
        <w:rPr>
          <w:rFonts w:hint="eastAsia" w:ascii="宋体" w:hAnsi="宋体"/>
          <w:sz w:val="20"/>
          <w:szCs w:val="20"/>
        </w:rPr>
        <w:t>；</w:t>
      </w:r>
    </w:p>
    <w:p w14:paraId="068B02A8">
      <w:pPr>
        <w:adjustRightInd w:val="0"/>
        <w:snapToGrid w:val="0"/>
        <w:spacing w:line="288" w:lineRule="auto"/>
        <w:ind w:firstLine="402" w:firstLineChars="200"/>
        <w:rPr>
          <w:rFonts w:ascii="宋体" w:hAnsi="宋体"/>
          <w:sz w:val="20"/>
          <w:szCs w:val="20"/>
        </w:rPr>
      </w:pPr>
      <w:r>
        <w:rPr>
          <w:rFonts w:hint="eastAsia"/>
          <w:b/>
          <w:bCs/>
          <w:sz w:val="20"/>
          <w:szCs w:val="20"/>
        </w:rPr>
        <w:t>5</w:t>
      </w:r>
      <w:r>
        <w:rPr>
          <w:rFonts w:hint="eastAsia" w:ascii="宋体" w:hAnsi="宋体"/>
          <w:sz w:val="20"/>
          <w:szCs w:val="20"/>
        </w:rPr>
        <w:t xml:space="preserve">  当采用沿截面周边非均匀配置纵向钢筋时，受压区的纵向钢筋根数不应少于</w:t>
      </w:r>
      <w:r>
        <w:rPr>
          <w:rFonts w:hint="eastAsia"/>
          <w:sz w:val="20"/>
          <w:szCs w:val="20"/>
        </w:rPr>
        <w:t>5</w:t>
      </w:r>
      <w:r>
        <w:rPr>
          <w:rFonts w:hint="eastAsia" w:ascii="宋体" w:hAnsi="宋体"/>
          <w:sz w:val="20"/>
          <w:szCs w:val="20"/>
        </w:rPr>
        <w:t>根；</w:t>
      </w:r>
    </w:p>
    <w:p w14:paraId="774CBC12">
      <w:pPr>
        <w:adjustRightInd w:val="0"/>
        <w:snapToGrid w:val="0"/>
        <w:spacing w:line="288" w:lineRule="auto"/>
        <w:ind w:firstLine="402" w:firstLineChars="200"/>
        <w:rPr>
          <w:rFonts w:ascii="宋体" w:hAnsi="宋体"/>
          <w:sz w:val="20"/>
          <w:szCs w:val="20"/>
        </w:rPr>
      </w:pPr>
      <w:r>
        <w:rPr>
          <w:rFonts w:hint="eastAsia"/>
          <w:b/>
          <w:bCs/>
          <w:sz w:val="20"/>
          <w:szCs w:val="20"/>
        </w:rPr>
        <w:t>6</w:t>
      </w:r>
      <w:r>
        <w:rPr>
          <w:rFonts w:hint="eastAsia" w:ascii="宋体" w:hAnsi="宋体"/>
          <w:sz w:val="20"/>
          <w:szCs w:val="20"/>
        </w:rPr>
        <w:t xml:space="preserve">  混凝土强度等级不宜低于</w:t>
      </w:r>
      <w:r>
        <w:rPr>
          <w:rFonts w:hint="eastAsia"/>
          <w:sz w:val="20"/>
          <w:szCs w:val="20"/>
        </w:rPr>
        <w:t>C25</w:t>
      </w:r>
      <w:r>
        <w:rPr>
          <w:rFonts w:hint="eastAsia" w:ascii="宋体" w:hAnsi="宋体"/>
          <w:sz w:val="20"/>
          <w:szCs w:val="20"/>
        </w:rPr>
        <w:t>；</w:t>
      </w:r>
    </w:p>
    <w:p w14:paraId="0D678330">
      <w:pPr>
        <w:adjustRightInd w:val="0"/>
        <w:snapToGrid w:val="0"/>
        <w:spacing w:line="288" w:lineRule="auto"/>
        <w:ind w:firstLine="402" w:firstLineChars="200"/>
        <w:rPr>
          <w:rFonts w:ascii="宋体" w:hAnsi="宋体"/>
          <w:sz w:val="20"/>
          <w:szCs w:val="20"/>
        </w:rPr>
      </w:pPr>
      <w:r>
        <w:rPr>
          <w:rFonts w:hint="eastAsia"/>
          <w:b/>
          <w:bCs/>
          <w:sz w:val="20"/>
          <w:szCs w:val="20"/>
        </w:rPr>
        <w:t>7</w:t>
      </w:r>
      <w:r>
        <w:rPr>
          <w:rFonts w:hint="eastAsia" w:ascii="宋体" w:hAnsi="宋体"/>
          <w:sz w:val="20"/>
          <w:szCs w:val="20"/>
        </w:rPr>
        <w:t xml:space="preserve">  其它构造要求应符合现行国家标准《混凝土结构设计规范》</w:t>
      </w:r>
      <w:r>
        <w:rPr>
          <w:rFonts w:hint="eastAsia"/>
          <w:sz w:val="20"/>
          <w:szCs w:val="20"/>
        </w:rPr>
        <w:t>GB</w:t>
      </w:r>
      <w:r>
        <w:rPr>
          <w:sz w:val="20"/>
          <w:szCs w:val="20"/>
        </w:rPr>
        <w:t xml:space="preserve"> </w:t>
      </w:r>
      <w:r>
        <w:rPr>
          <w:rFonts w:hint="eastAsia"/>
          <w:sz w:val="20"/>
          <w:szCs w:val="20"/>
        </w:rPr>
        <w:t>50010</w:t>
      </w:r>
      <w:r>
        <w:rPr>
          <w:rFonts w:hint="eastAsia" w:ascii="宋体" w:hAnsi="宋体"/>
          <w:sz w:val="20"/>
          <w:szCs w:val="20"/>
        </w:rPr>
        <w:t>的有关规定。</w:t>
      </w:r>
    </w:p>
    <w:p w14:paraId="5E00D1B1">
      <w:pPr>
        <w:widowControl/>
        <w:jc w:val="left"/>
        <w:rPr>
          <w:sz w:val="20"/>
          <w:szCs w:val="20"/>
        </w:rPr>
      </w:pPr>
      <w:r>
        <w:rPr>
          <w:b/>
          <w:sz w:val="20"/>
          <w:szCs w:val="20"/>
        </w:rPr>
        <w:t xml:space="preserve">7.7.3  </w:t>
      </w:r>
      <w:r>
        <w:rPr>
          <w:kern w:val="44"/>
          <w:sz w:val="20"/>
          <w:szCs w:val="20"/>
        </w:rPr>
        <w:t>预制混凝土桩支护结构的构造要求应符合下列</w:t>
      </w:r>
      <w:r>
        <w:rPr>
          <w:rFonts w:hint="eastAsia"/>
          <w:kern w:val="44"/>
          <w:sz w:val="20"/>
          <w:szCs w:val="20"/>
        </w:rPr>
        <w:t>规定</w:t>
      </w:r>
      <w:r>
        <w:rPr>
          <w:kern w:val="44"/>
          <w:sz w:val="20"/>
          <w:szCs w:val="20"/>
        </w:rPr>
        <w:t>：</w:t>
      </w:r>
    </w:p>
    <w:p w14:paraId="057EEDFB">
      <w:pPr>
        <w:autoSpaceDE w:val="0"/>
        <w:autoSpaceDN w:val="0"/>
        <w:adjustRightInd w:val="0"/>
        <w:jc w:val="left"/>
        <w:rPr>
          <w:sz w:val="20"/>
          <w:szCs w:val="20"/>
        </w:rPr>
      </w:pPr>
      <w:r>
        <w:rPr>
          <w:b/>
          <w:sz w:val="20"/>
          <w:szCs w:val="20"/>
        </w:rPr>
        <w:t xml:space="preserve">   1  </w:t>
      </w:r>
      <w:r>
        <w:rPr>
          <w:sz w:val="20"/>
          <w:szCs w:val="20"/>
        </w:rPr>
        <w:t>预制桩桩身混凝土强度等级不宜低于C60；</w:t>
      </w:r>
    </w:p>
    <w:p w14:paraId="78567B45">
      <w:pPr>
        <w:autoSpaceDE w:val="0"/>
        <w:autoSpaceDN w:val="0"/>
        <w:adjustRightInd w:val="0"/>
        <w:jc w:val="left"/>
        <w:rPr>
          <w:sz w:val="20"/>
          <w:szCs w:val="20"/>
        </w:rPr>
      </w:pPr>
      <w:r>
        <w:rPr>
          <w:b/>
          <w:sz w:val="20"/>
          <w:szCs w:val="20"/>
        </w:rPr>
        <w:t xml:space="preserve">   2</w:t>
      </w:r>
      <w:r>
        <w:rPr>
          <w:sz w:val="20"/>
          <w:szCs w:val="20"/>
        </w:rPr>
        <w:t xml:space="preserve">  桩身纵向钢筋宜采用预应力钢筋和非预应力钢筋混合配筋；</w:t>
      </w:r>
    </w:p>
    <w:p w14:paraId="3617A338">
      <w:pPr>
        <w:autoSpaceDE w:val="0"/>
        <w:autoSpaceDN w:val="0"/>
        <w:adjustRightInd w:val="0"/>
        <w:jc w:val="left"/>
        <w:rPr>
          <w:sz w:val="20"/>
          <w:szCs w:val="20"/>
        </w:rPr>
      </w:pPr>
      <w:r>
        <w:rPr>
          <w:b/>
          <w:sz w:val="20"/>
          <w:szCs w:val="20"/>
        </w:rPr>
        <w:t xml:space="preserve">   3  </w:t>
      </w:r>
      <w:r>
        <w:rPr>
          <w:sz w:val="20"/>
          <w:szCs w:val="20"/>
        </w:rPr>
        <w:t>预应力纵向钢筋宜采用预应力混凝土用钢棒，其质量应符合现行国家标准《预应力混凝土用钢棒》 GB/T 5223.3的相关规定；</w:t>
      </w:r>
    </w:p>
    <w:p w14:paraId="4D31CD3C">
      <w:pPr>
        <w:autoSpaceDE w:val="0"/>
        <w:autoSpaceDN w:val="0"/>
        <w:adjustRightInd w:val="0"/>
        <w:jc w:val="left"/>
        <w:rPr>
          <w:sz w:val="20"/>
          <w:szCs w:val="20"/>
        </w:rPr>
      </w:pPr>
      <w:r>
        <w:rPr>
          <w:b/>
          <w:sz w:val="20"/>
          <w:szCs w:val="20"/>
        </w:rPr>
        <w:t xml:space="preserve">   4  </w:t>
      </w:r>
      <w:r>
        <w:rPr>
          <w:sz w:val="20"/>
          <w:szCs w:val="20"/>
        </w:rPr>
        <w:t>非预应力纵向钢筋宜采用热轧带肋钢筋，其质量应符合现行国家标准《钢筋混凝土用钢 第2部分：热轧带肋钢筋》GB 1499.2的相关规定；</w:t>
      </w:r>
    </w:p>
    <w:p w14:paraId="2225E577">
      <w:pPr>
        <w:autoSpaceDE w:val="0"/>
        <w:autoSpaceDN w:val="0"/>
        <w:adjustRightInd w:val="0"/>
        <w:jc w:val="left"/>
        <w:rPr>
          <w:sz w:val="20"/>
          <w:szCs w:val="20"/>
        </w:rPr>
      </w:pPr>
      <w:r>
        <w:rPr>
          <w:b/>
          <w:sz w:val="20"/>
          <w:szCs w:val="20"/>
        </w:rPr>
        <w:t xml:space="preserve">   5  </w:t>
      </w:r>
      <w:r>
        <w:rPr>
          <w:kern w:val="0"/>
          <w:sz w:val="20"/>
          <w:szCs w:val="20"/>
        </w:rPr>
        <w:t>预制桩桩身与腰梁不</w:t>
      </w:r>
      <w:r>
        <w:rPr>
          <w:rFonts w:hint="eastAsia"/>
          <w:kern w:val="0"/>
          <w:sz w:val="20"/>
          <w:szCs w:val="20"/>
        </w:rPr>
        <w:t>宜</w:t>
      </w:r>
      <w:r>
        <w:rPr>
          <w:kern w:val="0"/>
          <w:sz w:val="20"/>
          <w:szCs w:val="20"/>
        </w:rPr>
        <w:t>采用钻孔植筋的形式连接</w:t>
      </w:r>
      <w:r>
        <w:rPr>
          <w:sz w:val="20"/>
          <w:szCs w:val="20"/>
        </w:rPr>
        <w:t>；</w:t>
      </w:r>
    </w:p>
    <w:p w14:paraId="5C2733D8">
      <w:pPr>
        <w:spacing w:line="340" w:lineRule="exact"/>
        <w:rPr>
          <w:sz w:val="20"/>
          <w:szCs w:val="20"/>
        </w:rPr>
      </w:pPr>
      <w:r>
        <w:rPr>
          <w:b/>
          <w:sz w:val="20"/>
          <w:szCs w:val="20"/>
        </w:rPr>
        <w:t xml:space="preserve">   6</w:t>
      </w:r>
      <w:r>
        <w:rPr>
          <w:sz w:val="20"/>
          <w:szCs w:val="20"/>
        </w:rPr>
        <w:t xml:space="preserve">  当采用多节预制桩时，接桩位置不宜设在计算弯矩或剪力大的位置； </w:t>
      </w:r>
    </w:p>
    <w:p w14:paraId="0DB1107A">
      <w:pPr>
        <w:autoSpaceDE w:val="0"/>
        <w:autoSpaceDN w:val="0"/>
        <w:adjustRightInd w:val="0"/>
        <w:jc w:val="left"/>
        <w:rPr>
          <w:kern w:val="0"/>
          <w:sz w:val="20"/>
          <w:szCs w:val="20"/>
        </w:rPr>
      </w:pPr>
      <w:r>
        <w:rPr>
          <w:b/>
          <w:sz w:val="20"/>
          <w:szCs w:val="20"/>
        </w:rPr>
        <w:t xml:space="preserve">   7  </w:t>
      </w:r>
      <w:r>
        <w:rPr>
          <w:kern w:val="0"/>
          <w:sz w:val="20"/>
          <w:szCs w:val="20"/>
        </w:rPr>
        <w:t>预制混凝土桩嵌入冠梁长度不应小于100mm；</w:t>
      </w:r>
    </w:p>
    <w:p w14:paraId="4B8FE098">
      <w:pPr>
        <w:autoSpaceDE w:val="0"/>
        <w:autoSpaceDN w:val="0"/>
        <w:adjustRightInd w:val="0"/>
        <w:jc w:val="left"/>
        <w:rPr>
          <w:kern w:val="0"/>
          <w:sz w:val="20"/>
          <w:szCs w:val="20"/>
        </w:rPr>
      </w:pPr>
      <w:r>
        <w:rPr>
          <w:b/>
          <w:sz w:val="20"/>
          <w:szCs w:val="20"/>
        </w:rPr>
        <w:t xml:space="preserve">   8  </w:t>
      </w:r>
      <w:r>
        <w:rPr>
          <w:kern w:val="0"/>
          <w:sz w:val="20"/>
          <w:szCs w:val="20"/>
        </w:rPr>
        <w:t>空心预制桩宜采用填芯钢筋笼形式与冠梁连接，填芯混凝土强度等级不应低于C35，填芯长度应满足设计要求，且不宜小于1500mm；</w:t>
      </w:r>
    </w:p>
    <w:p w14:paraId="5957C225">
      <w:pPr>
        <w:autoSpaceDE w:val="0"/>
        <w:autoSpaceDN w:val="0"/>
        <w:adjustRightInd w:val="0"/>
        <w:jc w:val="left"/>
        <w:rPr>
          <w:b/>
          <w:sz w:val="20"/>
          <w:szCs w:val="20"/>
        </w:rPr>
      </w:pPr>
      <w:r>
        <w:rPr>
          <w:b/>
          <w:sz w:val="20"/>
          <w:szCs w:val="20"/>
        </w:rPr>
        <w:t xml:space="preserve">   9  </w:t>
      </w:r>
      <w:r>
        <w:rPr>
          <w:kern w:val="0"/>
          <w:sz w:val="20"/>
          <w:szCs w:val="20"/>
        </w:rPr>
        <w:t>实心预制桩宜采用桩顶端板焊接锚固筋或桩顶预埋套筒后设锚固筋的形式与冠梁连接</w:t>
      </w:r>
      <w:r>
        <w:rPr>
          <w:rFonts w:hint="eastAsia"/>
          <w:kern w:val="0"/>
          <w:sz w:val="20"/>
          <w:szCs w:val="20"/>
        </w:rPr>
        <w:t>；</w:t>
      </w:r>
      <w:r>
        <w:rPr>
          <w:b/>
          <w:sz w:val="20"/>
          <w:szCs w:val="20"/>
        </w:rPr>
        <w:t xml:space="preserve"> </w:t>
      </w:r>
    </w:p>
    <w:p w14:paraId="5E705D85">
      <w:pPr>
        <w:autoSpaceDE w:val="0"/>
        <w:autoSpaceDN w:val="0"/>
        <w:adjustRightInd w:val="0"/>
        <w:ind w:firstLine="201" w:firstLineChars="100"/>
        <w:jc w:val="left"/>
        <w:rPr>
          <w:kern w:val="0"/>
          <w:sz w:val="20"/>
          <w:szCs w:val="20"/>
        </w:rPr>
      </w:pPr>
      <w:r>
        <w:rPr>
          <w:b/>
          <w:sz w:val="20"/>
          <w:szCs w:val="20"/>
        </w:rPr>
        <w:t xml:space="preserve">10  </w:t>
      </w:r>
      <w:r>
        <w:rPr>
          <w:sz w:val="20"/>
          <w:szCs w:val="20"/>
        </w:rPr>
        <w:t>当支护结构有止水要求时，预制混凝土桩宜采用搅拌桩或等厚度水泥土搅拌墙内植桩、墙背高压旋喷等方式止水。</w:t>
      </w:r>
    </w:p>
    <w:p w14:paraId="796A1702">
      <w:pPr>
        <w:spacing w:line="340" w:lineRule="exact"/>
        <w:rPr>
          <w:sz w:val="20"/>
          <w:szCs w:val="20"/>
        </w:rPr>
      </w:pPr>
      <w:r>
        <w:rPr>
          <w:b/>
          <w:sz w:val="20"/>
          <w:szCs w:val="20"/>
        </w:rPr>
        <w:t xml:space="preserve">7.7.4  </w:t>
      </w:r>
      <w:r>
        <w:rPr>
          <w:sz w:val="20"/>
          <w:szCs w:val="20"/>
        </w:rPr>
        <w:t xml:space="preserve">排桩采用素混凝土（或水泥土）桩与钢筋混凝土桩间隔布置的钻孔咬合桩形式时，支护桩的桩径可取800mm～1500mm，相邻桩咬合长度不宜小于200mm。素混凝土桩应采用强度等级不低于C15的超缓凝混凝土或塑性混凝土，超缓凝混凝土的初凝时间不宜小于60h，水下灌注时坍落度宜取160mm～200mm，干孔灌注时宜取100mm～140mm，且混凝土的3天强度不宜大于3MPa。水泥土桩可采用搅拌桩、旋喷桩或搅喷桩，水泥土28天桩体抗压强度宜不小于0.8MPa。 </w:t>
      </w:r>
    </w:p>
    <w:p w14:paraId="24C32A85">
      <w:pPr>
        <w:spacing w:line="340" w:lineRule="exact"/>
        <w:rPr>
          <w:sz w:val="20"/>
          <w:szCs w:val="20"/>
        </w:rPr>
      </w:pPr>
      <w:r>
        <w:rPr>
          <w:b/>
          <w:sz w:val="20"/>
          <w:szCs w:val="20"/>
        </w:rPr>
        <w:t xml:space="preserve">7.7.5  </w:t>
      </w:r>
      <w:r>
        <w:rPr>
          <w:sz w:val="20"/>
          <w:szCs w:val="20"/>
        </w:rPr>
        <w:t xml:space="preserve">排桩顶部应设钢筋混凝土冠梁与桩身连接，冠梁高度（水平方向尺寸）不宜小于桩径或截面高度，厚度（竖直方向尺寸）不宜小于桩径或截面高度的0.6倍，且不得小于400mm。 </w:t>
      </w:r>
    </w:p>
    <w:p w14:paraId="38D0C50E">
      <w:pPr>
        <w:spacing w:line="340" w:lineRule="exact"/>
        <w:rPr>
          <w:sz w:val="20"/>
          <w:szCs w:val="20"/>
        </w:rPr>
      </w:pPr>
      <w:r>
        <w:rPr>
          <w:b/>
          <w:sz w:val="20"/>
          <w:szCs w:val="20"/>
        </w:rPr>
        <w:t xml:space="preserve">7.7.6  </w:t>
      </w:r>
      <w:r>
        <w:rPr>
          <w:sz w:val="20"/>
          <w:szCs w:val="20"/>
        </w:rPr>
        <w:t>基坑开挖后，应及时对排桩的桩间土采取防护措施，可采用内置钢丝网或钢筋（板）网的喷射混凝土护面等处理方法，喷射混凝土面层的厚度不宜小于50mm，混凝土强度等级不宜低于C20；钢筋（丝）网或钢板网宜采用横向拉筋与两侧桩体连接，拉筋直径不宜小于12mm，拉筋锚固在桩内的长度不宜小于100mm。基坑底面以上有含水层或土质较差时，应采用钢筋网及竖向加强钢筋。</w:t>
      </w:r>
    </w:p>
    <w:p w14:paraId="5D9EB289">
      <w:pPr>
        <w:spacing w:line="340" w:lineRule="exact"/>
        <w:rPr>
          <w:sz w:val="20"/>
          <w:szCs w:val="20"/>
        </w:rPr>
      </w:pPr>
      <w:r>
        <w:rPr>
          <w:b/>
          <w:sz w:val="20"/>
          <w:szCs w:val="20"/>
        </w:rPr>
        <w:t xml:space="preserve">7.7.7  </w:t>
      </w:r>
      <w:r>
        <w:rPr>
          <w:sz w:val="20"/>
          <w:szCs w:val="20"/>
        </w:rPr>
        <w:t>当存在地下水且不设截水帷幕时，应在含水层部位的基坑侧壁设置泄水孔，泄水孔应采取防止土颗粒流失的反滤措施。</w:t>
      </w:r>
    </w:p>
    <w:p w14:paraId="35A6C74B">
      <w:pPr>
        <w:adjustRightInd w:val="0"/>
        <w:snapToGrid w:val="0"/>
        <w:spacing w:line="288" w:lineRule="auto"/>
        <w:rPr>
          <w:rFonts w:ascii="宋体" w:hAnsi="宋体"/>
          <w:sz w:val="20"/>
          <w:szCs w:val="20"/>
        </w:rPr>
      </w:pPr>
    </w:p>
    <w:p w14:paraId="1A1EB976">
      <w:pPr>
        <w:adjustRightInd w:val="0"/>
        <w:snapToGrid w:val="0"/>
        <w:spacing w:before="156" w:beforeLines="50" w:after="156" w:afterLines="50" w:line="288" w:lineRule="auto"/>
        <w:jc w:val="center"/>
        <w:rPr>
          <w:rFonts w:ascii="黑体" w:hAnsi="黑体" w:eastAsia="黑体"/>
          <w:sz w:val="20"/>
          <w:szCs w:val="20"/>
        </w:rPr>
      </w:pPr>
      <w:r>
        <w:rPr>
          <w:rFonts w:hint="eastAsia" w:ascii="宋体" w:hAnsi="宋体"/>
          <w:sz w:val="20"/>
          <w:szCs w:val="20"/>
        </w:rPr>
        <w:t xml:space="preserve">Ⅱ  </w:t>
      </w:r>
      <w:r>
        <w:rPr>
          <w:rFonts w:hint="eastAsia" w:ascii="黑体" w:hAnsi="黑体" w:eastAsia="黑体"/>
          <w:sz w:val="20"/>
          <w:szCs w:val="20"/>
        </w:rPr>
        <w:t>地下连续墙</w:t>
      </w:r>
    </w:p>
    <w:p w14:paraId="5108795E">
      <w:pPr>
        <w:tabs>
          <w:tab w:val="left" w:pos="616"/>
          <w:tab w:val="left" w:pos="854"/>
          <w:tab w:val="left" w:pos="1620"/>
          <w:tab w:val="left" w:pos="2160"/>
          <w:tab w:val="left" w:pos="3060"/>
          <w:tab w:val="left" w:pos="7020"/>
        </w:tabs>
        <w:adjustRightInd w:val="0"/>
        <w:snapToGrid w:val="0"/>
        <w:spacing w:line="288" w:lineRule="auto"/>
        <w:rPr>
          <w:rFonts w:ascii="宋体" w:hAnsi="宋体"/>
          <w:sz w:val="20"/>
          <w:szCs w:val="20"/>
        </w:rPr>
      </w:pPr>
      <w:r>
        <w:rPr>
          <w:b/>
          <w:kern w:val="0"/>
          <w:sz w:val="20"/>
          <w:szCs w:val="20"/>
        </w:rPr>
        <w:t>7.7.8</w:t>
      </w:r>
      <w:r>
        <w:rPr>
          <w:rFonts w:hint="eastAsia" w:ascii="宋体" w:hAnsi="宋体"/>
          <w:sz w:val="20"/>
          <w:szCs w:val="20"/>
        </w:rPr>
        <w:t xml:space="preserve">  悬臂式地下连续墙厚度不宜小于</w:t>
      </w:r>
      <w:r>
        <w:rPr>
          <w:sz w:val="20"/>
          <w:szCs w:val="20"/>
        </w:rPr>
        <w:t>600mm</w:t>
      </w:r>
      <w:r>
        <w:rPr>
          <w:rFonts w:hint="eastAsia" w:ascii="宋体" w:hAnsi="宋体"/>
          <w:sz w:val="20"/>
          <w:szCs w:val="20"/>
        </w:rPr>
        <w:t>，锚拉式或支撑式地下连续墙的墙厚不宜小于</w:t>
      </w:r>
      <w:r>
        <w:rPr>
          <w:rFonts w:hint="eastAsia"/>
          <w:sz w:val="20"/>
          <w:szCs w:val="20"/>
        </w:rPr>
        <w:t>400mm</w:t>
      </w:r>
      <w:r>
        <w:rPr>
          <w:rFonts w:hint="eastAsia" w:ascii="宋体" w:hAnsi="宋体"/>
          <w:sz w:val="20"/>
          <w:szCs w:val="20"/>
        </w:rPr>
        <w:t>。地下连续墙槽段长度应根据槽壁稳定性及钢筋笼起吊能力划分，宜为</w:t>
      </w:r>
      <w:r>
        <w:rPr>
          <w:sz w:val="20"/>
          <w:szCs w:val="20"/>
        </w:rPr>
        <w:t>4</w:t>
      </w:r>
      <w:r>
        <w:rPr>
          <w:rFonts w:hint="eastAsia"/>
          <w:sz w:val="20"/>
          <w:szCs w:val="20"/>
        </w:rPr>
        <w:t>m～</w:t>
      </w:r>
      <w:r>
        <w:rPr>
          <w:sz w:val="20"/>
          <w:szCs w:val="20"/>
        </w:rPr>
        <w:t>8m</w:t>
      </w:r>
      <w:r>
        <w:rPr>
          <w:rFonts w:hint="eastAsia" w:ascii="宋体" w:hAnsi="宋体"/>
          <w:sz w:val="20"/>
          <w:szCs w:val="20"/>
        </w:rPr>
        <w:t>。</w:t>
      </w:r>
    </w:p>
    <w:p w14:paraId="4E3A1776">
      <w:pPr>
        <w:adjustRightInd w:val="0"/>
        <w:snapToGrid w:val="0"/>
        <w:spacing w:line="288" w:lineRule="auto"/>
        <w:rPr>
          <w:rFonts w:ascii="宋体" w:hAnsi="宋体"/>
          <w:sz w:val="20"/>
          <w:szCs w:val="20"/>
        </w:rPr>
      </w:pPr>
      <w:r>
        <w:rPr>
          <w:b/>
          <w:kern w:val="0"/>
          <w:sz w:val="20"/>
          <w:szCs w:val="20"/>
        </w:rPr>
        <w:t>7.7.9</w:t>
      </w:r>
      <w:r>
        <w:rPr>
          <w:rFonts w:hint="eastAsia" w:ascii="宋体" w:hAnsi="宋体"/>
          <w:sz w:val="20"/>
          <w:szCs w:val="20"/>
        </w:rPr>
        <w:t xml:space="preserve">  地下连续墙混凝土强度等级不宜低于</w:t>
      </w:r>
      <w:r>
        <w:rPr>
          <w:sz w:val="20"/>
          <w:szCs w:val="20"/>
        </w:rPr>
        <w:t>C</w:t>
      </w:r>
      <w:r>
        <w:rPr>
          <w:rFonts w:hint="eastAsia"/>
          <w:sz w:val="20"/>
          <w:szCs w:val="20"/>
        </w:rPr>
        <w:t>25</w:t>
      </w:r>
      <w:r>
        <w:rPr>
          <w:rFonts w:hint="eastAsia" w:ascii="宋体" w:hAnsi="宋体"/>
          <w:sz w:val="20"/>
          <w:szCs w:val="20"/>
        </w:rPr>
        <w:t>，地下连续墙作为地下室外墙时尚应符合国家现行有关规范的规定。</w:t>
      </w:r>
    </w:p>
    <w:p w14:paraId="4FF05D48">
      <w:pPr>
        <w:adjustRightInd w:val="0"/>
        <w:snapToGrid w:val="0"/>
        <w:spacing w:line="288" w:lineRule="auto"/>
        <w:rPr>
          <w:rFonts w:ascii="宋体" w:hAnsi="宋体"/>
          <w:sz w:val="20"/>
          <w:szCs w:val="20"/>
        </w:rPr>
      </w:pPr>
      <w:r>
        <w:rPr>
          <w:b/>
          <w:kern w:val="0"/>
          <w:sz w:val="20"/>
          <w:szCs w:val="20"/>
        </w:rPr>
        <w:t>7.7.10</w:t>
      </w:r>
      <w:r>
        <w:rPr>
          <w:rFonts w:hint="eastAsia" w:ascii="宋体" w:hAnsi="宋体"/>
          <w:sz w:val="20"/>
          <w:szCs w:val="20"/>
        </w:rPr>
        <w:t xml:space="preserve">  地下连续墙的钢筋配置应符合下列规定：</w:t>
      </w:r>
    </w:p>
    <w:p w14:paraId="5FDA25D7">
      <w:pPr>
        <w:adjustRightInd w:val="0"/>
        <w:snapToGrid w:val="0"/>
        <w:spacing w:line="288" w:lineRule="auto"/>
        <w:ind w:firstLine="402" w:firstLineChars="200"/>
        <w:rPr>
          <w:rFonts w:ascii="宋体" w:hAnsi="宋体"/>
          <w:sz w:val="20"/>
          <w:szCs w:val="20"/>
        </w:rPr>
      </w:pPr>
      <w:r>
        <w:rPr>
          <w:rFonts w:hint="eastAsia"/>
          <w:b/>
          <w:bCs/>
          <w:sz w:val="20"/>
          <w:szCs w:val="20"/>
        </w:rPr>
        <w:t>1</w:t>
      </w:r>
      <w:r>
        <w:rPr>
          <w:rFonts w:hint="eastAsia" w:ascii="宋体" w:hAnsi="宋体"/>
          <w:bCs/>
          <w:sz w:val="20"/>
          <w:szCs w:val="20"/>
        </w:rPr>
        <w:t xml:space="preserve">  </w:t>
      </w:r>
      <w:r>
        <w:rPr>
          <w:rFonts w:hint="eastAsia" w:ascii="宋体" w:hAnsi="宋体"/>
          <w:sz w:val="20"/>
          <w:szCs w:val="20"/>
        </w:rPr>
        <w:t>纵向受力钢筋应采用</w:t>
      </w:r>
      <w:r>
        <w:rPr>
          <w:rFonts w:hint="eastAsia"/>
          <w:sz w:val="20"/>
          <w:szCs w:val="20"/>
        </w:rPr>
        <w:t>HRB400、HRB500</w:t>
      </w:r>
      <w:r>
        <w:rPr>
          <w:rFonts w:hint="eastAsia" w:ascii="宋体" w:hAnsi="宋体"/>
          <w:sz w:val="20"/>
          <w:szCs w:val="20"/>
        </w:rPr>
        <w:t>钢筋，直径不宜小于</w:t>
      </w:r>
      <w:r>
        <w:rPr>
          <w:sz w:val="20"/>
          <w:szCs w:val="20"/>
        </w:rPr>
        <w:t>20mm</w:t>
      </w:r>
      <w:r>
        <w:rPr>
          <w:rFonts w:hint="eastAsia" w:ascii="宋体" w:hAnsi="宋体"/>
          <w:sz w:val="20"/>
          <w:szCs w:val="20"/>
        </w:rPr>
        <w:t>，</w:t>
      </w:r>
      <w:r>
        <w:rPr>
          <w:rFonts w:hint="eastAsia" w:ascii="宋体" w:hAnsi="宋体"/>
          <w:bCs/>
          <w:sz w:val="20"/>
          <w:szCs w:val="20"/>
        </w:rPr>
        <w:t>净间距不宜小于</w:t>
      </w:r>
      <w:r>
        <w:rPr>
          <w:rFonts w:hint="eastAsia"/>
          <w:sz w:val="20"/>
          <w:szCs w:val="20"/>
        </w:rPr>
        <w:t>75mm</w:t>
      </w:r>
      <w:r>
        <w:rPr>
          <w:rFonts w:hint="eastAsia" w:ascii="宋体" w:hAnsi="宋体"/>
          <w:bCs/>
          <w:sz w:val="20"/>
          <w:szCs w:val="20"/>
        </w:rPr>
        <w:t>；</w:t>
      </w:r>
      <w:r>
        <w:rPr>
          <w:rFonts w:hint="eastAsia" w:ascii="宋体" w:hAnsi="宋体"/>
          <w:sz w:val="20"/>
          <w:szCs w:val="20"/>
        </w:rPr>
        <w:t xml:space="preserve"> </w:t>
      </w:r>
    </w:p>
    <w:p w14:paraId="1A47C90C">
      <w:pPr>
        <w:adjustRightInd w:val="0"/>
        <w:snapToGrid w:val="0"/>
        <w:spacing w:line="288" w:lineRule="auto"/>
        <w:ind w:firstLine="402" w:firstLineChars="200"/>
        <w:rPr>
          <w:rFonts w:ascii="宋体" w:hAnsi="宋体"/>
          <w:sz w:val="20"/>
          <w:szCs w:val="20"/>
        </w:rPr>
      </w:pPr>
      <w:r>
        <w:rPr>
          <w:rFonts w:hint="eastAsia"/>
          <w:b/>
          <w:bCs/>
          <w:sz w:val="20"/>
          <w:szCs w:val="20"/>
        </w:rPr>
        <w:t>2</w:t>
      </w:r>
      <w:r>
        <w:rPr>
          <w:rFonts w:hint="eastAsia" w:ascii="宋体" w:hAnsi="宋体"/>
          <w:bCs/>
          <w:sz w:val="20"/>
          <w:szCs w:val="20"/>
        </w:rPr>
        <w:t xml:space="preserve">  </w:t>
      </w:r>
      <w:r>
        <w:rPr>
          <w:rFonts w:hint="eastAsia" w:ascii="宋体" w:hAnsi="宋体"/>
          <w:sz w:val="20"/>
          <w:szCs w:val="20"/>
        </w:rPr>
        <w:t>水平钢筋及构造钢筋宜采用</w:t>
      </w:r>
      <w:r>
        <w:rPr>
          <w:rFonts w:hint="eastAsia"/>
          <w:sz w:val="20"/>
          <w:szCs w:val="20"/>
        </w:rPr>
        <w:t>HPB300、HRB400</w:t>
      </w:r>
      <w:r>
        <w:rPr>
          <w:rFonts w:hint="eastAsia" w:ascii="宋体" w:hAnsi="宋体"/>
          <w:sz w:val="20"/>
          <w:szCs w:val="20"/>
        </w:rPr>
        <w:t>钢筋，直径不宜小于</w:t>
      </w:r>
      <w:r>
        <w:rPr>
          <w:rFonts w:hint="eastAsia"/>
          <w:sz w:val="20"/>
          <w:szCs w:val="20"/>
        </w:rPr>
        <w:t>12</w:t>
      </w:r>
      <w:r>
        <w:rPr>
          <w:sz w:val="20"/>
          <w:szCs w:val="20"/>
        </w:rPr>
        <w:t>mm</w:t>
      </w:r>
      <w:r>
        <w:rPr>
          <w:rFonts w:hint="eastAsia" w:ascii="宋体" w:hAnsi="宋体"/>
          <w:sz w:val="20"/>
          <w:szCs w:val="20"/>
        </w:rPr>
        <w:t>，间距宜为</w:t>
      </w:r>
      <w:r>
        <w:rPr>
          <w:sz w:val="20"/>
          <w:szCs w:val="20"/>
        </w:rPr>
        <w:t>200</w:t>
      </w:r>
      <w:r>
        <w:rPr>
          <w:rFonts w:hint="eastAsia"/>
          <w:sz w:val="20"/>
          <w:szCs w:val="20"/>
        </w:rPr>
        <w:t>mm～400</w:t>
      </w:r>
      <w:r>
        <w:rPr>
          <w:sz w:val="20"/>
          <w:szCs w:val="20"/>
        </w:rPr>
        <w:t>mm</w:t>
      </w:r>
      <w:r>
        <w:rPr>
          <w:rFonts w:hint="eastAsia" w:ascii="宋体" w:hAnsi="宋体"/>
          <w:sz w:val="20"/>
          <w:szCs w:val="20"/>
        </w:rPr>
        <w:t>；</w:t>
      </w:r>
    </w:p>
    <w:p w14:paraId="5DB2B9D0">
      <w:pPr>
        <w:adjustRightInd w:val="0"/>
        <w:snapToGrid w:val="0"/>
        <w:spacing w:line="288" w:lineRule="auto"/>
        <w:ind w:firstLine="402" w:firstLineChars="200"/>
        <w:rPr>
          <w:rFonts w:ascii="宋体" w:hAnsi="宋体"/>
          <w:sz w:val="20"/>
          <w:szCs w:val="20"/>
        </w:rPr>
      </w:pPr>
      <w:r>
        <w:rPr>
          <w:rFonts w:hint="eastAsia"/>
          <w:b/>
          <w:bCs/>
          <w:sz w:val="20"/>
          <w:szCs w:val="20"/>
        </w:rPr>
        <w:t>3</w:t>
      </w:r>
      <w:r>
        <w:rPr>
          <w:rFonts w:hint="eastAsia" w:ascii="宋体" w:hAnsi="宋体"/>
          <w:bCs/>
          <w:sz w:val="20"/>
          <w:szCs w:val="20"/>
        </w:rPr>
        <w:t xml:space="preserve">  </w:t>
      </w:r>
      <w:r>
        <w:rPr>
          <w:rFonts w:hint="eastAsia" w:ascii="宋体" w:hAnsi="宋体"/>
          <w:sz w:val="20"/>
          <w:szCs w:val="20"/>
        </w:rPr>
        <w:t>纵向受力钢筋的保护层厚度不宜小于</w:t>
      </w:r>
      <w:r>
        <w:rPr>
          <w:rFonts w:hint="eastAsia"/>
          <w:sz w:val="20"/>
          <w:szCs w:val="20"/>
        </w:rPr>
        <w:t>5</w:t>
      </w:r>
      <w:r>
        <w:rPr>
          <w:sz w:val="20"/>
          <w:szCs w:val="20"/>
        </w:rPr>
        <w:t>0mm</w:t>
      </w:r>
      <w:r>
        <w:rPr>
          <w:rFonts w:hint="eastAsia" w:ascii="宋体" w:hAnsi="宋体"/>
          <w:sz w:val="20"/>
          <w:szCs w:val="20"/>
        </w:rPr>
        <w:t>；</w:t>
      </w:r>
    </w:p>
    <w:p w14:paraId="760E68D0">
      <w:pPr>
        <w:adjustRightInd w:val="0"/>
        <w:snapToGrid w:val="0"/>
        <w:spacing w:line="288" w:lineRule="auto"/>
        <w:ind w:firstLine="402" w:firstLineChars="200"/>
        <w:rPr>
          <w:rFonts w:ascii="宋体" w:hAnsi="宋体"/>
          <w:sz w:val="20"/>
          <w:szCs w:val="20"/>
        </w:rPr>
      </w:pPr>
      <w:r>
        <w:rPr>
          <w:rFonts w:hint="eastAsia"/>
          <w:b/>
          <w:bCs/>
          <w:sz w:val="20"/>
          <w:szCs w:val="20"/>
        </w:rPr>
        <w:t>4</w:t>
      </w:r>
      <w:r>
        <w:rPr>
          <w:rFonts w:hint="eastAsia" w:ascii="宋体" w:hAnsi="宋体"/>
          <w:bCs/>
          <w:sz w:val="20"/>
          <w:szCs w:val="20"/>
        </w:rPr>
        <w:t xml:space="preserve">  纵向受力钢筋可按内力大小沿墙体纵向分段配置，但通长配置的纵向钢筋的截面面积不应小于总量的</w:t>
      </w:r>
      <w:r>
        <w:rPr>
          <w:rFonts w:hint="eastAsia"/>
          <w:sz w:val="20"/>
          <w:szCs w:val="20"/>
        </w:rPr>
        <w:t>50％</w:t>
      </w:r>
      <w:r>
        <w:rPr>
          <w:rFonts w:hint="eastAsia" w:ascii="宋体" w:hAnsi="宋体"/>
          <w:bCs/>
          <w:sz w:val="20"/>
          <w:szCs w:val="20"/>
        </w:rPr>
        <w:t>；</w:t>
      </w:r>
    </w:p>
    <w:p w14:paraId="7BAD26CB">
      <w:pPr>
        <w:adjustRightInd w:val="0"/>
        <w:snapToGrid w:val="0"/>
        <w:spacing w:line="288" w:lineRule="auto"/>
        <w:ind w:firstLine="402" w:firstLineChars="200"/>
        <w:rPr>
          <w:rFonts w:ascii="宋体" w:hAnsi="宋体"/>
          <w:sz w:val="20"/>
          <w:szCs w:val="20"/>
        </w:rPr>
      </w:pPr>
      <w:r>
        <w:rPr>
          <w:rFonts w:hint="eastAsia"/>
          <w:b/>
          <w:bCs/>
          <w:sz w:val="20"/>
          <w:szCs w:val="20"/>
        </w:rPr>
        <w:t>5</w:t>
      </w:r>
      <w:r>
        <w:rPr>
          <w:rFonts w:hint="eastAsia" w:ascii="宋体" w:hAnsi="宋体"/>
          <w:sz w:val="20"/>
          <w:szCs w:val="20"/>
        </w:rPr>
        <w:t xml:space="preserve">  其他构造要求应符合现行国家标准《混凝土结构设计规范》</w:t>
      </w:r>
      <w:r>
        <w:rPr>
          <w:rFonts w:hint="eastAsia"/>
          <w:sz w:val="20"/>
          <w:szCs w:val="20"/>
        </w:rPr>
        <w:t>GB</w:t>
      </w:r>
      <w:r>
        <w:rPr>
          <w:sz w:val="20"/>
          <w:szCs w:val="20"/>
        </w:rPr>
        <w:t xml:space="preserve"> </w:t>
      </w:r>
      <w:r>
        <w:rPr>
          <w:rFonts w:hint="eastAsia"/>
          <w:sz w:val="20"/>
          <w:szCs w:val="20"/>
        </w:rPr>
        <w:t>50010</w:t>
      </w:r>
      <w:r>
        <w:rPr>
          <w:rFonts w:hint="eastAsia" w:ascii="宋体" w:hAnsi="宋体"/>
          <w:sz w:val="20"/>
          <w:szCs w:val="20"/>
        </w:rPr>
        <w:t>的有关规定。</w:t>
      </w:r>
    </w:p>
    <w:p w14:paraId="4F0F3949">
      <w:pPr>
        <w:adjustRightInd w:val="0"/>
        <w:snapToGrid w:val="0"/>
        <w:spacing w:line="288" w:lineRule="auto"/>
        <w:rPr>
          <w:rFonts w:ascii="宋体" w:hAnsi="宋体"/>
          <w:sz w:val="20"/>
          <w:szCs w:val="20"/>
        </w:rPr>
      </w:pPr>
      <w:r>
        <w:rPr>
          <w:b/>
          <w:kern w:val="0"/>
          <w:sz w:val="20"/>
          <w:szCs w:val="20"/>
        </w:rPr>
        <w:t>7.7.11</w:t>
      </w:r>
      <w:r>
        <w:rPr>
          <w:b/>
          <w:bCs/>
          <w:sz w:val="20"/>
          <w:szCs w:val="20"/>
        </w:rPr>
        <w:t xml:space="preserve"> </w:t>
      </w:r>
      <w:r>
        <w:rPr>
          <w:rFonts w:hint="eastAsia" w:ascii="宋体" w:hAnsi="宋体"/>
          <w:sz w:val="20"/>
          <w:szCs w:val="20"/>
        </w:rPr>
        <w:t xml:space="preserve"> 地下连续墙墙段之间的连接接头应符合下列规定：</w:t>
      </w:r>
    </w:p>
    <w:p w14:paraId="44C4D35A">
      <w:pPr>
        <w:tabs>
          <w:tab w:val="left" w:pos="672"/>
          <w:tab w:val="left" w:pos="720"/>
          <w:tab w:val="left" w:pos="1620"/>
          <w:tab w:val="left" w:pos="2160"/>
          <w:tab w:val="left" w:pos="7020"/>
        </w:tabs>
        <w:adjustRightInd w:val="0"/>
        <w:snapToGrid w:val="0"/>
        <w:spacing w:line="288" w:lineRule="auto"/>
        <w:ind w:firstLine="402" w:firstLineChars="200"/>
        <w:rPr>
          <w:rFonts w:ascii="宋体" w:hAnsi="宋体"/>
          <w:bCs/>
          <w:sz w:val="20"/>
          <w:szCs w:val="20"/>
        </w:rPr>
      </w:pPr>
      <w:r>
        <w:rPr>
          <w:rFonts w:hint="eastAsia"/>
          <w:b/>
          <w:bCs/>
          <w:sz w:val="20"/>
          <w:szCs w:val="20"/>
        </w:rPr>
        <w:t>1</w:t>
      </w:r>
      <w:r>
        <w:rPr>
          <w:rFonts w:hint="eastAsia" w:ascii="宋体" w:hAnsi="宋体"/>
          <w:bCs/>
          <w:sz w:val="20"/>
          <w:szCs w:val="20"/>
        </w:rPr>
        <w:t xml:space="preserve">  接头宜采用圆形锁口管、波纹管、楔形、工字形钢或预制混凝土等柔性接头；</w:t>
      </w:r>
    </w:p>
    <w:p w14:paraId="6C5ADBEF">
      <w:pPr>
        <w:adjustRightInd w:val="0"/>
        <w:snapToGrid w:val="0"/>
        <w:spacing w:line="288" w:lineRule="auto"/>
        <w:ind w:firstLine="402" w:firstLineChars="200"/>
        <w:rPr>
          <w:rFonts w:ascii="宋体" w:hAnsi="宋体"/>
          <w:bCs/>
          <w:sz w:val="20"/>
          <w:szCs w:val="20"/>
        </w:rPr>
      </w:pPr>
      <w:r>
        <w:rPr>
          <w:rFonts w:hint="eastAsia"/>
          <w:b/>
          <w:bCs/>
          <w:sz w:val="20"/>
          <w:szCs w:val="20"/>
        </w:rPr>
        <w:t>2</w:t>
      </w:r>
      <w:r>
        <w:rPr>
          <w:rFonts w:hint="eastAsia" w:ascii="宋体" w:hAnsi="宋体"/>
          <w:bCs/>
          <w:sz w:val="20"/>
          <w:szCs w:val="20"/>
        </w:rPr>
        <w:t xml:space="preserve">  当地下连续墙作为主体地下结构外墙，且对其整体性要求高时，宜采用刚性接头；刚性接头可采用一字形或十字形穿孔钢板接头、钢筋承插式接头等；当采取地下连续墙顶设置通长冠梁、槽段接缝处设置结构壁柱、基础底板与地下连续墙刚性连接等措施时，也可采用柔性接头。</w:t>
      </w:r>
    </w:p>
    <w:p w14:paraId="476C9B36">
      <w:pPr>
        <w:adjustRightInd w:val="0"/>
        <w:snapToGrid w:val="0"/>
        <w:spacing w:line="288" w:lineRule="auto"/>
        <w:rPr>
          <w:rFonts w:ascii="宋体" w:hAnsi="宋体"/>
          <w:bCs/>
          <w:sz w:val="20"/>
          <w:szCs w:val="20"/>
        </w:rPr>
      </w:pPr>
      <w:r>
        <w:rPr>
          <w:b/>
          <w:kern w:val="0"/>
          <w:sz w:val="20"/>
          <w:szCs w:val="20"/>
        </w:rPr>
        <w:t>7.7.12</w:t>
      </w:r>
      <w:r>
        <w:rPr>
          <w:rFonts w:hint="eastAsia" w:ascii="宋体" w:hAnsi="宋体"/>
          <w:bCs/>
          <w:sz w:val="20"/>
          <w:szCs w:val="20"/>
        </w:rPr>
        <w:t xml:space="preserve">  钢筋笼端部与槽段接头之间、钢筋笼端部与相邻墙段混凝土面之间的距离不应大于</w:t>
      </w:r>
      <w:r>
        <w:rPr>
          <w:rFonts w:hint="eastAsia"/>
          <w:sz w:val="20"/>
          <w:szCs w:val="20"/>
        </w:rPr>
        <w:t>150mm</w:t>
      </w:r>
      <w:r>
        <w:rPr>
          <w:rFonts w:hint="eastAsia" w:ascii="宋体" w:hAnsi="宋体"/>
          <w:bCs/>
          <w:sz w:val="20"/>
          <w:szCs w:val="20"/>
        </w:rPr>
        <w:t>，纵向钢筋下端</w:t>
      </w:r>
      <w:r>
        <w:rPr>
          <w:rFonts w:hint="eastAsia"/>
          <w:sz w:val="20"/>
          <w:szCs w:val="20"/>
        </w:rPr>
        <w:t>500mm</w:t>
      </w:r>
      <w:r>
        <w:rPr>
          <w:rFonts w:hint="eastAsia" w:ascii="宋体" w:hAnsi="宋体"/>
          <w:bCs/>
          <w:sz w:val="20"/>
          <w:szCs w:val="20"/>
        </w:rPr>
        <w:t>长度范围内宜按</w:t>
      </w:r>
      <w:r>
        <w:rPr>
          <w:rFonts w:hint="eastAsia"/>
          <w:sz w:val="20"/>
          <w:szCs w:val="20"/>
        </w:rPr>
        <w:t>1:10</w:t>
      </w:r>
      <w:r>
        <w:rPr>
          <w:rFonts w:hint="eastAsia" w:ascii="宋体" w:hAnsi="宋体"/>
          <w:bCs/>
          <w:sz w:val="20"/>
          <w:szCs w:val="20"/>
        </w:rPr>
        <w:t>的斜度向内收口。</w:t>
      </w:r>
    </w:p>
    <w:p w14:paraId="423F74EE">
      <w:pPr>
        <w:adjustRightInd w:val="0"/>
        <w:snapToGrid w:val="0"/>
        <w:spacing w:line="288" w:lineRule="auto"/>
        <w:rPr>
          <w:rFonts w:ascii="宋体" w:hAnsi="宋体"/>
          <w:sz w:val="20"/>
          <w:szCs w:val="20"/>
        </w:rPr>
      </w:pPr>
      <w:r>
        <w:rPr>
          <w:b/>
          <w:kern w:val="0"/>
          <w:sz w:val="20"/>
          <w:szCs w:val="20"/>
        </w:rPr>
        <w:t>7.7.13</w:t>
      </w:r>
      <w:r>
        <w:rPr>
          <w:rFonts w:hint="eastAsia" w:ascii="宋体" w:hAnsi="宋体"/>
          <w:sz w:val="20"/>
          <w:szCs w:val="20"/>
        </w:rPr>
        <w:t xml:space="preserve">  地下连续墙顶部应设置钢筋混凝土冠梁，冠梁高度（水平方向尺寸）不宜小于地下连续墙厚度，冠梁厚度（竖直方向尺寸）不宜小于墙厚的</w:t>
      </w:r>
      <w:r>
        <w:rPr>
          <w:rFonts w:hint="eastAsia"/>
          <w:sz w:val="20"/>
          <w:szCs w:val="20"/>
        </w:rPr>
        <w:t>0.6</w:t>
      </w:r>
      <w:r>
        <w:rPr>
          <w:rFonts w:hint="eastAsia" w:ascii="宋体" w:hAnsi="宋体"/>
          <w:sz w:val="20"/>
          <w:szCs w:val="20"/>
        </w:rPr>
        <w:t>倍，且不应小于</w:t>
      </w:r>
      <w:r>
        <w:rPr>
          <w:rFonts w:hint="eastAsia"/>
          <w:sz w:val="20"/>
          <w:szCs w:val="20"/>
        </w:rPr>
        <w:t>400</w:t>
      </w:r>
      <w:r>
        <w:rPr>
          <w:sz w:val="20"/>
          <w:szCs w:val="20"/>
        </w:rPr>
        <w:t>mm</w:t>
      </w:r>
      <w:r>
        <w:rPr>
          <w:rFonts w:hint="eastAsia" w:ascii="宋体" w:hAnsi="宋体"/>
          <w:sz w:val="20"/>
          <w:szCs w:val="20"/>
        </w:rPr>
        <w:t>。</w:t>
      </w:r>
    </w:p>
    <w:p w14:paraId="21BD43F6">
      <w:pPr>
        <w:adjustRightInd w:val="0"/>
        <w:snapToGrid w:val="0"/>
        <w:spacing w:line="288" w:lineRule="auto"/>
        <w:rPr>
          <w:rFonts w:ascii="宋体" w:hAnsi="宋体"/>
          <w:sz w:val="20"/>
          <w:szCs w:val="20"/>
        </w:rPr>
      </w:pPr>
      <w:r>
        <w:rPr>
          <w:b/>
          <w:kern w:val="0"/>
          <w:sz w:val="20"/>
          <w:szCs w:val="20"/>
        </w:rPr>
        <w:t>7.7.14</w:t>
      </w:r>
      <w:r>
        <w:rPr>
          <w:rFonts w:hint="eastAsia" w:ascii="宋体" w:hAnsi="宋体"/>
          <w:sz w:val="20"/>
          <w:szCs w:val="20"/>
        </w:rPr>
        <w:t xml:space="preserve">  当地下连续墙用作地下室外墙时，与地下室结构的连接可采用在地下连续墙内预埋钢筋、接驳器、钢板等，预埋钢</w:t>
      </w:r>
      <w:r>
        <w:rPr>
          <w:sz w:val="20"/>
          <w:szCs w:val="20"/>
        </w:rPr>
        <w:t>筋宜采用HPB300级钢筋，连接钢筋直径大于20mm时，宜采用接驳器连接</w:t>
      </w:r>
      <w:r>
        <w:rPr>
          <w:rFonts w:hint="eastAsia" w:ascii="宋体" w:hAnsi="宋体"/>
          <w:sz w:val="20"/>
          <w:szCs w:val="20"/>
        </w:rPr>
        <w:t>。</w:t>
      </w:r>
    </w:p>
    <w:p w14:paraId="7CBD2744">
      <w:pPr>
        <w:adjustRightInd w:val="0"/>
        <w:snapToGrid w:val="0"/>
        <w:spacing w:before="156" w:beforeLines="50" w:after="156" w:afterLines="50" w:line="288" w:lineRule="auto"/>
        <w:ind w:firstLine="402" w:firstLineChars="200"/>
        <w:jc w:val="center"/>
        <w:rPr>
          <w:rFonts w:ascii="黑体" w:hAnsi="黑体" w:eastAsia="黑体"/>
          <w:sz w:val="20"/>
          <w:szCs w:val="20"/>
        </w:rPr>
      </w:pPr>
      <w:r>
        <w:rPr>
          <w:rFonts w:hint="eastAsia"/>
          <w:b/>
          <w:bCs/>
          <w:sz w:val="20"/>
          <w:szCs w:val="20"/>
        </w:rPr>
        <w:t xml:space="preserve">Ⅲ </w:t>
      </w:r>
      <w:r>
        <w:rPr>
          <w:rFonts w:hint="eastAsia" w:ascii="宋体" w:hAnsi="宋体"/>
          <w:sz w:val="20"/>
          <w:szCs w:val="20"/>
        </w:rPr>
        <w:t xml:space="preserve"> </w:t>
      </w:r>
      <w:r>
        <w:rPr>
          <w:rFonts w:hint="eastAsia" w:ascii="黑体" w:hAnsi="黑体" w:eastAsia="黑体"/>
          <w:sz w:val="20"/>
          <w:szCs w:val="20"/>
        </w:rPr>
        <w:t>冠    梁</w:t>
      </w:r>
    </w:p>
    <w:p w14:paraId="7D7436A6">
      <w:pPr>
        <w:adjustRightInd w:val="0"/>
        <w:snapToGrid w:val="0"/>
        <w:spacing w:line="288" w:lineRule="auto"/>
        <w:rPr>
          <w:rFonts w:ascii="宋体" w:hAnsi="宋体"/>
          <w:sz w:val="20"/>
          <w:szCs w:val="20"/>
        </w:rPr>
      </w:pPr>
      <w:r>
        <w:rPr>
          <w:b/>
          <w:kern w:val="0"/>
          <w:sz w:val="20"/>
          <w:szCs w:val="20"/>
        </w:rPr>
        <w:t>7.7.15</w:t>
      </w:r>
      <w:r>
        <w:rPr>
          <w:rFonts w:hint="eastAsia" w:ascii="宋体" w:hAnsi="宋体"/>
          <w:sz w:val="20"/>
          <w:szCs w:val="20"/>
        </w:rPr>
        <w:t xml:space="preserve">  冠梁应符合下列规定：</w:t>
      </w:r>
    </w:p>
    <w:p w14:paraId="46D82900">
      <w:pPr>
        <w:adjustRightInd w:val="0"/>
        <w:snapToGrid w:val="0"/>
        <w:spacing w:line="288" w:lineRule="auto"/>
        <w:ind w:firstLine="402" w:firstLineChars="200"/>
        <w:rPr>
          <w:rFonts w:ascii="宋体" w:hAnsi="宋体"/>
          <w:sz w:val="20"/>
          <w:szCs w:val="20"/>
        </w:rPr>
      </w:pPr>
      <w:r>
        <w:rPr>
          <w:rFonts w:hint="eastAsia"/>
          <w:b/>
          <w:bCs/>
          <w:sz w:val="20"/>
          <w:szCs w:val="20"/>
        </w:rPr>
        <w:t>1</w:t>
      </w:r>
      <w:r>
        <w:rPr>
          <w:rFonts w:hint="eastAsia" w:ascii="宋体" w:hAnsi="宋体"/>
          <w:bCs/>
          <w:sz w:val="20"/>
          <w:szCs w:val="20"/>
        </w:rPr>
        <w:t xml:space="preserve">  </w:t>
      </w:r>
      <w:r>
        <w:rPr>
          <w:rFonts w:hint="eastAsia" w:ascii="宋体" w:hAnsi="宋体"/>
          <w:sz w:val="20"/>
          <w:szCs w:val="20"/>
        </w:rPr>
        <w:t>冠梁仅按构造设置时，排桩或地下连续墙受力主筋锚入冠梁的长度可取冠梁厚度与</w:t>
      </w:r>
      <w:r>
        <w:rPr>
          <w:rFonts w:hint="eastAsia"/>
          <w:sz w:val="20"/>
          <w:szCs w:val="20"/>
        </w:rPr>
        <w:t>30</w:t>
      </w:r>
      <w:r>
        <w:rPr>
          <w:rFonts w:hint="eastAsia" w:ascii="宋体" w:hAnsi="宋体"/>
          <w:sz w:val="20"/>
          <w:szCs w:val="20"/>
        </w:rPr>
        <w:t>倍主筋直径的较小值。冠梁按结构受力构件设置时，排桩或地下连续墙受力主筋在冠梁内的锚固要求应符合现行国家标准《混凝土结构设计规范》</w:t>
      </w:r>
      <w:r>
        <w:rPr>
          <w:rFonts w:hint="eastAsia"/>
          <w:sz w:val="20"/>
          <w:szCs w:val="20"/>
        </w:rPr>
        <w:t>GB</w:t>
      </w:r>
      <w:r>
        <w:rPr>
          <w:sz w:val="20"/>
          <w:szCs w:val="20"/>
        </w:rPr>
        <w:t xml:space="preserve"> </w:t>
      </w:r>
      <w:r>
        <w:rPr>
          <w:rFonts w:hint="eastAsia"/>
          <w:sz w:val="20"/>
          <w:szCs w:val="20"/>
        </w:rPr>
        <w:t>50010</w:t>
      </w:r>
      <w:r>
        <w:rPr>
          <w:rFonts w:hint="eastAsia" w:ascii="宋体" w:hAnsi="宋体"/>
          <w:sz w:val="20"/>
          <w:szCs w:val="20"/>
        </w:rPr>
        <w:t xml:space="preserve">对钢筋锚固的有关规定； </w:t>
      </w:r>
    </w:p>
    <w:p w14:paraId="35B54AF4">
      <w:pPr>
        <w:adjustRightInd w:val="0"/>
        <w:snapToGrid w:val="0"/>
        <w:spacing w:line="288" w:lineRule="auto"/>
        <w:ind w:firstLine="402" w:firstLineChars="200"/>
        <w:rPr>
          <w:rFonts w:ascii="宋体" w:hAnsi="宋体"/>
          <w:sz w:val="20"/>
          <w:szCs w:val="20"/>
        </w:rPr>
      </w:pPr>
      <w:r>
        <w:rPr>
          <w:rFonts w:hint="eastAsia"/>
          <w:b/>
          <w:bCs/>
          <w:sz w:val="20"/>
          <w:szCs w:val="20"/>
        </w:rPr>
        <w:t>2</w:t>
      </w:r>
      <w:r>
        <w:rPr>
          <w:rFonts w:hint="eastAsia" w:ascii="宋体" w:hAnsi="宋体"/>
          <w:bCs/>
          <w:sz w:val="20"/>
          <w:szCs w:val="20"/>
        </w:rPr>
        <w:t xml:space="preserve">  </w:t>
      </w:r>
      <w:r>
        <w:rPr>
          <w:rFonts w:hint="eastAsia" w:ascii="宋体" w:hAnsi="宋体"/>
          <w:sz w:val="20"/>
          <w:szCs w:val="20"/>
        </w:rPr>
        <w:t>冠梁按构造设置时，可按构造配筋；支护结构计算中冠梁作为受力构件时，应按实际受力情况配筋，并应符合现行国家标准《混凝土结构设计规范》</w:t>
      </w:r>
      <w:r>
        <w:rPr>
          <w:rFonts w:hint="eastAsia"/>
          <w:sz w:val="20"/>
          <w:szCs w:val="20"/>
        </w:rPr>
        <w:t>GB</w:t>
      </w:r>
      <w:r>
        <w:rPr>
          <w:sz w:val="20"/>
          <w:szCs w:val="20"/>
        </w:rPr>
        <w:t xml:space="preserve"> </w:t>
      </w:r>
      <w:r>
        <w:rPr>
          <w:rFonts w:hint="eastAsia"/>
          <w:sz w:val="20"/>
          <w:szCs w:val="20"/>
        </w:rPr>
        <w:t>50010</w:t>
      </w:r>
      <w:r>
        <w:rPr>
          <w:rFonts w:hint="eastAsia" w:ascii="宋体" w:hAnsi="宋体"/>
          <w:sz w:val="20"/>
          <w:szCs w:val="20"/>
        </w:rPr>
        <w:t>的有关规定；</w:t>
      </w:r>
    </w:p>
    <w:p w14:paraId="20DF8BE0">
      <w:pPr>
        <w:adjustRightInd w:val="0"/>
        <w:snapToGrid w:val="0"/>
        <w:spacing w:line="288" w:lineRule="auto"/>
        <w:ind w:firstLine="402" w:firstLineChars="200"/>
        <w:rPr>
          <w:rFonts w:ascii="宋体" w:hAnsi="宋体"/>
          <w:bCs/>
          <w:sz w:val="20"/>
          <w:szCs w:val="20"/>
        </w:rPr>
      </w:pPr>
      <w:r>
        <w:rPr>
          <w:rFonts w:hint="eastAsia"/>
          <w:b/>
          <w:bCs/>
          <w:sz w:val="20"/>
          <w:szCs w:val="20"/>
        </w:rPr>
        <w:t>3</w:t>
      </w:r>
      <w:r>
        <w:rPr>
          <w:rFonts w:hint="eastAsia" w:ascii="宋体" w:hAnsi="宋体"/>
          <w:bCs/>
          <w:sz w:val="20"/>
          <w:szCs w:val="20"/>
        </w:rPr>
        <w:t xml:space="preserve">  冠梁的主筋应位于</w:t>
      </w:r>
      <w:r>
        <w:rPr>
          <w:rFonts w:hint="eastAsia" w:ascii="宋体" w:hAnsi="宋体"/>
          <w:sz w:val="20"/>
          <w:szCs w:val="20"/>
        </w:rPr>
        <w:t>排桩或地下连续墙受力主筋的外侧。</w:t>
      </w:r>
    </w:p>
    <w:p w14:paraId="21B891C5">
      <w:pPr>
        <w:adjustRightInd w:val="0"/>
        <w:snapToGrid w:val="0"/>
        <w:spacing w:before="156" w:beforeLines="50" w:after="156" w:afterLines="50" w:line="288" w:lineRule="auto"/>
        <w:jc w:val="center"/>
        <w:rPr>
          <w:rFonts w:ascii="黑体" w:hAnsi="黑体" w:eastAsia="黑体"/>
          <w:sz w:val="20"/>
          <w:szCs w:val="20"/>
        </w:rPr>
      </w:pPr>
      <w:r>
        <w:rPr>
          <w:rFonts w:hint="eastAsia"/>
          <w:b/>
          <w:bCs/>
          <w:sz w:val="20"/>
          <w:szCs w:val="20"/>
        </w:rPr>
        <w:t>Ⅳ</w:t>
      </w:r>
      <w:r>
        <w:rPr>
          <w:rFonts w:hint="eastAsia" w:ascii="宋体" w:hAnsi="宋体"/>
          <w:sz w:val="20"/>
          <w:szCs w:val="20"/>
        </w:rPr>
        <w:t xml:space="preserve">  </w:t>
      </w:r>
      <w:r>
        <w:rPr>
          <w:rFonts w:hint="eastAsia" w:ascii="黑体" w:hAnsi="黑体" w:eastAsia="黑体"/>
          <w:sz w:val="20"/>
          <w:szCs w:val="20"/>
        </w:rPr>
        <w:t>锚    杆</w:t>
      </w:r>
    </w:p>
    <w:p w14:paraId="3F70E8CC">
      <w:pPr>
        <w:adjustRightInd w:val="0"/>
        <w:snapToGrid w:val="0"/>
        <w:spacing w:line="288" w:lineRule="auto"/>
        <w:rPr>
          <w:rFonts w:ascii="宋体" w:hAnsi="宋体"/>
          <w:sz w:val="20"/>
          <w:szCs w:val="20"/>
        </w:rPr>
      </w:pPr>
      <w:r>
        <w:rPr>
          <w:b/>
          <w:kern w:val="0"/>
          <w:sz w:val="20"/>
          <w:szCs w:val="20"/>
        </w:rPr>
        <w:t>7.7.16</w:t>
      </w:r>
      <w:r>
        <w:rPr>
          <w:rFonts w:hint="eastAsia" w:ascii="宋体" w:hAnsi="宋体"/>
          <w:sz w:val="20"/>
          <w:szCs w:val="20"/>
        </w:rPr>
        <w:t xml:space="preserve">  锚杆尺寸、布置和构造应符合下列要求：</w:t>
      </w:r>
    </w:p>
    <w:p w14:paraId="6D25D6FB">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b/>
          <w:bCs/>
          <w:sz w:val="20"/>
          <w:szCs w:val="20"/>
        </w:rPr>
        <w:t>1</w:t>
      </w:r>
      <w:r>
        <w:rPr>
          <w:rFonts w:hint="eastAsia" w:ascii="宋体" w:hAnsi="宋体"/>
          <w:bCs/>
          <w:sz w:val="20"/>
          <w:szCs w:val="20"/>
        </w:rPr>
        <w:t xml:space="preserve">  锚杆</w:t>
      </w:r>
      <w:r>
        <w:rPr>
          <w:rFonts w:hint="eastAsia" w:ascii="宋体" w:hAnsi="宋体"/>
          <w:sz w:val="20"/>
          <w:szCs w:val="20"/>
        </w:rPr>
        <w:t>自由段长度不宜小于</w:t>
      </w:r>
      <w:r>
        <w:rPr>
          <w:sz w:val="20"/>
          <w:szCs w:val="20"/>
        </w:rPr>
        <w:t>5m</w:t>
      </w:r>
      <w:r>
        <w:rPr>
          <w:rFonts w:hint="eastAsia" w:ascii="宋体" w:hAnsi="宋体"/>
          <w:sz w:val="20"/>
          <w:szCs w:val="20"/>
        </w:rPr>
        <w:t>，且不应小于本规程第</w:t>
      </w:r>
      <w:r>
        <w:rPr>
          <w:sz w:val="20"/>
          <w:szCs w:val="20"/>
        </w:rPr>
        <w:t>7</w:t>
      </w:r>
      <w:r>
        <w:rPr>
          <w:rFonts w:hint="eastAsia"/>
          <w:sz w:val="20"/>
          <w:szCs w:val="20"/>
        </w:rPr>
        <w:t>.6.5</w:t>
      </w:r>
      <w:r>
        <w:rPr>
          <w:rFonts w:hint="eastAsia" w:ascii="宋体" w:hAnsi="宋体"/>
          <w:sz w:val="20"/>
          <w:szCs w:val="20"/>
        </w:rPr>
        <w:t>条确定的非锚固段长度，土层锚杆锚固段长度不宜小于</w:t>
      </w:r>
      <w:r>
        <w:rPr>
          <w:sz w:val="20"/>
          <w:szCs w:val="20"/>
        </w:rPr>
        <w:t>4m</w:t>
      </w:r>
      <w:r>
        <w:rPr>
          <w:rFonts w:hint="eastAsia" w:ascii="宋体" w:hAnsi="宋体"/>
          <w:sz w:val="20"/>
          <w:szCs w:val="20"/>
        </w:rPr>
        <w:t>，拉力型锚杆杆体与注浆体的粘结段长度不宜小于</w:t>
      </w:r>
      <w:r>
        <w:rPr>
          <w:rFonts w:hint="eastAsia"/>
          <w:sz w:val="20"/>
          <w:szCs w:val="20"/>
        </w:rPr>
        <w:t>4m</w:t>
      </w:r>
      <w:r>
        <w:rPr>
          <w:rFonts w:hint="eastAsia" w:ascii="宋体" w:hAnsi="宋体"/>
          <w:sz w:val="20"/>
          <w:szCs w:val="20"/>
        </w:rPr>
        <w:t>，荷载分散型锚杆锚固段每个单元的长度不宜小于</w:t>
      </w:r>
      <w:r>
        <w:rPr>
          <w:rFonts w:hint="eastAsia"/>
          <w:sz w:val="20"/>
          <w:szCs w:val="20"/>
        </w:rPr>
        <w:t>4m</w:t>
      </w:r>
      <w:r>
        <w:rPr>
          <w:rFonts w:hint="eastAsia" w:ascii="宋体" w:hAnsi="宋体"/>
          <w:sz w:val="20"/>
          <w:szCs w:val="20"/>
        </w:rPr>
        <w:t>；</w:t>
      </w:r>
    </w:p>
    <w:p w14:paraId="16263AA9">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b/>
          <w:bCs/>
          <w:sz w:val="20"/>
          <w:szCs w:val="20"/>
        </w:rPr>
        <w:t>2</w:t>
      </w:r>
      <w:r>
        <w:rPr>
          <w:rFonts w:hint="eastAsia" w:ascii="宋体" w:hAnsi="宋体"/>
          <w:bCs/>
          <w:sz w:val="20"/>
          <w:szCs w:val="20"/>
        </w:rPr>
        <w:t xml:space="preserve">  </w:t>
      </w:r>
      <w:r>
        <w:rPr>
          <w:rFonts w:hint="eastAsia" w:ascii="宋体" w:hAnsi="宋体"/>
          <w:sz w:val="20"/>
          <w:szCs w:val="20"/>
        </w:rPr>
        <w:t>锚杆杆体外露长度应满足锚杆底座、腰梁尺寸及张拉作业要求；</w:t>
      </w:r>
    </w:p>
    <w:p w14:paraId="59AEA712">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b/>
          <w:bCs/>
          <w:sz w:val="20"/>
          <w:szCs w:val="20"/>
        </w:rPr>
        <w:t>3</w:t>
      </w:r>
      <w:r>
        <w:rPr>
          <w:rFonts w:hint="eastAsia" w:ascii="宋体" w:hAnsi="宋体"/>
          <w:bCs/>
          <w:sz w:val="20"/>
          <w:szCs w:val="20"/>
        </w:rPr>
        <w:t xml:space="preserve">  </w:t>
      </w:r>
      <w:r>
        <w:rPr>
          <w:rFonts w:hint="eastAsia" w:ascii="宋体" w:hAnsi="宋体"/>
          <w:sz w:val="20"/>
          <w:szCs w:val="20"/>
        </w:rPr>
        <w:t>锚杆成孔直径宜为</w:t>
      </w:r>
      <w:r>
        <w:rPr>
          <w:rFonts w:hint="eastAsia"/>
          <w:sz w:val="20"/>
          <w:szCs w:val="20"/>
        </w:rPr>
        <w:t>120mm～150mm</w:t>
      </w:r>
      <w:r>
        <w:rPr>
          <w:rFonts w:hint="eastAsia" w:ascii="宋体" w:hAnsi="宋体"/>
          <w:sz w:val="20"/>
          <w:szCs w:val="20"/>
        </w:rPr>
        <w:t>；</w:t>
      </w:r>
    </w:p>
    <w:p w14:paraId="513AB0E7">
      <w:pPr>
        <w:tabs>
          <w:tab w:val="left" w:pos="616"/>
          <w:tab w:val="left" w:pos="854"/>
          <w:tab w:val="left" w:pos="1620"/>
          <w:tab w:val="left" w:pos="2160"/>
          <w:tab w:val="left" w:pos="3060"/>
          <w:tab w:val="left" w:pos="7020"/>
        </w:tabs>
        <w:adjustRightInd w:val="0"/>
        <w:snapToGrid w:val="0"/>
        <w:spacing w:line="288" w:lineRule="auto"/>
        <w:ind w:firstLine="392" w:firstLineChars="195"/>
        <w:rPr>
          <w:rFonts w:ascii="宋体" w:hAnsi="宋体"/>
          <w:sz w:val="20"/>
          <w:szCs w:val="20"/>
        </w:rPr>
      </w:pPr>
      <w:r>
        <w:rPr>
          <w:rFonts w:hint="eastAsia"/>
          <w:b/>
          <w:bCs/>
          <w:sz w:val="20"/>
          <w:szCs w:val="20"/>
        </w:rPr>
        <w:t>4</w:t>
      </w:r>
      <w:r>
        <w:rPr>
          <w:rFonts w:hint="eastAsia" w:ascii="宋体" w:hAnsi="宋体"/>
          <w:bCs/>
          <w:sz w:val="20"/>
          <w:szCs w:val="20"/>
        </w:rPr>
        <w:t xml:space="preserve">  </w:t>
      </w:r>
      <w:r>
        <w:rPr>
          <w:rFonts w:hint="eastAsia" w:ascii="宋体" w:hAnsi="宋体"/>
          <w:sz w:val="20"/>
          <w:szCs w:val="20"/>
        </w:rPr>
        <w:t>锚杆杆体安装时，应设置定位支架，定位支架间距宜为</w:t>
      </w:r>
      <w:r>
        <w:rPr>
          <w:sz w:val="20"/>
          <w:szCs w:val="20"/>
        </w:rPr>
        <w:t>1.5</w:t>
      </w:r>
      <w:r>
        <w:rPr>
          <w:rFonts w:hint="eastAsia"/>
          <w:sz w:val="20"/>
          <w:szCs w:val="20"/>
        </w:rPr>
        <w:t>m～</w:t>
      </w:r>
      <w:r>
        <w:rPr>
          <w:sz w:val="20"/>
          <w:szCs w:val="20"/>
        </w:rPr>
        <w:t>2.0m</w:t>
      </w:r>
      <w:r>
        <w:rPr>
          <w:rFonts w:hint="eastAsia" w:ascii="宋体" w:hAnsi="宋体"/>
          <w:sz w:val="20"/>
          <w:szCs w:val="20"/>
        </w:rPr>
        <w:t>；</w:t>
      </w:r>
    </w:p>
    <w:p w14:paraId="31928E44">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rFonts w:hint="eastAsia"/>
          <w:b/>
          <w:bCs/>
          <w:sz w:val="20"/>
          <w:szCs w:val="20"/>
        </w:rPr>
        <w:t>5</w:t>
      </w:r>
      <w:r>
        <w:rPr>
          <w:rFonts w:hint="eastAsia" w:ascii="宋体" w:hAnsi="宋体"/>
          <w:bCs/>
          <w:sz w:val="20"/>
          <w:szCs w:val="20"/>
        </w:rPr>
        <w:t xml:space="preserve">  </w:t>
      </w:r>
      <w:r>
        <w:rPr>
          <w:rFonts w:hint="eastAsia" w:ascii="宋体" w:hAnsi="宋体"/>
          <w:sz w:val="20"/>
          <w:szCs w:val="20"/>
        </w:rPr>
        <w:t>锚杆上下排垂直间距不宜小</w:t>
      </w:r>
      <w:r>
        <w:rPr>
          <w:rFonts w:hint="eastAsia"/>
          <w:sz w:val="20"/>
          <w:szCs w:val="20"/>
        </w:rPr>
        <w:t>于</w:t>
      </w:r>
      <w:r>
        <w:rPr>
          <w:sz w:val="20"/>
          <w:szCs w:val="20"/>
        </w:rPr>
        <w:t>2.0m</w:t>
      </w:r>
      <w:r>
        <w:rPr>
          <w:rFonts w:hint="eastAsia" w:ascii="宋体" w:hAnsi="宋体"/>
          <w:sz w:val="20"/>
          <w:szCs w:val="20"/>
        </w:rPr>
        <w:t>，水平间距不宜小于</w:t>
      </w:r>
      <w:r>
        <w:rPr>
          <w:sz w:val="20"/>
          <w:szCs w:val="20"/>
        </w:rPr>
        <w:t>1.5m</w:t>
      </w:r>
      <w:r>
        <w:rPr>
          <w:rFonts w:hint="eastAsia" w:ascii="宋体" w:hAnsi="宋体"/>
          <w:sz w:val="20"/>
          <w:szCs w:val="20"/>
        </w:rPr>
        <w:t>；</w:t>
      </w:r>
    </w:p>
    <w:p w14:paraId="0CE451CE">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rFonts w:hint="eastAsia"/>
          <w:b/>
          <w:bCs/>
          <w:sz w:val="20"/>
          <w:szCs w:val="20"/>
        </w:rPr>
        <w:t>6</w:t>
      </w:r>
      <w:r>
        <w:rPr>
          <w:rFonts w:hint="eastAsia" w:ascii="宋体" w:hAnsi="宋体"/>
          <w:bCs/>
          <w:sz w:val="20"/>
          <w:szCs w:val="20"/>
        </w:rPr>
        <w:t xml:space="preserve">  </w:t>
      </w:r>
      <w:r>
        <w:rPr>
          <w:rFonts w:hint="eastAsia" w:ascii="宋体" w:hAnsi="宋体"/>
          <w:sz w:val="20"/>
          <w:szCs w:val="20"/>
        </w:rPr>
        <w:t>锚杆锚固体上覆土层厚度不宜小于</w:t>
      </w:r>
      <w:r>
        <w:rPr>
          <w:sz w:val="20"/>
          <w:szCs w:val="20"/>
        </w:rPr>
        <w:t>4.0m</w:t>
      </w:r>
      <w:r>
        <w:rPr>
          <w:rFonts w:hint="eastAsia" w:ascii="宋体" w:hAnsi="宋体"/>
          <w:sz w:val="20"/>
          <w:szCs w:val="20"/>
        </w:rPr>
        <w:t>；</w:t>
      </w:r>
    </w:p>
    <w:p w14:paraId="0A0B2A25">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rFonts w:hint="eastAsia"/>
          <w:b/>
          <w:bCs/>
          <w:sz w:val="20"/>
          <w:szCs w:val="20"/>
        </w:rPr>
        <w:t>7</w:t>
      </w:r>
      <w:r>
        <w:rPr>
          <w:rFonts w:hint="eastAsia" w:ascii="宋体" w:hAnsi="宋体"/>
          <w:bCs/>
          <w:sz w:val="20"/>
          <w:szCs w:val="20"/>
        </w:rPr>
        <w:t xml:space="preserve">  </w:t>
      </w:r>
      <w:r>
        <w:rPr>
          <w:rFonts w:hint="eastAsia" w:ascii="宋体" w:hAnsi="宋体"/>
          <w:sz w:val="20"/>
          <w:szCs w:val="20"/>
        </w:rPr>
        <w:t>锚杆倾角宜为</w:t>
      </w:r>
      <w:r>
        <w:rPr>
          <w:sz w:val="20"/>
          <w:szCs w:val="20"/>
        </w:rPr>
        <w:t>15</w:t>
      </w:r>
      <w:r>
        <w:rPr>
          <w:rFonts w:hint="eastAsia"/>
          <w:sz w:val="20"/>
          <w:szCs w:val="20"/>
        </w:rPr>
        <w:t>º～</w:t>
      </w:r>
      <w:r>
        <w:rPr>
          <w:sz w:val="20"/>
          <w:szCs w:val="20"/>
        </w:rPr>
        <w:t>25</w:t>
      </w:r>
      <w:r>
        <w:rPr>
          <w:rFonts w:hint="eastAsia"/>
          <w:sz w:val="20"/>
          <w:szCs w:val="20"/>
        </w:rPr>
        <w:t>º</w:t>
      </w:r>
      <w:r>
        <w:rPr>
          <w:rFonts w:hint="eastAsia" w:ascii="宋体" w:hAnsi="宋体"/>
          <w:sz w:val="20"/>
          <w:szCs w:val="20"/>
        </w:rPr>
        <w:t>，且不宜大于</w:t>
      </w:r>
      <w:r>
        <w:rPr>
          <w:sz w:val="20"/>
          <w:szCs w:val="20"/>
        </w:rPr>
        <w:t>45</w:t>
      </w:r>
      <w:r>
        <w:rPr>
          <w:rFonts w:hint="eastAsia"/>
          <w:sz w:val="20"/>
          <w:szCs w:val="20"/>
        </w:rPr>
        <w:t>º</w:t>
      </w:r>
      <w:r>
        <w:rPr>
          <w:rFonts w:hint="eastAsia" w:ascii="宋体" w:hAnsi="宋体"/>
          <w:sz w:val="20"/>
          <w:szCs w:val="20"/>
        </w:rPr>
        <w:t>。</w:t>
      </w:r>
    </w:p>
    <w:p w14:paraId="11BEA8DE">
      <w:pPr>
        <w:tabs>
          <w:tab w:val="left" w:pos="616"/>
          <w:tab w:val="left" w:pos="854"/>
          <w:tab w:val="left" w:pos="1620"/>
          <w:tab w:val="left" w:pos="2160"/>
          <w:tab w:val="left" w:pos="3060"/>
          <w:tab w:val="left" w:pos="7020"/>
        </w:tabs>
        <w:adjustRightInd w:val="0"/>
        <w:snapToGrid w:val="0"/>
        <w:spacing w:line="288" w:lineRule="auto"/>
        <w:rPr>
          <w:rFonts w:ascii="宋体" w:hAnsi="宋体"/>
          <w:sz w:val="20"/>
          <w:szCs w:val="20"/>
        </w:rPr>
      </w:pPr>
      <w:r>
        <w:rPr>
          <w:b/>
          <w:kern w:val="0"/>
          <w:sz w:val="20"/>
          <w:szCs w:val="20"/>
        </w:rPr>
        <w:t>7.7.17</w:t>
      </w:r>
      <w:r>
        <w:rPr>
          <w:rFonts w:hint="eastAsia" w:ascii="宋体" w:hAnsi="宋体"/>
          <w:sz w:val="20"/>
          <w:szCs w:val="20"/>
        </w:rPr>
        <w:t xml:space="preserve">  锚杆注浆体应符合下列要求：</w:t>
      </w:r>
    </w:p>
    <w:p w14:paraId="7B086568">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rFonts w:hint="eastAsia"/>
          <w:b/>
          <w:bCs/>
          <w:sz w:val="20"/>
          <w:szCs w:val="20"/>
        </w:rPr>
        <w:t>1</w:t>
      </w:r>
      <w:r>
        <w:rPr>
          <w:rFonts w:hint="eastAsia" w:ascii="宋体" w:hAnsi="宋体"/>
          <w:bCs/>
          <w:sz w:val="20"/>
          <w:szCs w:val="20"/>
        </w:rPr>
        <w:t xml:space="preserve">  </w:t>
      </w:r>
      <w:r>
        <w:rPr>
          <w:rFonts w:hint="eastAsia" w:ascii="宋体" w:hAnsi="宋体"/>
          <w:sz w:val="20"/>
          <w:szCs w:val="20"/>
        </w:rPr>
        <w:t>注浆体宜采用水泥浆或水泥砂浆，其试块抗压强度标准值不宜低于</w:t>
      </w:r>
      <w:r>
        <w:rPr>
          <w:rFonts w:hint="eastAsia"/>
          <w:sz w:val="20"/>
          <w:szCs w:val="20"/>
        </w:rPr>
        <w:t>20MPa</w:t>
      </w:r>
      <w:r>
        <w:rPr>
          <w:rFonts w:hint="eastAsia" w:ascii="宋体" w:hAnsi="宋体"/>
          <w:sz w:val="20"/>
          <w:szCs w:val="20"/>
        </w:rPr>
        <w:t>；</w:t>
      </w:r>
    </w:p>
    <w:p w14:paraId="1C505830">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rFonts w:hint="eastAsia"/>
          <w:b/>
          <w:bCs/>
          <w:sz w:val="20"/>
          <w:szCs w:val="20"/>
        </w:rPr>
        <w:t>2</w:t>
      </w:r>
      <w:r>
        <w:rPr>
          <w:rFonts w:hint="eastAsia" w:ascii="宋体" w:hAnsi="宋体"/>
          <w:bCs/>
          <w:sz w:val="20"/>
          <w:szCs w:val="20"/>
        </w:rPr>
        <w:t xml:space="preserve">  注浆宜采用二次压力注浆工艺</w:t>
      </w:r>
      <w:r>
        <w:rPr>
          <w:rFonts w:hint="eastAsia" w:ascii="宋体" w:hAnsi="宋体"/>
          <w:sz w:val="20"/>
          <w:szCs w:val="20"/>
        </w:rPr>
        <w:t>。</w:t>
      </w:r>
    </w:p>
    <w:p w14:paraId="76B54423">
      <w:pPr>
        <w:tabs>
          <w:tab w:val="left" w:pos="616"/>
          <w:tab w:val="left" w:pos="854"/>
          <w:tab w:val="left" w:pos="1620"/>
          <w:tab w:val="left" w:pos="2160"/>
          <w:tab w:val="left" w:pos="3060"/>
          <w:tab w:val="left" w:pos="7020"/>
        </w:tabs>
        <w:adjustRightInd w:val="0"/>
        <w:snapToGrid w:val="0"/>
        <w:spacing w:line="288" w:lineRule="auto"/>
        <w:rPr>
          <w:rFonts w:ascii="宋体" w:hAnsi="宋体"/>
          <w:sz w:val="20"/>
          <w:szCs w:val="20"/>
        </w:rPr>
      </w:pPr>
      <w:r>
        <w:rPr>
          <w:b/>
          <w:kern w:val="0"/>
          <w:sz w:val="20"/>
          <w:szCs w:val="20"/>
        </w:rPr>
        <w:t>7.7.18</w:t>
      </w:r>
      <w:r>
        <w:rPr>
          <w:rFonts w:hint="eastAsia" w:ascii="宋体" w:hAnsi="宋体"/>
          <w:sz w:val="20"/>
          <w:szCs w:val="20"/>
        </w:rPr>
        <w:t xml:space="preserve">  锚杆腰梁应符合下列要求：</w:t>
      </w:r>
    </w:p>
    <w:p w14:paraId="503FC807">
      <w:pPr>
        <w:adjustRightInd w:val="0"/>
        <w:snapToGrid w:val="0"/>
        <w:spacing w:line="288" w:lineRule="auto"/>
        <w:ind w:firstLine="402" w:firstLineChars="200"/>
        <w:rPr>
          <w:rFonts w:ascii="宋体" w:hAnsi="宋体"/>
          <w:kern w:val="0"/>
          <w:sz w:val="20"/>
          <w:szCs w:val="20"/>
        </w:rPr>
      </w:pPr>
      <w:r>
        <w:rPr>
          <w:rFonts w:hint="eastAsia"/>
          <w:b/>
          <w:bCs/>
          <w:sz w:val="20"/>
          <w:szCs w:val="20"/>
        </w:rPr>
        <w:t>1</w:t>
      </w:r>
      <w:r>
        <w:rPr>
          <w:rFonts w:hint="eastAsia" w:ascii="宋体" w:hAnsi="宋体"/>
          <w:bCs/>
          <w:sz w:val="20"/>
          <w:szCs w:val="20"/>
        </w:rPr>
        <w:t xml:space="preserve">  </w:t>
      </w:r>
      <w:r>
        <w:rPr>
          <w:rFonts w:hint="eastAsia" w:ascii="宋体" w:hAnsi="宋体"/>
          <w:sz w:val="20"/>
          <w:szCs w:val="20"/>
        </w:rPr>
        <w:t>当腰梁采用型钢组合梁时，可选用双槽钢或双工字钢，两型钢之间应用缀板</w:t>
      </w:r>
      <w:r>
        <w:rPr>
          <w:rFonts w:hint="eastAsia" w:ascii="宋体" w:hAnsi="宋体"/>
          <w:kern w:val="0"/>
          <w:sz w:val="20"/>
          <w:szCs w:val="20"/>
        </w:rPr>
        <w:t>连接，</w:t>
      </w:r>
      <w:r>
        <w:rPr>
          <w:rFonts w:hint="eastAsia" w:ascii="宋体" w:hAnsi="宋体"/>
          <w:sz w:val="20"/>
          <w:szCs w:val="20"/>
        </w:rPr>
        <w:t>连接焊缝应采用贴角焊；</w:t>
      </w:r>
      <w:r>
        <w:rPr>
          <w:rFonts w:hint="eastAsia" w:ascii="宋体" w:hAnsi="宋体"/>
          <w:kern w:val="0"/>
          <w:sz w:val="20"/>
          <w:szCs w:val="20"/>
        </w:rPr>
        <w:t>两型钢之间的净间距应满足锚杆杆体平直穿过的要求；</w:t>
      </w:r>
    </w:p>
    <w:p w14:paraId="41BE0F6D">
      <w:pPr>
        <w:adjustRightInd w:val="0"/>
        <w:snapToGrid w:val="0"/>
        <w:spacing w:line="288" w:lineRule="auto"/>
        <w:ind w:firstLine="402" w:firstLineChars="200"/>
        <w:rPr>
          <w:rFonts w:ascii="宋体" w:hAnsi="宋体"/>
          <w:sz w:val="20"/>
          <w:szCs w:val="20"/>
        </w:rPr>
      </w:pPr>
      <w:r>
        <w:rPr>
          <w:rFonts w:hint="eastAsia"/>
          <w:b/>
          <w:bCs/>
          <w:sz w:val="20"/>
          <w:szCs w:val="20"/>
        </w:rPr>
        <w:t>2</w:t>
      </w:r>
      <w:r>
        <w:rPr>
          <w:rFonts w:hint="eastAsia" w:ascii="宋体" w:hAnsi="宋体"/>
          <w:bCs/>
          <w:sz w:val="20"/>
          <w:szCs w:val="20"/>
        </w:rPr>
        <w:t xml:space="preserve">  </w:t>
      </w:r>
      <w:r>
        <w:rPr>
          <w:rFonts w:hint="eastAsia" w:ascii="宋体" w:hAnsi="宋体"/>
          <w:kern w:val="0"/>
          <w:sz w:val="20"/>
          <w:szCs w:val="20"/>
        </w:rPr>
        <w:t>型钢组合腰梁应满足在锚杆集中荷载作用下的局部受压稳定与受扭稳定的要求，</w:t>
      </w:r>
      <w:r>
        <w:rPr>
          <w:rFonts w:hint="eastAsia" w:ascii="宋体" w:hAnsi="宋体"/>
          <w:sz w:val="20"/>
          <w:szCs w:val="20"/>
        </w:rPr>
        <w:t>当需要增加局部受压和受扭稳定性时，可在型钢翼缘端口处设置加劲肋板。</w:t>
      </w:r>
    </w:p>
    <w:p w14:paraId="69F50EFF">
      <w:pPr>
        <w:adjustRightInd w:val="0"/>
        <w:snapToGrid w:val="0"/>
        <w:spacing w:before="156" w:beforeLines="50" w:after="156" w:afterLines="50" w:line="288" w:lineRule="auto"/>
        <w:jc w:val="center"/>
        <w:rPr>
          <w:rFonts w:ascii="黑体" w:hAnsi="黑体" w:eastAsia="黑体"/>
          <w:sz w:val="20"/>
          <w:szCs w:val="20"/>
        </w:rPr>
      </w:pPr>
      <w:r>
        <w:rPr>
          <w:rFonts w:hint="eastAsia"/>
          <w:b/>
          <w:bCs/>
          <w:sz w:val="20"/>
          <w:szCs w:val="20"/>
        </w:rPr>
        <w:t>Ⅴ</w:t>
      </w:r>
      <w:r>
        <w:rPr>
          <w:rFonts w:hint="eastAsia" w:ascii="宋体" w:hAnsi="宋体"/>
          <w:sz w:val="20"/>
          <w:szCs w:val="20"/>
        </w:rPr>
        <w:t xml:space="preserve"> </w:t>
      </w:r>
      <w:r>
        <w:rPr>
          <w:rFonts w:hint="eastAsia" w:ascii="黑体" w:hAnsi="黑体" w:eastAsia="黑体"/>
          <w:sz w:val="20"/>
          <w:szCs w:val="20"/>
        </w:rPr>
        <w:t xml:space="preserve"> 冠梁上部挡土墙</w:t>
      </w:r>
    </w:p>
    <w:p w14:paraId="1B35AD0D">
      <w:pPr>
        <w:adjustRightInd w:val="0"/>
        <w:snapToGrid w:val="0"/>
        <w:spacing w:line="288" w:lineRule="auto"/>
        <w:rPr>
          <w:rFonts w:ascii="宋体" w:hAnsi="宋体"/>
          <w:sz w:val="20"/>
          <w:szCs w:val="20"/>
        </w:rPr>
      </w:pPr>
      <w:bookmarkStart w:id="80" w:name="_Toc413157302"/>
      <w:bookmarkStart w:id="81" w:name="_Toc413756032"/>
      <w:bookmarkStart w:id="82" w:name="_Toc468104712"/>
      <w:bookmarkStart w:id="83" w:name="_Toc428777571"/>
      <w:bookmarkStart w:id="84" w:name="_Toc468104714"/>
      <w:r>
        <w:rPr>
          <w:b/>
          <w:kern w:val="0"/>
          <w:sz w:val="20"/>
          <w:szCs w:val="20"/>
        </w:rPr>
        <w:t>7.7.19</w:t>
      </w:r>
      <w:r>
        <w:rPr>
          <w:rFonts w:hint="eastAsia" w:ascii="宋体" w:hAnsi="宋体"/>
          <w:sz w:val="20"/>
          <w:szCs w:val="20"/>
        </w:rPr>
        <w:t xml:space="preserve">  支挡式结构冠梁以上可设置砖砌、混凝土薄板或预制构件挡土墙，当采用砖砌挡土墙时应满足以下要求：</w:t>
      </w:r>
    </w:p>
    <w:p w14:paraId="649C5AB9">
      <w:pPr>
        <w:adjustRightInd w:val="0"/>
        <w:snapToGrid w:val="0"/>
        <w:spacing w:line="288" w:lineRule="auto"/>
        <w:ind w:firstLine="402" w:firstLineChars="200"/>
        <w:rPr>
          <w:rFonts w:ascii="宋体" w:hAnsi="宋体"/>
          <w:sz w:val="20"/>
          <w:szCs w:val="20"/>
        </w:rPr>
      </w:pPr>
      <w:r>
        <w:rPr>
          <w:rFonts w:hint="eastAsia"/>
          <w:b/>
          <w:bCs/>
          <w:sz w:val="20"/>
          <w:szCs w:val="20"/>
        </w:rPr>
        <w:t>1</w:t>
      </w:r>
      <w:r>
        <w:rPr>
          <w:rFonts w:hint="eastAsia" w:ascii="宋体" w:hAnsi="宋体"/>
          <w:bCs/>
          <w:sz w:val="20"/>
          <w:szCs w:val="20"/>
        </w:rPr>
        <w:t xml:space="preserve">  </w:t>
      </w:r>
      <w:r>
        <w:rPr>
          <w:rFonts w:hint="eastAsia" w:ascii="宋体" w:hAnsi="宋体"/>
          <w:sz w:val="20"/>
          <w:szCs w:val="20"/>
        </w:rPr>
        <w:t>当挡土高度小于</w:t>
      </w:r>
      <w:r>
        <w:rPr>
          <w:rFonts w:hint="eastAsia"/>
          <w:sz w:val="20"/>
          <w:szCs w:val="20"/>
        </w:rPr>
        <w:t>2.5</w:t>
      </w:r>
      <w:r>
        <w:rPr>
          <w:sz w:val="20"/>
          <w:szCs w:val="20"/>
        </w:rPr>
        <w:t>m</w:t>
      </w:r>
      <w:r>
        <w:rPr>
          <w:rFonts w:hint="eastAsia" w:ascii="宋体" w:hAnsi="宋体"/>
          <w:sz w:val="20"/>
          <w:szCs w:val="20"/>
        </w:rPr>
        <w:t>时，可按以下构造要求配置：</w:t>
      </w:r>
    </w:p>
    <w:p w14:paraId="2857A7BB">
      <w:pPr>
        <w:adjustRightInd w:val="0"/>
        <w:snapToGrid w:val="0"/>
        <w:spacing w:line="288" w:lineRule="auto"/>
        <w:ind w:firstLine="600" w:firstLineChars="300"/>
        <w:rPr>
          <w:sz w:val="20"/>
          <w:szCs w:val="20"/>
        </w:rPr>
      </w:pPr>
      <w:r>
        <w:rPr>
          <w:sz w:val="20"/>
          <w:szCs w:val="20"/>
        </w:rPr>
        <w:t>1）挡土墙厚度可取240mm或370mm；</w:t>
      </w:r>
    </w:p>
    <w:p w14:paraId="3E3DFF19">
      <w:pPr>
        <w:adjustRightInd w:val="0"/>
        <w:snapToGrid w:val="0"/>
        <w:spacing w:line="288" w:lineRule="auto"/>
        <w:ind w:left="894" w:leftChars="283" w:hanging="300" w:hangingChars="150"/>
        <w:rPr>
          <w:sz w:val="20"/>
          <w:szCs w:val="20"/>
        </w:rPr>
      </w:pPr>
      <w:r>
        <w:rPr>
          <w:sz w:val="20"/>
          <w:szCs w:val="20"/>
        </w:rPr>
        <w:t>2）挡土墙应设钢筋混凝土构造柱，构造柱间距不大于3.2m，截面高度宜与挡土墙同厚，截面宽度宜取200mm～300mm；纵向受力钢筋宜取4根～6根，锚入冠梁内应不小于500mm；</w:t>
      </w:r>
    </w:p>
    <w:p w14:paraId="1819C5A4">
      <w:pPr>
        <w:adjustRightInd w:val="0"/>
        <w:snapToGrid w:val="0"/>
        <w:spacing w:line="288" w:lineRule="auto"/>
        <w:ind w:firstLine="600" w:firstLineChars="300"/>
        <w:rPr>
          <w:sz w:val="20"/>
          <w:szCs w:val="20"/>
        </w:rPr>
      </w:pPr>
      <w:r>
        <w:rPr>
          <w:sz w:val="20"/>
          <w:szCs w:val="20"/>
        </w:rPr>
        <w:t>3）挡土墙顶应设压顶梁；</w:t>
      </w:r>
    </w:p>
    <w:p w14:paraId="319B95B4">
      <w:pPr>
        <w:adjustRightInd w:val="0"/>
        <w:snapToGrid w:val="0"/>
        <w:spacing w:line="288" w:lineRule="auto"/>
        <w:ind w:firstLine="600" w:firstLineChars="300"/>
        <w:rPr>
          <w:rFonts w:ascii="宋体" w:hAnsi="宋体"/>
          <w:sz w:val="20"/>
          <w:szCs w:val="20"/>
        </w:rPr>
      </w:pPr>
      <w:r>
        <w:rPr>
          <w:sz w:val="20"/>
          <w:szCs w:val="20"/>
        </w:rPr>
        <w:t>4</w:t>
      </w:r>
      <w:r>
        <w:rPr>
          <w:rFonts w:hint="eastAsia" w:ascii="宋体" w:hAnsi="宋体"/>
          <w:sz w:val="20"/>
          <w:szCs w:val="20"/>
        </w:rPr>
        <w:t>）挡土墙体与构造柱之间应咬合砌筑。</w:t>
      </w:r>
    </w:p>
    <w:p w14:paraId="1CF0F4B0">
      <w:pPr>
        <w:adjustRightInd w:val="0"/>
        <w:snapToGrid w:val="0"/>
        <w:spacing w:line="288" w:lineRule="auto"/>
        <w:ind w:firstLine="402" w:firstLineChars="200"/>
        <w:rPr>
          <w:rFonts w:ascii="宋体" w:hAnsi="宋体"/>
          <w:sz w:val="20"/>
          <w:szCs w:val="20"/>
        </w:rPr>
      </w:pPr>
      <w:r>
        <w:rPr>
          <w:rFonts w:hint="eastAsia"/>
          <w:b/>
          <w:bCs/>
          <w:sz w:val="20"/>
          <w:szCs w:val="20"/>
        </w:rPr>
        <w:t>2</w:t>
      </w:r>
      <w:r>
        <w:rPr>
          <w:rFonts w:hint="eastAsia" w:ascii="宋体" w:hAnsi="宋体"/>
          <w:bCs/>
          <w:sz w:val="20"/>
          <w:szCs w:val="20"/>
        </w:rPr>
        <w:t xml:space="preserve">  </w:t>
      </w:r>
      <w:r>
        <w:rPr>
          <w:rFonts w:hint="eastAsia" w:ascii="宋体" w:hAnsi="宋体"/>
          <w:sz w:val="20"/>
          <w:szCs w:val="20"/>
        </w:rPr>
        <w:t>当挡土高度大于</w:t>
      </w:r>
      <w:r>
        <w:rPr>
          <w:rFonts w:hint="eastAsia"/>
          <w:sz w:val="20"/>
          <w:szCs w:val="20"/>
        </w:rPr>
        <w:t>2.5m</w:t>
      </w:r>
      <w:r>
        <w:rPr>
          <w:rFonts w:hint="eastAsia" w:ascii="宋体" w:hAnsi="宋体"/>
          <w:sz w:val="20"/>
          <w:szCs w:val="20"/>
        </w:rPr>
        <w:t>时，挡土墙厚度宜取</w:t>
      </w:r>
      <w:r>
        <w:rPr>
          <w:rFonts w:hint="eastAsia"/>
          <w:sz w:val="20"/>
          <w:szCs w:val="20"/>
        </w:rPr>
        <w:t>370mm</w:t>
      </w:r>
      <w:r>
        <w:rPr>
          <w:rFonts w:hint="eastAsia" w:ascii="宋体" w:hAnsi="宋体"/>
          <w:sz w:val="20"/>
          <w:szCs w:val="20"/>
        </w:rPr>
        <w:t>,钢筋混凝土构造柱尺寸和配筋应按计算确定；宜在墙高中部加设圈梁，圈梁截面尺寸可取</w:t>
      </w:r>
      <w:r>
        <w:rPr>
          <w:rFonts w:hint="eastAsia"/>
          <w:sz w:val="20"/>
          <w:szCs w:val="20"/>
        </w:rPr>
        <w:t>370</w:t>
      </w:r>
      <w:r>
        <w:rPr>
          <w:sz w:val="20"/>
          <w:szCs w:val="20"/>
        </w:rPr>
        <w:t>mm</w:t>
      </w:r>
      <w:r>
        <w:rPr>
          <w:rFonts w:hint="eastAsia"/>
          <w:sz w:val="20"/>
          <w:szCs w:val="20"/>
        </w:rPr>
        <w:t>×240mm</w:t>
      </w:r>
      <w:r>
        <w:rPr>
          <w:rFonts w:hint="eastAsia" w:ascii="宋体" w:hAnsi="宋体"/>
          <w:sz w:val="20"/>
          <w:szCs w:val="20"/>
        </w:rPr>
        <w:t>；</w:t>
      </w:r>
    </w:p>
    <w:p w14:paraId="3A5EE4C9">
      <w:pPr>
        <w:adjustRightInd w:val="0"/>
        <w:snapToGrid w:val="0"/>
        <w:spacing w:line="288" w:lineRule="auto"/>
        <w:ind w:firstLine="402" w:firstLineChars="200"/>
        <w:rPr>
          <w:rFonts w:ascii="宋体" w:hAnsi="宋体"/>
          <w:sz w:val="20"/>
          <w:szCs w:val="20"/>
        </w:rPr>
      </w:pPr>
      <w:r>
        <w:rPr>
          <w:rFonts w:hint="eastAsia"/>
          <w:b/>
          <w:bCs/>
          <w:sz w:val="20"/>
          <w:szCs w:val="20"/>
        </w:rPr>
        <w:t>3</w:t>
      </w:r>
      <w:r>
        <w:rPr>
          <w:rFonts w:hint="eastAsia" w:ascii="宋体" w:hAnsi="宋体"/>
          <w:sz w:val="20"/>
          <w:szCs w:val="20"/>
        </w:rPr>
        <w:t xml:space="preserve">  挡土墙高度不宜大于</w:t>
      </w:r>
      <w:r>
        <w:rPr>
          <w:rFonts w:hint="eastAsia"/>
          <w:sz w:val="20"/>
          <w:szCs w:val="20"/>
        </w:rPr>
        <w:t>4.0m</w:t>
      </w:r>
      <w:r>
        <w:rPr>
          <w:rFonts w:hint="eastAsia" w:ascii="宋体" w:hAnsi="宋体"/>
          <w:sz w:val="20"/>
          <w:szCs w:val="20"/>
        </w:rPr>
        <w:t>。</w:t>
      </w:r>
    </w:p>
    <w:p w14:paraId="569CFF05">
      <w:pPr>
        <w:pStyle w:val="7"/>
        <w:keepNext w:val="0"/>
        <w:keepLines w:val="0"/>
        <w:adjustRightInd w:val="0"/>
        <w:snapToGrid w:val="0"/>
        <w:spacing w:before="312" w:beforeLines="100" w:after="312" w:afterLines="100" w:line="288" w:lineRule="auto"/>
        <w:jc w:val="center"/>
        <w:rPr>
          <w:rFonts w:ascii="宋体" w:hAnsi="宋体"/>
          <w:b w:val="0"/>
          <w:sz w:val="20"/>
          <w:szCs w:val="20"/>
        </w:rPr>
      </w:pPr>
      <w:bookmarkStart w:id="85" w:name="_Toc139613732"/>
      <w:r>
        <w:rPr>
          <w:sz w:val="20"/>
          <w:szCs w:val="20"/>
        </w:rPr>
        <w:t>7</w:t>
      </w:r>
      <w:r>
        <w:rPr>
          <w:rFonts w:hint="eastAsia"/>
          <w:sz w:val="20"/>
          <w:szCs w:val="20"/>
        </w:rPr>
        <w:t>.8</w:t>
      </w:r>
      <w:r>
        <w:rPr>
          <w:sz w:val="20"/>
          <w:szCs w:val="20"/>
        </w:rPr>
        <w:t xml:space="preserve">  </w:t>
      </w:r>
      <w:r>
        <w:rPr>
          <w:rFonts w:hint="eastAsia" w:ascii="黑体" w:hAnsi="黑体" w:eastAsia="黑体"/>
          <w:b w:val="0"/>
          <w:sz w:val="20"/>
          <w:szCs w:val="20"/>
        </w:rPr>
        <w:t>施    工</w:t>
      </w:r>
      <w:bookmarkEnd w:id="80"/>
      <w:bookmarkEnd w:id="81"/>
      <w:bookmarkEnd w:id="82"/>
      <w:bookmarkEnd w:id="83"/>
      <w:bookmarkEnd w:id="85"/>
    </w:p>
    <w:p w14:paraId="1BF65BCF">
      <w:pPr>
        <w:adjustRightInd w:val="0"/>
        <w:snapToGrid w:val="0"/>
        <w:spacing w:line="288" w:lineRule="auto"/>
        <w:rPr>
          <w:rFonts w:ascii="宋体" w:hAnsi="宋体"/>
          <w:sz w:val="20"/>
          <w:szCs w:val="20"/>
        </w:rPr>
      </w:pPr>
      <w:bookmarkStart w:id="86" w:name="_Toc413157304"/>
      <w:bookmarkStart w:id="87" w:name="_Toc413756034"/>
      <w:bookmarkStart w:id="88" w:name="_Toc428777572"/>
      <w:bookmarkStart w:id="89" w:name="_Toc468104713"/>
      <w:r>
        <w:rPr>
          <w:b/>
          <w:kern w:val="0"/>
          <w:sz w:val="20"/>
          <w:szCs w:val="20"/>
        </w:rPr>
        <w:t>7.8.1</w:t>
      </w:r>
      <w:r>
        <w:rPr>
          <w:b/>
          <w:bCs/>
          <w:sz w:val="20"/>
          <w:szCs w:val="20"/>
        </w:rPr>
        <w:t xml:space="preserve">  </w:t>
      </w:r>
      <w:r>
        <w:rPr>
          <w:rFonts w:hint="eastAsia" w:ascii="宋体" w:hAnsi="宋体"/>
          <w:sz w:val="20"/>
          <w:szCs w:val="20"/>
        </w:rPr>
        <w:t>排桩的施工应符合下列要求</w:t>
      </w:r>
      <w:r>
        <w:rPr>
          <w:rFonts w:hint="eastAsia"/>
          <w:sz w:val="20"/>
          <w:szCs w:val="20"/>
        </w:rPr>
        <w:t>：</w:t>
      </w:r>
    </w:p>
    <w:p w14:paraId="55B8112E">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b/>
          <w:bCs/>
          <w:sz w:val="20"/>
          <w:szCs w:val="20"/>
        </w:rPr>
        <w:t>1</w:t>
      </w:r>
      <w:r>
        <w:rPr>
          <w:rFonts w:hint="eastAsia" w:ascii="宋体" w:hAnsi="宋体"/>
          <w:bCs/>
          <w:sz w:val="20"/>
          <w:szCs w:val="20"/>
        </w:rPr>
        <w:t xml:space="preserve">  当设计无要求时，</w:t>
      </w:r>
      <w:r>
        <w:rPr>
          <w:rFonts w:hint="eastAsia" w:ascii="宋体" w:hAnsi="宋体"/>
          <w:sz w:val="20"/>
          <w:szCs w:val="20"/>
        </w:rPr>
        <w:t>桩位施工偏差不宜大于</w:t>
      </w:r>
      <w:r>
        <w:rPr>
          <w:rFonts w:ascii="宋体" w:hAnsi="宋体"/>
          <w:sz w:val="20"/>
          <w:szCs w:val="20"/>
        </w:rPr>
        <w:t>50</w:t>
      </w:r>
      <w:r>
        <w:rPr>
          <w:sz w:val="20"/>
          <w:szCs w:val="20"/>
        </w:rPr>
        <w:t>mm</w:t>
      </w:r>
      <w:r>
        <w:rPr>
          <w:rFonts w:hint="eastAsia" w:ascii="宋体" w:hAnsi="宋体"/>
          <w:sz w:val="20"/>
          <w:szCs w:val="20"/>
        </w:rPr>
        <w:t>，桩的垂直度偏差不宜大于</w:t>
      </w:r>
      <w:r>
        <w:rPr>
          <w:rFonts w:hint="eastAsia"/>
          <w:sz w:val="20"/>
          <w:szCs w:val="20"/>
        </w:rPr>
        <w:t>1.0</w:t>
      </w:r>
      <w:r>
        <w:rPr>
          <w:sz w:val="20"/>
          <w:szCs w:val="20"/>
        </w:rPr>
        <w:t>%</w:t>
      </w:r>
      <w:r>
        <w:rPr>
          <w:rFonts w:hint="eastAsia" w:ascii="宋体" w:hAnsi="宋体"/>
          <w:sz w:val="20"/>
          <w:szCs w:val="20"/>
        </w:rPr>
        <w:t>，咬合桩的垂直度偏差应符合本规程第</w:t>
      </w:r>
      <w:r>
        <w:rPr>
          <w:sz w:val="20"/>
          <w:szCs w:val="20"/>
        </w:rPr>
        <w:t>7.8.3</w:t>
      </w:r>
      <w:r>
        <w:rPr>
          <w:rFonts w:hint="eastAsia"/>
          <w:sz w:val="20"/>
          <w:szCs w:val="20"/>
        </w:rPr>
        <w:t>条</w:t>
      </w:r>
      <w:r>
        <w:rPr>
          <w:rFonts w:hint="eastAsia" w:ascii="宋体" w:hAnsi="宋体"/>
          <w:sz w:val="20"/>
          <w:szCs w:val="20"/>
        </w:rPr>
        <w:t>的规定，且不应影响地下结构的施工；</w:t>
      </w:r>
    </w:p>
    <w:p w14:paraId="08F42865">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b/>
          <w:bCs/>
          <w:sz w:val="20"/>
          <w:szCs w:val="20"/>
        </w:rPr>
        <w:t>2</w:t>
      </w:r>
      <w:r>
        <w:rPr>
          <w:rFonts w:ascii="宋体" w:hAnsi="宋体"/>
          <w:bCs/>
          <w:sz w:val="20"/>
          <w:szCs w:val="20"/>
        </w:rPr>
        <w:t xml:space="preserve">  </w:t>
      </w:r>
      <w:r>
        <w:rPr>
          <w:rFonts w:hint="eastAsia" w:ascii="宋体" w:hAnsi="宋体"/>
          <w:sz w:val="20"/>
          <w:szCs w:val="20"/>
        </w:rPr>
        <w:t>当排桩不承受垂直荷载时，钻孔灌注桩桩底沉渣不宜超过</w:t>
      </w:r>
      <w:r>
        <w:rPr>
          <w:sz w:val="20"/>
          <w:szCs w:val="20"/>
        </w:rPr>
        <w:t>200mm</w:t>
      </w:r>
      <w:r>
        <w:rPr>
          <w:rFonts w:hint="eastAsia" w:ascii="宋体" w:hAnsi="宋体"/>
          <w:sz w:val="20"/>
          <w:szCs w:val="20"/>
        </w:rPr>
        <w:t>；双排桩前排桩孔底沉渣厚度不应大于</w:t>
      </w:r>
      <w:r>
        <w:rPr>
          <w:rFonts w:hint="eastAsia"/>
          <w:sz w:val="20"/>
          <w:szCs w:val="20"/>
        </w:rPr>
        <w:t>50mm</w:t>
      </w:r>
      <w:r>
        <w:rPr>
          <w:rFonts w:hint="eastAsia" w:ascii="宋体" w:hAnsi="宋体"/>
          <w:sz w:val="20"/>
          <w:szCs w:val="20"/>
        </w:rPr>
        <w:t>。当兼作承重结构时，桩底沉渣按现行行业标准《建筑桩基技术规范》</w:t>
      </w:r>
      <w:r>
        <w:rPr>
          <w:rFonts w:hint="eastAsia"/>
          <w:sz w:val="20"/>
          <w:szCs w:val="20"/>
        </w:rPr>
        <w:t>JGJ 94</w:t>
      </w:r>
      <w:r>
        <w:rPr>
          <w:rFonts w:hint="eastAsia" w:ascii="宋体" w:hAnsi="宋体"/>
          <w:sz w:val="20"/>
          <w:szCs w:val="20"/>
        </w:rPr>
        <w:t>的有关要求执行；</w:t>
      </w:r>
    </w:p>
    <w:p w14:paraId="4E9DD789">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b/>
          <w:bCs/>
          <w:sz w:val="20"/>
          <w:szCs w:val="20"/>
        </w:rPr>
        <w:t>3</w:t>
      </w:r>
      <w:r>
        <w:rPr>
          <w:rFonts w:hint="eastAsia" w:ascii="宋体" w:hAnsi="宋体"/>
          <w:bCs/>
          <w:sz w:val="20"/>
          <w:szCs w:val="20"/>
        </w:rPr>
        <w:t xml:space="preserve">  </w:t>
      </w:r>
      <w:r>
        <w:rPr>
          <w:rFonts w:hint="eastAsia" w:ascii="宋体" w:hAnsi="宋体"/>
          <w:sz w:val="20"/>
          <w:szCs w:val="20"/>
        </w:rPr>
        <w:t>排桩宜采取隔桩施工的成桩顺序，采用灌注桩工艺时应在灌注混凝土</w:t>
      </w:r>
      <w:r>
        <w:rPr>
          <w:sz w:val="20"/>
          <w:szCs w:val="20"/>
        </w:rPr>
        <w:t>24h</w:t>
      </w:r>
      <w:r>
        <w:rPr>
          <w:rFonts w:hint="eastAsia" w:ascii="宋体" w:hAnsi="宋体"/>
          <w:sz w:val="20"/>
          <w:szCs w:val="20"/>
        </w:rPr>
        <w:t>后进行邻桩成孔施工；</w:t>
      </w:r>
    </w:p>
    <w:p w14:paraId="20D78AC1">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b/>
          <w:bCs/>
          <w:sz w:val="20"/>
          <w:szCs w:val="20"/>
        </w:rPr>
        <w:t>4</w:t>
      </w:r>
      <w:r>
        <w:rPr>
          <w:rFonts w:ascii="宋体" w:hAnsi="宋体"/>
          <w:bCs/>
          <w:sz w:val="20"/>
          <w:szCs w:val="20"/>
        </w:rPr>
        <w:t xml:space="preserve">  </w:t>
      </w:r>
      <w:r>
        <w:rPr>
          <w:rFonts w:hint="eastAsia" w:ascii="宋体" w:hAnsi="宋体"/>
          <w:sz w:val="20"/>
          <w:szCs w:val="20"/>
        </w:rPr>
        <w:t>钢筋笼纵向钢筋不均匀配制的排桩，钢筋笼在制作和安装完成时，纵向钢筋的平面角度偏差不应大于10º；</w:t>
      </w:r>
    </w:p>
    <w:p w14:paraId="716DC21F">
      <w:pPr>
        <w:adjustRightInd w:val="0"/>
        <w:snapToGrid w:val="0"/>
        <w:spacing w:line="288" w:lineRule="auto"/>
        <w:ind w:firstLine="402" w:firstLineChars="200"/>
        <w:rPr>
          <w:rFonts w:ascii="宋体" w:hAnsi="宋体"/>
          <w:sz w:val="20"/>
          <w:szCs w:val="20"/>
        </w:rPr>
      </w:pPr>
      <w:r>
        <w:rPr>
          <w:b/>
          <w:bCs/>
          <w:sz w:val="20"/>
          <w:szCs w:val="20"/>
        </w:rPr>
        <w:t>5</w:t>
      </w:r>
      <w:r>
        <w:rPr>
          <w:rFonts w:hint="eastAsia"/>
          <w:b/>
          <w:bCs/>
          <w:sz w:val="20"/>
          <w:szCs w:val="20"/>
        </w:rPr>
        <w:t xml:space="preserve"> </w:t>
      </w:r>
      <w:r>
        <w:rPr>
          <w:rFonts w:hint="eastAsia" w:ascii="宋体" w:hAnsi="宋体"/>
          <w:bCs/>
          <w:sz w:val="20"/>
          <w:szCs w:val="20"/>
        </w:rPr>
        <w:t xml:space="preserve"> </w:t>
      </w:r>
      <w:r>
        <w:rPr>
          <w:rFonts w:hint="eastAsia" w:ascii="宋体" w:hAnsi="宋体"/>
          <w:sz w:val="20"/>
          <w:szCs w:val="20"/>
        </w:rPr>
        <w:t>排桩支护采用预制混凝土桩的，可采用锤击法、静压法、振动法或植入法。当用锤击法、静压法、振动法沉桩困难或邻近建（构）筑物或地下管线受挤土效应的影响敏感时，可采用引孔辅助；</w:t>
      </w:r>
    </w:p>
    <w:p w14:paraId="1B0F1546">
      <w:pPr>
        <w:adjustRightInd w:val="0"/>
        <w:snapToGrid w:val="0"/>
        <w:spacing w:line="288" w:lineRule="auto"/>
        <w:ind w:firstLine="402" w:firstLineChars="200"/>
        <w:rPr>
          <w:rFonts w:ascii="宋体" w:hAnsi="宋体"/>
          <w:sz w:val="20"/>
          <w:szCs w:val="20"/>
        </w:rPr>
      </w:pPr>
      <w:r>
        <w:rPr>
          <w:rFonts w:hint="eastAsia"/>
          <w:b/>
          <w:bCs/>
          <w:sz w:val="20"/>
          <w:szCs w:val="20"/>
        </w:rPr>
        <w:t>6</w:t>
      </w:r>
      <w:r>
        <w:rPr>
          <w:rFonts w:hint="eastAsia" w:ascii="宋体" w:hAnsi="宋体"/>
          <w:bCs/>
          <w:sz w:val="20"/>
          <w:szCs w:val="20"/>
        </w:rPr>
        <w:t xml:space="preserve">  </w:t>
      </w:r>
      <w:r>
        <w:rPr>
          <w:rFonts w:hint="eastAsia" w:ascii="宋体" w:hAnsi="宋体"/>
          <w:sz w:val="20"/>
          <w:szCs w:val="20"/>
        </w:rPr>
        <w:t>排桩施工的其它要求应按现行行业标准《建筑桩基技术规范》</w:t>
      </w:r>
      <w:r>
        <w:rPr>
          <w:sz w:val="20"/>
          <w:szCs w:val="20"/>
        </w:rPr>
        <w:t>JGJ 94</w:t>
      </w:r>
      <w:r>
        <w:rPr>
          <w:rFonts w:hint="eastAsia" w:ascii="宋体" w:hAnsi="宋体"/>
          <w:sz w:val="20"/>
          <w:szCs w:val="20"/>
        </w:rPr>
        <w:t>执行；对排桩施工有特殊要求时，尚应按其特殊要求施工。</w:t>
      </w:r>
    </w:p>
    <w:p w14:paraId="2045D092">
      <w:pPr>
        <w:rPr>
          <w:kern w:val="44"/>
          <w:sz w:val="20"/>
          <w:szCs w:val="20"/>
        </w:rPr>
      </w:pPr>
      <w:r>
        <w:rPr>
          <w:b/>
          <w:kern w:val="44"/>
          <w:sz w:val="20"/>
          <w:szCs w:val="20"/>
        </w:rPr>
        <w:t>7.8.</w:t>
      </w:r>
      <w:r>
        <w:rPr>
          <w:rFonts w:hint="eastAsia"/>
          <w:b/>
          <w:kern w:val="44"/>
          <w:sz w:val="20"/>
          <w:szCs w:val="20"/>
        </w:rPr>
        <w:t>2</w:t>
      </w:r>
      <w:r>
        <w:rPr>
          <w:b/>
          <w:kern w:val="44"/>
          <w:sz w:val="20"/>
          <w:szCs w:val="20"/>
        </w:rPr>
        <w:t xml:space="preserve">  </w:t>
      </w:r>
      <w:r>
        <w:rPr>
          <w:kern w:val="44"/>
          <w:sz w:val="20"/>
          <w:szCs w:val="20"/>
        </w:rPr>
        <w:t>预制混凝土桩的施工应</w:t>
      </w:r>
      <w:r>
        <w:rPr>
          <w:rFonts w:hint="eastAsia"/>
          <w:kern w:val="44"/>
          <w:sz w:val="20"/>
          <w:szCs w:val="20"/>
        </w:rPr>
        <w:t>符合</w:t>
      </w:r>
      <w:r>
        <w:rPr>
          <w:kern w:val="44"/>
          <w:sz w:val="20"/>
          <w:szCs w:val="20"/>
        </w:rPr>
        <w:t>下列要求：</w:t>
      </w:r>
    </w:p>
    <w:p w14:paraId="5A66C47E">
      <w:pPr>
        <w:rPr>
          <w:sz w:val="20"/>
          <w:szCs w:val="20"/>
        </w:rPr>
      </w:pPr>
      <w:r>
        <w:rPr>
          <w:b/>
          <w:sz w:val="20"/>
          <w:szCs w:val="20"/>
        </w:rPr>
        <w:t xml:space="preserve">    1  </w:t>
      </w:r>
      <w:r>
        <w:rPr>
          <w:kern w:val="44"/>
          <w:sz w:val="20"/>
          <w:szCs w:val="20"/>
        </w:rPr>
        <w:t>预制桩混凝土强度达到70%后方可起吊，桩起吊时应采取相应措施，保证安全平稳，保护桩身质量</w:t>
      </w:r>
      <w:r>
        <w:rPr>
          <w:rFonts w:hint="eastAsia"/>
          <w:kern w:val="44"/>
          <w:sz w:val="20"/>
          <w:szCs w:val="20"/>
        </w:rPr>
        <w:t>。</w:t>
      </w:r>
      <w:r>
        <w:rPr>
          <w:kern w:val="44"/>
          <w:sz w:val="20"/>
          <w:szCs w:val="20"/>
        </w:rPr>
        <w:t>预制桩的混凝土强度达到100%后方可运输和沉桩；</w:t>
      </w:r>
    </w:p>
    <w:p w14:paraId="5DF77656">
      <w:pPr>
        <w:ind w:firstLine="420"/>
        <w:rPr>
          <w:kern w:val="44"/>
          <w:sz w:val="20"/>
          <w:szCs w:val="20"/>
        </w:rPr>
      </w:pPr>
      <w:r>
        <w:rPr>
          <w:b/>
          <w:kern w:val="44"/>
          <w:sz w:val="20"/>
          <w:szCs w:val="20"/>
        </w:rPr>
        <w:t xml:space="preserve">2  </w:t>
      </w:r>
      <w:r>
        <w:rPr>
          <w:kern w:val="44"/>
          <w:sz w:val="20"/>
          <w:szCs w:val="20"/>
        </w:rPr>
        <w:t>沉桩施工时应采取措施降低</w:t>
      </w:r>
      <w:r>
        <w:rPr>
          <w:rFonts w:hint="eastAsia"/>
          <w:kern w:val="44"/>
          <w:sz w:val="20"/>
          <w:szCs w:val="20"/>
        </w:rPr>
        <w:t>噪声、</w:t>
      </w:r>
      <w:r>
        <w:rPr>
          <w:kern w:val="44"/>
          <w:sz w:val="20"/>
          <w:szCs w:val="20"/>
        </w:rPr>
        <w:t>振动、挤土等效应对周边环境的影响</w:t>
      </w:r>
      <w:r>
        <w:rPr>
          <w:rFonts w:hint="eastAsia"/>
          <w:kern w:val="44"/>
          <w:sz w:val="20"/>
          <w:szCs w:val="20"/>
        </w:rPr>
        <w:t>；</w:t>
      </w:r>
    </w:p>
    <w:p w14:paraId="5566D100">
      <w:pPr>
        <w:ind w:firstLine="402" w:firstLineChars="200"/>
        <w:rPr>
          <w:kern w:val="44"/>
          <w:sz w:val="20"/>
          <w:szCs w:val="20"/>
        </w:rPr>
      </w:pPr>
      <w:r>
        <w:rPr>
          <w:b/>
          <w:kern w:val="44"/>
          <w:sz w:val="20"/>
          <w:szCs w:val="20"/>
        </w:rPr>
        <w:t xml:space="preserve">3  </w:t>
      </w:r>
      <w:r>
        <w:rPr>
          <w:kern w:val="44"/>
          <w:sz w:val="20"/>
          <w:szCs w:val="20"/>
        </w:rPr>
        <w:t>锤击法沉桩时，应采用重锤低击，并设置桩帽桩垫。最大锤击压应力不应超过混凝土的轴心抗压强度设计值，最大锤击拉应力不应超过混凝土的轴心抗拉强度设计值</w:t>
      </w:r>
      <w:r>
        <w:rPr>
          <w:rFonts w:hint="eastAsia"/>
          <w:kern w:val="44"/>
          <w:sz w:val="20"/>
          <w:szCs w:val="20"/>
        </w:rPr>
        <w:t>；</w:t>
      </w:r>
    </w:p>
    <w:p w14:paraId="27343B3F">
      <w:pPr>
        <w:ind w:firstLine="420"/>
        <w:rPr>
          <w:kern w:val="44"/>
          <w:sz w:val="20"/>
          <w:szCs w:val="20"/>
        </w:rPr>
      </w:pPr>
      <w:r>
        <w:rPr>
          <w:b/>
          <w:kern w:val="44"/>
          <w:sz w:val="20"/>
          <w:szCs w:val="20"/>
        </w:rPr>
        <w:t xml:space="preserve">4  </w:t>
      </w:r>
      <w:r>
        <w:rPr>
          <w:kern w:val="44"/>
          <w:sz w:val="20"/>
          <w:szCs w:val="20"/>
        </w:rPr>
        <w:t>静压法沉桩时，设备的最大压力</w:t>
      </w:r>
      <w:r>
        <w:rPr>
          <w:rFonts w:hint="eastAsia"/>
          <w:kern w:val="44"/>
          <w:sz w:val="20"/>
          <w:szCs w:val="20"/>
        </w:rPr>
        <w:t>应满足预制</w:t>
      </w:r>
      <w:r>
        <w:rPr>
          <w:kern w:val="44"/>
          <w:sz w:val="20"/>
          <w:szCs w:val="20"/>
        </w:rPr>
        <w:t>桩</w:t>
      </w:r>
      <w:r>
        <w:rPr>
          <w:rFonts w:hint="eastAsia"/>
          <w:kern w:val="44"/>
          <w:sz w:val="20"/>
          <w:szCs w:val="20"/>
        </w:rPr>
        <w:t>沉入设计标高</w:t>
      </w:r>
      <w:r>
        <w:rPr>
          <w:kern w:val="44"/>
          <w:sz w:val="20"/>
          <w:szCs w:val="20"/>
        </w:rPr>
        <w:t>，且设备的接地压强应小于场地表层土的承载力特征值</w:t>
      </w:r>
      <w:r>
        <w:rPr>
          <w:rFonts w:hint="eastAsia"/>
          <w:kern w:val="44"/>
          <w:sz w:val="20"/>
          <w:szCs w:val="20"/>
        </w:rPr>
        <w:t>；</w:t>
      </w:r>
    </w:p>
    <w:p w14:paraId="49AB39A7">
      <w:pPr>
        <w:ind w:firstLine="420"/>
        <w:rPr>
          <w:kern w:val="44"/>
          <w:sz w:val="20"/>
          <w:szCs w:val="20"/>
        </w:rPr>
      </w:pPr>
      <w:r>
        <w:rPr>
          <w:b/>
          <w:kern w:val="44"/>
          <w:sz w:val="20"/>
          <w:szCs w:val="20"/>
        </w:rPr>
        <w:t xml:space="preserve">5  </w:t>
      </w:r>
      <w:r>
        <w:rPr>
          <w:kern w:val="44"/>
          <w:sz w:val="20"/>
          <w:szCs w:val="20"/>
        </w:rPr>
        <w:t>振动法沉桩时，振动锤的选型应与被振沉构件相匹配，夹具夹持力应满足施工要求，且夹具外形应与板桩外形紧密贴合，在施工时应设置缓冲措施，防止桩头破坏</w:t>
      </w:r>
      <w:r>
        <w:rPr>
          <w:rFonts w:hint="eastAsia"/>
          <w:kern w:val="44"/>
          <w:sz w:val="20"/>
          <w:szCs w:val="20"/>
        </w:rPr>
        <w:t>；</w:t>
      </w:r>
    </w:p>
    <w:p w14:paraId="4157EDDB">
      <w:pPr>
        <w:ind w:firstLine="402" w:firstLineChars="200"/>
        <w:rPr>
          <w:kern w:val="44"/>
          <w:sz w:val="20"/>
          <w:szCs w:val="20"/>
        </w:rPr>
      </w:pPr>
      <w:r>
        <w:rPr>
          <w:b/>
          <w:kern w:val="44"/>
          <w:sz w:val="20"/>
          <w:szCs w:val="20"/>
        </w:rPr>
        <w:t xml:space="preserve">6  </w:t>
      </w:r>
      <w:r>
        <w:rPr>
          <w:kern w:val="44"/>
          <w:sz w:val="20"/>
          <w:szCs w:val="20"/>
        </w:rPr>
        <w:t>植</w:t>
      </w:r>
      <w:r>
        <w:rPr>
          <w:rFonts w:hint="eastAsia"/>
          <w:kern w:val="44"/>
          <w:sz w:val="20"/>
          <w:szCs w:val="20"/>
        </w:rPr>
        <w:t>入</w:t>
      </w:r>
      <w:r>
        <w:rPr>
          <w:kern w:val="44"/>
          <w:sz w:val="20"/>
          <w:szCs w:val="20"/>
        </w:rPr>
        <w:t>法沉桩时，可采用搅拌桩、旋喷桩</w:t>
      </w:r>
      <w:r>
        <w:rPr>
          <w:rFonts w:hint="eastAsia"/>
          <w:kern w:val="44"/>
          <w:sz w:val="20"/>
          <w:szCs w:val="20"/>
        </w:rPr>
        <w:t>、</w:t>
      </w:r>
      <w:r>
        <w:rPr>
          <w:kern w:val="44"/>
          <w:sz w:val="20"/>
          <w:szCs w:val="20"/>
        </w:rPr>
        <w:t>等厚度水泥土搅拌墙等先行成桩（墙），</w:t>
      </w:r>
      <w:r>
        <w:rPr>
          <w:rFonts w:hAnsi="宋体"/>
          <w:sz w:val="20"/>
          <w:szCs w:val="20"/>
        </w:rPr>
        <w:t>搭接处最小</w:t>
      </w:r>
      <w:r>
        <w:rPr>
          <w:rFonts w:hint="eastAsia" w:hAnsi="宋体"/>
          <w:sz w:val="20"/>
          <w:szCs w:val="20"/>
        </w:rPr>
        <w:t>距离</w:t>
      </w:r>
      <w:r>
        <w:rPr>
          <w:rFonts w:hAnsi="宋体"/>
          <w:sz w:val="20"/>
          <w:szCs w:val="20"/>
        </w:rPr>
        <w:t>应大于</w:t>
      </w:r>
      <w:r>
        <w:rPr>
          <w:rFonts w:hint="eastAsia" w:hAnsi="宋体"/>
          <w:sz w:val="20"/>
          <w:szCs w:val="20"/>
        </w:rPr>
        <w:t>200mm</w:t>
      </w:r>
      <w:r>
        <w:rPr>
          <w:kern w:val="44"/>
          <w:sz w:val="20"/>
          <w:szCs w:val="20"/>
        </w:rPr>
        <w:t>，成桩直径或成墙厚度宜比</w:t>
      </w:r>
      <w:r>
        <w:rPr>
          <w:rFonts w:hint="eastAsia"/>
          <w:kern w:val="44"/>
          <w:sz w:val="20"/>
          <w:szCs w:val="20"/>
        </w:rPr>
        <w:t>预制</w:t>
      </w:r>
      <w:r>
        <w:rPr>
          <w:kern w:val="44"/>
          <w:sz w:val="20"/>
          <w:szCs w:val="20"/>
        </w:rPr>
        <w:t>桩厚度</w:t>
      </w:r>
      <w:r>
        <w:rPr>
          <w:rFonts w:hint="eastAsia"/>
          <w:kern w:val="44"/>
          <w:sz w:val="20"/>
          <w:szCs w:val="20"/>
        </w:rPr>
        <w:t>（直径）</w:t>
      </w:r>
      <w:r>
        <w:rPr>
          <w:kern w:val="44"/>
          <w:sz w:val="20"/>
          <w:szCs w:val="20"/>
        </w:rPr>
        <w:t>大30mm~100mm，连续搭接部位最小宽度不应小于</w:t>
      </w:r>
      <w:r>
        <w:rPr>
          <w:rFonts w:hint="eastAsia"/>
          <w:kern w:val="44"/>
          <w:sz w:val="20"/>
          <w:szCs w:val="20"/>
        </w:rPr>
        <w:t>预制</w:t>
      </w:r>
      <w:r>
        <w:rPr>
          <w:kern w:val="44"/>
          <w:sz w:val="20"/>
          <w:szCs w:val="20"/>
        </w:rPr>
        <w:t>桩厚度（直径），深度宜比</w:t>
      </w:r>
      <w:r>
        <w:rPr>
          <w:rFonts w:hint="eastAsia"/>
          <w:kern w:val="44"/>
          <w:sz w:val="20"/>
          <w:szCs w:val="20"/>
        </w:rPr>
        <w:t>预制</w:t>
      </w:r>
      <w:r>
        <w:rPr>
          <w:kern w:val="44"/>
          <w:sz w:val="20"/>
          <w:szCs w:val="20"/>
        </w:rPr>
        <w:t>桩嵌固深度深0.5m~1.0m</w:t>
      </w:r>
      <w:r>
        <w:rPr>
          <w:rFonts w:hint="eastAsia"/>
          <w:kern w:val="44"/>
          <w:sz w:val="20"/>
          <w:szCs w:val="20"/>
        </w:rPr>
        <w:t>。预制</w:t>
      </w:r>
      <w:r>
        <w:rPr>
          <w:kern w:val="44"/>
          <w:sz w:val="20"/>
          <w:szCs w:val="20"/>
        </w:rPr>
        <w:t>桩宜依靠自重插入，当</w:t>
      </w:r>
      <w:r>
        <w:rPr>
          <w:rFonts w:hint="eastAsia"/>
          <w:kern w:val="44"/>
          <w:sz w:val="20"/>
          <w:szCs w:val="20"/>
        </w:rPr>
        <w:t>预制</w:t>
      </w:r>
      <w:r>
        <w:rPr>
          <w:kern w:val="44"/>
          <w:sz w:val="20"/>
          <w:szCs w:val="20"/>
        </w:rPr>
        <w:t>桩插入有困难时可采用辅助措施下沉。严禁采用多次重复起吊</w:t>
      </w:r>
      <w:r>
        <w:rPr>
          <w:rFonts w:hint="eastAsia"/>
          <w:kern w:val="44"/>
          <w:sz w:val="20"/>
          <w:szCs w:val="20"/>
        </w:rPr>
        <w:t>预制</w:t>
      </w:r>
      <w:r>
        <w:rPr>
          <w:kern w:val="44"/>
          <w:sz w:val="20"/>
          <w:szCs w:val="20"/>
        </w:rPr>
        <w:t>桩并松钩下落的插入方式</w:t>
      </w:r>
      <w:r>
        <w:rPr>
          <w:rFonts w:hint="eastAsia"/>
          <w:kern w:val="44"/>
          <w:sz w:val="20"/>
          <w:szCs w:val="20"/>
        </w:rPr>
        <w:t>；</w:t>
      </w:r>
    </w:p>
    <w:p w14:paraId="4B3E28DA">
      <w:pPr>
        <w:ind w:firstLine="420"/>
        <w:rPr>
          <w:kern w:val="44"/>
          <w:sz w:val="20"/>
          <w:szCs w:val="20"/>
        </w:rPr>
      </w:pPr>
      <w:r>
        <w:rPr>
          <w:b/>
          <w:kern w:val="44"/>
          <w:sz w:val="20"/>
          <w:szCs w:val="20"/>
        </w:rPr>
        <w:t xml:space="preserve">7  </w:t>
      </w:r>
      <w:r>
        <w:rPr>
          <w:rFonts w:hint="eastAsia"/>
          <w:kern w:val="44"/>
          <w:sz w:val="20"/>
          <w:szCs w:val="20"/>
        </w:rPr>
        <w:t>预制</w:t>
      </w:r>
      <w:r>
        <w:rPr>
          <w:kern w:val="44"/>
          <w:sz w:val="20"/>
          <w:szCs w:val="20"/>
        </w:rPr>
        <w:t>桩的插入</w:t>
      </w:r>
      <w:r>
        <w:rPr>
          <w:rFonts w:hint="eastAsia"/>
          <w:kern w:val="44"/>
          <w:sz w:val="20"/>
          <w:szCs w:val="20"/>
        </w:rPr>
        <w:t>应</w:t>
      </w:r>
      <w:r>
        <w:rPr>
          <w:kern w:val="44"/>
          <w:sz w:val="20"/>
          <w:szCs w:val="20"/>
        </w:rPr>
        <w:t>采用定位导向架，在插入过程中应采取措施保证</w:t>
      </w:r>
      <w:r>
        <w:rPr>
          <w:rFonts w:hint="eastAsia"/>
          <w:kern w:val="44"/>
          <w:sz w:val="20"/>
          <w:szCs w:val="20"/>
        </w:rPr>
        <w:t>预制</w:t>
      </w:r>
      <w:r>
        <w:rPr>
          <w:kern w:val="44"/>
          <w:sz w:val="20"/>
          <w:szCs w:val="20"/>
        </w:rPr>
        <w:t>桩垂直度和防止滑落。</w:t>
      </w:r>
      <w:r>
        <w:rPr>
          <w:rFonts w:hint="eastAsia"/>
          <w:kern w:val="44"/>
          <w:sz w:val="20"/>
          <w:szCs w:val="20"/>
        </w:rPr>
        <w:t>预制</w:t>
      </w:r>
      <w:r>
        <w:rPr>
          <w:kern w:val="44"/>
          <w:sz w:val="20"/>
          <w:szCs w:val="20"/>
        </w:rPr>
        <w:t>桩插入到位后应用悬挂构件控制</w:t>
      </w:r>
      <w:r>
        <w:rPr>
          <w:rFonts w:hint="eastAsia"/>
          <w:kern w:val="44"/>
          <w:sz w:val="20"/>
          <w:szCs w:val="20"/>
        </w:rPr>
        <w:t>桩</w:t>
      </w:r>
      <w:r>
        <w:rPr>
          <w:kern w:val="44"/>
          <w:sz w:val="20"/>
          <w:szCs w:val="20"/>
        </w:rPr>
        <w:t>顶标高，并应与已插好的</w:t>
      </w:r>
      <w:r>
        <w:rPr>
          <w:rFonts w:hint="eastAsia"/>
          <w:kern w:val="44"/>
          <w:sz w:val="20"/>
          <w:szCs w:val="20"/>
        </w:rPr>
        <w:t>预制</w:t>
      </w:r>
      <w:r>
        <w:rPr>
          <w:kern w:val="44"/>
          <w:sz w:val="20"/>
          <w:szCs w:val="20"/>
        </w:rPr>
        <w:t>桩牢固连接</w:t>
      </w:r>
      <w:r>
        <w:rPr>
          <w:rFonts w:hint="eastAsia"/>
          <w:kern w:val="44"/>
          <w:sz w:val="20"/>
          <w:szCs w:val="20"/>
        </w:rPr>
        <w:t>。</w:t>
      </w:r>
    </w:p>
    <w:p w14:paraId="6CE3E4E8">
      <w:pPr>
        <w:tabs>
          <w:tab w:val="left" w:pos="616"/>
          <w:tab w:val="left" w:pos="854"/>
          <w:tab w:val="left" w:pos="1620"/>
          <w:tab w:val="left" w:pos="2160"/>
          <w:tab w:val="left" w:pos="3060"/>
          <w:tab w:val="left" w:pos="7020"/>
        </w:tabs>
        <w:adjustRightInd w:val="0"/>
        <w:snapToGrid w:val="0"/>
        <w:spacing w:line="288" w:lineRule="auto"/>
        <w:rPr>
          <w:rFonts w:ascii="宋体" w:hAnsi="宋体"/>
          <w:sz w:val="20"/>
          <w:szCs w:val="20"/>
        </w:rPr>
      </w:pPr>
      <w:r>
        <w:rPr>
          <w:b/>
          <w:kern w:val="0"/>
          <w:sz w:val="20"/>
          <w:szCs w:val="20"/>
        </w:rPr>
        <w:t>7.8.3</w:t>
      </w:r>
      <w:r>
        <w:rPr>
          <w:rFonts w:hint="eastAsia" w:ascii="宋体" w:hAnsi="宋体"/>
          <w:sz w:val="20"/>
          <w:szCs w:val="20"/>
        </w:rPr>
        <w:t xml:space="preserve">  钢筋混凝土桩与素混凝土（水泥土）咬合桩的施工，宜采用全套管钻机，其施工应符合下列要求：</w:t>
      </w:r>
    </w:p>
    <w:p w14:paraId="439A099D">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rFonts w:hint="eastAsia"/>
          <w:b/>
          <w:bCs/>
          <w:sz w:val="20"/>
          <w:szCs w:val="20"/>
        </w:rPr>
        <w:t>1</w:t>
      </w:r>
      <w:r>
        <w:rPr>
          <w:rFonts w:hint="eastAsia" w:ascii="宋体" w:hAnsi="宋体"/>
          <w:sz w:val="20"/>
          <w:szCs w:val="20"/>
        </w:rPr>
        <w:t xml:space="preserve">  桩顶应设置定位板，板宽应取</w:t>
      </w:r>
      <w:r>
        <w:rPr>
          <w:rFonts w:hint="eastAsia"/>
          <w:sz w:val="20"/>
          <w:szCs w:val="20"/>
        </w:rPr>
        <w:t>3m～4m</w:t>
      </w:r>
      <w:r>
        <w:rPr>
          <w:rFonts w:hint="eastAsia" w:ascii="宋体" w:hAnsi="宋体"/>
          <w:sz w:val="20"/>
          <w:szCs w:val="20"/>
        </w:rPr>
        <w:t>，板厚宜取</w:t>
      </w:r>
      <w:r>
        <w:rPr>
          <w:rFonts w:hint="eastAsia"/>
          <w:sz w:val="20"/>
          <w:szCs w:val="20"/>
        </w:rPr>
        <w:t>0.3m～0.5m</w:t>
      </w:r>
      <w:r>
        <w:rPr>
          <w:rFonts w:hint="eastAsia" w:ascii="宋体" w:hAnsi="宋体"/>
          <w:sz w:val="20"/>
          <w:szCs w:val="20"/>
        </w:rPr>
        <w:t>；</w:t>
      </w:r>
    </w:p>
    <w:p w14:paraId="6D5AA9AF">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rFonts w:hint="eastAsia"/>
          <w:b/>
          <w:bCs/>
          <w:sz w:val="20"/>
          <w:szCs w:val="20"/>
        </w:rPr>
        <w:t>2</w:t>
      </w:r>
      <w:r>
        <w:rPr>
          <w:rFonts w:hint="eastAsia" w:ascii="宋体" w:hAnsi="宋体"/>
          <w:sz w:val="20"/>
          <w:szCs w:val="20"/>
        </w:rPr>
        <w:t xml:space="preserve">  相邻咬合桩应按先施工素混凝土桩、后施工钢筋混凝土桩的顺序进行；钢筋混凝土桩应在素混凝土初凝后，通过成孔时切割部分素混凝土桩身形成与素混凝土桩的互相咬合，但应避免过早切割；</w:t>
      </w:r>
    </w:p>
    <w:p w14:paraId="575F51FC">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rFonts w:hint="eastAsia"/>
          <w:b/>
          <w:bCs/>
          <w:sz w:val="20"/>
          <w:szCs w:val="20"/>
        </w:rPr>
        <w:t>3</w:t>
      </w:r>
      <w:r>
        <w:rPr>
          <w:rFonts w:hint="eastAsia" w:ascii="宋体" w:hAnsi="宋体"/>
          <w:sz w:val="20"/>
          <w:szCs w:val="20"/>
        </w:rPr>
        <w:t xml:space="preserve">  套管垂直度允许偏差应不大于</w:t>
      </w:r>
      <w:r>
        <w:rPr>
          <w:sz w:val="20"/>
          <w:szCs w:val="20"/>
        </w:rPr>
        <w:t>0.5%</w:t>
      </w:r>
      <w:r>
        <w:rPr>
          <w:rFonts w:hint="eastAsia" w:ascii="宋体" w:hAnsi="宋体"/>
          <w:sz w:val="20"/>
          <w:szCs w:val="20"/>
        </w:rPr>
        <w:t>；取土面与套管底部距离应大于</w:t>
      </w:r>
      <w:r>
        <w:rPr>
          <w:sz w:val="20"/>
          <w:szCs w:val="20"/>
        </w:rPr>
        <w:t>1.0</w:t>
      </w:r>
      <w:r>
        <w:rPr>
          <w:rFonts w:hint="eastAsia"/>
          <w:sz w:val="20"/>
          <w:szCs w:val="20"/>
        </w:rPr>
        <w:t>m</w:t>
      </w:r>
      <w:r>
        <w:rPr>
          <w:rFonts w:hint="eastAsia" w:ascii="宋体" w:hAnsi="宋体"/>
          <w:sz w:val="20"/>
          <w:szCs w:val="20"/>
        </w:rPr>
        <w:t>；</w:t>
      </w:r>
    </w:p>
    <w:p w14:paraId="6CB23E48">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z w:val="20"/>
          <w:szCs w:val="20"/>
        </w:rPr>
      </w:pPr>
      <w:r>
        <w:rPr>
          <w:rFonts w:hint="eastAsia"/>
          <w:b/>
          <w:bCs/>
          <w:sz w:val="20"/>
          <w:szCs w:val="20"/>
        </w:rPr>
        <w:t>4</w:t>
      </w:r>
      <w:r>
        <w:rPr>
          <w:rFonts w:hint="eastAsia" w:ascii="宋体" w:hAnsi="宋体"/>
          <w:sz w:val="20"/>
          <w:szCs w:val="20"/>
        </w:rPr>
        <w:t xml:space="preserve">  孔内虚土和沉渣应清除干净；灌注混凝土时，套管应随混凝土浇筑逐段提拔；套管应垂直提拔，阻力过大时应转动套管同时缓慢提拔；</w:t>
      </w:r>
    </w:p>
    <w:p w14:paraId="0A4ACC73">
      <w:pPr>
        <w:tabs>
          <w:tab w:val="left" w:pos="616"/>
          <w:tab w:val="left" w:pos="854"/>
          <w:tab w:val="left" w:pos="1620"/>
          <w:tab w:val="left" w:pos="2160"/>
          <w:tab w:val="left" w:pos="3060"/>
          <w:tab w:val="left" w:pos="7020"/>
        </w:tabs>
        <w:adjustRightInd w:val="0"/>
        <w:snapToGrid w:val="0"/>
        <w:spacing w:line="288" w:lineRule="auto"/>
        <w:ind w:firstLine="402" w:firstLineChars="200"/>
        <w:rPr>
          <w:rFonts w:ascii="宋体" w:hAnsi="宋体"/>
          <w:strike/>
          <w:sz w:val="20"/>
          <w:szCs w:val="20"/>
        </w:rPr>
      </w:pPr>
      <w:r>
        <w:rPr>
          <w:rFonts w:hint="eastAsia"/>
          <w:b/>
          <w:bCs/>
          <w:sz w:val="20"/>
          <w:szCs w:val="20"/>
        </w:rPr>
        <w:t xml:space="preserve">5 </w:t>
      </w:r>
      <w:r>
        <w:rPr>
          <w:rFonts w:hint="eastAsia" w:ascii="宋体" w:hAnsi="宋体"/>
          <w:sz w:val="20"/>
          <w:szCs w:val="20"/>
        </w:rPr>
        <w:t xml:space="preserve"> 钢筋混凝土桩施工亦可采用旋挖钻机、机械冲抓钻机。水泥土桩可采用搅拌桩机、旋喷桩机或搅喷桩机。</w:t>
      </w:r>
    </w:p>
    <w:p w14:paraId="4888A808">
      <w:pPr>
        <w:adjustRightInd w:val="0"/>
        <w:snapToGrid w:val="0"/>
        <w:spacing w:line="288" w:lineRule="auto"/>
        <w:rPr>
          <w:sz w:val="20"/>
          <w:szCs w:val="20"/>
        </w:rPr>
      </w:pPr>
      <w:r>
        <w:rPr>
          <w:b/>
          <w:kern w:val="0"/>
          <w:sz w:val="20"/>
          <w:szCs w:val="20"/>
        </w:rPr>
        <w:t xml:space="preserve">7.8.4  </w:t>
      </w:r>
      <w:r>
        <w:rPr>
          <w:sz w:val="20"/>
          <w:szCs w:val="20"/>
        </w:rPr>
        <w:t>地下连续墙的施工应符合下列要求：</w:t>
      </w:r>
    </w:p>
    <w:p w14:paraId="5EF29D23">
      <w:pPr>
        <w:tabs>
          <w:tab w:val="left" w:pos="616"/>
          <w:tab w:val="left" w:pos="854"/>
          <w:tab w:val="left" w:pos="1620"/>
          <w:tab w:val="left" w:pos="2160"/>
          <w:tab w:val="left" w:pos="3060"/>
          <w:tab w:val="left" w:pos="7020"/>
        </w:tabs>
        <w:adjustRightInd w:val="0"/>
        <w:snapToGrid w:val="0"/>
        <w:spacing w:line="288" w:lineRule="auto"/>
        <w:ind w:firstLine="402" w:firstLineChars="200"/>
        <w:rPr>
          <w:sz w:val="20"/>
          <w:szCs w:val="20"/>
        </w:rPr>
      </w:pPr>
      <w:r>
        <w:rPr>
          <w:b/>
          <w:bCs/>
          <w:sz w:val="20"/>
          <w:szCs w:val="20"/>
        </w:rPr>
        <w:t xml:space="preserve">1  </w:t>
      </w:r>
      <w:r>
        <w:rPr>
          <w:sz w:val="20"/>
          <w:szCs w:val="20"/>
        </w:rPr>
        <w:t>施工前宜进行地下连续墙成槽试验，并应根据试验结果确定施工工艺和技术参数；</w:t>
      </w:r>
    </w:p>
    <w:p w14:paraId="4636B586">
      <w:pPr>
        <w:tabs>
          <w:tab w:val="left" w:pos="616"/>
          <w:tab w:val="left" w:pos="854"/>
          <w:tab w:val="left" w:pos="1620"/>
          <w:tab w:val="left" w:pos="2160"/>
          <w:tab w:val="left" w:pos="3060"/>
          <w:tab w:val="left" w:pos="7020"/>
        </w:tabs>
        <w:adjustRightInd w:val="0"/>
        <w:snapToGrid w:val="0"/>
        <w:spacing w:line="288" w:lineRule="auto"/>
        <w:ind w:firstLine="402" w:firstLineChars="200"/>
        <w:rPr>
          <w:sz w:val="20"/>
          <w:szCs w:val="20"/>
        </w:rPr>
      </w:pPr>
      <w:r>
        <w:rPr>
          <w:b/>
          <w:bCs/>
          <w:sz w:val="20"/>
          <w:szCs w:val="20"/>
        </w:rPr>
        <w:t xml:space="preserve">2  </w:t>
      </w:r>
      <w:r>
        <w:rPr>
          <w:bCs/>
          <w:sz w:val="20"/>
          <w:szCs w:val="20"/>
        </w:rPr>
        <w:t>成槽施工前，应沿地下连续墙两侧</w:t>
      </w:r>
      <w:r>
        <w:rPr>
          <w:sz w:val="20"/>
          <w:szCs w:val="20"/>
        </w:rPr>
        <w:t>设置导墙；导墙应采用现浇混凝土结构，混凝土强度等级不应低于C20，厚度不应小于200mm，导墙宜采用倒L形，导墙应能承受施工设备荷载；导墙埋深不宜小于1.5m，厚度不宜小于0.2m；</w:t>
      </w:r>
    </w:p>
    <w:p w14:paraId="2B0D015B">
      <w:pPr>
        <w:tabs>
          <w:tab w:val="left" w:pos="616"/>
          <w:tab w:val="left" w:pos="854"/>
          <w:tab w:val="left" w:pos="1620"/>
          <w:tab w:val="left" w:pos="2160"/>
          <w:tab w:val="left" w:pos="3060"/>
          <w:tab w:val="left" w:pos="7020"/>
        </w:tabs>
        <w:adjustRightInd w:val="0"/>
        <w:snapToGrid w:val="0"/>
        <w:spacing w:line="288" w:lineRule="auto"/>
        <w:ind w:firstLine="402" w:firstLineChars="200"/>
        <w:rPr>
          <w:sz w:val="20"/>
          <w:szCs w:val="20"/>
        </w:rPr>
      </w:pPr>
      <w:r>
        <w:rPr>
          <w:b/>
          <w:bCs/>
          <w:sz w:val="20"/>
          <w:szCs w:val="20"/>
        </w:rPr>
        <w:t xml:space="preserve">3  </w:t>
      </w:r>
      <w:r>
        <w:rPr>
          <w:sz w:val="20"/>
          <w:szCs w:val="20"/>
        </w:rPr>
        <w:t>槽段的长度、厚度、深度、倾斜度偏差应符合下列要求：</w:t>
      </w:r>
    </w:p>
    <w:p w14:paraId="21345CDF">
      <w:pPr>
        <w:tabs>
          <w:tab w:val="left" w:pos="720"/>
          <w:tab w:val="left" w:pos="854"/>
          <w:tab w:val="left" w:pos="1620"/>
          <w:tab w:val="left" w:pos="2160"/>
          <w:tab w:val="left" w:pos="3060"/>
          <w:tab w:val="left" w:pos="4680"/>
          <w:tab w:val="left" w:pos="7020"/>
        </w:tabs>
        <w:adjustRightInd w:val="0"/>
        <w:snapToGrid w:val="0"/>
        <w:spacing w:line="288" w:lineRule="auto"/>
        <w:ind w:firstLine="600" w:firstLineChars="300"/>
        <w:rPr>
          <w:sz w:val="20"/>
          <w:szCs w:val="20"/>
        </w:rPr>
      </w:pPr>
      <w:r>
        <w:rPr>
          <w:sz w:val="20"/>
          <w:szCs w:val="20"/>
        </w:rPr>
        <w:t>1）槽段长度（沿轴线方面）允许偏差±50mm；</w:t>
      </w:r>
    </w:p>
    <w:p w14:paraId="1DBAB955">
      <w:pPr>
        <w:tabs>
          <w:tab w:val="left" w:pos="720"/>
          <w:tab w:val="left" w:pos="854"/>
          <w:tab w:val="left" w:pos="1620"/>
          <w:tab w:val="left" w:pos="2160"/>
          <w:tab w:val="left" w:pos="3060"/>
          <w:tab w:val="left" w:pos="3600"/>
          <w:tab w:val="left" w:pos="7020"/>
        </w:tabs>
        <w:adjustRightInd w:val="0"/>
        <w:snapToGrid w:val="0"/>
        <w:spacing w:line="288" w:lineRule="auto"/>
        <w:ind w:firstLine="600" w:firstLineChars="300"/>
        <w:rPr>
          <w:sz w:val="20"/>
          <w:szCs w:val="20"/>
        </w:rPr>
      </w:pPr>
      <w:r>
        <w:rPr>
          <w:sz w:val="20"/>
          <w:szCs w:val="20"/>
        </w:rPr>
        <w:t>2）槽段厚度允许偏差±10mm；</w:t>
      </w:r>
    </w:p>
    <w:p w14:paraId="5D22A8FF">
      <w:pPr>
        <w:tabs>
          <w:tab w:val="left" w:pos="720"/>
          <w:tab w:val="left" w:pos="854"/>
          <w:tab w:val="left" w:pos="1620"/>
          <w:tab w:val="left" w:pos="2160"/>
          <w:tab w:val="left" w:pos="3060"/>
          <w:tab w:val="left" w:pos="4680"/>
          <w:tab w:val="left" w:pos="7020"/>
        </w:tabs>
        <w:adjustRightInd w:val="0"/>
        <w:snapToGrid w:val="0"/>
        <w:spacing w:line="288" w:lineRule="auto"/>
        <w:ind w:firstLine="600" w:firstLineChars="300"/>
        <w:rPr>
          <w:sz w:val="20"/>
          <w:szCs w:val="20"/>
        </w:rPr>
      </w:pPr>
      <w:r>
        <w:rPr>
          <w:sz w:val="20"/>
          <w:szCs w:val="20"/>
        </w:rPr>
        <w:t>3）槽段倾斜度≤0.5%；</w:t>
      </w:r>
    </w:p>
    <w:p w14:paraId="471F1BBF">
      <w:pPr>
        <w:tabs>
          <w:tab w:val="left" w:pos="720"/>
          <w:tab w:val="left" w:pos="854"/>
          <w:tab w:val="left" w:pos="1620"/>
          <w:tab w:val="left" w:pos="2160"/>
          <w:tab w:val="left" w:pos="3060"/>
          <w:tab w:val="left" w:pos="4680"/>
          <w:tab w:val="left" w:pos="7020"/>
        </w:tabs>
        <w:adjustRightInd w:val="0"/>
        <w:snapToGrid w:val="0"/>
        <w:spacing w:line="288" w:lineRule="auto"/>
        <w:ind w:firstLine="402" w:firstLineChars="200"/>
        <w:rPr>
          <w:bCs/>
          <w:sz w:val="20"/>
          <w:szCs w:val="20"/>
        </w:rPr>
      </w:pPr>
      <w:r>
        <w:rPr>
          <w:b/>
          <w:bCs/>
          <w:sz w:val="20"/>
          <w:szCs w:val="20"/>
        </w:rPr>
        <w:t xml:space="preserve">4  </w:t>
      </w:r>
      <w:r>
        <w:rPr>
          <w:bCs/>
          <w:sz w:val="20"/>
          <w:szCs w:val="20"/>
        </w:rPr>
        <w:t>钢筋笼制作时应预留导管位置，钢筋笼应设保护层垫块，纵向间距3m</w:t>
      </w:r>
      <w:bookmarkStart w:id="90" w:name="_Hlk121957454"/>
      <w:r>
        <w:rPr>
          <w:sz w:val="20"/>
          <w:szCs w:val="20"/>
        </w:rPr>
        <w:t>～</w:t>
      </w:r>
      <w:bookmarkEnd w:id="90"/>
      <w:r>
        <w:rPr>
          <w:bCs/>
          <w:sz w:val="20"/>
          <w:szCs w:val="20"/>
        </w:rPr>
        <w:t>5m，横向宜设置2～3块，异形槽段钢筋笼起吊前应对转角处进行加强处理；</w:t>
      </w:r>
    </w:p>
    <w:p w14:paraId="3C9088F0">
      <w:pPr>
        <w:tabs>
          <w:tab w:val="left" w:pos="720"/>
          <w:tab w:val="left" w:pos="854"/>
          <w:tab w:val="left" w:pos="1620"/>
          <w:tab w:val="left" w:pos="2160"/>
          <w:tab w:val="left" w:pos="3060"/>
          <w:tab w:val="left" w:pos="4680"/>
          <w:tab w:val="left" w:pos="7020"/>
        </w:tabs>
        <w:adjustRightInd w:val="0"/>
        <w:snapToGrid w:val="0"/>
        <w:spacing w:line="288" w:lineRule="auto"/>
        <w:ind w:firstLine="402" w:firstLineChars="200"/>
        <w:rPr>
          <w:sz w:val="20"/>
          <w:szCs w:val="20"/>
        </w:rPr>
      </w:pPr>
      <w:r>
        <w:rPr>
          <w:b/>
          <w:sz w:val="20"/>
          <w:szCs w:val="20"/>
        </w:rPr>
        <w:t xml:space="preserve">5  </w:t>
      </w:r>
      <w:r>
        <w:rPr>
          <w:bCs/>
          <w:sz w:val="20"/>
          <w:szCs w:val="20"/>
        </w:rPr>
        <w:t>水下混凝土应采用导管法连续浇筑，导管水平布置距离不宜大于3m，距槽段两侧端部不宜大于1.5m，导管下端距离槽底宜为300mm～500mm，槽内混凝土</w:t>
      </w:r>
      <w:r>
        <w:rPr>
          <w:rFonts w:hint="eastAsia"/>
          <w:bCs/>
          <w:sz w:val="20"/>
          <w:szCs w:val="20"/>
        </w:rPr>
        <w:t>灌注</w:t>
      </w:r>
      <w:r>
        <w:rPr>
          <w:bCs/>
          <w:sz w:val="20"/>
          <w:szCs w:val="20"/>
        </w:rPr>
        <w:t>速度不宜小于3m/h；</w:t>
      </w:r>
    </w:p>
    <w:p w14:paraId="65DF6F8C">
      <w:pPr>
        <w:adjustRightInd w:val="0"/>
        <w:snapToGrid w:val="0"/>
        <w:spacing w:line="288" w:lineRule="auto"/>
        <w:ind w:firstLine="402" w:firstLineChars="200"/>
        <w:rPr>
          <w:sz w:val="20"/>
          <w:szCs w:val="20"/>
        </w:rPr>
      </w:pPr>
      <w:r>
        <w:rPr>
          <w:b/>
          <w:bCs/>
          <w:sz w:val="20"/>
          <w:szCs w:val="20"/>
        </w:rPr>
        <w:t xml:space="preserve">6  </w:t>
      </w:r>
      <w:r>
        <w:rPr>
          <w:sz w:val="20"/>
          <w:szCs w:val="20"/>
        </w:rPr>
        <w:t>地下连续墙施工的其它要求应符合现行国家标准《建筑地基基础工程施工质量验收标准》GB 50202的有关规定；</w:t>
      </w:r>
    </w:p>
    <w:p w14:paraId="664C3339">
      <w:pPr>
        <w:adjustRightInd w:val="0"/>
        <w:snapToGrid w:val="0"/>
        <w:spacing w:line="288" w:lineRule="auto"/>
        <w:ind w:firstLine="402" w:firstLineChars="200"/>
        <w:rPr>
          <w:sz w:val="20"/>
          <w:szCs w:val="20"/>
        </w:rPr>
      </w:pPr>
      <w:r>
        <w:rPr>
          <w:b/>
          <w:bCs/>
          <w:sz w:val="20"/>
          <w:szCs w:val="20"/>
        </w:rPr>
        <w:t xml:space="preserve">7  </w:t>
      </w:r>
      <w:r>
        <w:rPr>
          <w:sz w:val="20"/>
          <w:szCs w:val="20"/>
        </w:rPr>
        <w:t>对地下连续墙施工有特殊要求时，应按其特殊要求施工。</w:t>
      </w:r>
    </w:p>
    <w:p w14:paraId="2AD3FA51">
      <w:pPr>
        <w:adjustRightInd w:val="0"/>
        <w:snapToGrid w:val="0"/>
        <w:spacing w:line="288" w:lineRule="auto"/>
        <w:rPr>
          <w:rFonts w:ascii="宋体" w:hAnsi="宋体"/>
          <w:sz w:val="20"/>
          <w:szCs w:val="20"/>
        </w:rPr>
      </w:pPr>
      <w:r>
        <w:rPr>
          <w:b/>
          <w:bCs/>
          <w:kern w:val="0"/>
          <w:sz w:val="20"/>
          <w:szCs w:val="20"/>
        </w:rPr>
        <w:t xml:space="preserve">7.8.5  </w:t>
      </w:r>
      <w:r>
        <w:rPr>
          <w:rFonts w:hint="eastAsia" w:ascii="宋体" w:hAnsi="宋体"/>
          <w:sz w:val="20"/>
          <w:szCs w:val="20"/>
        </w:rPr>
        <w:t>劲芯水泥土搅拌墙施工应符合下列要求：</w:t>
      </w:r>
    </w:p>
    <w:p w14:paraId="6F10CA62">
      <w:pPr>
        <w:adjustRightInd w:val="0"/>
        <w:snapToGrid w:val="0"/>
        <w:spacing w:line="288" w:lineRule="auto"/>
        <w:ind w:firstLine="402" w:firstLineChars="200"/>
        <w:rPr>
          <w:rFonts w:ascii="宋体" w:hAnsi="宋体"/>
          <w:kern w:val="0"/>
          <w:sz w:val="20"/>
          <w:szCs w:val="20"/>
        </w:rPr>
      </w:pPr>
      <w:r>
        <w:rPr>
          <w:rFonts w:hint="eastAsia"/>
          <w:b/>
          <w:bCs/>
          <w:sz w:val="20"/>
          <w:szCs w:val="20"/>
        </w:rPr>
        <w:t xml:space="preserve">1 </w:t>
      </w:r>
      <w:r>
        <w:rPr>
          <w:rFonts w:hint="eastAsia" w:ascii="宋体" w:hAnsi="宋体"/>
          <w:kern w:val="0"/>
          <w:sz w:val="20"/>
          <w:szCs w:val="20"/>
        </w:rPr>
        <w:t xml:space="preserve"> 施工前应通过成墙试验确定固化液、水灰比等工艺参数及成墙工艺；成墙工艺应保证水泥土强度和芯体较易插入。当地下水有侵蚀性时，宜通过试验选用水泥；</w:t>
      </w:r>
    </w:p>
    <w:p w14:paraId="741B595A">
      <w:pPr>
        <w:adjustRightInd w:val="0"/>
        <w:snapToGrid w:val="0"/>
        <w:spacing w:line="288" w:lineRule="auto"/>
        <w:ind w:firstLine="402" w:firstLineChars="200"/>
        <w:rPr>
          <w:rFonts w:ascii="宋体" w:hAnsi="宋体"/>
          <w:kern w:val="0"/>
          <w:sz w:val="20"/>
          <w:szCs w:val="20"/>
        </w:rPr>
      </w:pPr>
      <w:r>
        <w:rPr>
          <w:rFonts w:hint="eastAsia"/>
          <w:b/>
          <w:bCs/>
          <w:sz w:val="20"/>
          <w:szCs w:val="20"/>
        </w:rPr>
        <w:t>2</w:t>
      </w:r>
      <w:r>
        <w:rPr>
          <w:rFonts w:ascii="宋体" w:hAnsi="宋体"/>
          <w:kern w:val="0"/>
          <w:sz w:val="20"/>
          <w:szCs w:val="20"/>
        </w:rPr>
        <w:t xml:space="preserve">  </w:t>
      </w:r>
      <w:r>
        <w:rPr>
          <w:rFonts w:hint="eastAsia" w:ascii="宋体" w:hAnsi="宋体"/>
          <w:kern w:val="0"/>
          <w:sz w:val="20"/>
          <w:szCs w:val="20"/>
        </w:rPr>
        <w:t>根据劲芯水泥土搅拌墙的轴线开挖导向沟（或槽），应在沟槽边设置搅拌桩定位型钢，并应在定位型钢上标出搅拌桩和芯体插入位置；采用现浇的钢筋混凝土导墙时，导墙应筑于密实的土层上，并高出地面</w:t>
      </w:r>
      <w:r>
        <w:rPr>
          <w:sz w:val="20"/>
          <w:szCs w:val="20"/>
        </w:rPr>
        <w:t>100mm</w:t>
      </w:r>
      <w:r>
        <w:rPr>
          <w:rFonts w:hint="eastAsia" w:ascii="宋体" w:hAnsi="宋体"/>
          <w:kern w:val="0"/>
          <w:sz w:val="20"/>
          <w:szCs w:val="20"/>
        </w:rPr>
        <w:t>，导墙净距应比水泥土搅拌桩设计直径宽</w:t>
      </w:r>
      <w:r>
        <w:rPr>
          <w:sz w:val="20"/>
          <w:szCs w:val="20"/>
        </w:rPr>
        <w:t>40mm</w:t>
      </w:r>
      <w:r>
        <w:rPr>
          <w:rFonts w:hint="eastAsia"/>
          <w:sz w:val="20"/>
          <w:szCs w:val="20"/>
        </w:rPr>
        <w:t>～</w:t>
      </w:r>
      <w:r>
        <w:rPr>
          <w:sz w:val="20"/>
          <w:szCs w:val="20"/>
        </w:rPr>
        <w:t>60mm</w:t>
      </w:r>
      <w:r>
        <w:rPr>
          <w:rFonts w:hint="eastAsia" w:ascii="宋体" w:hAnsi="宋体"/>
          <w:kern w:val="0"/>
          <w:sz w:val="20"/>
          <w:szCs w:val="20"/>
        </w:rPr>
        <w:t>；</w:t>
      </w:r>
    </w:p>
    <w:p w14:paraId="07BD9C87">
      <w:pPr>
        <w:adjustRightInd w:val="0"/>
        <w:snapToGrid w:val="0"/>
        <w:spacing w:line="288" w:lineRule="auto"/>
        <w:ind w:firstLine="402" w:firstLineChars="200"/>
        <w:rPr>
          <w:rFonts w:ascii="宋体" w:hAnsi="宋体"/>
          <w:kern w:val="0"/>
          <w:sz w:val="20"/>
          <w:szCs w:val="20"/>
        </w:rPr>
      </w:pPr>
      <w:r>
        <w:rPr>
          <w:rFonts w:hint="eastAsia"/>
          <w:b/>
          <w:bCs/>
          <w:sz w:val="20"/>
          <w:szCs w:val="20"/>
        </w:rPr>
        <w:t>3</w:t>
      </w:r>
      <w:r>
        <w:rPr>
          <w:rFonts w:hint="eastAsia" w:ascii="宋体" w:hAnsi="宋体"/>
          <w:kern w:val="0"/>
          <w:sz w:val="20"/>
          <w:szCs w:val="20"/>
        </w:rPr>
        <w:t xml:space="preserve">  工法机就位，平面允许偏差应为±</w:t>
      </w:r>
      <w:r>
        <w:rPr>
          <w:sz w:val="20"/>
          <w:szCs w:val="20"/>
        </w:rPr>
        <w:t>20mm</w:t>
      </w:r>
      <w:r>
        <w:rPr>
          <w:rFonts w:hint="eastAsia" w:ascii="宋体" w:hAnsi="宋体"/>
          <w:kern w:val="0"/>
          <w:sz w:val="20"/>
          <w:szCs w:val="20"/>
        </w:rPr>
        <w:t>，垂直度不应大于</w:t>
      </w:r>
      <w:r>
        <w:rPr>
          <w:sz w:val="20"/>
          <w:szCs w:val="20"/>
        </w:rPr>
        <w:t>1/250</w:t>
      </w:r>
      <w:r>
        <w:rPr>
          <w:rFonts w:hint="eastAsia" w:ascii="宋体" w:hAnsi="宋体"/>
          <w:kern w:val="0"/>
          <w:sz w:val="20"/>
          <w:szCs w:val="20"/>
        </w:rPr>
        <w:t>；</w:t>
      </w:r>
    </w:p>
    <w:p w14:paraId="151B181A">
      <w:pPr>
        <w:adjustRightInd w:val="0"/>
        <w:snapToGrid w:val="0"/>
        <w:spacing w:line="288" w:lineRule="auto"/>
        <w:ind w:firstLine="402" w:firstLineChars="200"/>
        <w:rPr>
          <w:kern w:val="0"/>
          <w:sz w:val="20"/>
          <w:szCs w:val="20"/>
        </w:rPr>
      </w:pPr>
      <w:r>
        <w:rPr>
          <w:b/>
          <w:bCs/>
          <w:sz w:val="20"/>
          <w:szCs w:val="20"/>
        </w:rPr>
        <w:t xml:space="preserve">4  </w:t>
      </w:r>
      <w:r>
        <w:rPr>
          <w:kern w:val="0"/>
          <w:sz w:val="20"/>
          <w:szCs w:val="20"/>
        </w:rPr>
        <w:t>多轴搅拌工法机下沉速度宜取在</w:t>
      </w:r>
      <w:r>
        <w:rPr>
          <w:sz w:val="20"/>
          <w:szCs w:val="20"/>
        </w:rPr>
        <w:t>0.5m/min～lm/min</w:t>
      </w:r>
      <w:r>
        <w:rPr>
          <w:kern w:val="0"/>
          <w:sz w:val="20"/>
          <w:szCs w:val="20"/>
        </w:rPr>
        <w:t>，提升速度宜取</w:t>
      </w:r>
      <w:r>
        <w:rPr>
          <w:sz w:val="20"/>
          <w:szCs w:val="20"/>
        </w:rPr>
        <w:t>1m/min～2m/min</w:t>
      </w:r>
      <w:r>
        <w:rPr>
          <w:kern w:val="0"/>
          <w:sz w:val="20"/>
          <w:szCs w:val="20"/>
        </w:rPr>
        <w:t>，并保持匀速下沉或提升；当邻近保护对象时，搅拌下沉速度宜取</w:t>
      </w:r>
      <w:r>
        <w:rPr>
          <w:sz w:val="20"/>
          <w:szCs w:val="20"/>
        </w:rPr>
        <w:t>0.5m/min～0.8m/min</w:t>
      </w:r>
      <w:r>
        <w:rPr>
          <w:kern w:val="0"/>
          <w:sz w:val="20"/>
          <w:szCs w:val="20"/>
        </w:rPr>
        <w:t>，提升速度宜取</w:t>
      </w:r>
      <w:r>
        <w:rPr>
          <w:sz w:val="20"/>
          <w:szCs w:val="20"/>
        </w:rPr>
        <w:t>lm/min</w:t>
      </w:r>
      <w:r>
        <w:rPr>
          <w:kern w:val="0"/>
          <w:sz w:val="20"/>
          <w:szCs w:val="20"/>
        </w:rPr>
        <w:t>内；喷浆压力不宜大于</w:t>
      </w:r>
      <w:r>
        <w:rPr>
          <w:sz w:val="20"/>
          <w:szCs w:val="20"/>
        </w:rPr>
        <w:t>0.8MPa</w:t>
      </w:r>
      <w:r>
        <w:rPr>
          <w:kern w:val="0"/>
          <w:sz w:val="20"/>
          <w:szCs w:val="20"/>
        </w:rPr>
        <w:t>；双轮铣深搅宜采用硬铣工法，接头套铣不宜小于100mm，下切速度不宜大于1.5m/min，上铣速度不宜大于2.0m/min（根据固化夜流量选择）；渠式切割时，步进距离不宜大于50mm；</w:t>
      </w:r>
    </w:p>
    <w:p w14:paraId="3F8AD529">
      <w:pPr>
        <w:adjustRightInd w:val="0"/>
        <w:snapToGrid w:val="0"/>
        <w:spacing w:line="288" w:lineRule="auto"/>
        <w:ind w:firstLine="402" w:firstLineChars="200"/>
        <w:rPr>
          <w:kern w:val="0"/>
          <w:sz w:val="20"/>
          <w:szCs w:val="20"/>
        </w:rPr>
      </w:pPr>
      <w:r>
        <w:rPr>
          <w:b/>
          <w:bCs/>
          <w:sz w:val="20"/>
          <w:szCs w:val="20"/>
        </w:rPr>
        <w:t xml:space="preserve">5  </w:t>
      </w:r>
      <w:r>
        <w:rPr>
          <w:kern w:val="0"/>
          <w:sz w:val="20"/>
          <w:szCs w:val="20"/>
        </w:rPr>
        <w:t>浆液泵送流量应与喷浆搅拌下沉速度和提升速度相匹配，应确保墙体中水泥掺量的均匀性；</w:t>
      </w:r>
    </w:p>
    <w:p w14:paraId="19158832">
      <w:pPr>
        <w:adjustRightInd w:val="0"/>
        <w:snapToGrid w:val="0"/>
        <w:spacing w:line="288" w:lineRule="auto"/>
        <w:ind w:firstLine="402" w:firstLineChars="200"/>
        <w:rPr>
          <w:kern w:val="0"/>
          <w:sz w:val="20"/>
          <w:szCs w:val="20"/>
        </w:rPr>
      </w:pPr>
      <w:r>
        <w:rPr>
          <w:b/>
          <w:bCs/>
          <w:sz w:val="20"/>
          <w:szCs w:val="20"/>
        </w:rPr>
        <w:t xml:space="preserve">6  </w:t>
      </w:r>
      <w:r>
        <w:rPr>
          <w:kern w:val="0"/>
          <w:sz w:val="20"/>
          <w:szCs w:val="20"/>
        </w:rPr>
        <w:t>因故搁置超过</w:t>
      </w:r>
      <w:r>
        <w:rPr>
          <w:sz w:val="20"/>
          <w:szCs w:val="20"/>
        </w:rPr>
        <w:t>2h</w:t>
      </w:r>
      <w:r>
        <w:rPr>
          <w:kern w:val="0"/>
          <w:sz w:val="20"/>
          <w:szCs w:val="20"/>
        </w:rPr>
        <w:t>以上的拌制浆液，应作为废浆处理，严禁再用；</w:t>
      </w:r>
    </w:p>
    <w:p w14:paraId="7687AA42">
      <w:pPr>
        <w:adjustRightInd w:val="0"/>
        <w:snapToGrid w:val="0"/>
        <w:spacing w:line="288" w:lineRule="auto"/>
        <w:ind w:firstLine="402" w:firstLineChars="200"/>
        <w:rPr>
          <w:kern w:val="0"/>
          <w:sz w:val="20"/>
          <w:szCs w:val="20"/>
        </w:rPr>
      </w:pPr>
      <w:r>
        <w:rPr>
          <w:b/>
          <w:bCs/>
          <w:sz w:val="20"/>
          <w:szCs w:val="20"/>
        </w:rPr>
        <w:t xml:space="preserve">7  </w:t>
      </w:r>
      <w:r>
        <w:rPr>
          <w:kern w:val="0"/>
          <w:sz w:val="20"/>
          <w:szCs w:val="20"/>
        </w:rPr>
        <w:t>施工时如因故停浆，多轴搅拌机应恢复压浆前提升或下沉0.5m再注浆搅拌施工，双轮铣搅拌设备</w:t>
      </w:r>
      <w:r>
        <w:rPr>
          <w:rFonts w:hint="eastAsia"/>
          <w:kern w:val="0"/>
          <w:sz w:val="20"/>
          <w:szCs w:val="20"/>
        </w:rPr>
        <w:t>宜向下硬铣不少于0</w:t>
      </w:r>
      <w:r>
        <w:rPr>
          <w:kern w:val="0"/>
          <w:sz w:val="20"/>
          <w:szCs w:val="20"/>
        </w:rPr>
        <w:t>.5</w:t>
      </w:r>
      <w:r>
        <w:rPr>
          <w:rFonts w:hint="eastAsia"/>
          <w:kern w:val="0"/>
          <w:sz w:val="20"/>
          <w:szCs w:val="20"/>
        </w:rPr>
        <w:t>m；</w:t>
      </w:r>
    </w:p>
    <w:p w14:paraId="0F1EFC6A">
      <w:pPr>
        <w:adjustRightInd w:val="0"/>
        <w:snapToGrid w:val="0"/>
        <w:spacing w:line="288" w:lineRule="auto"/>
        <w:ind w:firstLine="402" w:firstLineChars="200"/>
        <w:rPr>
          <w:kern w:val="0"/>
          <w:sz w:val="20"/>
          <w:szCs w:val="20"/>
        </w:rPr>
      </w:pPr>
      <w:r>
        <w:rPr>
          <w:b/>
          <w:bCs/>
          <w:sz w:val="20"/>
          <w:szCs w:val="20"/>
        </w:rPr>
        <w:t xml:space="preserve">8  </w:t>
      </w:r>
      <w:r>
        <w:rPr>
          <w:bCs/>
          <w:kern w:val="0"/>
          <w:sz w:val="20"/>
          <w:szCs w:val="20"/>
        </w:rPr>
        <w:t>深搅形成的</w:t>
      </w:r>
      <w:r>
        <w:rPr>
          <w:kern w:val="0"/>
          <w:sz w:val="20"/>
          <w:szCs w:val="20"/>
        </w:rPr>
        <w:t>桩与桩的搭接时间不宜大于</w:t>
      </w:r>
      <w:r>
        <w:rPr>
          <w:sz w:val="20"/>
          <w:szCs w:val="20"/>
        </w:rPr>
        <w:t>24h</w:t>
      </w:r>
      <w:r>
        <w:rPr>
          <w:kern w:val="0"/>
          <w:sz w:val="20"/>
          <w:szCs w:val="20"/>
        </w:rPr>
        <w:t>，因故超时，搭接施工中应放慢搅拌速度保证搭接质量；若因时间长无法搭接或搭接不良，应作为冷缝记录，并在搭接处采取补做搅拌桩或旋喷桩等技术措施；</w:t>
      </w:r>
    </w:p>
    <w:p w14:paraId="4C41483E">
      <w:pPr>
        <w:adjustRightInd w:val="0"/>
        <w:snapToGrid w:val="0"/>
        <w:spacing w:line="288" w:lineRule="auto"/>
        <w:ind w:firstLine="402" w:firstLineChars="200"/>
        <w:rPr>
          <w:kern w:val="0"/>
          <w:sz w:val="20"/>
          <w:szCs w:val="20"/>
        </w:rPr>
      </w:pPr>
      <w:r>
        <w:rPr>
          <w:b/>
          <w:bCs/>
          <w:sz w:val="20"/>
          <w:szCs w:val="20"/>
        </w:rPr>
        <w:t xml:space="preserve">9  </w:t>
      </w:r>
      <w:r>
        <w:rPr>
          <w:kern w:val="0"/>
          <w:sz w:val="20"/>
          <w:szCs w:val="20"/>
        </w:rPr>
        <w:t>劲芯水泥土搅拌墙施工的其它要求及劲芯的插入与回收宜按现行行业标准《型钢水泥土搅拌墙技术规程》JGJ/T 199、《渠式切割水泥土连续墙技术规程》JGJ/T303等有关规定执行。</w:t>
      </w:r>
    </w:p>
    <w:p w14:paraId="1C20877C">
      <w:pPr>
        <w:adjustRightInd w:val="0"/>
        <w:snapToGrid w:val="0"/>
        <w:spacing w:line="288" w:lineRule="auto"/>
        <w:rPr>
          <w:sz w:val="20"/>
          <w:szCs w:val="20"/>
        </w:rPr>
      </w:pPr>
      <w:r>
        <w:rPr>
          <w:b/>
          <w:bCs/>
          <w:kern w:val="0"/>
          <w:sz w:val="20"/>
          <w:szCs w:val="20"/>
        </w:rPr>
        <w:t xml:space="preserve">7.8.6  </w:t>
      </w:r>
      <w:r>
        <w:rPr>
          <w:sz w:val="20"/>
          <w:szCs w:val="20"/>
        </w:rPr>
        <w:t>锚杆的施工应符合下列要求：</w:t>
      </w:r>
    </w:p>
    <w:p w14:paraId="6DA60B3D">
      <w:pPr>
        <w:tabs>
          <w:tab w:val="left" w:pos="720"/>
          <w:tab w:val="left" w:pos="854"/>
          <w:tab w:val="left" w:pos="1620"/>
          <w:tab w:val="left" w:pos="2160"/>
          <w:tab w:val="left" w:pos="3060"/>
          <w:tab w:val="left" w:pos="4680"/>
          <w:tab w:val="left" w:pos="7020"/>
        </w:tabs>
        <w:adjustRightInd w:val="0"/>
        <w:snapToGrid w:val="0"/>
        <w:spacing w:line="288" w:lineRule="auto"/>
        <w:ind w:firstLine="402" w:firstLineChars="200"/>
        <w:rPr>
          <w:bCs/>
          <w:sz w:val="20"/>
          <w:szCs w:val="20"/>
        </w:rPr>
      </w:pPr>
      <w:r>
        <w:rPr>
          <w:b/>
          <w:bCs/>
          <w:sz w:val="20"/>
          <w:szCs w:val="20"/>
        </w:rPr>
        <w:t xml:space="preserve">1  </w:t>
      </w:r>
      <w:r>
        <w:rPr>
          <w:bCs/>
          <w:sz w:val="20"/>
          <w:szCs w:val="20"/>
        </w:rPr>
        <w:t>锚杆施工时，不得损害支挡结构、周边构筑物和管线等。在易塌孔地层或易受钻孔扰动导致水土流失而危及周边建（构）筑物的安全时，应采用</w:t>
      </w:r>
      <w:r>
        <w:rPr>
          <w:rFonts w:hint="eastAsia"/>
          <w:bCs/>
          <w:sz w:val="20"/>
          <w:szCs w:val="20"/>
        </w:rPr>
        <w:t>跟</w:t>
      </w:r>
      <w:r>
        <w:rPr>
          <w:bCs/>
          <w:sz w:val="20"/>
          <w:szCs w:val="20"/>
        </w:rPr>
        <w:t>管护壁钻成孔；</w:t>
      </w:r>
    </w:p>
    <w:p w14:paraId="6E0D2DAF">
      <w:pPr>
        <w:tabs>
          <w:tab w:val="left" w:pos="720"/>
          <w:tab w:val="left" w:pos="854"/>
          <w:tab w:val="left" w:pos="1620"/>
          <w:tab w:val="left" w:pos="2160"/>
          <w:tab w:val="left" w:pos="3060"/>
          <w:tab w:val="left" w:pos="4680"/>
          <w:tab w:val="left" w:pos="7020"/>
        </w:tabs>
        <w:adjustRightInd w:val="0"/>
        <w:snapToGrid w:val="0"/>
        <w:spacing w:line="288" w:lineRule="auto"/>
        <w:ind w:firstLine="402" w:firstLineChars="200"/>
        <w:rPr>
          <w:sz w:val="20"/>
          <w:szCs w:val="20"/>
        </w:rPr>
      </w:pPr>
      <w:r>
        <w:rPr>
          <w:b/>
          <w:bCs/>
          <w:sz w:val="20"/>
          <w:szCs w:val="20"/>
        </w:rPr>
        <w:t xml:space="preserve">2  </w:t>
      </w:r>
      <w:r>
        <w:rPr>
          <w:sz w:val="20"/>
          <w:szCs w:val="20"/>
        </w:rPr>
        <w:t>锚杆孔位中心垂直方向偏差不宜大于50mm偏斜角度不应大于2º；锚杆孔深和杆体长度不应小于设计值；</w:t>
      </w:r>
    </w:p>
    <w:p w14:paraId="4D168678">
      <w:pPr>
        <w:tabs>
          <w:tab w:val="left" w:pos="720"/>
          <w:tab w:val="left" w:pos="854"/>
          <w:tab w:val="left" w:pos="1620"/>
          <w:tab w:val="left" w:pos="2160"/>
          <w:tab w:val="left" w:pos="3060"/>
          <w:tab w:val="left" w:pos="4680"/>
          <w:tab w:val="left" w:pos="7020"/>
        </w:tabs>
        <w:adjustRightInd w:val="0"/>
        <w:snapToGrid w:val="0"/>
        <w:spacing w:line="288" w:lineRule="auto"/>
        <w:ind w:firstLine="402" w:firstLineChars="200"/>
        <w:rPr>
          <w:sz w:val="20"/>
          <w:szCs w:val="20"/>
        </w:rPr>
      </w:pPr>
      <w:r>
        <w:rPr>
          <w:b/>
          <w:bCs/>
          <w:sz w:val="20"/>
          <w:szCs w:val="20"/>
        </w:rPr>
        <w:t xml:space="preserve">3  </w:t>
      </w:r>
      <w:r>
        <w:rPr>
          <w:sz w:val="20"/>
          <w:szCs w:val="20"/>
        </w:rPr>
        <w:t>锚杆注浆时，一次注浆管距孔底距离宜为100mm～200mm；</w:t>
      </w:r>
    </w:p>
    <w:p w14:paraId="2856722A">
      <w:pPr>
        <w:tabs>
          <w:tab w:val="left" w:pos="720"/>
          <w:tab w:val="left" w:pos="854"/>
          <w:tab w:val="left" w:pos="1620"/>
          <w:tab w:val="left" w:pos="2160"/>
          <w:tab w:val="left" w:pos="3060"/>
          <w:tab w:val="left" w:pos="4680"/>
          <w:tab w:val="left" w:pos="7020"/>
        </w:tabs>
        <w:adjustRightInd w:val="0"/>
        <w:snapToGrid w:val="0"/>
        <w:spacing w:line="288" w:lineRule="auto"/>
        <w:ind w:firstLine="402" w:firstLineChars="200"/>
        <w:rPr>
          <w:sz w:val="20"/>
          <w:szCs w:val="20"/>
        </w:rPr>
      </w:pPr>
      <w:r>
        <w:rPr>
          <w:b/>
          <w:bCs/>
          <w:sz w:val="20"/>
          <w:szCs w:val="20"/>
        </w:rPr>
        <w:t xml:space="preserve">4  </w:t>
      </w:r>
      <w:r>
        <w:rPr>
          <w:sz w:val="20"/>
          <w:szCs w:val="20"/>
        </w:rPr>
        <w:t>一次注浆采用水泥浆时，水泥浆的水灰比宜为0.50～0.55；采用水泥砂浆时，宜选用灰砂比0.50～1.00、水灰比0.40～0.45的配比；</w:t>
      </w:r>
    </w:p>
    <w:p w14:paraId="6C97B45A">
      <w:pPr>
        <w:tabs>
          <w:tab w:val="left" w:pos="720"/>
          <w:tab w:val="left" w:pos="854"/>
          <w:tab w:val="left" w:pos="1620"/>
          <w:tab w:val="left" w:pos="2160"/>
          <w:tab w:val="left" w:pos="3060"/>
          <w:tab w:val="left" w:pos="4680"/>
          <w:tab w:val="left" w:pos="7020"/>
        </w:tabs>
        <w:adjustRightInd w:val="0"/>
        <w:snapToGrid w:val="0"/>
        <w:spacing w:line="288" w:lineRule="auto"/>
        <w:ind w:firstLine="402" w:firstLineChars="200"/>
        <w:rPr>
          <w:sz w:val="20"/>
          <w:szCs w:val="20"/>
        </w:rPr>
      </w:pPr>
      <w:r>
        <w:rPr>
          <w:b/>
          <w:bCs/>
          <w:sz w:val="20"/>
          <w:szCs w:val="20"/>
        </w:rPr>
        <w:t xml:space="preserve">5  </w:t>
      </w:r>
      <w:r>
        <w:rPr>
          <w:sz w:val="20"/>
          <w:szCs w:val="20"/>
        </w:rPr>
        <w:t>二次高压注浆宜使用水灰比0.50～0.55的水泥浆；二次高压注浆的终止注浆压力不应小于1.5MPa，注浆时间可根据注浆工艺试验确定或一次注浆锚固体强度达到5MPa后进行；</w:t>
      </w:r>
    </w:p>
    <w:p w14:paraId="2044444F">
      <w:pPr>
        <w:tabs>
          <w:tab w:val="left" w:pos="720"/>
          <w:tab w:val="left" w:pos="854"/>
          <w:tab w:val="left" w:pos="1620"/>
          <w:tab w:val="left" w:pos="2160"/>
          <w:tab w:val="left" w:pos="3060"/>
          <w:tab w:val="left" w:pos="4680"/>
          <w:tab w:val="left" w:pos="7020"/>
        </w:tabs>
        <w:adjustRightInd w:val="0"/>
        <w:snapToGrid w:val="0"/>
        <w:spacing w:line="288" w:lineRule="auto"/>
        <w:ind w:firstLine="402" w:firstLineChars="200"/>
        <w:rPr>
          <w:sz w:val="20"/>
          <w:szCs w:val="20"/>
        </w:rPr>
      </w:pPr>
      <w:r>
        <w:rPr>
          <w:b/>
          <w:bCs/>
          <w:sz w:val="20"/>
          <w:szCs w:val="20"/>
        </w:rPr>
        <w:t xml:space="preserve">6  </w:t>
      </w:r>
      <w:r>
        <w:rPr>
          <w:sz w:val="20"/>
          <w:szCs w:val="20"/>
        </w:rPr>
        <w:t>锚杆张拉与锁定应符合下列要求：</w:t>
      </w:r>
    </w:p>
    <w:p w14:paraId="35716FF5">
      <w:pPr>
        <w:adjustRightInd w:val="0"/>
        <w:snapToGrid w:val="0"/>
        <w:spacing w:line="288" w:lineRule="auto"/>
        <w:ind w:left="601" w:leftChars="286"/>
        <w:jc w:val="left"/>
        <w:rPr>
          <w:sz w:val="20"/>
          <w:szCs w:val="20"/>
        </w:rPr>
      </w:pPr>
      <w:r>
        <w:rPr>
          <w:rFonts w:asciiTheme="minorEastAsia" w:hAnsiTheme="minorEastAsia" w:eastAsiaTheme="minorEastAsia"/>
          <w:sz w:val="20"/>
          <w:szCs w:val="20"/>
        </w:rPr>
        <w:t>1</w:t>
      </w:r>
      <w:r>
        <w:rPr>
          <w:sz w:val="20"/>
          <w:szCs w:val="20"/>
        </w:rPr>
        <w:t>）应对比千斤顶油泵压力值和轴力计显示值，确定张拉和锁定控制标准</w:t>
      </w:r>
      <w:r>
        <w:rPr>
          <w:rFonts w:hint="eastAsia"/>
          <w:sz w:val="20"/>
          <w:szCs w:val="20"/>
        </w:rPr>
        <w:t>，</w:t>
      </w:r>
      <w:r>
        <w:rPr>
          <w:sz w:val="20"/>
          <w:szCs w:val="20"/>
        </w:rPr>
        <w:t>并按上述标准控制锚杆张拉和锁定施工；</w:t>
      </w:r>
    </w:p>
    <w:p w14:paraId="0F5DFF7E">
      <w:pPr>
        <w:adjustRightInd w:val="0"/>
        <w:snapToGrid w:val="0"/>
        <w:spacing w:line="288" w:lineRule="auto"/>
        <w:ind w:left="930" w:leftChars="300" w:hanging="300" w:hangingChars="150"/>
        <w:rPr>
          <w:sz w:val="20"/>
          <w:szCs w:val="20"/>
        </w:rPr>
      </w:pPr>
      <w:r>
        <w:rPr>
          <w:rFonts w:asciiTheme="minorEastAsia" w:hAnsiTheme="minorEastAsia" w:eastAsiaTheme="minorEastAsia"/>
          <w:sz w:val="20"/>
          <w:szCs w:val="20"/>
        </w:rPr>
        <w:t>2</w:t>
      </w:r>
      <w:r>
        <w:rPr>
          <w:sz w:val="20"/>
          <w:szCs w:val="20"/>
        </w:rPr>
        <w:t>）锚固段强度应大于15MPa</w:t>
      </w:r>
      <w:r>
        <w:rPr>
          <w:rFonts w:hint="eastAsia"/>
          <w:sz w:val="20"/>
          <w:szCs w:val="20"/>
        </w:rPr>
        <w:t>或</w:t>
      </w:r>
      <w:r>
        <w:rPr>
          <w:sz w:val="20"/>
          <w:szCs w:val="20"/>
        </w:rPr>
        <w:t>达到设计强度的75%后方可进行张拉；</w:t>
      </w:r>
    </w:p>
    <w:p w14:paraId="26542976">
      <w:pPr>
        <w:adjustRightInd w:val="0"/>
        <w:snapToGrid w:val="0"/>
        <w:spacing w:line="288" w:lineRule="auto"/>
        <w:ind w:firstLine="616" w:firstLineChars="308"/>
        <w:rPr>
          <w:sz w:val="20"/>
          <w:szCs w:val="20"/>
        </w:rPr>
      </w:pPr>
      <w:r>
        <w:rPr>
          <w:rFonts w:asciiTheme="minorEastAsia" w:hAnsiTheme="minorEastAsia" w:eastAsiaTheme="minorEastAsia"/>
          <w:sz w:val="20"/>
          <w:szCs w:val="20"/>
        </w:rPr>
        <w:t>3</w:t>
      </w:r>
      <w:r>
        <w:rPr>
          <w:sz w:val="20"/>
          <w:szCs w:val="20"/>
        </w:rPr>
        <w:t>）锚杆张拉顺序应考虑对邻近锚杆的影响；对于相同条件的锚杆，应首先张拉有轴力计的锚杆；处于一根腰梁上的锚杆，应首先张拉位于腰梁中部的锚杆；或从一个支护段的中间开始张拉；</w:t>
      </w:r>
    </w:p>
    <w:p w14:paraId="2F7B2449">
      <w:pPr>
        <w:tabs>
          <w:tab w:val="left" w:pos="709"/>
          <w:tab w:val="left" w:pos="1620"/>
          <w:tab w:val="left" w:pos="2160"/>
          <w:tab w:val="left" w:pos="3060"/>
          <w:tab w:val="left" w:pos="4680"/>
          <w:tab w:val="left" w:pos="7020"/>
        </w:tabs>
        <w:adjustRightInd w:val="0"/>
        <w:snapToGrid w:val="0"/>
        <w:spacing w:line="288" w:lineRule="auto"/>
        <w:ind w:firstLine="600" w:firstLineChars="300"/>
        <w:jc w:val="left"/>
        <w:rPr>
          <w:sz w:val="20"/>
          <w:szCs w:val="20"/>
        </w:rPr>
      </w:pPr>
      <w:r>
        <w:rPr>
          <w:rFonts w:asciiTheme="minorEastAsia" w:hAnsiTheme="minorEastAsia" w:eastAsiaTheme="minorEastAsia"/>
          <w:sz w:val="20"/>
          <w:szCs w:val="20"/>
        </w:rPr>
        <w:t>4</w:t>
      </w:r>
      <w:r>
        <w:rPr>
          <w:sz w:val="20"/>
          <w:szCs w:val="20"/>
        </w:rPr>
        <w:t>）锚杆正式张拉前，应按</w:t>
      </w:r>
      <w:r>
        <w:rPr>
          <w:rFonts w:hint="eastAsia"/>
          <w:sz w:val="20"/>
          <w:szCs w:val="20"/>
        </w:rPr>
        <w:t>0.1</w:t>
      </w:r>
      <w:r>
        <w:rPr>
          <w:sz w:val="20"/>
          <w:szCs w:val="20"/>
        </w:rPr>
        <w:t>～</w:t>
      </w:r>
      <w:r>
        <w:rPr>
          <w:rFonts w:hint="eastAsia"/>
          <w:sz w:val="20"/>
          <w:szCs w:val="20"/>
        </w:rPr>
        <w:t>0.2倍轴向拉力标准值预张拉1</w:t>
      </w:r>
      <w:r>
        <w:rPr>
          <w:sz w:val="20"/>
          <w:szCs w:val="20"/>
        </w:rPr>
        <w:t>～</w:t>
      </w:r>
      <w:r>
        <w:rPr>
          <w:rFonts w:hint="eastAsia"/>
          <w:sz w:val="20"/>
          <w:szCs w:val="20"/>
        </w:rPr>
        <w:t>2次</w:t>
      </w:r>
      <w:r>
        <w:rPr>
          <w:sz w:val="20"/>
          <w:szCs w:val="20"/>
        </w:rPr>
        <w:t>按设计要求张拉锁定；</w:t>
      </w:r>
    </w:p>
    <w:p w14:paraId="51B578B2">
      <w:pPr>
        <w:tabs>
          <w:tab w:val="left" w:pos="720"/>
          <w:tab w:val="left" w:pos="854"/>
          <w:tab w:val="left" w:pos="1620"/>
          <w:tab w:val="left" w:pos="2160"/>
          <w:tab w:val="left" w:pos="3060"/>
          <w:tab w:val="left" w:pos="4680"/>
          <w:tab w:val="left" w:pos="7020"/>
        </w:tabs>
        <w:adjustRightInd w:val="0"/>
        <w:snapToGrid w:val="0"/>
        <w:spacing w:line="288" w:lineRule="auto"/>
        <w:ind w:firstLine="600" w:firstLineChars="300"/>
        <w:rPr>
          <w:sz w:val="20"/>
          <w:szCs w:val="20"/>
        </w:rPr>
      </w:pPr>
      <w:r>
        <w:rPr>
          <w:rFonts w:asciiTheme="minorEastAsia" w:hAnsiTheme="minorEastAsia" w:eastAsiaTheme="minorEastAsia"/>
          <w:sz w:val="20"/>
          <w:szCs w:val="20"/>
        </w:rPr>
        <w:t>5</w:t>
      </w:r>
      <w:r>
        <w:rPr>
          <w:sz w:val="20"/>
          <w:szCs w:val="20"/>
        </w:rPr>
        <w:t>）锚杆张拉时的锚杆杆体应力不应超过锚杆杆体强度标准值的0.75倍；</w:t>
      </w:r>
    </w:p>
    <w:p w14:paraId="41EF2525">
      <w:pPr>
        <w:tabs>
          <w:tab w:val="left" w:pos="854"/>
          <w:tab w:val="left" w:pos="882"/>
          <w:tab w:val="left" w:pos="1620"/>
          <w:tab w:val="left" w:pos="2160"/>
          <w:tab w:val="left" w:pos="3060"/>
          <w:tab w:val="left" w:pos="4680"/>
          <w:tab w:val="left" w:pos="7020"/>
        </w:tabs>
        <w:adjustRightInd w:val="0"/>
        <w:snapToGrid w:val="0"/>
        <w:spacing w:line="288" w:lineRule="auto"/>
        <w:ind w:firstLine="600" w:firstLineChars="300"/>
        <w:rPr>
          <w:sz w:val="20"/>
          <w:szCs w:val="20"/>
        </w:rPr>
      </w:pPr>
      <w:r>
        <w:rPr>
          <w:rFonts w:asciiTheme="minorEastAsia" w:hAnsiTheme="minorEastAsia" w:eastAsiaTheme="minorEastAsia"/>
          <w:sz w:val="20"/>
          <w:szCs w:val="20"/>
        </w:rPr>
        <w:t>6</w:t>
      </w:r>
      <w:r>
        <w:rPr>
          <w:sz w:val="20"/>
          <w:szCs w:val="20"/>
        </w:rPr>
        <w:t>）拉力、压力分散型锚杆，宜对各个锚固单元分别张拉，各个锚固单元的张拉力值，宜按锚杆正常使用状态下各锚固单元杆体钢筋应力相等的原则确定；</w:t>
      </w:r>
    </w:p>
    <w:p w14:paraId="7C0C2475">
      <w:pPr>
        <w:tabs>
          <w:tab w:val="left" w:pos="854"/>
          <w:tab w:val="left" w:pos="882"/>
          <w:tab w:val="left" w:pos="1620"/>
          <w:tab w:val="left" w:pos="2160"/>
          <w:tab w:val="left" w:pos="3060"/>
          <w:tab w:val="left" w:pos="4680"/>
          <w:tab w:val="left" w:pos="7020"/>
        </w:tabs>
        <w:adjustRightInd w:val="0"/>
        <w:snapToGrid w:val="0"/>
        <w:spacing w:line="288" w:lineRule="auto"/>
        <w:ind w:left="851" w:leftChars="286" w:hanging="250" w:hangingChars="125"/>
        <w:rPr>
          <w:sz w:val="20"/>
          <w:szCs w:val="20"/>
        </w:rPr>
      </w:pPr>
      <w:r>
        <w:rPr>
          <w:rFonts w:asciiTheme="minorEastAsia" w:hAnsiTheme="minorEastAsia" w:eastAsiaTheme="minorEastAsia"/>
          <w:sz w:val="20"/>
          <w:szCs w:val="20"/>
        </w:rPr>
        <w:t>7</w:t>
      </w:r>
      <w:r>
        <w:rPr>
          <w:sz w:val="20"/>
          <w:szCs w:val="20"/>
        </w:rPr>
        <w:t>）锁定时的锚杆拉力应考虑锁定过程的预应力损失量；预应力损失量宜通过对锁定前、后锚杆拉力的测试确定；缺少测试数据时，锁定时的锚杆拉力可取锁定值的 1.1～1.15 倍；</w:t>
      </w:r>
    </w:p>
    <w:p w14:paraId="6B786A60">
      <w:pPr>
        <w:tabs>
          <w:tab w:val="left" w:pos="720"/>
          <w:tab w:val="left" w:pos="854"/>
          <w:tab w:val="left" w:pos="1620"/>
          <w:tab w:val="left" w:pos="2160"/>
          <w:tab w:val="left" w:pos="3060"/>
          <w:tab w:val="left" w:pos="4680"/>
          <w:tab w:val="left" w:pos="7020"/>
        </w:tabs>
        <w:adjustRightInd w:val="0"/>
        <w:snapToGrid w:val="0"/>
        <w:spacing w:line="288" w:lineRule="auto"/>
        <w:ind w:left="830" w:leftChars="300" w:hanging="200" w:hangingChars="100"/>
        <w:rPr>
          <w:sz w:val="20"/>
          <w:szCs w:val="20"/>
        </w:rPr>
      </w:pPr>
      <w:r>
        <w:rPr>
          <w:rFonts w:asciiTheme="minorEastAsia" w:hAnsiTheme="minorEastAsia" w:eastAsiaTheme="minorEastAsia"/>
          <w:sz w:val="20"/>
          <w:szCs w:val="20"/>
        </w:rPr>
        <w:t>8</w:t>
      </w:r>
      <w:r>
        <w:rPr>
          <w:sz w:val="20"/>
          <w:szCs w:val="20"/>
        </w:rPr>
        <w:t>）当锚杆预应力损失严重时，应及时进行修复并对其进行再次张拉锁定；再次张拉锁定时，锚具外杆体的长度和完好程度应满足张拉要求。</w:t>
      </w:r>
    </w:p>
    <w:p w14:paraId="0976FBA1">
      <w:pPr>
        <w:adjustRightInd w:val="0"/>
        <w:snapToGrid w:val="0"/>
        <w:spacing w:line="288" w:lineRule="auto"/>
        <w:rPr>
          <w:sz w:val="20"/>
          <w:szCs w:val="20"/>
        </w:rPr>
      </w:pPr>
      <w:r>
        <w:rPr>
          <w:b/>
          <w:bCs/>
          <w:kern w:val="0"/>
          <w:sz w:val="20"/>
          <w:szCs w:val="20"/>
        </w:rPr>
        <w:t xml:space="preserve">7.8.7  </w:t>
      </w:r>
      <w:r>
        <w:rPr>
          <w:sz w:val="20"/>
          <w:szCs w:val="20"/>
        </w:rPr>
        <w:t>冠梁、腰梁的施工应符合下列要求：</w:t>
      </w:r>
    </w:p>
    <w:p w14:paraId="6C0F38B3">
      <w:pPr>
        <w:adjustRightInd w:val="0"/>
        <w:snapToGrid w:val="0"/>
        <w:spacing w:line="288" w:lineRule="auto"/>
        <w:ind w:firstLine="402" w:firstLineChars="200"/>
        <w:rPr>
          <w:sz w:val="20"/>
          <w:szCs w:val="20"/>
        </w:rPr>
      </w:pPr>
      <w:r>
        <w:rPr>
          <w:b/>
          <w:bCs/>
          <w:sz w:val="20"/>
          <w:szCs w:val="20"/>
        </w:rPr>
        <w:t xml:space="preserve">1  </w:t>
      </w:r>
      <w:r>
        <w:rPr>
          <w:sz w:val="20"/>
          <w:szCs w:val="20"/>
        </w:rPr>
        <w:t>型钢腰梁、双排桩刚架梁的施工应按现行国家标准《钢结构工程施工质量验收标准》GB 50205的有关规定执行；</w:t>
      </w:r>
      <w:r>
        <w:rPr>
          <w:rFonts w:hint="eastAsia"/>
          <w:sz w:val="20"/>
          <w:szCs w:val="20"/>
        </w:rPr>
        <w:t>混凝土</w:t>
      </w:r>
      <w:r>
        <w:rPr>
          <w:sz w:val="20"/>
          <w:szCs w:val="20"/>
        </w:rPr>
        <w:t>冠梁、混凝土锚杆腰梁的施工应按现行国家标准《混凝土结构工程施工质量验收规范》GB 50204 的有关规定执行</w:t>
      </w:r>
      <w:r>
        <w:rPr>
          <w:rFonts w:hint="eastAsia"/>
          <w:sz w:val="20"/>
          <w:szCs w:val="20"/>
        </w:rPr>
        <w:t>；</w:t>
      </w:r>
    </w:p>
    <w:p w14:paraId="5BFAE010">
      <w:pPr>
        <w:adjustRightInd w:val="0"/>
        <w:snapToGrid w:val="0"/>
        <w:spacing w:line="288" w:lineRule="auto"/>
        <w:ind w:firstLine="402" w:firstLineChars="200"/>
        <w:rPr>
          <w:sz w:val="20"/>
          <w:szCs w:val="20"/>
        </w:rPr>
      </w:pPr>
      <w:r>
        <w:rPr>
          <w:b/>
          <w:bCs/>
          <w:sz w:val="20"/>
          <w:szCs w:val="20"/>
        </w:rPr>
        <w:t xml:space="preserve">2  </w:t>
      </w:r>
      <w:r>
        <w:rPr>
          <w:sz w:val="20"/>
          <w:szCs w:val="20"/>
        </w:rPr>
        <w:t>腰梁垂直方向误差应小于50mm，且应保证锚杆杆体不与腰梁相接触。</w:t>
      </w:r>
    </w:p>
    <w:bookmarkEnd w:id="86"/>
    <w:bookmarkEnd w:id="87"/>
    <w:bookmarkEnd w:id="88"/>
    <w:bookmarkEnd w:id="89"/>
    <w:p w14:paraId="4679C7FB">
      <w:pPr>
        <w:pStyle w:val="7"/>
        <w:keepNext w:val="0"/>
        <w:keepLines w:val="0"/>
        <w:adjustRightInd w:val="0"/>
        <w:snapToGrid w:val="0"/>
        <w:spacing w:before="312" w:beforeLines="100" w:after="312" w:afterLines="100" w:line="288" w:lineRule="auto"/>
        <w:jc w:val="center"/>
        <w:rPr>
          <w:rFonts w:ascii="宋体" w:hAnsi="宋体"/>
          <w:b w:val="0"/>
          <w:sz w:val="20"/>
          <w:szCs w:val="20"/>
        </w:rPr>
      </w:pPr>
      <w:bookmarkStart w:id="91" w:name="_Toc139613733"/>
      <w:r>
        <w:rPr>
          <w:sz w:val="20"/>
          <w:szCs w:val="20"/>
        </w:rPr>
        <w:t>7</w:t>
      </w:r>
      <w:r>
        <w:rPr>
          <w:rFonts w:hint="eastAsia"/>
          <w:sz w:val="20"/>
          <w:szCs w:val="20"/>
        </w:rPr>
        <w:t>.9</w:t>
      </w:r>
      <w:r>
        <w:rPr>
          <w:sz w:val="20"/>
          <w:szCs w:val="20"/>
        </w:rPr>
        <w:t xml:space="preserve">  </w:t>
      </w:r>
      <w:r>
        <w:rPr>
          <w:rFonts w:hint="eastAsia" w:ascii="黑体" w:hAnsi="黑体" w:eastAsia="黑体"/>
          <w:b w:val="0"/>
          <w:sz w:val="20"/>
          <w:szCs w:val="20"/>
        </w:rPr>
        <w:t>质量检测</w:t>
      </w:r>
      <w:bookmarkEnd w:id="91"/>
    </w:p>
    <w:p w14:paraId="59FA4800">
      <w:pPr>
        <w:adjustRightInd w:val="0"/>
        <w:snapToGrid w:val="0"/>
        <w:spacing w:line="288" w:lineRule="auto"/>
        <w:rPr>
          <w:rFonts w:ascii="宋体" w:hAnsi="宋体"/>
          <w:bCs/>
          <w:sz w:val="20"/>
          <w:szCs w:val="20"/>
        </w:rPr>
      </w:pPr>
      <w:r>
        <w:rPr>
          <w:b/>
          <w:bCs/>
          <w:kern w:val="0"/>
          <w:sz w:val="20"/>
          <w:szCs w:val="20"/>
        </w:rPr>
        <w:t xml:space="preserve">7.9.1  </w:t>
      </w:r>
      <w:r>
        <w:rPr>
          <w:rFonts w:hint="eastAsia" w:ascii="宋体" w:hAnsi="宋体"/>
          <w:sz w:val="20"/>
          <w:szCs w:val="20"/>
        </w:rPr>
        <w:t>钢筋混凝土排桩的检测应符合下列要求：</w:t>
      </w:r>
    </w:p>
    <w:p w14:paraId="62259463">
      <w:pPr>
        <w:adjustRightInd w:val="0"/>
        <w:snapToGrid w:val="0"/>
        <w:spacing w:line="288" w:lineRule="auto"/>
        <w:ind w:firstLine="402" w:firstLineChars="200"/>
        <w:rPr>
          <w:rFonts w:ascii="宋体" w:hAnsi="宋体"/>
          <w:sz w:val="20"/>
          <w:szCs w:val="20"/>
        </w:rPr>
      </w:pPr>
      <w:r>
        <w:rPr>
          <w:b/>
          <w:bCs/>
          <w:sz w:val="20"/>
          <w:szCs w:val="20"/>
        </w:rPr>
        <w:t xml:space="preserve">1  </w:t>
      </w:r>
      <w:r>
        <w:rPr>
          <w:rFonts w:hint="eastAsia" w:ascii="宋体" w:hAnsi="宋体"/>
          <w:sz w:val="20"/>
          <w:szCs w:val="20"/>
        </w:rPr>
        <w:t>宜采用低应变动测法检测桩身完整性，检测桩应随机抽取，且应尽量分布在所有剖面和施工段，检测数量不宜少于总桩数的</w:t>
      </w:r>
      <w:r>
        <w:rPr>
          <w:sz w:val="20"/>
          <w:szCs w:val="20"/>
        </w:rPr>
        <w:t>20%</w:t>
      </w:r>
      <w:r>
        <w:rPr>
          <w:rFonts w:hint="eastAsia" w:ascii="宋体" w:hAnsi="宋体"/>
          <w:sz w:val="20"/>
          <w:szCs w:val="20"/>
        </w:rPr>
        <w:t>，且不得少于</w:t>
      </w:r>
      <w:r>
        <w:rPr>
          <w:sz w:val="20"/>
          <w:szCs w:val="20"/>
        </w:rPr>
        <w:t>5</w:t>
      </w:r>
      <w:r>
        <w:rPr>
          <w:rFonts w:hint="eastAsia" w:ascii="宋体" w:hAnsi="宋体"/>
          <w:sz w:val="20"/>
          <w:szCs w:val="20"/>
        </w:rPr>
        <w:t>根；</w:t>
      </w:r>
    </w:p>
    <w:p w14:paraId="1545F67F">
      <w:pPr>
        <w:adjustRightInd w:val="0"/>
        <w:snapToGrid w:val="0"/>
        <w:spacing w:line="288" w:lineRule="auto"/>
        <w:ind w:firstLine="402" w:firstLineChars="200"/>
        <w:rPr>
          <w:rFonts w:ascii="宋体" w:hAnsi="宋体"/>
          <w:sz w:val="20"/>
          <w:szCs w:val="20"/>
        </w:rPr>
      </w:pPr>
      <w:r>
        <w:rPr>
          <w:rFonts w:hint="eastAsia"/>
          <w:b/>
          <w:bCs/>
          <w:sz w:val="20"/>
          <w:szCs w:val="20"/>
        </w:rPr>
        <w:t xml:space="preserve">2  </w:t>
      </w:r>
      <w:r>
        <w:rPr>
          <w:rFonts w:hint="eastAsia" w:ascii="宋体" w:hAnsi="宋体"/>
          <w:sz w:val="20"/>
          <w:szCs w:val="20"/>
        </w:rPr>
        <w:t>当根据低应变动测法判定的桩身缺陷可能影响桩的水平承载力时，应对缺陷桩同一施工段或检验批的排桩采用钻芯法补充检测，检测数量不宜少于该施工段或检验批总桩数的</w:t>
      </w:r>
      <w:r>
        <w:rPr>
          <w:sz w:val="20"/>
          <w:szCs w:val="20"/>
        </w:rPr>
        <w:t>2%</w:t>
      </w:r>
      <w:r>
        <w:rPr>
          <w:rFonts w:hint="eastAsia" w:ascii="宋体" w:hAnsi="宋体"/>
          <w:sz w:val="20"/>
          <w:szCs w:val="20"/>
        </w:rPr>
        <w:t>，且不得少于</w:t>
      </w:r>
      <w:r>
        <w:rPr>
          <w:sz w:val="20"/>
          <w:szCs w:val="20"/>
        </w:rPr>
        <w:t>3</w:t>
      </w:r>
      <w:r>
        <w:rPr>
          <w:rFonts w:hint="eastAsia" w:ascii="宋体" w:hAnsi="宋体"/>
          <w:sz w:val="20"/>
          <w:szCs w:val="20"/>
        </w:rPr>
        <w:t>根；</w:t>
      </w:r>
    </w:p>
    <w:p w14:paraId="092692DE">
      <w:pPr>
        <w:adjustRightInd w:val="0"/>
        <w:snapToGrid w:val="0"/>
        <w:spacing w:line="288" w:lineRule="auto"/>
        <w:ind w:firstLine="402" w:firstLineChars="200"/>
        <w:rPr>
          <w:rFonts w:ascii="宋体" w:hAnsi="宋体"/>
          <w:sz w:val="20"/>
          <w:szCs w:val="20"/>
        </w:rPr>
      </w:pPr>
      <w:r>
        <w:rPr>
          <w:rFonts w:hint="eastAsia"/>
          <w:b/>
          <w:bCs/>
          <w:sz w:val="20"/>
          <w:szCs w:val="20"/>
        </w:rPr>
        <w:t>3</w:t>
      </w:r>
      <w:r>
        <w:rPr>
          <w:rFonts w:hint="eastAsia" w:ascii="宋体" w:hAnsi="宋体"/>
          <w:sz w:val="20"/>
          <w:szCs w:val="20"/>
        </w:rPr>
        <w:t xml:space="preserve">  对</w:t>
      </w:r>
      <w:r>
        <w:rPr>
          <w:rFonts w:ascii="宋体" w:hAnsi="宋体"/>
          <w:sz w:val="20"/>
          <w:szCs w:val="20"/>
        </w:rPr>
        <w:t>排桩、冠梁</w:t>
      </w:r>
      <w:r>
        <w:rPr>
          <w:rFonts w:hint="eastAsia" w:ascii="宋体" w:hAnsi="宋体"/>
          <w:sz w:val="20"/>
          <w:szCs w:val="20"/>
        </w:rPr>
        <w:t>等</w:t>
      </w:r>
      <w:r>
        <w:rPr>
          <w:rFonts w:ascii="宋体" w:hAnsi="宋体"/>
          <w:sz w:val="20"/>
          <w:szCs w:val="20"/>
        </w:rPr>
        <w:t>现场</w:t>
      </w:r>
      <w:r>
        <w:rPr>
          <w:rFonts w:hint="eastAsia" w:ascii="宋体" w:hAnsi="宋体"/>
          <w:sz w:val="20"/>
          <w:szCs w:val="20"/>
        </w:rPr>
        <w:t>浇筑</w:t>
      </w:r>
      <w:r>
        <w:rPr>
          <w:rFonts w:ascii="宋体" w:hAnsi="宋体"/>
          <w:sz w:val="20"/>
          <w:szCs w:val="20"/>
        </w:rPr>
        <w:t>的混凝土</w:t>
      </w:r>
      <w:r>
        <w:rPr>
          <w:rFonts w:hint="eastAsia" w:ascii="宋体" w:hAnsi="宋体"/>
          <w:sz w:val="20"/>
          <w:szCs w:val="20"/>
        </w:rPr>
        <w:t>构件</w:t>
      </w:r>
      <w:r>
        <w:rPr>
          <w:rFonts w:ascii="宋体" w:hAnsi="宋体"/>
          <w:sz w:val="20"/>
          <w:szCs w:val="20"/>
        </w:rPr>
        <w:t>，应进行混凝土试块的抗压强度试验，每</w:t>
      </w:r>
      <w:r>
        <w:rPr>
          <w:rFonts w:hint="eastAsia" w:ascii="宋体" w:hAnsi="宋体"/>
          <w:sz w:val="20"/>
          <w:szCs w:val="20"/>
        </w:rPr>
        <w:t>台班</w:t>
      </w:r>
      <w:r>
        <w:rPr>
          <w:rFonts w:ascii="宋体" w:hAnsi="宋体"/>
          <w:sz w:val="20"/>
          <w:szCs w:val="20"/>
        </w:rPr>
        <w:t>或每</w:t>
      </w:r>
      <w:r>
        <w:rPr>
          <w:rFonts w:hint="eastAsia"/>
          <w:sz w:val="20"/>
          <w:szCs w:val="20"/>
        </w:rPr>
        <w:t>50</w:t>
      </w:r>
      <w:r>
        <w:rPr>
          <w:sz w:val="20"/>
          <w:szCs w:val="20"/>
        </w:rPr>
        <w:t>m</w:t>
      </w:r>
      <w:r>
        <w:rPr>
          <w:sz w:val="20"/>
          <w:szCs w:val="20"/>
          <w:vertAlign w:val="superscript"/>
        </w:rPr>
        <w:t>3</w:t>
      </w:r>
      <w:r>
        <w:rPr>
          <w:rFonts w:hint="eastAsia" w:ascii="宋体" w:hAnsi="宋体"/>
          <w:sz w:val="20"/>
          <w:szCs w:val="20"/>
        </w:rPr>
        <w:t>混凝土</w:t>
      </w:r>
      <w:r>
        <w:rPr>
          <w:rFonts w:ascii="宋体" w:hAnsi="宋体"/>
          <w:sz w:val="20"/>
          <w:szCs w:val="20"/>
        </w:rPr>
        <w:t>的取样数量应不少于</w:t>
      </w:r>
      <w:r>
        <w:rPr>
          <w:rFonts w:hint="eastAsia"/>
          <w:sz w:val="20"/>
          <w:szCs w:val="20"/>
        </w:rPr>
        <w:t>1</w:t>
      </w:r>
      <w:r>
        <w:rPr>
          <w:rFonts w:hint="eastAsia" w:ascii="宋体" w:hAnsi="宋体"/>
          <w:sz w:val="20"/>
          <w:szCs w:val="20"/>
        </w:rPr>
        <w:t>组</w:t>
      </w:r>
      <w:r>
        <w:rPr>
          <w:rFonts w:ascii="宋体" w:hAnsi="宋体"/>
          <w:sz w:val="20"/>
          <w:szCs w:val="20"/>
        </w:rPr>
        <w:t>。</w:t>
      </w:r>
    </w:p>
    <w:p w14:paraId="77DF1935">
      <w:pPr>
        <w:adjustRightInd w:val="0"/>
        <w:snapToGrid w:val="0"/>
        <w:spacing w:line="288" w:lineRule="auto"/>
        <w:rPr>
          <w:rFonts w:ascii="宋体" w:hAnsi="宋体"/>
          <w:bCs/>
          <w:sz w:val="20"/>
          <w:szCs w:val="20"/>
        </w:rPr>
      </w:pPr>
      <w:r>
        <w:rPr>
          <w:b/>
          <w:bCs/>
          <w:kern w:val="0"/>
          <w:sz w:val="20"/>
          <w:szCs w:val="20"/>
        </w:rPr>
        <w:t xml:space="preserve">7.9.2  </w:t>
      </w:r>
      <w:r>
        <w:rPr>
          <w:rFonts w:hint="eastAsia" w:ascii="宋体" w:hAnsi="宋体"/>
          <w:sz w:val="20"/>
          <w:szCs w:val="20"/>
        </w:rPr>
        <w:t>地下连续墙检测应符合下列要求：</w:t>
      </w:r>
    </w:p>
    <w:p w14:paraId="688EFB70">
      <w:pPr>
        <w:adjustRightInd w:val="0"/>
        <w:snapToGrid w:val="0"/>
        <w:spacing w:line="288" w:lineRule="auto"/>
        <w:ind w:firstLine="402" w:firstLineChars="200"/>
        <w:rPr>
          <w:rFonts w:ascii="宋体" w:hAnsi="宋体"/>
          <w:sz w:val="20"/>
          <w:szCs w:val="20"/>
        </w:rPr>
      </w:pPr>
      <w:r>
        <w:rPr>
          <w:b/>
          <w:bCs/>
          <w:sz w:val="20"/>
          <w:szCs w:val="20"/>
        </w:rPr>
        <w:t xml:space="preserve">1  </w:t>
      </w:r>
      <w:r>
        <w:rPr>
          <w:rFonts w:hint="eastAsia" w:ascii="宋体" w:hAnsi="宋体"/>
          <w:sz w:val="20"/>
          <w:szCs w:val="20"/>
        </w:rPr>
        <w:t>地下连续墙宜采用声波透射法检测墙身结构质量，检测槽段数应不少于总槽段数的</w:t>
      </w:r>
      <w:r>
        <w:rPr>
          <w:sz w:val="20"/>
          <w:szCs w:val="20"/>
        </w:rPr>
        <w:t>20%</w:t>
      </w:r>
      <w:r>
        <w:rPr>
          <w:rFonts w:hint="eastAsia" w:ascii="宋体" w:hAnsi="宋体"/>
          <w:sz w:val="20"/>
          <w:szCs w:val="20"/>
        </w:rPr>
        <w:t>，且不应少于</w:t>
      </w:r>
      <w:r>
        <w:rPr>
          <w:sz w:val="20"/>
          <w:szCs w:val="20"/>
        </w:rPr>
        <w:t>3</w:t>
      </w:r>
      <w:r>
        <w:rPr>
          <w:rFonts w:hint="eastAsia" w:ascii="宋体" w:hAnsi="宋体"/>
          <w:sz w:val="20"/>
          <w:szCs w:val="20"/>
        </w:rPr>
        <w:t>个槽段，</w:t>
      </w:r>
      <w:r>
        <w:rPr>
          <w:rFonts w:ascii="宋体" w:hAnsi="宋体"/>
          <w:sz w:val="20"/>
          <w:szCs w:val="20"/>
        </w:rPr>
        <w:t>每个检测墙段的预埋超声波管数不应少于</w:t>
      </w:r>
      <w:r>
        <w:rPr>
          <w:rFonts w:hint="eastAsia"/>
          <w:sz w:val="20"/>
          <w:szCs w:val="20"/>
        </w:rPr>
        <w:t>4</w:t>
      </w:r>
      <w:r>
        <w:rPr>
          <w:rFonts w:hint="eastAsia" w:ascii="宋体" w:hAnsi="宋体"/>
          <w:sz w:val="20"/>
          <w:szCs w:val="20"/>
        </w:rPr>
        <w:t>个</w:t>
      </w:r>
      <w:r>
        <w:rPr>
          <w:rFonts w:ascii="宋体" w:hAnsi="宋体"/>
          <w:sz w:val="20"/>
          <w:szCs w:val="20"/>
        </w:rPr>
        <w:t>，且宜布置在墙身截面的四</w:t>
      </w:r>
      <w:r>
        <w:rPr>
          <w:rFonts w:hint="eastAsia" w:ascii="宋体" w:hAnsi="宋体"/>
          <w:sz w:val="20"/>
          <w:szCs w:val="20"/>
        </w:rPr>
        <w:t>边</w:t>
      </w:r>
      <w:r>
        <w:rPr>
          <w:rFonts w:ascii="宋体" w:hAnsi="宋体"/>
          <w:sz w:val="20"/>
          <w:szCs w:val="20"/>
        </w:rPr>
        <w:t>中点处</w:t>
      </w:r>
      <w:r>
        <w:rPr>
          <w:rFonts w:hint="eastAsia" w:ascii="宋体" w:hAnsi="宋体"/>
          <w:sz w:val="20"/>
          <w:szCs w:val="20"/>
        </w:rPr>
        <w:t>；</w:t>
      </w:r>
    </w:p>
    <w:p w14:paraId="4B6879B3">
      <w:pPr>
        <w:adjustRightInd w:val="0"/>
        <w:snapToGrid w:val="0"/>
        <w:spacing w:line="288" w:lineRule="auto"/>
        <w:ind w:firstLine="402" w:firstLineChars="200"/>
        <w:rPr>
          <w:rFonts w:ascii="宋体" w:hAnsi="宋体"/>
          <w:sz w:val="20"/>
          <w:szCs w:val="20"/>
        </w:rPr>
      </w:pPr>
      <w:r>
        <w:rPr>
          <w:b/>
          <w:bCs/>
          <w:sz w:val="20"/>
          <w:szCs w:val="20"/>
        </w:rPr>
        <w:t xml:space="preserve">2  </w:t>
      </w:r>
      <w:r>
        <w:rPr>
          <w:rFonts w:hint="eastAsia" w:ascii="宋体" w:hAnsi="宋体"/>
          <w:sz w:val="20"/>
          <w:szCs w:val="20"/>
        </w:rPr>
        <w:t>应进行</w:t>
      </w:r>
      <w:r>
        <w:rPr>
          <w:rFonts w:ascii="宋体" w:hAnsi="宋体"/>
          <w:sz w:val="20"/>
          <w:szCs w:val="20"/>
        </w:rPr>
        <w:t>槽</w:t>
      </w:r>
      <w:r>
        <w:rPr>
          <w:rFonts w:hint="eastAsia" w:ascii="宋体" w:hAnsi="宋体"/>
          <w:sz w:val="20"/>
          <w:szCs w:val="20"/>
        </w:rPr>
        <w:t>壁</w:t>
      </w:r>
      <w:r>
        <w:rPr>
          <w:rFonts w:ascii="宋体" w:hAnsi="宋体"/>
          <w:sz w:val="20"/>
          <w:szCs w:val="20"/>
        </w:rPr>
        <w:t>垂直度检测，检测数量不得小于同条件下总槽段数的</w:t>
      </w:r>
      <w:r>
        <w:rPr>
          <w:rFonts w:hint="eastAsia"/>
          <w:sz w:val="20"/>
          <w:szCs w:val="20"/>
        </w:rPr>
        <w:t>20</w:t>
      </w:r>
      <w:r>
        <w:rPr>
          <w:sz w:val="20"/>
          <w:szCs w:val="20"/>
        </w:rPr>
        <w:t>%</w:t>
      </w:r>
      <w:r>
        <w:rPr>
          <w:rFonts w:hint="eastAsia" w:ascii="宋体" w:hAnsi="宋体"/>
          <w:sz w:val="20"/>
          <w:szCs w:val="20"/>
        </w:rPr>
        <w:t>，且</w:t>
      </w:r>
      <w:r>
        <w:rPr>
          <w:rFonts w:ascii="宋体" w:hAnsi="宋体"/>
          <w:sz w:val="20"/>
          <w:szCs w:val="20"/>
        </w:rPr>
        <w:t>不</w:t>
      </w:r>
      <w:r>
        <w:rPr>
          <w:rFonts w:hint="eastAsia" w:ascii="宋体" w:hAnsi="宋体"/>
          <w:sz w:val="20"/>
          <w:szCs w:val="20"/>
        </w:rPr>
        <w:t>宜</w:t>
      </w:r>
      <w:r>
        <w:rPr>
          <w:rFonts w:ascii="宋体" w:hAnsi="宋体"/>
          <w:sz w:val="20"/>
          <w:szCs w:val="20"/>
        </w:rPr>
        <w:t>少于</w:t>
      </w:r>
      <w:r>
        <w:rPr>
          <w:rFonts w:hint="eastAsia"/>
          <w:sz w:val="20"/>
          <w:szCs w:val="20"/>
        </w:rPr>
        <w:t>10</w:t>
      </w:r>
      <w:r>
        <w:rPr>
          <w:rFonts w:hint="eastAsia" w:ascii="宋体" w:hAnsi="宋体"/>
          <w:sz w:val="20"/>
          <w:szCs w:val="20"/>
        </w:rPr>
        <w:t>幅；</w:t>
      </w:r>
      <w:r>
        <w:rPr>
          <w:rFonts w:ascii="宋体" w:hAnsi="宋体"/>
          <w:sz w:val="20"/>
          <w:szCs w:val="20"/>
        </w:rPr>
        <w:t>当地下连续墙作为主体</w:t>
      </w:r>
      <w:r>
        <w:rPr>
          <w:rFonts w:hint="eastAsia" w:ascii="宋体" w:hAnsi="宋体"/>
          <w:sz w:val="20"/>
          <w:szCs w:val="20"/>
        </w:rPr>
        <w:t>地下</w:t>
      </w:r>
      <w:r>
        <w:rPr>
          <w:rFonts w:ascii="宋体" w:hAnsi="宋体"/>
          <w:sz w:val="20"/>
          <w:szCs w:val="20"/>
        </w:rPr>
        <w:t>结构</w:t>
      </w:r>
      <w:r>
        <w:rPr>
          <w:rFonts w:hint="eastAsia" w:ascii="宋体" w:hAnsi="宋体"/>
          <w:sz w:val="20"/>
          <w:szCs w:val="20"/>
        </w:rPr>
        <w:t>构件时</w:t>
      </w:r>
      <w:r>
        <w:rPr>
          <w:rFonts w:ascii="宋体" w:hAnsi="宋体"/>
          <w:sz w:val="20"/>
          <w:szCs w:val="20"/>
        </w:rPr>
        <w:t>，</w:t>
      </w:r>
      <w:r>
        <w:rPr>
          <w:rFonts w:hint="eastAsia" w:ascii="宋体" w:hAnsi="宋体"/>
          <w:sz w:val="20"/>
          <w:szCs w:val="20"/>
        </w:rPr>
        <w:t>检测数量</w:t>
      </w:r>
      <w:r>
        <w:rPr>
          <w:rFonts w:ascii="宋体" w:hAnsi="宋体"/>
          <w:sz w:val="20"/>
          <w:szCs w:val="20"/>
        </w:rPr>
        <w:t>应满足结构设计要求；</w:t>
      </w:r>
    </w:p>
    <w:p w14:paraId="7AF8890A">
      <w:pPr>
        <w:adjustRightInd w:val="0"/>
        <w:snapToGrid w:val="0"/>
        <w:spacing w:line="288" w:lineRule="auto"/>
        <w:ind w:firstLine="402" w:firstLineChars="200"/>
        <w:rPr>
          <w:rFonts w:ascii="宋体" w:hAnsi="宋体"/>
          <w:sz w:val="20"/>
          <w:szCs w:val="20"/>
        </w:rPr>
      </w:pPr>
      <w:r>
        <w:rPr>
          <w:rFonts w:hint="eastAsia"/>
          <w:b/>
          <w:bCs/>
          <w:sz w:val="20"/>
          <w:szCs w:val="20"/>
        </w:rPr>
        <w:t>3</w:t>
      </w:r>
      <w:r>
        <w:rPr>
          <w:b/>
          <w:bCs/>
          <w:sz w:val="20"/>
          <w:szCs w:val="20"/>
        </w:rPr>
        <w:t xml:space="preserve">  </w:t>
      </w:r>
      <w:r>
        <w:rPr>
          <w:rFonts w:hint="eastAsia" w:ascii="宋体" w:hAnsi="宋体"/>
          <w:sz w:val="20"/>
          <w:szCs w:val="20"/>
        </w:rPr>
        <w:t>当根据</w:t>
      </w:r>
      <w:r>
        <w:rPr>
          <w:rFonts w:ascii="宋体" w:hAnsi="宋体"/>
          <w:sz w:val="20"/>
          <w:szCs w:val="20"/>
        </w:rPr>
        <w:t>声波透射法判定的墙身质量不合格时，应采用钻芯法进行验证</w:t>
      </w:r>
      <w:r>
        <w:rPr>
          <w:rFonts w:hint="eastAsia" w:ascii="宋体" w:hAnsi="宋体"/>
          <w:sz w:val="20"/>
          <w:szCs w:val="20"/>
        </w:rPr>
        <w:t>；</w:t>
      </w:r>
    </w:p>
    <w:p w14:paraId="1886C782">
      <w:pPr>
        <w:adjustRightInd w:val="0"/>
        <w:snapToGrid w:val="0"/>
        <w:spacing w:line="288" w:lineRule="auto"/>
        <w:ind w:firstLine="402" w:firstLineChars="200"/>
        <w:rPr>
          <w:sz w:val="20"/>
          <w:szCs w:val="20"/>
        </w:rPr>
      </w:pPr>
      <w:r>
        <w:rPr>
          <w:b/>
          <w:bCs/>
          <w:sz w:val="20"/>
          <w:szCs w:val="20"/>
        </w:rPr>
        <w:t xml:space="preserve">4  </w:t>
      </w:r>
      <w:r>
        <w:rPr>
          <w:sz w:val="20"/>
          <w:szCs w:val="20"/>
        </w:rPr>
        <w:t>地下连续墙混凝土抗压强度和抗渗等级应符合设计要求。墙身混凝土抗压强度试块每100m</w:t>
      </w:r>
      <w:r>
        <w:rPr>
          <w:sz w:val="20"/>
          <w:szCs w:val="20"/>
          <w:vertAlign w:val="superscript"/>
        </w:rPr>
        <w:t>3</w:t>
      </w:r>
      <w:r>
        <w:rPr>
          <w:sz w:val="20"/>
          <w:szCs w:val="20"/>
        </w:rPr>
        <w:t>混凝土不应少于1组，且每幅槽段不应少于1组，每组为三件；墙身混凝土抗渗试块每5幅槽段不应少于1组，每组为6件。作为永久结构的地下连续墙，其抗渗质量标准可按现行国家标准《地下防水工程质量验收规范》GB50208的规定执行。</w:t>
      </w:r>
    </w:p>
    <w:p w14:paraId="31495CFC">
      <w:pPr>
        <w:adjustRightInd w:val="0"/>
        <w:snapToGrid w:val="0"/>
        <w:spacing w:line="288" w:lineRule="auto"/>
        <w:rPr>
          <w:sz w:val="20"/>
          <w:szCs w:val="20"/>
        </w:rPr>
      </w:pPr>
      <w:r>
        <w:rPr>
          <w:b/>
          <w:bCs/>
          <w:kern w:val="0"/>
          <w:sz w:val="20"/>
          <w:szCs w:val="20"/>
        </w:rPr>
        <w:t xml:space="preserve">7.9.3  </w:t>
      </w:r>
      <w:r>
        <w:rPr>
          <w:sz w:val="20"/>
          <w:szCs w:val="20"/>
        </w:rPr>
        <w:t>锚杆的检测应符合下列要求：</w:t>
      </w:r>
    </w:p>
    <w:p w14:paraId="7BB3392E">
      <w:pPr>
        <w:adjustRightInd w:val="0"/>
        <w:snapToGrid w:val="0"/>
        <w:spacing w:line="288" w:lineRule="auto"/>
        <w:ind w:firstLine="402" w:firstLineChars="200"/>
        <w:rPr>
          <w:bCs/>
          <w:sz w:val="20"/>
          <w:szCs w:val="20"/>
        </w:rPr>
      </w:pPr>
      <w:r>
        <w:rPr>
          <w:b/>
          <w:bCs/>
          <w:sz w:val="20"/>
          <w:szCs w:val="20"/>
        </w:rPr>
        <w:t xml:space="preserve">1  </w:t>
      </w:r>
      <w:r>
        <w:rPr>
          <w:sz w:val="20"/>
          <w:szCs w:val="20"/>
        </w:rPr>
        <w:t>锚杆抗拔力检测应随机抽样，抽样应能代表不同地层土性和不同抗拔力要求，宜分层检测；</w:t>
      </w:r>
    </w:p>
    <w:p w14:paraId="2CB3AE24">
      <w:pPr>
        <w:adjustRightInd w:val="0"/>
        <w:snapToGrid w:val="0"/>
        <w:spacing w:line="288" w:lineRule="auto"/>
        <w:ind w:firstLine="402" w:firstLineChars="200"/>
        <w:rPr>
          <w:sz w:val="20"/>
          <w:szCs w:val="20"/>
        </w:rPr>
      </w:pPr>
      <w:r>
        <w:rPr>
          <w:b/>
          <w:bCs/>
          <w:sz w:val="20"/>
          <w:szCs w:val="20"/>
        </w:rPr>
        <w:t xml:space="preserve">2  </w:t>
      </w:r>
      <w:r>
        <w:rPr>
          <w:sz w:val="20"/>
          <w:szCs w:val="20"/>
        </w:rPr>
        <w:t>锚杆抗拔力检测数量应取每层锚杆总数的5％，且不少于3根；</w:t>
      </w:r>
    </w:p>
    <w:p w14:paraId="116FAB17">
      <w:pPr>
        <w:adjustRightInd w:val="0"/>
        <w:snapToGrid w:val="0"/>
        <w:spacing w:line="288" w:lineRule="auto"/>
        <w:ind w:firstLine="402" w:firstLineChars="200"/>
        <w:rPr>
          <w:sz w:val="20"/>
          <w:szCs w:val="20"/>
        </w:rPr>
      </w:pPr>
      <w:r>
        <w:rPr>
          <w:b/>
          <w:bCs/>
          <w:sz w:val="20"/>
          <w:szCs w:val="20"/>
        </w:rPr>
        <w:t xml:space="preserve">3  </w:t>
      </w:r>
      <w:r>
        <w:rPr>
          <w:sz w:val="20"/>
          <w:szCs w:val="20"/>
        </w:rPr>
        <w:t>应在锚杆浆体强度达到15MPa或达到设计强度的75％以上时，方可进行锚杆抗拔力试验；</w:t>
      </w:r>
    </w:p>
    <w:p w14:paraId="70F0717A">
      <w:pPr>
        <w:adjustRightInd w:val="0"/>
        <w:snapToGrid w:val="0"/>
        <w:spacing w:line="288" w:lineRule="auto"/>
        <w:ind w:firstLine="402" w:firstLineChars="200"/>
        <w:rPr>
          <w:sz w:val="20"/>
          <w:szCs w:val="20"/>
        </w:rPr>
      </w:pPr>
      <w:r>
        <w:rPr>
          <w:b/>
          <w:bCs/>
          <w:sz w:val="20"/>
          <w:szCs w:val="20"/>
        </w:rPr>
        <w:t xml:space="preserve">4  </w:t>
      </w:r>
      <w:r>
        <w:rPr>
          <w:sz w:val="20"/>
          <w:szCs w:val="20"/>
        </w:rPr>
        <w:t>锚杆抗拔力检测试验的最大试验荷载应取锚杆极限抗拔承载力的0.8倍</w:t>
      </w:r>
      <w:r>
        <w:rPr>
          <w:rFonts w:hint="eastAsia"/>
          <w:sz w:val="20"/>
          <w:szCs w:val="20"/>
        </w:rPr>
        <w:t>；</w:t>
      </w:r>
    </w:p>
    <w:p w14:paraId="45AA86B3">
      <w:pPr>
        <w:adjustRightInd w:val="0"/>
        <w:snapToGrid w:val="0"/>
        <w:spacing w:line="288" w:lineRule="auto"/>
        <w:ind w:firstLine="402" w:firstLineChars="200"/>
        <w:rPr>
          <w:sz w:val="20"/>
          <w:szCs w:val="20"/>
        </w:rPr>
      </w:pPr>
      <w:r>
        <w:rPr>
          <w:b/>
          <w:bCs/>
          <w:sz w:val="20"/>
          <w:szCs w:val="20"/>
        </w:rPr>
        <w:t xml:space="preserve">5  </w:t>
      </w:r>
      <w:r>
        <w:rPr>
          <w:sz w:val="20"/>
          <w:szCs w:val="20"/>
        </w:rPr>
        <w:t>锚杆浆体强度检验用试块的数量每30根锚杆不应少于一组，每组试块不应少于6件标养试块）。</w:t>
      </w:r>
    </w:p>
    <w:p w14:paraId="0CF2A541">
      <w:pPr>
        <w:adjustRightInd w:val="0"/>
        <w:snapToGrid w:val="0"/>
        <w:spacing w:line="288" w:lineRule="auto"/>
        <w:rPr>
          <w:rFonts w:ascii="宋体" w:hAnsi="宋体"/>
          <w:sz w:val="20"/>
          <w:szCs w:val="20"/>
        </w:rPr>
      </w:pPr>
      <w:r>
        <w:rPr>
          <w:b/>
          <w:bCs/>
          <w:kern w:val="0"/>
          <w:sz w:val="20"/>
          <w:szCs w:val="20"/>
        </w:rPr>
        <w:t>7.9.4</w:t>
      </w:r>
      <w:r>
        <w:rPr>
          <w:rFonts w:ascii="宋体" w:hAnsi="宋体"/>
          <w:sz w:val="20"/>
          <w:szCs w:val="20"/>
        </w:rPr>
        <w:t xml:space="preserve">  </w:t>
      </w:r>
      <w:r>
        <w:rPr>
          <w:rFonts w:hint="eastAsia" w:ascii="宋体" w:hAnsi="宋体"/>
          <w:sz w:val="20"/>
          <w:szCs w:val="20"/>
        </w:rPr>
        <w:t>型钢水泥土搅拌墙的检测应符合下列要求：</w:t>
      </w:r>
    </w:p>
    <w:p w14:paraId="7F529628">
      <w:pPr>
        <w:adjustRightInd w:val="0"/>
        <w:snapToGrid w:val="0"/>
        <w:spacing w:line="288" w:lineRule="auto"/>
        <w:ind w:firstLine="402" w:firstLineChars="200"/>
        <w:rPr>
          <w:rFonts w:ascii="宋体" w:hAnsi="宋体"/>
          <w:sz w:val="20"/>
          <w:szCs w:val="20"/>
        </w:rPr>
      </w:pPr>
      <w:r>
        <w:rPr>
          <w:rFonts w:hint="eastAsia"/>
          <w:b/>
          <w:bCs/>
          <w:sz w:val="20"/>
          <w:szCs w:val="20"/>
        </w:rPr>
        <w:t>1</w:t>
      </w:r>
      <w:r>
        <w:rPr>
          <w:rFonts w:hint="eastAsia" w:ascii="宋体" w:hAnsi="宋体"/>
          <w:sz w:val="20"/>
          <w:szCs w:val="20"/>
        </w:rPr>
        <w:t xml:space="preserve">  宜采用</w:t>
      </w:r>
      <w:r>
        <w:rPr>
          <w:rFonts w:ascii="宋体" w:hAnsi="宋体"/>
          <w:sz w:val="20"/>
          <w:szCs w:val="20"/>
        </w:rPr>
        <w:t>开挖方法检测成桩直径、搭接长度和位置偏差；</w:t>
      </w:r>
    </w:p>
    <w:p w14:paraId="4265B69C">
      <w:pPr>
        <w:adjustRightInd w:val="0"/>
        <w:snapToGrid w:val="0"/>
        <w:spacing w:line="288" w:lineRule="auto"/>
        <w:ind w:firstLine="402" w:firstLineChars="200"/>
        <w:rPr>
          <w:sz w:val="20"/>
          <w:szCs w:val="20"/>
        </w:rPr>
      </w:pPr>
      <w:r>
        <w:rPr>
          <w:b/>
          <w:bCs/>
          <w:sz w:val="20"/>
          <w:szCs w:val="20"/>
        </w:rPr>
        <w:t xml:space="preserve">2 </w:t>
      </w:r>
      <w:r>
        <w:rPr>
          <w:rFonts w:hint="eastAsia" w:ascii="宋体" w:hAnsi="宋体"/>
          <w:sz w:val="20"/>
          <w:szCs w:val="20"/>
        </w:rPr>
        <w:t xml:space="preserve"> 宜采用</w:t>
      </w:r>
      <w:r>
        <w:rPr>
          <w:rFonts w:ascii="宋体" w:hAnsi="宋体"/>
          <w:sz w:val="20"/>
          <w:szCs w:val="20"/>
        </w:rPr>
        <w:t>钻芯法检测桩的单轴抗压强度、完整性、深度</w:t>
      </w:r>
      <w:r>
        <w:rPr>
          <w:rFonts w:hint="eastAsia" w:ascii="宋体" w:hAnsi="宋体"/>
          <w:sz w:val="20"/>
          <w:szCs w:val="20"/>
        </w:rPr>
        <w:t>；</w:t>
      </w:r>
      <w:r>
        <w:rPr>
          <w:rFonts w:ascii="宋体" w:hAnsi="宋体"/>
          <w:sz w:val="20"/>
          <w:szCs w:val="20"/>
        </w:rPr>
        <w:t>单轴抗压</w:t>
      </w:r>
      <w:r>
        <w:rPr>
          <w:rFonts w:hint="eastAsia" w:ascii="宋体" w:hAnsi="宋体"/>
          <w:sz w:val="20"/>
          <w:szCs w:val="20"/>
        </w:rPr>
        <w:t>强度</w:t>
      </w:r>
      <w:r>
        <w:rPr>
          <w:rFonts w:ascii="宋体" w:hAnsi="宋体"/>
          <w:sz w:val="20"/>
          <w:szCs w:val="20"/>
        </w:rPr>
        <w:t>试验的芯样直径不应小于</w:t>
      </w:r>
      <w:r>
        <w:rPr>
          <w:rFonts w:hint="eastAsia"/>
          <w:sz w:val="20"/>
          <w:szCs w:val="20"/>
        </w:rPr>
        <w:t>80</w:t>
      </w:r>
      <w:r>
        <w:rPr>
          <w:sz w:val="20"/>
          <w:szCs w:val="20"/>
        </w:rPr>
        <w:t>mm</w:t>
      </w:r>
      <w:r>
        <w:rPr>
          <w:rFonts w:hint="eastAsia" w:ascii="宋体" w:hAnsi="宋体"/>
          <w:sz w:val="20"/>
          <w:szCs w:val="20"/>
        </w:rPr>
        <w:t>；</w:t>
      </w:r>
      <w:r>
        <w:rPr>
          <w:rFonts w:ascii="宋体" w:hAnsi="宋体"/>
          <w:sz w:val="20"/>
          <w:szCs w:val="20"/>
        </w:rPr>
        <w:t>检测</w:t>
      </w:r>
      <w:r>
        <w:rPr>
          <w:rFonts w:hint="eastAsia" w:ascii="宋体" w:hAnsi="宋体"/>
          <w:sz w:val="20"/>
          <w:szCs w:val="20"/>
        </w:rPr>
        <w:t>桩数</w:t>
      </w:r>
      <w:r>
        <w:rPr>
          <w:rFonts w:ascii="宋体" w:hAnsi="宋体"/>
          <w:sz w:val="20"/>
          <w:szCs w:val="20"/>
        </w:rPr>
        <w:t>不</w:t>
      </w:r>
      <w:r>
        <w:rPr>
          <w:rFonts w:hint="eastAsia" w:ascii="宋体" w:hAnsi="宋体"/>
          <w:sz w:val="20"/>
          <w:szCs w:val="20"/>
        </w:rPr>
        <w:t>应</w:t>
      </w:r>
      <w:r>
        <w:rPr>
          <w:rFonts w:ascii="宋体" w:hAnsi="宋体"/>
          <w:sz w:val="20"/>
          <w:szCs w:val="20"/>
        </w:rPr>
        <w:t>少于总</w:t>
      </w:r>
      <w:r>
        <w:rPr>
          <w:rFonts w:hint="eastAsia" w:ascii="宋体" w:hAnsi="宋体"/>
          <w:sz w:val="20"/>
          <w:szCs w:val="20"/>
        </w:rPr>
        <w:t>桩数</w:t>
      </w:r>
      <w:r>
        <w:rPr>
          <w:rFonts w:ascii="宋体" w:hAnsi="宋体"/>
          <w:sz w:val="20"/>
          <w:szCs w:val="20"/>
        </w:rPr>
        <w:t>的</w:t>
      </w:r>
      <w:r>
        <w:rPr>
          <w:sz w:val="20"/>
          <w:szCs w:val="20"/>
        </w:rPr>
        <w:t>2%，且不应少于3</w:t>
      </w:r>
      <w:r>
        <w:rPr>
          <w:rFonts w:hint="eastAsia"/>
          <w:sz w:val="20"/>
          <w:szCs w:val="20"/>
        </w:rPr>
        <w:t>根；采用渠式切割工艺的连续墙每5</w:t>
      </w:r>
      <w:r>
        <w:rPr>
          <w:sz w:val="20"/>
          <w:szCs w:val="20"/>
        </w:rPr>
        <w:t>0</w:t>
      </w:r>
      <w:r>
        <w:rPr>
          <w:rFonts w:hint="eastAsia"/>
          <w:sz w:val="20"/>
          <w:szCs w:val="20"/>
        </w:rPr>
        <w:t>延米不应少于1个取芯点，且总数不应少于3个。</w:t>
      </w:r>
    </w:p>
    <w:p w14:paraId="70B02B87">
      <w:pPr>
        <w:pStyle w:val="2"/>
      </w:pPr>
      <w:r>
        <w:br w:type="page"/>
      </w:r>
    </w:p>
    <w:p w14:paraId="644C4CAB">
      <w:pPr>
        <w:pStyle w:val="5"/>
        <w:keepNext w:val="0"/>
        <w:keepLines w:val="0"/>
        <w:adjustRightInd w:val="0"/>
        <w:snapToGrid w:val="0"/>
        <w:spacing w:before="156" w:beforeLines="50" w:after="312" w:afterLines="100" w:line="288" w:lineRule="auto"/>
        <w:jc w:val="center"/>
        <w:rPr>
          <w:rFonts w:ascii="黑体" w:hAnsi="黑体"/>
          <w:b w:val="0"/>
          <w:bCs w:val="0"/>
          <w:sz w:val="26"/>
          <w:szCs w:val="26"/>
        </w:rPr>
      </w:pPr>
      <w:bookmarkStart w:id="92" w:name="_Toc139613734"/>
      <w:r>
        <w:rPr>
          <w:rFonts w:ascii="Times New Roman" w:hAnsi="Times New Roman" w:eastAsia="宋体"/>
          <w:sz w:val="26"/>
          <w:szCs w:val="26"/>
        </w:rPr>
        <w:t>8</w:t>
      </w:r>
      <w:r>
        <w:rPr>
          <w:rFonts w:ascii="宋体" w:hAnsi="宋体" w:eastAsia="宋体"/>
          <w:b w:val="0"/>
          <w:sz w:val="26"/>
          <w:szCs w:val="26"/>
        </w:rPr>
        <w:t xml:space="preserve">  </w:t>
      </w:r>
      <w:r>
        <w:rPr>
          <w:rFonts w:hint="eastAsia" w:ascii="黑体" w:hAnsi="黑体"/>
          <w:b w:val="0"/>
          <w:sz w:val="26"/>
          <w:szCs w:val="26"/>
        </w:rPr>
        <w:t>土钉墙</w:t>
      </w:r>
      <w:bookmarkEnd w:id="84"/>
      <w:bookmarkEnd w:id="92"/>
      <w:r>
        <w:rPr>
          <w:rFonts w:hint="eastAsia" w:ascii="黑体" w:hAnsi="黑体"/>
          <w:b w:val="0"/>
          <w:sz w:val="26"/>
          <w:szCs w:val="26"/>
        </w:rPr>
        <w:t xml:space="preserve"> </w:t>
      </w:r>
    </w:p>
    <w:p w14:paraId="2B235D11">
      <w:pPr>
        <w:pStyle w:val="7"/>
        <w:keepNext w:val="0"/>
        <w:keepLines w:val="0"/>
        <w:adjustRightInd w:val="0"/>
        <w:snapToGrid w:val="0"/>
        <w:spacing w:before="312" w:beforeLines="100" w:after="312" w:afterLines="100" w:line="288" w:lineRule="auto"/>
        <w:jc w:val="center"/>
        <w:rPr>
          <w:rFonts w:ascii="黑体" w:hAnsi="黑体" w:eastAsia="黑体"/>
          <w:b w:val="0"/>
          <w:bCs w:val="0"/>
          <w:sz w:val="20"/>
          <w:szCs w:val="20"/>
        </w:rPr>
      </w:pPr>
      <w:bookmarkStart w:id="93" w:name="_Toc468104715"/>
      <w:bookmarkStart w:id="94" w:name="_Toc139613735"/>
      <w:r>
        <w:rPr>
          <w:sz w:val="20"/>
          <w:szCs w:val="20"/>
        </w:rPr>
        <w:t>8.1</w:t>
      </w:r>
      <w:r>
        <w:rPr>
          <w:rFonts w:ascii="宋体" w:hAnsi="宋体"/>
          <w:b w:val="0"/>
          <w:sz w:val="20"/>
          <w:szCs w:val="20"/>
        </w:rPr>
        <w:t xml:space="preserve">  </w:t>
      </w:r>
      <w:r>
        <w:rPr>
          <w:rFonts w:hint="eastAsia" w:ascii="黑体" w:hAnsi="黑体" w:eastAsia="黑体"/>
          <w:b w:val="0"/>
          <w:sz w:val="20"/>
          <w:szCs w:val="20"/>
        </w:rPr>
        <w:t>一般规定</w:t>
      </w:r>
      <w:bookmarkEnd w:id="93"/>
      <w:bookmarkEnd w:id="94"/>
    </w:p>
    <w:p w14:paraId="66B7A4D9">
      <w:pPr>
        <w:spacing w:line="340" w:lineRule="exact"/>
        <w:rPr>
          <w:sz w:val="20"/>
          <w:szCs w:val="20"/>
        </w:rPr>
      </w:pPr>
      <w:bookmarkStart w:id="95" w:name="_Toc468104716"/>
      <w:r>
        <w:rPr>
          <w:b/>
          <w:bCs/>
          <w:sz w:val="20"/>
          <w:szCs w:val="20"/>
        </w:rPr>
        <w:t xml:space="preserve">8.1.1  </w:t>
      </w:r>
      <w:r>
        <w:rPr>
          <w:rFonts w:hint="eastAsia"/>
          <w:sz w:val="20"/>
          <w:szCs w:val="20"/>
        </w:rPr>
        <w:t>土钉墙适用于开挖深度不大、地层条件一般、地下水位（或经人工降水措施后）</w:t>
      </w:r>
      <w:r>
        <w:rPr>
          <w:rFonts w:hint="eastAsia"/>
          <w:bCs/>
          <w:sz w:val="20"/>
          <w:szCs w:val="20"/>
        </w:rPr>
        <w:t>低于基坑底面</w:t>
      </w:r>
      <w:r>
        <w:rPr>
          <w:rFonts w:hint="eastAsia"/>
          <w:sz w:val="20"/>
          <w:szCs w:val="20"/>
        </w:rPr>
        <w:t>、影响范围内无重要建筑或地下管线、对基坑变形控制要求不严、地下空间允许施作土钉的基坑。</w:t>
      </w:r>
    </w:p>
    <w:p w14:paraId="092B1475">
      <w:pPr>
        <w:spacing w:line="340" w:lineRule="exact"/>
        <w:rPr>
          <w:sz w:val="20"/>
          <w:szCs w:val="20"/>
        </w:rPr>
      </w:pPr>
      <w:r>
        <w:rPr>
          <w:b/>
          <w:bCs/>
          <w:sz w:val="20"/>
          <w:szCs w:val="20"/>
        </w:rPr>
        <w:t xml:space="preserve">8.1.2 </w:t>
      </w:r>
      <w:r>
        <w:rPr>
          <w:sz w:val="20"/>
          <w:szCs w:val="20"/>
        </w:rPr>
        <w:t xml:space="preserve"> </w:t>
      </w:r>
      <w:r>
        <w:rPr>
          <w:rFonts w:hint="eastAsia"/>
          <w:sz w:val="20"/>
          <w:szCs w:val="20"/>
        </w:rPr>
        <w:t>当场地土质不均匀、开挖深度深、周边建（构）筑物变形控制要求严时，宜采用土钉墙与预应力锚杆、支护桩、超前微型桩、小直径预制桩等一种或几种联合支护。</w:t>
      </w:r>
    </w:p>
    <w:p w14:paraId="6054DCDC">
      <w:pPr>
        <w:spacing w:line="340" w:lineRule="exact"/>
        <w:rPr>
          <w:sz w:val="20"/>
          <w:szCs w:val="20"/>
        </w:rPr>
      </w:pPr>
      <w:r>
        <w:rPr>
          <w:b/>
          <w:bCs/>
          <w:sz w:val="20"/>
          <w:szCs w:val="20"/>
        </w:rPr>
        <w:t xml:space="preserve">8.1.3  </w:t>
      </w:r>
      <w:r>
        <w:rPr>
          <w:rFonts w:hint="eastAsia"/>
          <w:sz w:val="20"/>
          <w:szCs w:val="20"/>
        </w:rPr>
        <w:t>土钉墙设计施工应考虑施工作业周期和季节、振动等环境因素对陡坡开挖面上暂时裸露土体稳定性的影响。</w:t>
      </w:r>
    </w:p>
    <w:p w14:paraId="09975AE6">
      <w:pPr>
        <w:spacing w:line="340" w:lineRule="exact"/>
        <w:rPr>
          <w:sz w:val="20"/>
          <w:szCs w:val="20"/>
        </w:rPr>
      </w:pPr>
      <w:r>
        <w:rPr>
          <w:b/>
          <w:bCs/>
          <w:sz w:val="20"/>
          <w:szCs w:val="20"/>
        </w:rPr>
        <w:t>8.1.4</w:t>
      </w:r>
      <w:r>
        <w:rPr>
          <w:rFonts w:hint="eastAsia"/>
          <w:b/>
          <w:bCs/>
          <w:sz w:val="20"/>
          <w:szCs w:val="20"/>
        </w:rPr>
        <w:t xml:space="preserve">  </w:t>
      </w:r>
      <w:r>
        <w:rPr>
          <w:rFonts w:hint="eastAsia"/>
          <w:sz w:val="20"/>
          <w:szCs w:val="20"/>
        </w:rPr>
        <w:t>土钉可采用钻孔、打入等方式设置。</w:t>
      </w:r>
    </w:p>
    <w:p w14:paraId="02920F50">
      <w:pPr>
        <w:spacing w:line="340" w:lineRule="exact"/>
        <w:rPr>
          <w:sz w:val="20"/>
          <w:szCs w:val="20"/>
        </w:rPr>
      </w:pPr>
      <w:r>
        <w:rPr>
          <w:b/>
          <w:bCs/>
          <w:sz w:val="20"/>
          <w:szCs w:val="20"/>
        </w:rPr>
        <w:t>8.1.5</w:t>
      </w:r>
      <w:r>
        <w:rPr>
          <w:rFonts w:hint="eastAsia"/>
          <w:b/>
          <w:bCs/>
          <w:sz w:val="20"/>
          <w:szCs w:val="20"/>
        </w:rPr>
        <w:t xml:space="preserve">  </w:t>
      </w:r>
      <w:r>
        <w:rPr>
          <w:rFonts w:hint="eastAsia"/>
          <w:sz w:val="20"/>
          <w:szCs w:val="20"/>
        </w:rPr>
        <w:t>土钉墙用于基坑阳角部位时，应分析土钉交叉作用对稳定性的不利影响。</w:t>
      </w:r>
    </w:p>
    <w:p w14:paraId="1254345D">
      <w:pPr>
        <w:pStyle w:val="7"/>
        <w:keepNext w:val="0"/>
        <w:keepLines w:val="0"/>
        <w:adjustRightInd w:val="0"/>
        <w:snapToGrid w:val="0"/>
        <w:spacing w:before="312" w:beforeLines="100" w:after="312" w:afterLines="100" w:line="288" w:lineRule="auto"/>
        <w:jc w:val="center"/>
        <w:rPr>
          <w:rFonts w:ascii="宋体" w:hAnsi="宋体"/>
          <w:b w:val="0"/>
          <w:bCs w:val="0"/>
          <w:sz w:val="20"/>
          <w:szCs w:val="20"/>
        </w:rPr>
      </w:pPr>
      <w:bookmarkStart w:id="96" w:name="_Toc139613736"/>
      <w:r>
        <w:rPr>
          <w:sz w:val="20"/>
          <w:szCs w:val="20"/>
        </w:rPr>
        <w:t xml:space="preserve">8.2  </w:t>
      </w:r>
      <w:r>
        <w:rPr>
          <w:rFonts w:hint="eastAsia" w:ascii="黑体" w:hAnsi="黑体" w:eastAsia="黑体"/>
          <w:b w:val="0"/>
          <w:sz w:val="20"/>
          <w:szCs w:val="20"/>
        </w:rPr>
        <w:t>设    计</w:t>
      </w:r>
      <w:bookmarkEnd w:id="95"/>
      <w:bookmarkEnd w:id="96"/>
    </w:p>
    <w:p w14:paraId="65FA94C2">
      <w:pPr>
        <w:adjustRightInd w:val="0"/>
        <w:snapToGrid w:val="0"/>
        <w:spacing w:line="288" w:lineRule="auto"/>
        <w:rPr>
          <w:rFonts w:ascii="宋体" w:hAnsi="宋体"/>
          <w:sz w:val="20"/>
          <w:szCs w:val="20"/>
        </w:rPr>
      </w:pPr>
      <w:r>
        <w:rPr>
          <w:b/>
          <w:bCs/>
          <w:kern w:val="0"/>
          <w:sz w:val="20"/>
          <w:szCs w:val="20"/>
        </w:rPr>
        <w:t xml:space="preserve">8.2.1  </w:t>
      </w:r>
      <w:r>
        <w:rPr>
          <w:rFonts w:hint="eastAsia" w:ascii="宋体" w:hAnsi="宋体"/>
          <w:sz w:val="20"/>
          <w:szCs w:val="20"/>
        </w:rPr>
        <w:t>根据工程经验，可采用工程类比方法，初步确定土钉墙设计基本参数。</w:t>
      </w:r>
    </w:p>
    <w:p w14:paraId="546ADEB8">
      <w:pPr>
        <w:spacing w:line="340" w:lineRule="exact"/>
        <w:rPr>
          <w:sz w:val="20"/>
          <w:szCs w:val="20"/>
        </w:rPr>
      </w:pPr>
      <w:r>
        <w:rPr>
          <w:b/>
          <w:bCs/>
          <w:sz w:val="20"/>
          <w:szCs w:val="20"/>
        </w:rPr>
        <w:t xml:space="preserve">8.2.2  </w:t>
      </w:r>
      <w:r>
        <w:rPr>
          <w:rFonts w:hint="eastAsia"/>
          <w:sz w:val="20"/>
          <w:szCs w:val="20"/>
        </w:rPr>
        <w:t>土钉墙设计应包括下列内容：</w:t>
      </w:r>
    </w:p>
    <w:p w14:paraId="306B2417">
      <w:pPr>
        <w:spacing w:line="340" w:lineRule="exact"/>
        <w:ind w:firstLine="394" w:firstLineChars="196"/>
        <w:rPr>
          <w:sz w:val="20"/>
          <w:szCs w:val="20"/>
        </w:rPr>
      </w:pPr>
      <w:r>
        <w:rPr>
          <w:b/>
          <w:bCs/>
          <w:sz w:val="20"/>
          <w:szCs w:val="20"/>
        </w:rPr>
        <w:t xml:space="preserve">1  </w:t>
      </w:r>
      <w:r>
        <w:rPr>
          <w:rFonts w:hint="eastAsia"/>
          <w:sz w:val="20"/>
          <w:szCs w:val="20"/>
        </w:rPr>
        <w:t>确定土钉墙的平面、剖面尺寸及分层施工高度；</w:t>
      </w:r>
    </w:p>
    <w:p w14:paraId="1EF55E7A">
      <w:pPr>
        <w:spacing w:line="340" w:lineRule="exact"/>
        <w:ind w:left="-130" w:leftChars="-62" w:firstLine="512" w:firstLineChars="255"/>
        <w:rPr>
          <w:sz w:val="20"/>
          <w:szCs w:val="20"/>
        </w:rPr>
      </w:pPr>
      <w:r>
        <w:rPr>
          <w:b/>
          <w:bCs/>
          <w:sz w:val="20"/>
          <w:szCs w:val="20"/>
        </w:rPr>
        <w:t xml:space="preserve">2  </w:t>
      </w:r>
      <w:r>
        <w:rPr>
          <w:rFonts w:hint="eastAsia"/>
          <w:sz w:val="20"/>
          <w:szCs w:val="20"/>
        </w:rPr>
        <w:t>确定土钉的类型、布置方式和间距；</w:t>
      </w:r>
    </w:p>
    <w:p w14:paraId="75D22DE3">
      <w:pPr>
        <w:spacing w:line="340" w:lineRule="exact"/>
        <w:ind w:left="-130" w:leftChars="-62" w:firstLine="512" w:firstLineChars="255"/>
        <w:rPr>
          <w:sz w:val="20"/>
          <w:szCs w:val="20"/>
        </w:rPr>
      </w:pPr>
      <w:r>
        <w:rPr>
          <w:b/>
          <w:bCs/>
          <w:sz w:val="20"/>
          <w:szCs w:val="20"/>
        </w:rPr>
        <w:t xml:space="preserve">3  </w:t>
      </w:r>
      <w:r>
        <w:rPr>
          <w:rFonts w:hint="eastAsia"/>
          <w:sz w:val="20"/>
          <w:szCs w:val="20"/>
        </w:rPr>
        <w:t>确定土钉的直径、长度和倾角；</w:t>
      </w:r>
    </w:p>
    <w:p w14:paraId="660C1505">
      <w:pPr>
        <w:spacing w:line="340" w:lineRule="exact"/>
        <w:ind w:left="-130" w:leftChars="-62" w:firstLine="512" w:firstLineChars="255"/>
        <w:rPr>
          <w:sz w:val="20"/>
          <w:szCs w:val="20"/>
        </w:rPr>
      </w:pPr>
      <w:r>
        <w:rPr>
          <w:b/>
          <w:bCs/>
          <w:sz w:val="20"/>
          <w:szCs w:val="20"/>
        </w:rPr>
        <w:t xml:space="preserve">4  </w:t>
      </w:r>
      <w:r>
        <w:rPr>
          <w:rFonts w:hint="eastAsia"/>
          <w:sz w:val="20"/>
          <w:szCs w:val="20"/>
        </w:rPr>
        <w:t>确定土钉钢筋或钢管的类型、直径和构造；</w:t>
      </w:r>
    </w:p>
    <w:p w14:paraId="1E577668">
      <w:pPr>
        <w:spacing w:line="340" w:lineRule="exact"/>
        <w:ind w:left="-130" w:leftChars="-62" w:firstLine="512" w:firstLineChars="255"/>
        <w:rPr>
          <w:sz w:val="20"/>
          <w:szCs w:val="20"/>
        </w:rPr>
      </w:pPr>
      <w:r>
        <w:rPr>
          <w:b/>
          <w:bCs/>
          <w:sz w:val="20"/>
          <w:szCs w:val="20"/>
        </w:rPr>
        <w:t xml:space="preserve">5  </w:t>
      </w:r>
      <w:r>
        <w:rPr>
          <w:rFonts w:hint="eastAsia"/>
          <w:sz w:val="20"/>
          <w:szCs w:val="20"/>
        </w:rPr>
        <w:t>确定注浆参数与注浆方式；</w:t>
      </w:r>
    </w:p>
    <w:p w14:paraId="7539476C">
      <w:pPr>
        <w:spacing w:line="340" w:lineRule="exact"/>
        <w:ind w:left="-130" w:leftChars="-62" w:firstLine="512" w:firstLineChars="255"/>
        <w:rPr>
          <w:sz w:val="20"/>
          <w:szCs w:val="20"/>
        </w:rPr>
      </w:pPr>
      <w:r>
        <w:rPr>
          <w:b/>
          <w:bCs/>
          <w:sz w:val="20"/>
          <w:szCs w:val="20"/>
        </w:rPr>
        <w:t xml:space="preserve">6  </w:t>
      </w:r>
      <w:r>
        <w:rPr>
          <w:rFonts w:hint="eastAsia"/>
          <w:sz w:val="20"/>
          <w:szCs w:val="20"/>
        </w:rPr>
        <w:t>确定土钉与面层的连接构造；</w:t>
      </w:r>
    </w:p>
    <w:p w14:paraId="1BBA89FD">
      <w:pPr>
        <w:spacing w:line="340" w:lineRule="exact"/>
        <w:ind w:left="-130" w:leftChars="-62" w:firstLine="512" w:firstLineChars="255"/>
        <w:rPr>
          <w:sz w:val="20"/>
          <w:szCs w:val="20"/>
        </w:rPr>
      </w:pPr>
      <w:r>
        <w:rPr>
          <w:b/>
          <w:bCs/>
          <w:sz w:val="20"/>
          <w:szCs w:val="20"/>
        </w:rPr>
        <w:t xml:space="preserve">7  </w:t>
      </w:r>
      <w:r>
        <w:rPr>
          <w:rFonts w:hint="eastAsia"/>
          <w:sz w:val="20"/>
          <w:szCs w:val="20"/>
        </w:rPr>
        <w:t>混凝土面层与坡顶防护设计；</w:t>
      </w:r>
    </w:p>
    <w:p w14:paraId="28D5BADF">
      <w:pPr>
        <w:spacing w:line="340" w:lineRule="exact"/>
        <w:ind w:left="-130" w:leftChars="-62" w:firstLine="512" w:firstLineChars="255"/>
        <w:rPr>
          <w:sz w:val="20"/>
          <w:szCs w:val="20"/>
        </w:rPr>
      </w:pPr>
      <w:r>
        <w:rPr>
          <w:b/>
          <w:bCs/>
          <w:sz w:val="20"/>
          <w:szCs w:val="20"/>
        </w:rPr>
        <w:t xml:space="preserve">8  </w:t>
      </w:r>
      <w:r>
        <w:rPr>
          <w:rFonts w:hint="eastAsia"/>
          <w:sz w:val="20"/>
          <w:szCs w:val="20"/>
        </w:rPr>
        <w:t>土钉抗拉拔承载力计算；</w:t>
      </w:r>
    </w:p>
    <w:p w14:paraId="382D4B1E">
      <w:pPr>
        <w:spacing w:line="340" w:lineRule="exact"/>
        <w:ind w:left="-130" w:leftChars="-62" w:firstLine="512" w:firstLineChars="255"/>
        <w:rPr>
          <w:sz w:val="20"/>
          <w:szCs w:val="20"/>
        </w:rPr>
      </w:pPr>
      <w:r>
        <w:rPr>
          <w:b/>
          <w:bCs/>
          <w:sz w:val="20"/>
          <w:szCs w:val="20"/>
        </w:rPr>
        <w:t xml:space="preserve">9  </w:t>
      </w:r>
      <w:r>
        <w:rPr>
          <w:rFonts w:hint="eastAsia"/>
          <w:sz w:val="20"/>
          <w:szCs w:val="20"/>
        </w:rPr>
        <w:t>土钉墙整体稳定、抗隆起稳定分析验算；</w:t>
      </w:r>
    </w:p>
    <w:p w14:paraId="03CCDF14">
      <w:pPr>
        <w:spacing w:line="340" w:lineRule="exact"/>
        <w:ind w:left="-130" w:leftChars="-62" w:firstLine="512" w:firstLineChars="255"/>
        <w:rPr>
          <w:sz w:val="20"/>
          <w:szCs w:val="20"/>
        </w:rPr>
      </w:pPr>
      <w:r>
        <w:rPr>
          <w:b/>
          <w:sz w:val="20"/>
          <w:szCs w:val="20"/>
        </w:rPr>
        <w:t>10</w:t>
      </w:r>
      <w:r>
        <w:rPr>
          <w:sz w:val="20"/>
          <w:szCs w:val="20"/>
        </w:rPr>
        <w:t xml:space="preserve"> </w:t>
      </w:r>
      <w:r>
        <w:rPr>
          <w:rFonts w:hint="eastAsia"/>
          <w:sz w:val="20"/>
          <w:szCs w:val="20"/>
        </w:rPr>
        <w:t>当与截水帷幕结合时的地下水渗透稳定性验算；</w:t>
      </w:r>
    </w:p>
    <w:p w14:paraId="3CA51B2B">
      <w:pPr>
        <w:spacing w:line="340" w:lineRule="exact"/>
        <w:ind w:left="-130" w:leftChars="-62" w:firstLine="512" w:firstLineChars="255"/>
        <w:rPr>
          <w:sz w:val="20"/>
          <w:szCs w:val="20"/>
        </w:rPr>
      </w:pPr>
      <w:r>
        <w:rPr>
          <w:rFonts w:hint="eastAsia"/>
          <w:b/>
          <w:sz w:val="20"/>
          <w:szCs w:val="20"/>
        </w:rPr>
        <w:t>1</w:t>
      </w:r>
      <w:r>
        <w:rPr>
          <w:b/>
          <w:sz w:val="20"/>
          <w:szCs w:val="20"/>
        </w:rPr>
        <w:t>1</w:t>
      </w:r>
      <w:r>
        <w:rPr>
          <w:sz w:val="20"/>
          <w:szCs w:val="20"/>
        </w:rPr>
        <w:t xml:space="preserve"> </w:t>
      </w:r>
      <w:r>
        <w:rPr>
          <w:rFonts w:hint="eastAsia"/>
          <w:sz w:val="20"/>
          <w:szCs w:val="20"/>
        </w:rPr>
        <w:t>坡顶和槽内排水系统设计以及遇滞水排水措施；</w:t>
      </w:r>
    </w:p>
    <w:p w14:paraId="7F04DFF9">
      <w:pPr>
        <w:spacing w:line="340" w:lineRule="exact"/>
        <w:ind w:left="-130" w:leftChars="-62" w:firstLine="512" w:firstLineChars="255"/>
        <w:rPr>
          <w:sz w:val="20"/>
          <w:szCs w:val="20"/>
        </w:rPr>
      </w:pPr>
      <w:r>
        <w:rPr>
          <w:b/>
          <w:bCs/>
          <w:sz w:val="20"/>
          <w:szCs w:val="20"/>
        </w:rPr>
        <w:t xml:space="preserve">12 </w:t>
      </w:r>
      <w:r>
        <w:rPr>
          <w:rFonts w:hint="eastAsia"/>
          <w:sz w:val="20"/>
          <w:szCs w:val="20"/>
        </w:rPr>
        <w:t>提出质量控制及施工与监测要求。</w:t>
      </w:r>
    </w:p>
    <w:p w14:paraId="0A732DC3">
      <w:pPr>
        <w:adjustRightInd w:val="0"/>
        <w:snapToGrid w:val="0"/>
        <w:spacing w:line="288" w:lineRule="auto"/>
        <w:rPr>
          <w:rFonts w:ascii="宋体" w:hAnsi="宋体"/>
          <w:sz w:val="20"/>
          <w:szCs w:val="20"/>
        </w:rPr>
      </w:pPr>
      <w:r>
        <w:rPr>
          <w:b/>
          <w:bCs/>
          <w:kern w:val="0"/>
          <w:sz w:val="20"/>
          <w:szCs w:val="20"/>
        </w:rPr>
        <w:t>8.2.3</w:t>
      </w:r>
      <w:r>
        <w:rPr>
          <w:rFonts w:ascii="宋体" w:hAnsi="宋体"/>
          <w:bCs/>
          <w:sz w:val="20"/>
          <w:szCs w:val="20"/>
        </w:rPr>
        <w:t xml:space="preserve">  </w:t>
      </w:r>
      <w:r>
        <w:rPr>
          <w:rFonts w:hint="eastAsia" w:ascii="宋体" w:hAnsi="宋体"/>
          <w:sz w:val="20"/>
          <w:szCs w:val="20"/>
        </w:rPr>
        <w:t>土钉锚固体与岩土体极限粘结强度参数宜以现场测试结果为依据进行取值。</w:t>
      </w:r>
    </w:p>
    <w:p w14:paraId="3E4FB8E6">
      <w:pPr>
        <w:adjustRightInd w:val="0"/>
        <w:snapToGrid w:val="0"/>
        <w:spacing w:line="288" w:lineRule="auto"/>
        <w:rPr>
          <w:rFonts w:ascii="宋体" w:hAnsi="宋体"/>
          <w:sz w:val="20"/>
          <w:szCs w:val="20"/>
        </w:rPr>
      </w:pPr>
      <w:r>
        <w:rPr>
          <w:b/>
          <w:bCs/>
          <w:kern w:val="0"/>
          <w:sz w:val="20"/>
          <w:szCs w:val="20"/>
        </w:rPr>
        <w:t>8.2.4</w:t>
      </w:r>
      <w:r>
        <w:rPr>
          <w:rFonts w:ascii="宋体" w:hAnsi="宋体"/>
          <w:bCs/>
          <w:sz w:val="20"/>
          <w:szCs w:val="20"/>
        </w:rPr>
        <w:t xml:space="preserve">  </w:t>
      </w:r>
      <w:r>
        <w:rPr>
          <w:rFonts w:hint="eastAsia" w:ascii="宋体" w:hAnsi="宋体"/>
          <w:sz w:val="20"/>
          <w:szCs w:val="20"/>
        </w:rPr>
        <w:t>土钉锚固体与土体极限粘结强度标准值</w:t>
      </w:r>
      <w:r>
        <w:rPr>
          <w:i/>
          <w:sz w:val="20"/>
          <w:szCs w:val="20"/>
        </w:rPr>
        <w:t>q</w:t>
      </w:r>
      <w:r>
        <w:rPr>
          <w:sz w:val="20"/>
          <w:szCs w:val="20"/>
          <w:vertAlign w:val="subscript"/>
        </w:rPr>
        <w:t>sk</w:t>
      </w:r>
      <w:r>
        <w:rPr>
          <w:rFonts w:hint="eastAsia" w:ascii="宋体" w:hAnsi="宋体"/>
          <w:sz w:val="20"/>
          <w:szCs w:val="20"/>
        </w:rPr>
        <w:t>可取现场实测平均值的</w:t>
      </w:r>
      <w:r>
        <w:rPr>
          <w:sz w:val="20"/>
          <w:szCs w:val="20"/>
        </w:rPr>
        <w:t>0.8</w:t>
      </w:r>
      <w:r>
        <w:rPr>
          <w:rFonts w:hint="eastAsia" w:ascii="宋体" w:hAnsi="宋体"/>
          <w:sz w:val="20"/>
          <w:szCs w:val="20"/>
        </w:rPr>
        <w:t>倍。进行初步设计或无现场实测资料时，可按表</w:t>
      </w:r>
      <w:r>
        <w:rPr>
          <w:sz w:val="20"/>
          <w:szCs w:val="20"/>
        </w:rPr>
        <w:t>8.2.4</w:t>
      </w:r>
      <w:r>
        <w:rPr>
          <w:rFonts w:hint="eastAsia" w:ascii="宋体" w:hAnsi="宋体"/>
          <w:sz w:val="20"/>
          <w:szCs w:val="20"/>
        </w:rPr>
        <w:t>的数据取值，施工过程中应按本规程第</w:t>
      </w:r>
      <w:r>
        <w:rPr>
          <w:sz w:val="20"/>
          <w:szCs w:val="20"/>
        </w:rPr>
        <w:t>8.4</w:t>
      </w:r>
      <w:r>
        <w:rPr>
          <w:rFonts w:hint="eastAsia" w:ascii="宋体" w:hAnsi="宋体"/>
          <w:sz w:val="20"/>
          <w:szCs w:val="20"/>
        </w:rPr>
        <w:t>节的规定进行验证、调整。</w:t>
      </w:r>
    </w:p>
    <w:p w14:paraId="23E6D975">
      <w:pPr>
        <w:adjustRightInd w:val="0"/>
        <w:snapToGrid w:val="0"/>
        <w:spacing w:before="156" w:beforeLines="50" w:after="156" w:afterLines="50" w:line="288" w:lineRule="auto"/>
        <w:jc w:val="center"/>
        <w:rPr>
          <w:rFonts w:ascii="宋体" w:hAnsi="宋体"/>
          <w:b/>
          <w:sz w:val="18"/>
          <w:szCs w:val="18"/>
        </w:rPr>
      </w:pPr>
      <w:r>
        <w:rPr>
          <w:rFonts w:hint="eastAsia" w:ascii="宋体" w:hAnsi="宋体"/>
          <w:b/>
          <w:sz w:val="18"/>
          <w:szCs w:val="18"/>
        </w:rPr>
        <w:t>表</w:t>
      </w:r>
      <w:r>
        <w:rPr>
          <w:b/>
          <w:bCs/>
          <w:sz w:val="18"/>
          <w:szCs w:val="18"/>
        </w:rPr>
        <w:t>8.2.4</w:t>
      </w:r>
      <w:r>
        <w:rPr>
          <w:rFonts w:hint="eastAsia" w:ascii="宋体" w:hAnsi="宋体"/>
          <w:b/>
          <w:bCs/>
          <w:sz w:val="18"/>
          <w:szCs w:val="18"/>
        </w:rPr>
        <w:t xml:space="preserve">  </w:t>
      </w:r>
      <w:r>
        <w:rPr>
          <w:rFonts w:hint="eastAsia" w:ascii="宋体" w:hAnsi="宋体"/>
          <w:b/>
          <w:sz w:val="18"/>
          <w:szCs w:val="18"/>
        </w:rPr>
        <w:t>土钉锚固体与土体极限粘结强度标准值</w:t>
      </w:r>
      <w:r>
        <w:rPr>
          <w:b/>
          <w:i/>
          <w:sz w:val="18"/>
          <w:szCs w:val="18"/>
        </w:rPr>
        <w:t>q</w:t>
      </w:r>
      <w:r>
        <w:rPr>
          <w:b/>
          <w:sz w:val="18"/>
          <w:szCs w:val="18"/>
          <w:vertAlign w:val="subscript"/>
        </w:rPr>
        <w:t>sk</w:t>
      </w:r>
    </w:p>
    <w:tbl>
      <w:tblPr>
        <w:tblStyle w:val="34"/>
        <w:tblW w:w="58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45" w:type="dxa"/>
          <w:left w:w="28" w:type="dxa"/>
          <w:bottom w:w="45" w:type="dxa"/>
          <w:right w:w="28" w:type="dxa"/>
        </w:tblCellMar>
      </w:tblPr>
      <w:tblGrid>
        <w:gridCol w:w="1459"/>
        <w:gridCol w:w="2205"/>
        <w:gridCol w:w="2176"/>
      </w:tblGrid>
      <w:tr w14:paraId="333A71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459" w:type="dxa"/>
            <w:tcBorders>
              <w:left w:val="single" w:color="auto" w:sz="4" w:space="0"/>
            </w:tcBorders>
            <w:vAlign w:val="center"/>
          </w:tcPr>
          <w:p w14:paraId="6278E0BB">
            <w:pPr>
              <w:adjustRightInd w:val="0"/>
              <w:snapToGrid w:val="0"/>
              <w:spacing w:line="264" w:lineRule="auto"/>
              <w:jc w:val="center"/>
              <w:rPr>
                <w:sz w:val="15"/>
                <w:szCs w:val="15"/>
              </w:rPr>
            </w:pPr>
            <w:r>
              <w:rPr>
                <w:rFonts w:hAnsi="宋体"/>
                <w:sz w:val="15"/>
                <w:szCs w:val="15"/>
              </w:rPr>
              <w:t>土的名称</w:t>
            </w:r>
          </w:p>
        </w:tc>
        <w:tc>
          <w:tcPr>
            <w:tcW w:w="2205" w:type="dxa"/>
            <w:vAlign w:val="center"/>
          </w:tcPr>
          <w:p w14:paraId="533FD65A">
            <w:pPr>
              <w:adjustRightInd w:val="0"/>
              <w:snapToGrid w:val="0"/>
              <w:spacing w:line="264" w:lineRule="auto"/>
              <w:jc w:val="center"/>
              <w:rPr>
                <w:sz w:val="15"/>
                <w:szCs w:val="15"/>
              </w:rPr>
            </w:pPr>
            <w:r>
              <w:rPr>
                <w:rFonts w:hAnsi="宋体"/>
                <w:sz w:val="15"/>
                <w:szCs w:val="15"/>
              </w:rPr>
              <w:t>土的状态</w:t>
            </w:r>
          </w:p>
        </w:tc>
        <w:tc>
          <w:tcPr>
            <w:tcW w:w="2176" w:type="dxa"/>
            <w:tcBorders>
              <w:right w:val="single" w:color="auto" w:sz="4" w:space="0"/>
            </w:tcBorders>
            <w:vAlign w:val="center"/>
          </w:tcPr>
          <w:p w14:paraId="05E3E85A">
            <w:pPr>
              <w:adjustRightInd w:val="0"/>
              <w:snapToGrid w:val="0"/>
              <w:spacing w:line="264" w:lineRule="auto"/>
              <w:jc w:val="center"/>
              <w:rPr>
                <w:sz w:val="15"/>
                <w:szCs w:val="15"/>
              </w:rPr>
            </w:pPr>
            <w:r>
              <w:rPr>
                <w:i/>
                <w:sz w:val="18"/>
                <w:szCs w:val="18"/>
              </w:rPr>
              <w:t>q</w:t>
            </w:r>
            <w:r>
              <w:rPr>
                <w:sz w:val="18"/>
                <w:szCs w:val="18"/>
                <w:vertAlign w:val="subscript"/>
              </w:rPr>
              <w:t>sk</w:t>
            </w:r>
            <w:r>
              <w:rPr>
                <w:rFonts w:hAnsi="宋体"/>
                <w:sz w:val="15"/>
                <w:szCs w:val="15"/>
              </w:rPr>
              <w:t>（</w:t>
            </w:r>
            <w:r>
              <w:rPr>
                <w:sz w:val="15"/>
                <w:szCs w:val="15"/>
              </w:rPr>
              <w:t>kPa</w:t>
            </w:r>
            <w:r>
              <w:rPr>
                <w:rFonts w:hAnsi="宋体"/>
                <w:sz w:val="15"/>
                <w:szCs w:val="15"/>
              </w:rPr>
              <w:t>）</w:t>
            </w:r>
          </w:p>
        </w:tc>
      </w:tr>
      <w:tr w14:paraId="44B4E2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459" w:type="dxa"/>
            <w:tcBorders>
              <w:left w:val="single" w:color="auto" w:sz="4" w:space="0"/>
            </w:tcBorders>
            <w:vAlign w:val="center"/>
          </w:tcPr>
          <w:p w14:paraId="1F6EBD83">
            <w:pPr>
              <w:adjustRightInd w:val="0"/>
              <w:snapToGrid w:val="0"/>
              <w:spacing w:line="264" w:lineRule="auto"/>
              <w:jc w:val="center"/>
              <w:rPr>
                <w:sz w:val="15"/>
                <w:szCs w:val="15"/>
              </w:rPr>
            </w:pPr>
            <w:r>
              <w:rPr>
                <w:rFonts w:hAnsi="宋体"/>
                <w:sz w:val="15"/>
                <w:szCs w:val="15"/>
              </w:rPr>
              <w:t>填土</w:t>
            </w:r>
          </w:p>
        </w:tc>
        <w:tc>
          <w:tcPr>
            <w:tcW w:w="2205" w:type="dxa"/>
            <w:vAlign w:val="center"/>
          </w:tcPr>
          <w:p w14:paraId="1956E13B">
            <w:pPr>
              <w:adjustRightInd w:val="0"/>
              <w:snapToGrid w:val="0"/>
              <w:spacing w:line="264" w:lineRule="auto"/>
              <w:jc w:val="center"/>
              <w:rPr>
                <w:sz w:val="15"/>
                <w:szCs w:val="15"/>
              </w:rPr>
            </w:pPr>
            <w:r>
              <w:rPr>
                <w:rFonts w:hint="eastAsia"/>
                <w:sz w:val="15"/>
                <w:szCs w:val="15"/>
              </w:rPr>
              <w:t>－</w:t>
            </w:r>
          </w:p>
        </w:tc>
        <w:tc>
          <w:tcPr>
            <w:tcW w:w="2176" w:type="dxa"/>
            <w:tcBorders>
              <w:right w:val="single" w:color="auto" w:sz="4" w:space="0"/>
            </w:tcBorders>
            <w:vAlign w:val="center"/>
          </w:tcPr>
          <w:p w14:paraId="17AF74C5">
            <w:pPr>
              <w:adjustRightInd w:val="0"/>
              <w:snapToGrid w:val="0"/>
              <w:spacing w:line="264" w:lineRule="auto"/>
              <w:jc w:val="center"/>
              <w:rPr>
                <w:sz w:val="15"/>
                <w:szCs w:val="15"/>
              </w:rPr>
            </w:pPr>
            <w:r>
              <w:rPr>
                <w:sz w:val="15"/>
                <w:szCs w:val="15"/>
              </w:rPr>
              <w:t>16～20</w:t>
            </w:r>
          </w:p>
        </w:tc>
      </w:tr>
      <w:tr w14:paraId="43699C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459" w:type="dxa"/>
            <w:tcBorders>
              <w:left w:val="single" w:color="auto" w:sz="4" w:space="0"/>
            </w:tcBorders>
            <w:vAlign w:val="center"/>
          </w:tcPr>
          <w:p w14:paraId="4AA8BE15">
            <w:pPr>
              <w:adjustRightInd w:val="0"/>
              <w:snapToGrid w:val="0"/>
              <w:spacing w:line="264" w:lineRule="auto"/>
              <w:jc w:val="center"/>
              <w:rPr>
                <w:sz w:val="15"/>
                <w:szCs w:val="15"/>
              </w:rPr>
            </w:pPr>
            <w:r>
              <w:rPr>
                <w:rFonts w:hAnsi="宋体"/>
                <w:sz w:val="15"/>
                <w:szCs w:val="15"/>
              </w:rPr>
              <w:t>淤泥</w:t>
            </w:r>
          </w:p>
        </w:tc>
        <w:tc>
          <w:tcPr>
            <w:tcW w:w="2205" w:type="dxa"/>
            <w:vAlign w:val="center"/>
          </w:tcPr>
          <w:p w14:paraId="0437393A">
            <w:pPr>
              <w:adjustRightInd w:val="0"/>
              <w:snapToGrid w:val="0"/>
              <w:spacing w:line="264" w:lineRule="auto"/>
              <w:jc w:val="center"/>
              <w:rPr>
                <w:sz w:val="15"/>
                <w:szCs w:val="15"/>
              </w:rPr>
            </w:pPr>
            <w:r>
              <w:rPr>
                <w:rFonts w:hint="eastAsia"/>
                <w:sz w:val="15"/>
                <w:szCs w:val="15"/>
              </w:rPr>
              <w:t>－</w:t>
            </w:r>
          </w:p>
        </w:tc>
        <w:tc>
          <w:tcPr>
            <w:tcW w:w="2176" w:type="dxa"/>
            <w:tcBorders>
              <w:right w:val="single" w:color="auto" w:sz="4" w:space="0"/>
            </w:tcBorders>
            <w:vAlign w:val="center"/>
          </w:tcPr>
          <w:p w14:paraId="3E524B2F">
            <w:pPr>
              <w:adjustRightInd w:val="0"/>
              <w:snapToGrid w:val="0"/>
              <w:spacing w:line="264" w:lineRule="auto"/>
              <w:jc w:val="center"/>
              <w:rPr>
                <w:sz w:val="15"/>
                <w:szCs w:val="15"/>
              </w:rPr>
            </w:pPr>
            <w:r>
              <w:rPr>
                <w:sz w:val="15"/>
                <w:szCs w:val="15"/>
              </w:rPr>
              <w:t>10～16</w:t>
            </w:r>
          </w:p>
        </w:tc>
      </w:tr>
      <w:tr w14:paraId="38663E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459" w:type="dxa"/>
            <w:tcBorders>
              <w:left w:val="single" w:color="auto" w:sz="4" w:space="0"/>
            </w:tcBorders>
            <w:vAlign w:val="center"/>
          </w:tcPr>
          <w:p w14:paraId="6F1273A8">
            <w:pPr>
              <w:adjustRightInd w:val="0"/>
              <w:snapToGrid w:val="0"/>
              <w:spacing w:line="264" w:lineRule="auto"/>
              <w:jc w:val="center"/>
              <w:rPr>
                <w:sz w:val="15"/>
                <w:szCs w:val="15"/>
              </w:rPr>
            </w:pPr>
            <w:r>
              <w:rPr>
                <w:rFonts w:hAnsi="宋体"/>
                <w:sz w:val="15"/>
                <w:szCs w:val="15"/>
              </w:rPr>
              <w:t>淤泥质土</w:t>
            </w:r>
          </w:p>
        </w:tc>
        <w:tc>
          <w:tcPr>
            <w:tcW w:w="2205" w:type="dxa"/>
            <w:vAlign w:val="center"/>
          </w:tcPr>
          <w:p w14:paraId="353D50EB">
            <w:pPr>
              <w:adjustRightInd w:val="0"/>
              <w:snapToGrid w:val="0"/>
              <w:spacing w:line="264" w:lineRule="auto"/>
              <w:jc w:val="center"/>
              <w:rPr>
                <w:sz w:val="15"/>
                <w:szCs w:val="15"/>
              </w:rPr>
            </w:pPr>
            <w:r>
              <w:rPr>
                <w:rFonts w:hint="eastAsia"/>
                <w:sz w:val="15"/>
                <w:szCs w:val="15"/>
              </w:rPr>
              <w:t>－</w:t>
            </w:r>
          </w:p>
        </w:tc>
        <w:tc>
          <w:tcPr>
            <w:tcW w:w="2176" w:type="dxa"/>
            <w:tcBorders>
              <w:right w:val="single" w:color="auto" w:sz="4" w:space="0"/>
            </w:tcBorders>
            <w:vAlign w:val="center"/>
          </w:tcPr>
          <w:p w14:paraId="40B7E1A4">
            <w:pPr>
              <w:adjustRightInd w:val="0"/>
              <w:snapToGrid w:val="0"/>
              <w:spacing w:line="264" w:lineRule="auto"/>
              <w:jc w:val="center"/>
              <w:rPr>
                <w:sz w:val="15"/>
                <w:szCs w:val="15"/>
              </w:rPr>
            </w:pPr>
            <w:r>
              <w:rPr>
                <w:sz w:val="15"/>
                <w:szCs w:val="15"/>
              </w:rPr>
              <w:t>16～20</w:t>
            </w:r>
          </w:p>
        </w:tc>
      </w:tr>
      <w:tr w14:paraId="7D7514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459" w:type="dxa"/>
            <w:tcBorders>
              <w:left w:val="single" w:color="auto" w:sz="4" w:space="0"/>
            </w:tcBorders>
            <w:vAlign w:val="center"/>
          </w:tcPr>
          <w:p w14:paraId="5EB06D19">
            <w:pPr>
              <w:adjustRightInd w:val="0"/>
              <w:snapToGrid w:val="0"/>
              <w:spacing w:line="264" w:lineRule="auto"/>
              <w:jc w:val="center"/>
              <w:rPr>
                <w:sz w:val="15"/>
                <w:szCs w:val="15"/>
              </w:rPr>
            </w:pPr>
            <w:r>
              <w:rPr>
                <w:rFonts w:hAnsi="宋体"/>
                <w:sz w:val="15"/>
                <w:szCs w:val="15"/>
              </w:rPr>
              <w:t>黏性土</w:t>
            </w:r>
          </w:p>
        </w:tc>
        <w:tc>
          <w:tcPr>
            <w:tcW w:w="2205" w:type="dxa"/>
            <w:vAlign w:val="center"/>
          </w:tcPr>
          <w:p w14:paraId="49F29FC0">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i/>
                <w:sz w:val="15"/>
                <w:szCs w:val="15"/>
              </w:rPr>
              <w:t>I</w:t>
            </w:r>
            <w:r>
              <w:rPr>
                <w:sz w:val="15"/>
                <w:szCs w:val="15"/>
                <w:vertAlign w:val="subscript"/>
              </w:rPr>
              <w:t>L</w:t>
            </w:r>
            <w:r>
              <w:rPr>
                <w:sz w:val="15"/>
                <w:szCs w:val="15"/>
              </w:rPr>
              <w:t>&gt;1</w:t>
            </w:r>
          </w:p>
          <w:p w14:paraId="588B68AE">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0.75&lt;</w:t>
            </w:r>
            <w:r>
              <w:rPr>
                <w:i/>
                <w:sz w:val="15"/>
                <w:szCs w:val="15"/>
              </w:rPr>
              <w:t>I</w:t>
            </w:r>
            <w:r>
              <w:rPr>
                <w:sz w:val="15"/>
                <w:szCs w:val="15"/>
                <w:vertAlign w:val="subscript"/>
              </w:rPr>
              <w:t>L</w:t>
            </w:r>
            <w:r>
              <w:rPr>
                <w:rFonts w:hint="eastAsia" w:ascii="宋体" w:hAnsi="宋体"/>
                <w:sz w:val="15"/>
                <w:szCs w:val="15"/>
              </w:rPr>
              <w:t>≤</w:t>
            </w:r>
            <w:r>
              <w:rPr>
                <w:sz w:val="15"/>
                <w:szCs w:val="15"/>
              </w:rPr>
              <w:t>1</w:t>
            </w:r>
          </w:p>
          <w:p w14:paraId="399CA2A4">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0.50&lt;</w:t>
            </w:r>
            <w:r>
              <w:rPr>
                <w:i/>
                <w:sz w:val="15"/>
                <w:szCs w:val="15"/>
              </w:rPr>
              <w:t>I</w:t>
            </w:r>
            <w:r>
              <w:rPr>
                <w:sz w:val="15"/>
                <w:szCs w:val="15"/>
                <w:vertAlign w:val="subscript"/>
              </w:rPr>
              <w:t>L</w:t>
            </w:r>
            <w:r>
              <w:rPr>
                <w:rFonts w:hint="eastAsia" w:ascii="宋体" w:hAnsi="宋体"/>
                <w:sz w:val="15"/>
                <w:szCs w:val="15"/>
              </w:rPr>
              <w:t>≤</w:t>
            </w:r>
            <w:r>
              <w:rPr>
                <w:sz w:val="15"/>
                <w:szCs w:val="15"/>
              </w:rPr>
              <w:t>0.75</w:t>
            </w:r>
          </w:p>
          <w:p w14:paraId="1B405FA4">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0.25&lt;</w:t>
            </w:r>
            <w:r>
              <w:rPr>
                <w:i/>
                <w:sz w:val="15"/>
                <w:szCs w:val="15"/>
              </w:rPr>
              <w:t>I</w:t>
            </w:r>
            <w:r>
              <w:rPr>
                <w:sz w:val="15"/>
                <w:szCs w:val="15"/>
                <w:vertAlign w:val="subscript"/>
              </w:rPr>
              <w:t>L</w:t>
            </w:r>
            <w:r>
              <w:rPr>
                <w:rFonts w:hint="eastAsia" w:ascii="宋体" w:hAnsi="宋体"/>
                <w:sz w:val="15"/>
                <w:szCs w:val="15"/>
              </w:rPr>
              <w:t>≤</w:t>
            </w:r>
            <w:r>
              <w:rPr>
                <w:sz w:val="15"/>
                <w:szCs w:val="15"/>
              </w:rPr>
              <w:t>0.50</w:t>
            </w:r>
          </w:p>
          <w:p w14:paraId="2D585FA5">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0.0&lt;</w:t>
            </w:r>
            <w:r>
              <w:rPr>
                <w:i/>
                <w:sz w:val="15"/>
                <w:szCs w:val="15"/>
              </w:rPr>
              <w:t>I</w:t>
            </w:r>
            <w:r>
              <w:rPr>
                <w:sz w:val="15"/>
                <w:szCs w:val="15"/>
                <w:vertAlign w:val="subscript"/>
              </w:rPr>
              <w:t>L</w:t>
            </w:r>
            <w:r>
              <w:rPr>
                <w:rFonts w:hint="eastAsia" w:ascii="宋体" w:hAnsi="宋体"/>
                <w:sz w:val="15"/>
                <w:szCs w:val="15"/>
              </w:rPr>
              <w:t>≤</w:t>
            </w:r>
            <w:r>
              <w:rPr>
                <w:sz w:val="15"/>
                <w:szCs w:val="15"/>
              </w:rPr>
              <w:t>0.25</w:t>
            </w:r>
          </w:p>
          <w:p w14:paraId="24B452C2">
            <w:pPr>
              <w:adjustRightInd w:val="0"/>
              <w:snapToGrid w:val="0"/>
              <w:spacing w:line="264" w:lineRule="auto"/>
              <w:jc w:val="center"/>
              <w:rPr>
                <w:sz w:val="15"/>
                <w:szCs w:val="15"/>
              </w:rPr>
            </w:pPr>
            <w:r>
              <w:rPr>
                <w:i/>
                <w:sz w:val="15"/>
                <w:szCs w:val="15"/>
              </w:rPr>
              <w:t>I</w:t>
            </w:r>
            <w:r>
              <w:rPr>
                <w:sz w:val="15"/>
                <w:szCs w:val="15"/>
                <w:vertAlign w:val="subscript"/>
              </w:rPr>
              <w:t>L</w:t>
            </w:r>
            <w:r>
              <w:rPr>
                <w:rFonts w:hint="eastAsia" w:ascii="宋体" w:hAnsi="宋体"/>
                <w:sz w:val="15"/>
                <w:szCs w:val="15"/>
              </w:rPr>
              <w:t>≤</w:t>
            </w:r>
            <w:r>
              <w:rPr>
                <w:sz w:val="15"/>
                <w:szCs w:val="15"/>
              </w:rPr>
              <w:t>0.0</w:t>
            </w:r>
          </w:p>
        </w:tc>
        <w:tc>
          <w:tcPr>
            <w:tcW w:w="2176" w:type="dxa"/>
            <w:tcBorders>
              <w:right w:val="single" w:color="auto" w:sz="4" w:space="0"/>
            </w:tcBorders>
            <w:vAlign w:val="center"/>
          </w:tcPr>
          <w:p w14:paraId="5B6A047D">
            <w:pPr>
              <w:adjustRightInd w:val="0"/>
              <w:snapToGrid w:val="0"/>
              <w:spacing w:line="264" w:lineRule="auto"/>
              <w:jc w:val="center"/>
              <w:rPr>
                <w:sz w:val="15"/>
                <w:szCs w:val="15"/>
              </w:rPr>
            </w:pPr>
            <w:r>
              <w:rPr>
                <w:sz w:val="15"/>
                <w:szCs w:val="15"/>
              </w:rPr>
              <w:t>18～30</w:t>
            </w:r>
          </w:p>
          <w:p w14:paraId="68BF191A">
            <w:pPr>
              <w:adjustRightInd w:val="0"/>
              <w:snapToGrid w:val="0"/>
              <w:spacing w:line="264" w:lineRule="auto"/>
              <w:jc w:val="center"/>
              <w:rPr>
                <w:sz w:val="15"/>
                <w:szCs w:val="15"/>
              </w:rPr>
            </w:pPr>
            <w:r>
              <w:rPr>
                <w:sz w:val="15"/>
                <w:szCs w:val="15"/>
              </w:rPr>
              <w:t>30～40</w:t>
            </w:r>
          </w:p>
          <w:p w14:paraId="37D4F7C5">
            <w:pPr>
              <w:adjustRightInd w:val="0"/>
              <w:snapToGrid w:val="0"/>
              <w:spacing w:line="264" w:lineRule="auto"/>
              <w:jc w:val="center"/>
              <w:rPr>
                <w:sz w:val="15"/>
                <w:szCs w:val="15"/>
              </w:rPr>
            </w:pPr>
            <w:r>
              <w:rPr>
                <w:sz w:val="15"/>
                <w:szCs w:val="15"/>
              </w:rPr>
              <w:t>40～53</w:t>
            </w:r>
          </w:p>
          <w:p w14:paraId="6F0E9BBE">
            <w:pPr>
              <w:adjustRightInd w:val="0"/>
              <w:snapToGrid w:val="0"/>
              <w:spacing w:line="264" w:lineRule="auto"/>
              <w:jc w:val="center"/>
              <w:rPr>
                <w:sz w:val="15"/>
                <w:szCs w:val="15"/>
              </w:rPr>
            </w:pPr>
            <w:r>
              <w:rPr>
                <w:sz w:val="15"/>
                <w:szCs w:val="15"/>
              </w:rPr>
              <w:t>53～65</w:t>
            </w:r>
          </w:p>
          <w:p w14:paraId="6AFBF2E7">
            <w:pPr>
              <w:adjustRightInd w:val="0"/>
              <w:snapToGrid w:val="0"/>
              <w:spacing w:line="264" w:lineRule="auto"/>
              <w:jc w:val="center"/>
              <w:rPr>
                <w:sz w:val="15"/>
                <w:szCs w:val="15"/>
              </w:rPr>
            </w:pPr>
            <w:r>
              <w:rPr>
                <w:sz w:val="15"/>
                <w:szCs w:val="15"/>
              </w:rPr>
              <w:t>65～73</w:t>
            </w:r>
          </w:p>
          <w:p w14:paraId="2A91BB48">
            <w:pPr>
              <w:adjustRightInd w:val="0"/>
              <w:snapToGrid w:val="0"/>
              <w:spacing w:line="264" w:lineRule="auto"/>
              <w:jc w:val="center"/>
              <w:rPr>
                <w:sz w:val="15"/>
                <w:szCs w:val="15"/>
              </w:rPr>
            </w:pPr>
            <w:r>
              <w:rPr>
                <w:sz w:val="15"/>
                <w:szCs w:val="15"/>
              </w:rPr>
              <w:t>73～80</w:t>
            </w:r>
          </w:p>
        </w:tc>
      </w:tr>
      <w:tr w14:paraId="0FEE7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459" w:type="dxa"/>
            <w:tcBorders>
              <w:left w:val="single" w:color="auto" w:sz="4" w:space="0"/>
            </w:tcBorders>
            <w:vAlign w:val="center"/>
          </w:tcPr>
          <w:p w14:paraId="226DDB19">
            <w:pPr>
              <w:adjustRightInd w:val="0"/>
              <w:snapToGrid w:val="0"/>
              <w:spacing w:line="264" w:lineRule="auto"/>
              <w:jc w:val="center"/>
              <w:rPr>
                <w:sz w:val="15"/>
                <w:szCs w:val="15"/>
              </w:rPr>
            </w:pPr>
            <w:r>
              <w:rPr>
                <w:rFonts w:hAnsi="宋体"/>
                <w:sz w:val="15"/>
                <w:szCs w:val="15"/>
              </w:rPr>
              <w:t>粉土</w:t>
            </w:r>
          </w:p>
        </w:tc>
        <w:tc>
          <w:tcPr>
            <w:tcW w:w="2205" w:type="dxa"/>
            <w:vAlign w:val="center"/>
          </w:tcPr>
          <w:p w14:paraId="239CAECD">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e&gt;0.90</w:t>
            </w:r>
          </w:p>
          <w:p w14:paraId="22A53425">
            <w:pPr>
              <w:tabs>
                <w:tab w:val="left" w:pos="720"/>
                <w:tab w:val="left" w:pos="854"/>
                <w:tab w:val="left" w:pos="1620"/>
                <w:tab w:val="left" w:pos="2160"/>
                <w:tab w:val="left" w:pos="3060"/>
                <w:tab w:val="left" w:pos="7020"/>
              </w:tabs>
              <w:adjustRightInd w:val="0"/>
              <w:snapToGrid w:val="0"/>
              <w:spacing w:line="264" w:lineRule="auto"/>
              <w:jc w:val="center"/>
              <w:rPr>
                <w:sz w:val="15"/>
                <w:szCs w:val="15"/>
              </w:rPr>
            </w:pPr>
            <w:r>
              <w:rPr>
                <w:sz w:val="15"/>
                <w:szCs w:val="15"/>
              </w:rPr>
              <w:t>0.75&lt;e</w:t>
            </w:r>
            <w:r>
              <w:rPr>
                <w:rFonts w:hint="eastAsia" w:ascii="宋体" w:hAnsi="宋体"/>
                <w:sz w:val="15"/>
                <w:szCs w:val="15"/>
              </w:rPr>
              <w:t>≤</w:t>
            </w:r>
            <w:r>
              <w:rPr>
                <w:sz w:val="15"/>
                <w:szCs w:val="15"/>
              </w:rPr>
              <w:t>0.90</w:t>
            </w:r>
          </w:p>
          <w:p w14:paraId="2573AA9D">
            <w:pPr>
              <w:adjustRightInd w:val="0"/>
              <w:snapToGrid w:val="0"/>
              <w:spacing w:line="264" w:lineRule="auto"/>
              <w:jc w:val="center"/>
              <w:rPr>
                <w:sz w:val="15"/>
                <w:szCs w:val="15"/>
              </w:rPr>
            </w:pPr>
            <w:r>
              <w:rPr>
                <w:sz w:val="15"/>
                <w:szCs w:val="15"/>
              </w:rPr>
              <w:t>e</w:t>
            </w:r>
            <w:r>
              <w:rPr>
                <w:rFonts w:hint="eastAsia" w:ascii="宋体" w:hAnsi="宋体"/>
                <w:sz w:val="15"/>
                <w:szCs w:val="15"/>
              </w:rPr>
              <w:t>≤</w:t>
            </w:r>
            <w:r>
              <w:rPr>
                <w:sz w:val="15"/>
                <w:szCs w:val="15"/>
              </w:rPr>
              <w:t>0.75</w:t>
            </w:r>
          </w:p>
        </w:tc>
        <w:tc>
          <w:tcPr>
            <w:tcW w:w="2176" w:type="dxa"/>
            <w:tcBorders>
              <w:right w:val="single" w:color="auto" w:sz="4" w:space="0"/>
            </w:tcBorders>
            <w:vAlign w:val="center"/>
          </w:tcPr>
          <w:p w14:paraId="456FBDF8">
            <w:pPr>
              <w:adjustRightInd w:val="0"/>
              <w:snapToGrid w:val="0"/>
              <w:spacing w:line="264" w:lineRule="auto"/>
              <w:jc w:val="center"/>
              <w:rPr>
                <w:sz w:val="15"/>
                <w:szCs w:val="15"/>
              </w:rPr>
            </w:pPr>
            <w:r>
              <w:rPr>
                <w:sz w:val="15"/>
                <w:szCs w:val="15"/>
              </w:rPr>
              <w:t>20～40</w:t>
            </w:r>
          </w:p>
          <w:p w14:paraId="7BA187AD">
            <w:pPr>
              <w:adjustRightInd w:val="0"/>
              <w:snapToGrid w:val="0"/>
              <w:spacing w:line="264" w:lineRule="auto"/>
              <w:jc w:val="center"/>
              <w:rPr>
                <w:sz w:val="15"/>
                <w:szCs w:val="15"/>
              </w:rPr>
            </w:pPr>
            <w:r>
              <w:rPr>
                <w:sz w:val="15"/>
                <w:szCs w:val="15"/>
              </w:rPr>
              <w:t>40～60</w:t>
            </w:r>
          </w:p>
          <w:p w14:paraId="089C466B">
            <w:pPr>
              <w:adjustRightInd w:val="0"/>
              <w:snapToGrid w:val="0"/>
              <w:spacing w:line="264" w:lineRule="auto"/>
              <w:jc w:val="center"/>
              <w:rPr>
                <w:sz w:val="15"/>
                <w:szCs w:val="15"/>
              </w:rPr>
            </w:pPr>
            <w:r>
              <w:rPr>
                <w:sz w:val="15"/>
                <w:szCs w:val="15"/>
              </w:rPr>
              <w:t>60～90</w:t>
            </w:r>
          </w:p>
        </w:tc>
      </w:tr>
      <w:tr w14:paraId="702183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459" w:type="dxa"/>
            <w:tcBorders>
              <w:left w:val="single" w:color="auto" w:sz="4" w:space="0"/>
            </w:tcBorders>
            <w:vAlign w:val="center"/>
          </w:tcPr>
          <w:p w14:paraId="722CE5CC">
            <w:pPr>
              <w:adjustRightInd w:val="0"/>
              <w:snapToGrid w:val="0"/>
              <w:spacing w:line="264" w:lineRule="auto"/>
              <w:jc w:val="center"/>
              <w:rPr>
                <w:sz w:val="15"/>
                <w:szCs w:val="15"/>
              </w:rPr>
            </w:pPr>
            <w:r>
              <w:rPr>
                <w:rFonts w:hAnsi="宋体"/>
                <w:sz w:val="15"/>
                <w:szCs w:val="15"/>
              </w:rPr>
              <w:t>粉细砂</w:t>
            </w:r>
          </w:p>
        </w:tc>
        <w:tc>
          <w:tcPr>
            <w:tcW w:w="2205" w:type="dxa"/>
            <w:vAlign w:val="center"/>
          </w:tcPr>
          <w:p w14:paraId="17BB3E8B">
            <w:pPr>
              <w:adjustRightInd w:val="0"/>
              <w:snapToGrid w:val="0"/>
              <w:spacing w:line="264" w:lineRule="auto"/>
              <w:jc w:val="center"/>
              <w:rPr>
                <w:sz w:val="15"/>
                <w:szCs w:val="15"/>
              </w:rPr>
            </w:pPr>
            <w:r>
              <w:rPr>
                <w:rFonts w:hAnsi="宋体"/>
                <w:sz w:val="15"/>
                <w:szCs w:val="15"/>
              </w:rPr>
              <w:t>稍密</w:t>
            </w:r>
          </w:p>
          <w:p w14:paraId="4FF66297">
            <w:pPr>
              <w:adjustRightInd w:val="0"/>
              <w:snapToGrid w:val="0"/>
              <w:spacing w:line="264" w:lineRule="auto"/>
              <w:jc w:val="center"/>
              <w:rPr>
                <w:sz w:val="15"/>
                <w:szCs w:val="15"/>
              </w:rPr>
            </w:pPr>
            <w:r>
              <w:rPr>
                <w:rFonts w:hAnsi="宋体"/>
                <w:sz w:val="15"/>
                <w:szCs w:val="15"/>
              </w:rPr>
              <w:t>中密</w:t>
            </w:r>
          </w:p>
          <w:p w14:paraId="7A5ED2DF">
            <w:pPr>
              <w:adjustRightInd w:val="0"/>
              <w:snapToGrid w:val="0"/>
              <w:spacing w:line="264" w:lineRule="auto"/>
              <w:jc w:val="center"/>
              <w:rPr>
                <w:sz w:val="15"/>
                <w:szCs w:val="15"/>
              </w:rPr>
            </w:pPr>
            <w:r>
              <w:rPr>
                <w:rFonts w:hAnsi="宋体"/>
                <w:sz w:val="15"/>
                <w:szCs w:val="15"/>
              </w:rPr>
              <w:t>密实</w:t>
            </w:r>
          </w:p>
        </w:tc>
        <w:tc>
          <w:tcPr>
            <w:tcW w:w="2176" w:type="dxa"/>
            <w:tcBorders>
              <w:right w:val="single" w:color="auto" w:sz="4" w:space="0"/>
            </w:tcBorders>
            <w:vAlign w:val="center"/>
          </w:tcPr>
          <w:p w14:paraId="5D3E0284">
            <w:pPr>
              <w:adjustRightInd w:val="0"/>
              <w:snapToGrid w:val="0"/>
              <w:spacing w:line="264" w:lineRule="auto"/>
              <w:jc w:val="center"/>
              <w:rPr>
                <w:sz w:val="15"/>
                <w:szCs w:val="15"/>
              </w:rPr>
            </w:pPr>
            <w:r>
              <w:rPr>
                <w:sz w:val="15"/>
                <w:szCs w:val="15"/>
              </w:rPr>
              <w:t>20～40</w:t>
            </w:r>
          </w:p>
          <w:p w14:paraId="65CBA8CB">
            <w:pPr>
              <w:adjustRightInd w:val="0"/>
              <w:snapToGrid w:val="0"/>
              <w:spacing w:line="264" w:lineRule="auto"/>
              <w:jc w:val="center"/>
              <w:rPr>
                <w:sz w:val="15"/>
                <w:szCs w:val="15"/>
              </w:rPr>
            </w:pPr>
            <w:r>
              <w:rPr>
                <w:sz w:val="15"/>
                <w:szCs w:val="15"/>
              </w:rPr>
              <w:t>40～60</w:t>
            </w:r>
          </w:p>
          <w:p w14:paraId="4F85323B">
            <w:pPr>
              <w:adjustRightInd w:val="0"/>
              <w:snapToGrid w:val="0"/>
              <w:spacing w:line="264" w:lineRule="auto"/>
              <w:jc w:val="center"/>
              <w:rPr>
                <w:sz w:val="15"/>
                <w:szCs w:val="15"/>
              </w:rPr>
            </w:pPr>
            <w:r>
              <w:rPr>
                <w:sz w:val="15"/>
                <w:szCs w:val="15"/>
              </w:rPr>
              <w:t>60～80</w:t>
            </w:r>
          </w:p>
        </w:tc>
      </w:tr>
      <w:tr w14:paraId="5DB67B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459" w:type="dxa"/>
            <w:tcBorders>
              <w:left w:val="single" w:color="auto" w:sz="4" w:space="0"/>
            </w:tcBorders>
            <w:vAlign w:val="center"/>
          </w:tcPr>
          <w:p w14:paraId="0AB96444">
            <w:pPr>
              <w:adjustRightInd w:val="0"/>
              <w:snapToGrid w:val="0"/>
              <w:spacing w:line="264" w:lineRule="auto"/>
              <w:jc w:val="center"/>
              <w:rPr>
                <w:sz w:val="15"/>
                <w:szCs w:val="15"/>
              </w:rPr>
            </w:pPr>
            <w:r>
              <w:rPr>
                <w:rFonts w:hAnsi="宋体"/>
                <w:sz w:val="15"/>
                <w:szCs w:val="15"/>
              </w:rPr>
              <w:t>中砂</w:t>
            </w:r>
          </w:p>
        </w:tc>
        <w:tc>
          <w:tcPr>
            <w:tcW w:w="2205" w:type="dxa"/>
            <w:vAlign w:val="center"/>
          </w:tcPr>
          <w:p w14:paraId="7F4F4BAE">
            <w:pPr>
              <w:adjustRightInd w:val="0"/>
              <w:snapToGrid w:val="0"/>
              <w:spacing w:line="264" w:lineRule="auto"/>
              <w:jc w:val="center"/>
              <w:rPr>
                <w:sz w:val="15"/>
                <w:szCs w:val="15"/>
              </w:rPr>
            </w:pPr>
            <w:r>
              <w:rPr>
                <w:rFonts w:hAnsi="宋体"/>
                <w:sz w:val="15"/>
                <w:szCs w:val="15"/>
              </w:rPr>
              <w:t>稍密</w:t>
            </w:r>
          </w:p>
          <w:p w14:paraId="70E2215B">
            <w:pPr>
              <w:adjustRightInd w:val="0"/>
              <w:snapToGrid w:val="0"/>
              <w:spacing w:line="264" w:lineRule="auto"/>
              <w:jc w:val="center"/>
              <w:rPr>
                <w:sz w:val="15"/>
                <w:szCs w:val="15"/>
              </w:rPr>
            </w:pPr>
            <w:r>
              <w:rPr>
                <w:rFonts w:hAnsi="宋体"/>
                <w:sz w:val="15"/>
                <w:szCs w:val="15"/>
              </w:rPr>
              <w:t>中密</w:t>
            </w:r>
          </w:p>
          <w:p w14:paraId="4674390A">
            <w:pPr>
              <w:adjustRightInd w:val="0"/>
              <w:snapToGrid w:val="0"/>
              <w:spacing w:line="264" w:lineRule="auto"/>
              <w:jc w:val="center"/>
              <w:rPr>
                <w:sz w:val="15"/>
                <w:szCs w:val="15"/>
              </w:rPr>
            </w:pPr>
            <w:r>
              <w:rPr>
                <w:rFonts w:hAnsi="宋体"/>
                <w:sz w:val="15"/>
                <w:szCs w:val="15"/>
              </w:rPr>
              <w:t>密实</w:t>
            </w:r>
          </w:p>
        </w:tc>
        <w:tc>
          <w:tcPr>
            <w:tcW w:w="2176" w:type="dxa"/>
            <w:tcBorders>
              <w:right w:val="single" w:color="auto" w:sz="4" w:space="0"/>
            </w:tcBorders>
            <w:vAlign w:val="center"/>
          </w:tcPr>
          <w:p w14:paraId="4666E3C9">
            <w:pPr>
              <w:adjustRightInd w:val="0"/>
              <w:snapToGrid w:val="0"/>
              <w:spacing w:line="264" w:lineRule="auto"/>
              <w:jc w:val="center"/>
              <w:rPr>
                <w:sz w:val="15"/>
                <w:szCs w:val="15"/>
              </w:rPr>
            </w:pPr>
            <w:r>
              <w:rPr>
                <w:sz w:val="15"/>
                <w:szCs w:val="15"/>
              </w:rPr>
              <w:t>40～60</w:t>
            </w:r>
          </w:p>
          <w:p w14:paraId="4F8687A4">
            <w:pPr>
              <w:adjustRightInd w:val="0"/>
              <w:snapToGrid w:val="0"/>
              <w:spacing w:line="264" w:lineRule="auto"/>
              <w:jc w:val="center"/>
              <w:rPr>
                <w:sz w:val="15"/>
                <w:szCs w:val="15"/>
              </w:rPr>
            </w:pPr>
            <w:r>
              <w:rPr>
                <w:sz w:val="15"/>
                <w:szCs w:val="15"/>
              </w:rPr>
              <w:t>60～70</w:t>
            </w:r>
          </w:p>
          <w:p w14:paraId="4E1A21FD">
            <w:pPr>
              <w:adjustRightInd w:val="0"/>
              <w:snapToGrid w:val="0"/>
              <w:spacing w:line="264" w:lineRule="auto"/>
              <w:jc w:val="center"/>
              <w:rPr>
                <w:sz w:val="15"/>
                <w:szCs w:val="15"/>
              </w:rPr>
            </w:pPr>
            <w:r>
              <w:rPr>
                <w:sz w:val="15"/>
                <w:szCs w:val="15"/>
              </w:rPr>
              <w:t>70～90</w:t>
            </w:r>
          </w:p>
        </w:tc>
      </w:tr>
      <w:tr w14:paraId="2465CC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459" w:type="dxa"/>
            <w:tcBorders>
              <w:left w:val="single" w:color="auto" w:sz="4" w:space="0"/>
            </w:tcBorders>
            <w:vAlign w:val="center"/>
          </w:tcPr>
          <w:p w14:paraId="1E1E5BA2">
            <w:pPr>
              <w:adjustRightInd w:val="0"/>
              <w:snapToGrid w:val="0"/>
              <w:spacing w:line="264" w:lineRule="auto"/>
              <w:jc w:val="center"/>
              <w:rPr>
                <w:rFonts w:hAnsi="宋体"/>
                <w:sz w:val="15"/>
                <w:szCs w:val="15"/>
              </w:rPr>
            </w:pPr>
            <w:r>
              <w:rPr>
                <w:rFonts w:hint="eastAsia" w:ascii="宋体" w:hAnsi="宋体"/>
                <w:sz w:val="15"/>
                <w:szCs w:val="15"/>
              </w:rPr>
              <w:t>粗砂</w:t>
            </w:r>
          </w:p>
        </w:tc>
        <w:tc>
          <w:tcPr>
            <w:tcW w:w="2205" w:type="dxa"/>
            <w:vAlign w:val="center"/>
          </w:tcPr>
          <w:p w14:paraId="72848382">
            <w:pPr>
              <w:adjustRightInd w:val="0"/>
              <w:snapToGrid w:val="0"/>
              <w:spacing w:line="264" w:lineRule="auto"/>
              <w:jc w:val="center"/>
              <w:rPr>
                <w:rFonts w:ascii="宋体" w:hAnsi="宋体"/>
                <w:sz w:val="15"/>
                <w:szCs w:val="15"/>
              </w:rPr>
            </w:pPr>
            <w:r>
              <w:rPr>
                <w:rFonts w:hint="eastAsia" w:ascii="宋体" w:hAnsi="宋体"/>
                <w:sz w:val="15"/>
                <w:szCs w:val="15"/>
              </w:rPr>
              <w:t>稍密</w:t>
            </w:r>
          </w:p>
          <w:p w14:paraId="7C6FDE22">
            <w:pPr>
              <w:adjustRightInd w:val="0"/>
              <w:snapToGrid w:val="0"/>
              <w:spacing w:line="264" w:lineRule="auto"/>
              <w:jc w:val="center"/>
              <w:rPr>
                <w:rFonts w:ascii="宋体" w:hAnsi="宋体"/>
                <w:sz w:val="15"/>
                <w:szCs w:val="15"/>
              </w:rPr>
            </w:pPr>
            <w:r>
              <w:rPr>
                <w:rFonts w:hint="eastAsia" w:ascii="宋体" w:hAnsi="宋体"/>
                <w:sz w:val="15"/>
                <w:szCs w:val="15"/>
              </w:rPr>
              <w:t>中密</w:t>
            </w:r>
          </w:p>
          <w:p w14:paraId="7D3408B3">
            <w:pPr>
              <w:adjustRightInd w:val="0"/>
              <w:snapToGrid w:val="0"/>
              <w:spacing w:line="264" w:lineRule="auto"/>
              <w:jc w:val="center"/>
              <w:rPr>
                <w:rFonts w:hAnsi="宋体"/>
                <w:sz w:val="15"/>
                <w:szCs w:val="15"/>
              </w:rPr>
            </w:pPr>
            <w:r>
              <w:rPr>
                <w:rFonts w:hint="eastAsia" w:ascii="宋体" w:hAnsi="宋体"/>
                <w:sz w:val="15"/>
                <w:szCs w:val="15"/>
              </w:rPr>
              <w:t>密实</w:t>
            </w:r>
          </w:p>
        </w:tc>
        <w:tc>
          <w:tcPr>
            <w:tcW w:w="2176" w:type="dxa"/>
            <w:tcBorders>
              <w:right w:val="single" w:color="auto" w:sz="4" w:space="0"/>
            </w:tcBorders>
            <w:vAlign w:val="center"/>
          </w:tcPr>
          <w:p w14:paraId="7DB81112">
            <w:pPr>
              <w:adjustRightInd w:val="0"/>
              <w:snapToGrid w:val="0"/>
              <w:spacing w:line="264" w:lineRule="auto"/>
              <w:jc w:val="center"/>
              <w:rPr>
                <w:sz w:val="15"/>
                <w:szCs w:val="15"/>
              </w:rPr>
            </w:pPr>
            <w:r>
              <w:rPr>
                <w:sz w:val="15"/>
                <w:szCs w:val="15"/>
              </w:rPr>
              <w:t>60</w:t>
            </w:r>
            <w:r>
              <w:rPr>
                <w:rFonts w:hAnsi="宋体"/>
                <w:sz w:val="15"/>
                <w:szCs w:val="15"/>
              </w:rPr>
              <w:t>～</w:t>
            </w:r>
            <w:r>
              <w:rPr>
                <w:sz w:val="15"/>
                <w:szCs w:val="15"/>
              </w:rPr>
              <w:t>90</w:t>
            </w:r>
          </w:p>
          <w:p w14:paraId="2CBC03E3">
            <w:pPr>
              <w:adjustRightInd w:val="0"/>
              <w:snapToGrid w:val="0"/>
              <w:spacing w:line="264" w:lineRule="auto"/>
              <w:jc w:val="center"/>
              <w:rPr>
                <w:sz w:val="15"/>
                <w:szCs w:val="15"/>
              </w:rPr>
            </w:pPr>
            <w:r>
              <w:rPr>
                <w:sz w:val="15"/>
                <w:szCs w:val="15"/>
              </w:rPr>
              <w:t>90</w:t>
            </w:r>
            <w:r>
              <w:rPr>
                <w:rFonts w:hAnsi="宋体"/>
                <w:sz w:val="15"/>
                <w:szCs w:val="15"/>
              </w:rPr>
              <w:t>～</w:t>
            </w:r>
            <w:r>
              <w:rPr>
                <w:sz w:val="15"/>
                <w:szCs w:val="15"/>
              </w:rPr>
              <w:t>120</w:t>
            </w:r>
          </w:p>
          <w:p w14:paraId="09D7ABA1">
            <w:pPr>
              <w:adjustRightInd w:val="0"/>
              <w:snapToGrid w:val="0"/>
              <w:spacing w:line="264" w:lineRule="auto"/>
              <w:jc w:val="center"/>
              <w:rPr>
                <w:sz w:val="15"/>
                <w:szCs w:val="15"/>
              </w:rPr>
            </w:pPr>
            <w:r>
              <w:rPr>
                <w:sz w:val="15"/>
                <w:szCs w:val="15"/>
              </w:rPr>
              <w:t>120</w:t>
            </w:r>
            <w:r>
              <w:rPr>
                <w:rFonts w:hAnsi="宋体"/>
                <w:sz w:val="15"/>
                <w:szCs w:val="15"/>
              </w:rPr>
              <w:t>～</w:t>
            </w:r>
            <w:r>
              <w:rPr>
                <w:sz w:val="15"/>
                <w:szCs w:val="15"/>
              </w:rPr>
              <w:t>150</w:t>
            </w:r>
          </w:p>
        </w:tc>
      </w:tr>
      <w:tr w14:paraId="517D3A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45" w:type="dxa"/>
            <w:left w:w="28" w:type="dxa"/>
            <w:bottom w:w="45" w:type="dxa"/>
            <w:right w:w="28" w:type="dxa"/>
          </w:tblCellMar>
        </w:tblPrEx>
        <w:trPr>
          <w:jc w:val="center"/>
        </w:trPr>
        <w:tc>
          <w:tcPr>
            <w:tcW w:w="1459" w:type="dxa"/>
            <w:tcBorders>
              <w:left w:val="single" w:color="auto" w:sz="4" w:space="0"/>
            </w:tcBorders>
            <w:vAlign w:val="center"/>
          </w:tcPr>
          <w:p w14:paraId="3F338584">
            <w:pPr>
              <w:adjustRightInd w:val="0"/>
              <w:snapToGrid w:val="0"/>
              <w:spacing w:line="264" w:lineRule="auto"/>
              <w:jc w:val="center"/>
              <w:rPr>
                <w:rFonts w:hAnsi="宋体"/>
                <w:sz w:val="15"/>
                <w:szCs w:val="15"/>
              </w:rPr>
            </w:pPr>
            <w:r>
              <w:rPr>
                <w:rFonts w:hint="eastAsia" w:ascii="宋体" w:hAnsi="宋体"/>
                <w:sz w:val="15"/>
                <w:szCs w:val="15"/>
              </w:rPr>
              <w:t>砾砂、卵石</w:t>
            </w:r>
          </w:p>
        </w:tc>
        <w:tc>
          <w:tcPr>
            <w:tcW w:w="2205" w:type="dxa"/>
            <w:vAlign w:val="center"/>
          </w:tcPr>
          <w:p w14:paraId="5F5EB216">
            <w:pPr>
              <w:adjustRightInd w:val="0"/>
              <w:snapToGrid w:val="0"/>
              <w:spacing w:line="264" w:lineRule="auto"/>
              <w:jc w:val="center"/>
              <w:rPr>
                <w:rFonts w:hAnsi="宋体"/>
                <w:sz w:val="15"/>
                <w:szCs w:val="15"/>
              </w:rPr>
            </w:pPr>
            <w:r>
              <w:rPr>
                <w:rFonts w:hint="eastAsia" w:ascii="宋体" w:hAnsi="宋体"/>
                <w:sz w:val="15"/>
                <w:szCs w:val="15"/>
              </w:rPr>
              <w:t>中密、密实</w:t>
            </w:r>
          </w:p>
        </w:tc>
        <w:tc>
          <w:tcPr>
            <w:tcW w:w="2176" w:type="dxa"/>
            <w:tcBorders>
              <w:right w:val="single" w:color="auto" w:sz="4" w:space="0"/>
            </w:tcBorders>
            <w:vAlign w:val="center"/>
          </w:tcPr>
          <w:p w14:paraId="0FFA851F">
            <w:pPr>
              <w:adjustRightInd w:val="0"/>
              <w:snapToGrid w:val="0"/>
              <w:spacing w:line="264" w:lineRule="auto"/>
              <w:jc w:val="center"/>
              <w:rPr>
                <w:sz w:val="15"/>
                <w:szCs w:val="15"/>
              </w:rPr>
            </w:pPr>
            <w:r>
              <w:rPr>
                <w:sz w:val="15"/>
                <w:szCs w:val="15"/>
              </w:rPr>
              <w:t>130</w:t>
            </w:r>
            <w:r>
              <w:rPr>
                <w:rFonts w:hAnsi="宋体"/>
                <w:sz w:val="15"/>
                <w:szCs w:val="15"/>
              </w:rPr>
              <w:t>～</w:t>
            </w:r>
            <w:r>
              <w:rPr>
                <w:sz w:val="15"/>
                <w:szCs w:val="15"/>
              </w:rPr>
              <w:t>160</w:t>
            </w:r>
          </w:p>
        </w:tc>
      </w:tr>
    </w:tbl>
    <w:p w14:paraId="718AD5C3"/>
    <w:p w14:paraId="0CFEAB2C">
      <w:pPr>
        <w:adjustRightInd w:val="0"/>
        <w:snapToGrid w:val="0"/>
        <w:spacing w:after="156" w:afterLines="50" w:line="288" w:lineRule="auto"/>
        <w:ind w:left="640" w:leftChars="199" w:hanging="222" w:hangingChars="148"/>
        <w:rPr>
          <w:rFonts w:ascii="宋体" w:hAnsi="宋体"/>
          <w:sz w:val="15"/>
          <w:szCs w:val="15"/>
        </w:rPr>
      </w:pPr>
      <w:r>
        <w:rPr>
          <w:rFonts w:hint="eastAsia" w:ascii="宋体" w:hAnsi="宋体"/>
          <w:sz w:val="15"/>
          <w:szCs w:val="15"/>
        </w:rPr>
        <w:t>注：表中数据为常压注浆值，当采用高压注浆时可按试验确定或按经验适当提高；当采用打入式钢管土钉时，表中数值可上调</w:t>
      </w:r>
      <w:r>
        <w:rPr>
          <w:sz w:val="15"/>
          <w:szCs w:val="15"/>
        </w:rPr>
        <w:t>15%～20%</w:t>
      </w:r>
      <w:r>
        <w:rPr>
          <w:rFonts w:hint="eastAsia" w:ascii="宋体" w:hAnsi="宋体"/>
          <w:sz w:val="15"/>
          <w:szCs w:val="15"/>
        </w:rPr>
        <w:t>。</w:t>
      </w:r>
    </w:p>
    <w:p w14:paraId="581B175F">
      <w:pPr>
        <w:adjustRightInd w:val="0"/>
        <w:snapToGrid w:val="0"/>
        <w:spacing w:line="288" w:lineRule="auto"/>
        <w:rPr>
          <w:rFonts w:ascii="宋体" w:hAnsi="宋体"/>
          <w:sz w:val="20"/>
          <w:szCs w:val="20"/>
        </w:rPr>
      </w:pPr>
      <w:r>
        <w:rPr>
          <w:b/>
          <w:bCs/>
          <w:kern w:val="0"/>
          <w:sz w:val="20"/>
          <w:szCs w:val="20"/>
        </w:rPr>
        <w:t>8.2.5</w:t>
      </w:r>
      <w:r>
        <w:rPr>
          <w:rFonts w:ascii="宋体" w:hAnsi="宋体"/>
          <w:bCs/>
          <w:sz w:val="20"/>
          <w:szCs w:val="20"/>
        </w:rPr>
        <w:t xml:space="preserve">  </w:t>
      </w:r>
      <w:r>
        <w:rPr>
          <w:rFonts w:hint="eastAsia" w:ascii="宋体" w:hAnsi="宋体"/>
          <w:sz w:val="20"/>
          <w:szCs w:val="20"/>
        </w:rPr>
        <w:t>土钉墙设计的计算可取单位支护长度并按平面应变问题进行分析。</w:t>
      </w:r>
    </w:p>
    <w:p w14:paraId="47F6A7A3">
      <w:pPr>
        <w:adjustRightInd w:val="0"/>
        <w:snapToGrid w:val="0"/>
        <w:spacing w:line="288" w:lineRule="auto"/>
        <w:rPr>
          <w:rFonts w:ascii="宋体" w:hAnsi="宋体"/>
          <w:iCs/>
          <w:sz w:val="20"/>
          <w:szCs w:val="20"/>
        </w:rPr>
      </w:pPr>
      <w:r>
        <w:rPr>
          <w:b/>
          <w:bCs/>
          <w:kern w:val="0"/>
          <w:sz w:val="20"/>
          <w:szCs w:val="20"/>
        </w:rPr>
        <w:t>8.2.6</w:t>
      </w:r>
      <w:r>
        <w:rPr>
          <w:rFonts w:ascii="宋体" w:hAnsi="宋体"/>
          <w:bCs/>
          <w:sz w:val="20"/>
          <w:szCs w:val="20"/>
        </w:rPr>
        <w:t xml:space="preserve">  </w:t>
      </w:r>
      <w:r>
        <w:rPr>
          <w:rFonts w:hint="eastAsia" w:ascii="宋体" w:hAnsi="宋体"/>
          <w:iCs/>
          <w:sz w:val="20"/>
          <w:szCs w:val="20"/>
        </w:rPr>
        <w:t>单根土钉极限抗拔承载力计算应符合下式规定：</w:t>
      </w:r>
    </w:p>
    <w:p w14:paraId="4DD3CC23">
      <w:pPr>
        <w:tabs>
          <w:tab w:val="left" w:pos="1276"/>
        </w:tabs>
        <w:adjustRightInd w:val="0"/>
        <w:snapToGrid w:val="0"/>
        <w:spacing w:line="288" w:lineRule="auto"/>
        <w:ind w:firstLine="400" w:firstLineChars="200"/>
        <w:jc w:val="center"/>
        <w:rPr>
          <w:rFonts w:ascii="宋体" w:hAnsi="宋体"/>
          <w:iCs/>
          <w:sz w:val="20"/>
          <w:szCs w:val="20"/>
        </w:rPr>
      </w:pPr>
      <w:r>
        <w:rPr>
          <w:rFonts w:hint="eastAsia" w:ascii="宋体" w:hAnsi="宋体"/>
          <w:position w:val="-24"/>
          <w:sz w:val="20"/>
          <w:szCs w:val="20"/>
        </w:rPr>
        <w:object>
          <v:shape id="_x0000_i1101" o:spt="75" type="#_x0000_t75" style="height:29.4pt;width:42.05pt;" o:ole="t" filled="f" o:preferrelative="t" stroked="f" coordsize="21600,21600">
            <v:path/>
            <v:fill on="f" focussize="0,0"/>
            <v:stroke on="f" joinstyle="miter"/>
            <v:imagedata r:id="rId170" o:title=""/>
            <o:lock v:ext="edit" aspectratio="t"/>
            <w10:wrap type="none"/>
            <w10:anchorlock/>
          </v:shape>
          <o:OLEObject Type="Embed" ProgID="Equation.3" ShapeID="_x0000_i1101" DrawAspect="Content" ObjectID="_1468075804" r:id="rId169">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hint="eastAsia" w:ascii="宋体" w:hAnsi="宋体"/>
          <w:sz w:val="20"/>
          <w:szCs w:val="20"/>
        </w:rPr>
        <w:t xml:space="preserve">  （</w:t>
      </w:r>
      <w:r>
        <w:rPr>
          <w:sz w:val="20"/>
          <w:szCs w:val="20"/>
        </w:rPr>
        <w:t>8.2.6</w:t>
      </w:r>
      <w:r>
        <w:rPr>
          <w:rFonts w:hint="eastAsia" w:ascii="宋体" w:hAnsi="宋体"/>
          <w:sz w:val="20"/>
          <w:szCs w:val="20"/>
        </w:rPr>
        <w:t>）</w:t>
      </w:r>
    </w:p>
    <w:p w14:paraId="428733BD">
      <w:pPr>
        <w:adjustRightInd w:val="0"/>
        <w:snapToGrid w:val="0"/>
        <w:spacing w:line="288" w:lineRule="auto"/>
        <w:ind w:left="1260" w:hanging="1260" w:hangingChars="630"/>
        <w:rPr>
          <w:rFonts w:ascii="宋体" w:hAnsi="宋体"/>
          <w:iCs/>
          <w:sz w:val="20"/>
          <w:szCs w:val="20"/>
        </w:rPr>
      </w:pPr>
      <w:r>
        <w:rPr>
          <w:rFonts w:hint="eastAsia" w:ascii="宋体" w:hAnsi="宋体"/>
          <w:iCs/>
          <w:sz w:val="20"/>
          <w:szCs w:val="20"/>
        </w:rPr>
        <w:t>式中：</w:t>
      </w:r>
      <w:r>
        <w:rPr>
          <w:i/>
          <w:sz w:val="20"/>
          <w:szCs w:val="20"/>
        </w:rPr>
        <w:t>K</w:t>
      </w:r>
      <w:r>
        <w:rPr>
          <w:sz w:val="20"/>
          <w:szCs w:val="20"/>
          <w:vertAlign w:val="subscript"/>
        </w:rPr>
        <w:t>t</w:t>
      </w:r>
      <w:r>
        <w:rPr>
          <w:rFonts w:hint="eastAsia"/>
          <w:sz w:val="20"/>
          <w:szCs w:val="20"/>
          <w:vertAlign w:val="subscript"/>
        </w:rPr>
        <w:t xml:space="preserve"> </w:t>
      </w:r>
      <w:r>
        <w:rPr>
          <w:iCs/>
        </w:rPr>
        <w:t>——</w:t>
      </w:r>
      <w:r>
        <w:rPr>
          <w:rFonts w:hint="eastAsia" w:ascii="宋体" w:hAnsi="宋体"/>
          <w:iCs/>
          <w:sz w:val="20"/>
          <w:szCs w:val="20"/>
        </w:rPr>
        <w:t>土钉抗拔安全系数；基坑侧壁安全等级为二级、三级的土钉墙，</w:t>
      </w:r>
      <w:r>
        <w:rPr>
          <w:i/>
          <w:sz w:val="20"/>
          <w:szCs w:val="20"/>
        </w:rPr>
        <w:t>K</w:t>
      </w:r>
      <w:r>
        <w:rPr>
          <w:sz w:val="20"/>
          <w:szCs w:val="20"/>
          <w:vertAlign w:val="subscript"/>
        </w:rPr>
        <w:t>t</w:t>
      </w:r>
      <w:r>
        <w:rPr>
          <w:rFonts w:hint="eastAsia" w:ascii="宋体" w:hAnsi="宋体"/>
          <w:sz w:val="20"/>
          <w:szCs w:val="20"/>
        </w:rPr>
        <w:t>分别不应小于</w:t>
      </w:r>
      <w:r>
        <w:rPr>
          <w:sz w:val="20"/>
          <w:szCs w:val="20"/>
        </w:rPr>
        <w:t>1.6</w:t>
      </w:r>
      <w:r>
        <w:rPr>
          <w:rFonts w:hAnsi="宋体"/>
          <w:sz w:val="20"/>
          <w:szCs w:val="20"/>
        </w:rPr>
        <w:t>、</w:t>
      </w:r>
      <w:r>
        <w:rPr>
          <w:sz w:val="20"/>
          <w:szCs w:val="20"/>
        </w:rPr>
        <w:t>1.4</w:t>
      </w:r>
      <w:r>
        <w:rPr>
          <w:rFonts w:hint="eastAsia" w:ascii="宋体" w:hAnsi="宋体"/>
          <w:sz w:val="20"/>
          <w:szCs w:val="20"/>
        </w:rPr>
        <w:t>；</w:t>
      </w:r>
    </w:p>
    <w:p w14:paraId="27441DC7">
      <w:pPr>
        <w:adjustRightInd w:val="0"/>
        <w:snapToGrid w:val="0"/>
        <w:spacing w:line="288" w:lineRule="auto"/>
        <w:ind w:left="1233" w:leftChars="254" w:hanging="700" w:hangingChars="350"/>
        <w:rPr>
          <w:rFonts w:ascii="宋体" w:hAnsi="宋体"/>
          <w:iCs/>
          <w:sz w:val="20"/>
          <w:szCs w:val="20"/>
        </w:rPr>
      </w:pPr>
      <w:r>
        <w:rPr>
          <w:i/>
          <w:sz w:val="20"/>
          <w:szCs w:val="20"/>
        </w:rPr>
        <w:t>N</w:t>
      </w:r>
      <w:r>
        <w:rPr>
          <w:iCs/>
          <w:sz w:val="20"/>
          <w:szCs w:val="20"/>
          <w:vertAlign w:val="subscript"/>
        </w:rPr>
        <w:t>k</w:t>
      </w:r>
      <w:r>
        <w:rPr>
          <w:sz w:val="20"/>
          <w:szCs w:val="20"/>
          <w:vertAlign w:val="subscript"/>
        </w:rPr>
        <w:t>,</w:t>
      </w:r>
      <w:r>
        <w:rPr>
          <w:i/>
          <w:sz w:val="20"/>
          <w:szCs w:val="20"/>
          <w:vertAlign w:val="subscript"/>
        </w:rPr>
        <w:t>j</w:t>
      </w:r>
      <w:r>
        <w:rPr>
          <w:rFonts w:hint="eastAsia"/>
          <w:i/>
          <w:sz w:val="20"/>
          <w:szCs w:val="20"/>
          <w:vertAlign w:val="subscript"/>
        </w:rPr>
        <w:t xml:space="preserve"> </w:t>
      </w:r>
      <w:r>
        <w:rPr>
          <w:iCs/>
        </w:rPr>
        <w:t>——</w:t>
      </w:r>
      <w:r>
        <w:rPr>
          <w:rFonts w:hint="eastAsia" w:ascii="宋体" w:hAnsi="宋体"/>
          <w:iCs/>
          <w:sz w:val="20"/>
          <w:szCs w:val="20"/>
        </w:rPr>
        <w:t>第</w:t>
      </w:r>
      <w:r>
        <w:rPr>
          <w:rFonts w:ascii="宋体" w:hAnsi="宋体"/>
          <w:i/>
          <w:sz w:val="20"/>
          <w:szCs w:val="20"/>
        </w:rPr>
        <w:t>j</w:t>
      </w:r>
      <w:r>
        <w:rPr>
          <w:rFonts w:hint="eastAsia" w:ascii="宋体" w:hAnsi="宋体"/>
          <w:iCs/>
          <w:sz w:val="20"/>
          <w:szCs w:val="20"/>
        </w:rPr>
        <w:t>层土钉轴向拉力标准值</w:t>
      </w:r>
      <w:r>
        <w:rPr>
          <w:rFonts w:hint="eastAsia" w:ascii="宋体" w:hAnsi="宋体"/>
          <w:sz w:val="20"/>
          <w:szCs w:val="20"/>
        </w:rPr>
        <w:t>（</w:t>
      </w:r>
      <w:r>
        <w:rPr>
          <w:sz w:val="20"/>
          <w:szCs w:val="20"/>
        </w:rPr>
        <w:t>kN</w:t>
      </w:r>
      <w:r>
        <w:rPr>
          <w:rFonts w:hint="eastAsia" w:ascii="宋体" w:hAnsi="宋体"/>
          <w:sz w:val="20"/>
          <w:szCs w:val="20"/>
        </w:rPr>
        <w:t>）</w:t>
      </w:r>
      <w:r>
        <w:rPr>
          <w:rFonts w:hint="eastAsia" w:ascii="宋体" w:hAnsi="宋体"/>
          <w:iCs/>
          <w:sz w:val="20"/>
          <w:szCs w:val="20"/>
        </w:rPr>
        <w:t>，可按本规程第</w:t>
      </w:r>
      <w:r>
        <w:rPr>
          <w:sz w:val="20"/>
          <w:szCs w:val="20"/>
        </w:rPr>
        <w:t>8.2.7</w:t>
      </w:r>
      <w:r>
        <w:rPr>
          <w:rFonts w:hint="eastAsia" w:ascii="宋体" w:hAnsi="宋体"/>
          <w:iCs/>
          <w:sz w:val="20"/>
          <w:szCs w:val="20"/>
        </w:rPr>
        <w:t>条确定；</w:t>
      </w:r>
    </w:p>
    <w:p w14:paraId="71E38740">
      <w:pPr>
        <w:adjustRightInd w:val="0"/>
        <w:snapToGrid w:val="0"/>
        <w:spacing w:line="288" w:lineRule="auto"/>
        <w:ind w:left="1225" w:leftChars="250" w:hanging="700" w:hangingChars="350"/>
        <w:rPr>
          <w:rFonts w:ascii="宋体" w:hAnsi="宋体"/>
          <w:iCs/>
          <w:sz w:val="20"/>
          <w:szCs w:val="20"/>
        </w:rPr>
      </w:pPr>
      <w:r>
        <w:rPr>
          <w:i/>
          <w:sz w:val="20"/>
          <w:szCs w:val="20"/>
        </w:rPr>
        <w:t>R</w:t>
      </w:r>
      <w:r>
        <w:rPr>
          <w:iCs/>
          <w:sz w:val="20"/>
          <w:szCs w:val="20"/>
          <w:vertAlign w:val="subscript"/>
        </w:rPr>
        <w:t>k</w:t>
      </w:r>
      <w:r>
        <w:rPr>
          <w:sz w:val="20"/>
          <w:szCs w:val="20"/>
          <w:vertAlign w:val="subscript"/>
        </w:rPr>
        <w:t>,</w:t>
      </w:r>
      <w:r>
        <w:rPr>
          <w:i/>
          <w:sz w:val="20"/>
          <w:szCs w:val="20"/>
          <w:vertAlign w:val="subscript"/>
        </w:rPr>
        <w:t xml:space="preserve">j </w:t>
      </w:r>
      <w:r>
        <w:rPr>
          <w:iCs/>
        </w:rPr>
        <w:t>——</w:t>
      </w:r>
      <w:r>
        <w:rPr>
          <w:rFonts w:hint="eastAsia" w:ascii="宋体" w:hAnsi="宋体"/>
          <w:iCs/>
          <w:sz w:val="20"/>
          <w:szCs w:val="20"/>
        </w:rPr>
        <w:t>第</w:t>
      </w:r>
      <w:r>
        <w:rPr>
          <w:rFonts w:ascii="宋体" w:hAnsi="宋体"/>
          <w:i/>
          <w:sz w:val="20"/>
          <w:szCs w:val="20"/>
        </w:rPr>
        <w:t>j</w:t>
      </w:r>
      <w:r>
        <w:rPr>
          <w:rFonts w:hint="eastAsia" w:ascii="宋体" w:hAnsi="宋体"/>
          <w:iCs/>
          <w:sz w:val="20"/>
          <w:szCs w:val="20"/>
        </w:rPr>
        <w:t>层土钉极限抗拔承载力标准值</w:t>
      </w:r>
      <w:r>
        <w:rPr>
          <w:rFonts w:hint="eastAsia" w:ascii="宋体" w:hAnsi="宋体"/>
          <w:sz w:val="20"/>
          <w:szCs w:val="20"/>
        </w:rPr>
        <w:t>（</w:t>
      </w:r>
      <w:r>
        <w:rPr>
          <w:sz w:val="20"/>
          <w:szCs w:val="20"/>
        </w:rPr>
        <w:t>kN</w:t>
      </w:r>
      <w:r>
        <w:rPr>
          <w:rFonts w:hint="eastAsia" w:ascii="宋体" w:hAnsi="宋体"/>
          <w:sz w:val="20"/>
          <w:szCs w:val="20"/>
        </w:rPr>
        <w:t>）</w:t>
      </w:r>
      <w:r>
        <w:rPr>
          <w:rFonts w:hint="eastAsia" w:ascii="宋体" w:hAnsi="宋体"/>
          <w:iCs/>
          <w:sz w:val="20"/>
          <w:szCs w:val="20"/>
        </w:rPr>
        <w:t>，可按本规程第</w:t>
      </w:r>
      <w:r>
        <w:rPr>
          <w:sz w:val="20"/>
          <w:szCs w:val="20"/>
        </w:rPr>
        <w:t>8.2.10</w:t>
      </w:r>
      <w:r>
        <w:rPr>
          <w:rFonts w:hint="eastAsia" w:ascii="宋体" w:hAnsi="宋体"/>
          <w:iCs/>
          <w:sz w:val="20"/>
          <w:szCs w:val="20"/>
        </w:rPr>
        <w:t>条确定。</w:t>
      </w:r>
    </w:p>
    <w:p w14:paraId="52B86313">
      <w:pPr>
        <w:adjustRightInd w:val="0"/>
        <w:snapToGrid w:val="0"/>
        <w:spacing w:line="288" w:lineRule="auto"/>
        <w:rPr>
          <w:rFonts w:ascii="宋体" w:hAnsi="宋体"/>
          <w:iCs/>
          <w:sz w:val="20"/>
          <w:szCs w:val="20"/>
        </w:rPr>
      </w:pPr>
      <w:r>
        <w:rPr>
          <w:b/>
          <w:bCs/>
          <w:kern w:val="0"/>
          <w:sz w:val="20"/>
          <w:szCs w:val="20"/>
        </w:rPr>
        <w:t>8.2.7</w:t>
      </w:r>
      <w:r>
        <w:rPr>
          <w:rFonts w:ascii="宋体" w:hAnsi="宋体"/>
          <w:bCs/>
          <w:sz w:val="20"/>
          <w:szCs w:val="20"/>
        </w:rPr>
        <w:t xml:space="preserve">  </w:t>
      </w:r>
      <w:r>
        <w:rPr>
          <w:rFonts w:hint="eastAsia" w:ascii="宋体" w:hAnsi="宋体"/>
          <w:iCs/>
          <w:sz w:val="20"/>
          <w:szCs w:val="20"/>
        </w:rPr>
        <w:t>单根土钉的轴向拉力标准值可按下式计算：</w:t>
      </w:r>
    </w:p>
    <w:p w14:paraId="65FFD13A">
      <w:pPr>
        <w:adjustRightInd w:val="0"/>
        <w:snapToGrid w:val="0"/>
        <w:spacing w:line="288" w:lineRule="auto"/>
        <w:ind w:firstLine="400" w:firstLineChars="200"/>
        <w:jc w:val="center"/>
        <w:rPr>
          <w:rFonts w:ascii="宋体" w:hAnsi="宋体"/>
          <w:iCs/>
          <w:sz w:val="20"/>
          <w:szCs w:val="20"/>
        </w:rPr>
      </w:pPr>
      <w:r>
        <w:rPr>
          <w:rFonts w:hint="eastAsia" w:ascii="宋体" w:hAnsi="宋体"/>
          <w:position w:val="-24"/>
          <w:sz w:val="20"/>
          <w:szCs w:val="20"/>
        </w:rPr>
        <w:object>
          <v:shape id="_x0000_i1102" o:spt="75" type="#_x0000_t75" style="height:31.7pt;width:118.1pt;" o:ole="t" filled="f" o:preferrelative="t" stroked="f" coordsize="21600,21600">
            <v:path/>
            <v:fill on="f" focussize="0,0"/>
            <v:stroke on="f" joinstyle="miter"/>
            <v:imagedata r:id="rId172" o:title=""/>
            <o:lock v:ext="edit" aspectratio="t"/>
            <w10:wrap type="none"/>
            <w10:anchorlock/>
          </v:shape>
          <o:OLEObject Type="Embed" ProgID="Equation.3" ShapeID="_x0000_i1102" DrawAspect="Content" ObjectID="_1468075805" r:id="rId171">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8.2.7</w:t>
      </w:r>
      <w:r>
        <w:rPr>
          <w:rFonts w:hint="eastAsia" w:ascii="宋体" w:hAnsi="宋体"/>
          <w:sz w:val="20"/>
          <w:szCs w:val="20"/>
        </w:rPr>
        <w:t>）</w:t>
      </w:r>
    </w:p>
    <w:p w14:paraId="71DDED8D">
      <w:pPr>
        <w:adjustRightInd w:val="0"/>
        <w:snapToGrid w:val="0"/>
        <w:spacing w:line="288" w:lineRule="auto"/>
        <w:rPr>
          <w:rFonts w:ascii="宋体" w:hAnsi="宋体"/>
          <w:iCs/>
          <w:sz w:val="20"/>
          <w:szCs w:val="20"/>
        </w:rPr>
      </w:pPr>
      <w:r>
        <w:rPr>
          <w:rFonts w:hint="eastAsia" w:ascii="宋体" w:hAnsi="宋体"/>
          <w:iCs/>
          <w:sz w:val="20"/>
          <w:szCs w:val="20"/>
        </w:rPr>
        <w:t>式中：</w:t>
      </w:r>
      <w:r>
        <w:rPr>
          <w:i/>
          <w:sz w:val="20"/>
          <w:szCs w:val="20"/>
        </w:rPr>
        <w:t>α</w:t>
      </w:r>
      <w:r>
        <w:rPr>
          <w:i/>
          <w:sz w:val="20"/>
          <w:szCs w:val="20"/>
          <w:vertAlign w:val="subscript"/>
        </w:rPr>
        <w:t>j</w:t>
      </w:r>
      <w:r>
        <w:rPr>
          <w:rFonts w:hint="eastAsia"/>
          <w:i/>
          <w:sz w:val="20"/>
          <w:szCs w:val="20"/>
          <w:vertAlign w:val="subscript"/>
        </w:rPr>
        <w:t xml:space="preserve"> </w:t>
      </w:r>
      <w:r>
        <w:rPr>
          <w:iCs/>
        </w:rPr>
        <w:t>——</w:t>
      </w:r>
      <w:r>
        <w:rPr>
          <w:rFonts w:hint="eastAsia" w:ascii="宋体" w:hAnsi="宋体"/>
          <w:iCs/>
          <w:sz w:val="20"/>
          <w:szCs w:val="20"/>
        </w:rPr>
        <w:t>第</w:t>
      </w:r>
      <w:r>
        <w:rPr>
          <w:rFonts w:ascii="宋体" w:hAnsi="宋体"/>
          <w:i/>
          <w:sz w:val="20"/>
          <w:szCs w:val="20"/>
        </w:rPr>
        <w:t>j</w:t>
      </w:r>
      <w:r>
        <w:rPr>
          <w:rFonts w:hint="eastAsia" w:ascii="宋体" w:hAnsi="宋体"/>
          <w:iCs/>
          <w:sz w:val="20"/>
          <w:szCs w:val="20"/>
        </w:rPr>
        <w:t>层土钉与水平面的夹角</w:t>
      </w:r>
      <w:r>
        <w:rPr>
          <w:rFonts w:hint="eastAsia" w:ascii="宋体" w:hAnsi="宋体"/>
          <w:sz w:val="20"/>
          <w:szCs w:val="20"/>
        </w:rPr>
        <w:t>（º）</w:t>
      </w:r>
      <w:r>
        <w:rPr>
          <w:rFonts w:hint="eastAsia" w:ascii="宋体" w:hAnsi="宋体"/>
          <w:iCs/>
          <w:sz w:val="20"/>
          <w:szCs w:val="20"/>
        </w:rPr>
        <w:t>；</w:t>
      </w:r>
    </w:p>
    <w:p w14:paraId="0F60C08B">
      <w:pPr>
        <w:adjustRightInd w:val="0"/>
        <w:snapToGrid w:val="0"/>
        <w:spacing w:line="288" w:lineRule="auto"/>
        <w:ind w:left="1201" w:leftChars="186" w:hanging="810" w:hangingChars="405"/>
        <w:jc w:val="left"/>
        <w:rPr>
          <w:rFonts w:ascii="宋体" w:hAnsi="宋体"/>
          <w:iCs/>
          <w:sz w:val="20"/>
          <w:szCs w:val="20"/>
        </w:rPr>
      </w:pPr>
      <w:r>
        <w:rPr>
          <w:rFonts w:hint="eastAsia"/>
          <w:i/>
          <w:sz w:val="20"/>
          <w:szCs w:val="20"/>
        </w:rPr>
        <w:t xml:space="preserve">   </w:t>
      </w:r>
      <w:r>
        <w:rPr>
          <w:i/>
          <w:sz w:val="20"/>
          <w:szCs w:val="20"/>
        </w:rPr>
        <w:t>ζ</w:t>
      </w:r>
      <w:r>
        <w:rPr>
          <w:iCs/>
        </w:rPr>
        <w:t>——</w:t>
      </w:r>
      <w:r>
        <w:rPr>
          <w:rFonts w:hint="eastAsia" w:ascii="宋体" w:hAnsi="宋体"/>
          <w:iCs/>
          <w:sz w:val="20"/>
          <w:szCs w:val="20"/>
        </w:rPr>
        <w:t>坡面倾斜时的主动土压力折减系数，根据本规程第</w:t>
      </w:r>
      <w:r>
        <w:rPr>
          <w:sz w:val="20"/>
          <w:szCs w:val="20"/>
        </w:rPr>
        <w:t>8.2.8</w:t>
      </w:r>
      <w:r>
        <w:rPr>
          <w:rFonts w:hint="eastAsia" w:ascii="宋体" w:hAnsi="宋体"/>
          <w:iCs/>
          <w:sz w:val="20"/>
          <w:szCs w:val="20"/>
        </w:rPr>
        <w:t>条确定；</w:t>
      </w:r>
    </w:p>
    <w:p w14:paraId="2E5DA0F5">
      <w:pPr>
        <w:adjustRightInd w:val="0"/>
        <w:snapToGrid w:val="0"/>
        <w:spacing w:line="288" w:lineRule="auto"/>
        <w:ind w:firstLine="616" w:firstLineChars="308"/>
        <w:rPr>
          <w:rFonts w:ascii="宋体" w:hAnsi="宋体"/>
          <w:bCs/>
          <w:sz w:val="20"/>
          <w:szCs w:val="20"/>
        </w:rPr>
      </w:pPr>
      <w:r>
        <w:rPr>
          <w:i/>
          <w:sz w:val="20"/>
          <w:szCs w:val="20"/>
        </w:rPr>
        <w:t>η</w:t>
      </w:r>
      <w:r>
        <w:rPr>
          <w:i/>
          <w:sz w:val="20"/>
          <w:szCs w:val="20"/>
          <w:vertAlign w:val="subscript"/>
        </w:rPr>
        <w:t>j</w:t>
      </w:r>
      <w:r>
        <w:rPr>
          <w:iCs/>
        </w:rPr>
        <w:t>——</w:t>
      </w:r>
      <w:r>
        <w:rPr>
          <w:rFonts w:hint="eastAsia" w:ascii="宋体" w:hAnsi="宋体"/>
          <w:iCs/>
          <w:sz w:val="20"/>
          <w:szCs w:val="20"/>
        </w:rPr>
        <w:t>第</w:t>
      </w:r>
      <w:r>
        <w:rPr>
          <w:i/>
          <w:sz w:val="20"/>
          <w:szCs w:val="20"/>
        </w:rPr>
        <w:t>j</w:t>
      </w:r>
      <w:r>
        <w:rPr>
          <w:rFonts w:hint="eastAsia" w:ascii="宋体" w:hAnsi="宋体"/>
          <w:sz w:val="20"/>
          <w:szCs w:val="20"/>
        </w:rPr>
        <w:t>层土钉轴向拉力调整系数</w:t>
      </w:r>
      <w:r>
        <w:rPr>
          <w:rFonts w:hint="eastAsia" w:ascii="宋体" w:hAnsi="宋体"/>
          <w:iCs/>
          <w:sz w:val="20"/>
          <w:szCs w:val="20"/>
        </w:rPr>
        <w:t>，根据本规程第</w:t>
      </w:r>
      <w:r>
        <w:rPr>
          <w:sz w:val="20"/>
          <w:szCs w:val="20"/>
        </w:rPr>
        <w:t>8.2.9</w:t>
      </w:r>
      <w:r>
        <w:rPr>
          <w:rFonts w:hint="eastAsia" w:ascii="宋体" w:hAnsi="宋体"/>
          <w:iCs/>
          <w:sz w:val="20"/>
          <w:szCs w:val="20"/>
        </w:rPr>
        <w:t>条确定；</w:t>
      </w:r>
    </w:p>
    <w:p w14:paraId="11E44293">
      <w:pPr>
        <w:adjustRightInd w:val="0"/>
        <w:snapToGrid w:val="0"/>
        <w:spacing w:line="288" w:lineRule="auto"/>
        <w:ind w:firstLine="384" w:firstLineChars="192"/>
        <w:rPr>
          <w:rFonts w:ascii="宋体" w:hAnsi="宋体"/>
          <w:iCs/>
          <w:sz w:val="20"/>
          <w:szCs w:val="20"/>
        </w:rPr>
      </w:pPr>
      <w:r>
        <w:rPr>
          <w:i/>
          <w:sz w:val="20"/>
          <w:szCs w:val="20"/>
        </w:rPr>
        <w:t>p</w:t>
      </w:r>
      <w:r>
        <w:rPr>
          <w:sz w:val="20"/>
          <w:szCs w:val="20"/>
          <w:vertAlign w:val="subscript"/>
        </w:rPr>
        <w:t>ak</w:t>
      </w:r>
      <w:r>
        <w:rPr>
          <w:rFonts w:hint="eastAsia" w:hAnsi="宋体"/>
          <w:sz w:val="20"/>
          <w:szCs w:val="20"/>
          <w:vertAlign w:val="subscript"/>
        </w:rPr>
        <w:t>，</w:t>
      </w:r>
      <w:r>
        <w:rPr>
          <w:i/>
          <w:sz w:val="20"/>
          <w:szCs w:val="20"/>
          <w:vertAlign w:val="subscript"/>
        </w:rPr>
        <w:t xml:space="preserve">j </w:t>
      </w:r>
      <w:r>
        <w:rPr>
          <w:iCs/>
        </w:rPr>
        <w:t>——</w:t>
      </w:r>
      <w:r>
        <w:rPr>
          <w:rFonts w:hint="eastAsia" w:ascii="宋体" w:hAnsi="宋体"/>
          <w:sz w:val="20"/>
          <w:szCs w:val="20"/>
        </w:rPr>
        <w:t>第j层土钉处的主动土压力强度标准值(</w:t>
      </w:r>
      <w:r>
        <w:rPr>
          <w:rFonts w:hint="eastAsia"/>
          <w:sz w:val="20"/>
          <w:szCs w:val="20"/>
        </w:rPr>
        <w:t>kPa</w:t>
      </w:r>
      <w:r>
        <w:rPr>
          <w:rFonts w:hint="eastAsia" w:ascii="宋体" w:hAnsi="宋体"/>
          <w:sz w:val="20"/>
          <w:szCs w:val="20"/>
        </w:rPr>
        <w:t>)</w:t>
      </w:r>
      <w:r>
        <w:rPr>
          <w:rFonts w:hint="eastAsia" w:ascii="宋体" w:hAnsi="宋体"/>
          <w:iCs/>
          <w:sz w:val="20"/>
          <w:szCs w:val="20"/>
        </w:rPr>
        <w:t>；</w:t>
      </w:r>
    </w:p>
    <w:p w14:paraId="3248000D">
      <w:pPr>
        <w:adjustRightInd w:val="0"/>
        <w:snapToGrid w:val="0"/>
        <w:spacing w:line="288" w:lineRule="auto"/>
        <w:ind w:left="42" w:leftChars="20" w:firstLine="84" w:firstLineChars="42"/>
        <w:rPr>
          <w:rFonts w:ascii="宋体" w:hAnsi="宋体"/>
          <w:iCs/>
          <w:sz w:val="20"/>
          <w:szCs w:val="20"/>
        </w:rPr>
      </w:pPr>
      <w:r>
        <w:rPr>
          <w:i/>
          <w:iCs/>
          <w:sz w:val="20"/>
          <w:szCs w:val="20"/>
        </w:rPr>
        <w:t>s</w:t>
      </w:r>
      <w:r>
        <w:rPr>
          <w:iCs/>
          <w:sz w:val="20"/>
          <w:szCs w:val="20"/>
          <w:vertAlign w:val="subscript"/>
        </w:rPr>
        <w:t>x</w:t>
      </w:r>
      <w:r>
        <w:rPr>
          <w:sz w:val="20"/>
          <w:szCs w:val="20"/>
          <w:vertAlign w:val="subscript"/>
        </w:rPr>
        <w:t>,</w:t>
      </w:r>
      <w:r>
        <w:rPr>
          <w:i/>
          <w:iCs/>
          <w:sz w:val="20"/>
          <w:szCs w:val="20"/>
          <w:vertAlign w:val="subscript"/>
        </w:rPr>
        <w:t>j</w:t>
      </w:r>
      <w:r>
        <w:rPr>
          <w:rFonts w:hint="eastAsia"/>
          <w:iCs/>
          <w:sz w:val="20"/>
          <w:szCs w:val="20"/>
        </w:rPr>
        <w:t>、</w:t>
      </w:r>
      <w:r>
        <w:rPr>
          <w:i/>
          <w:iCs/>
          <w:sz w:val="20"/>
          <w:szCs w:val="20"/>
        </w:rPr>
        <w:t>s</w:t>
      </w:r>
      <w:r>
        <w:rPr>
          <w:iCs/>
          <w:sz w:val="20"/>
          <w:szCs w:val="20"/>
          <w:vertAlign w:val="subscript"/>
        </w:rPr>
        <w:t>z</w:t>
      </w:r>
      <w:r>
        <w:rPr>
          <w:sz w:val="20"/>
          <w:szCs w:val="20"/>
          <w:vertAlign w:val="subscript"/>
        </w:rPr>
        <w:t>,</w:t>
      </w:r>
      <w:r>
        <w:rPr>
          <w:i/>
          <w:iCs/>
          <w:sz w:val="20"/>
          <w:szCs w:val="20"/>
          <w:vertAlign w:val="subscript"/>
        </w:rPr>
        <w:t>j</w:t>
      </w:r>
      <w:r>
        <w:rPr>
          <w:rFonts w:hint="eastAsia"/>
          <w:i/>
          <w:iCs/>
          <w:sz w:val="20"/>
          <w:szCs w:val="20"/>
          <w:vertAlign w:val="subscript"/>
        </w:rPr>
        <w:t xml:space="preserve"> </w:t>
      </w:r>
      <w:r>
        <w:rPr>
          <w:iCs/>
        </w:rPr>
        <w:t>——</w:t>
      </w:r>
      <w:r>
        <w:rPr>
          <w:rFonts w:hint="eastAsia" w:ascii="宋体" w:hAnsi="宋体"/>
          <w:iCs/>
          <w:sz w:val="20"/>
          <w:szCs w:val="20"/>
        </w:rPr>
        <w:t>第</w:t>
      </w:r>
      <w:r>
        <w:rPr>
          <w:rFonts w:ascii="宋体" w:hAnsi="宋体"/>
          <w:i/>
          <w:sz w:val="20"/>
          <w:szCs w:val="20"/>
        </w:rPr>
        <w:t>j</w:t>
      </w:r>
      <w:r>
        <w:rPr>
          <w:rFonts w:hint="eastAsia" w:ascii="宋体" w:hAnsi="宋体"/>
          <w:iCs/>
          <w:sz w:val="20"/>
          <w:szCs w:val="20"/>
        </w:rPr>
        <w:t>层土钉与相邻土钉的水平间距、垂直间距（</w:t>
      </w:r>
      <w:r>
        <w:rPr>
          <w:rFonts w:hint="eastAsia"/>
          <w:sz w:val="20"/>
          <w:szCs w:val="20"/>
        </w:rPr>
        <w:t>m</w:t>
      </w:r>
      <w:r>
        <w:rPr>
          <w:rFonts w:hint="eastAsia" w:ascii="宋体" w:hAnsi="宋体"/>
          <w:iCs/>
          <w:sz w:val="20"/>
          <w:szCs w:val="20"/>
        </w:rPr>
        <w:t>）。</w:t>
      </w:r>
    </w:p>
    <w:p w14:paraId="7C4EE683">
      <w:pPr>
        <w:adjustRightInd w:val="0"/>
        <w:snapToGrid w:val="0"/>
        <w:spacing w:line="288" w:lineRule="auto"/>
        <w:rPr>
          <w:rFonts w:ascii="宋体" w:hAnsi="宋体"/>
          <w:iCs/>
          <w:sz w:val="20"/>
          <w:szCs w:val="20"/>
        </w:rPr>
      </w:pPr>
      <w:r>
        <w:rPr>
          <w:b/>
          <w:bCs/>
          <w:kern w:val="0"/>
          <w:sz w:val="20"/>
          <w:szCs w:val="20"/>
        </w:rPr>
        <w:t>8.2.8</w:t>
      </w:r>
      <w:r>
        <w:rPr>
          <w:rFonts w:ascii="宋体" w:hAnsi="宋体"/>
          <w:bCs/>
          <w:sz w:val="20"/>
          <w:szCs w:val="20"/>
        </w:rPr>
        <w:t xml:space="preserve">  </w:t>
      </w:r>
      <w:r>
        <w:rPr>
          <w:rFonts w:hint="eastAsia" w:ascii="宋体" w:hAnsi="宋体"/>
          <w:iCs/>
          <w:sz w:val="20"/>
          <w:szCs w:val="20"/>
        </w:rPr>
        <w:t>坡面倾斜时的主动土压力折减系数</w:t>
      </w:r>
      <w:r>
        <w:rPr>
          <w:i/>
          <w:iCs/>
          <w:sz w:val="20"/>
          <w:szCs w:val="20"/>
        </w:rPr>
        <w:t>ζ</w:t>
      </w:r>
      <w:r>
        <w:rPr>
          <w:rFonts w:hint="eastAsia" w:ascii="宋体" w:hAnsi="宋体"/>
          <w:iCs/>
          <w:sz w:val="20"/>
          <w:szCs w:val="20"/>
        </w:rPr>
        <w:t>可按下式计算：</w:t>
      </w:r>
    </w:p>
    <w:p w14:paraId="7C540C36">
      <w:pPr>
        <w:adjustRightInd w:val="0"/>
        <w:snapToGrid w:val="0"/>
        <w:spacing w:line="288" w:lineRule="auto"/>
        <w:ind w:firstLine="400" w:firstLineChars="200"/>
        <w:jc w:val="center"/>
        <w:rPr>
          <w:rFonts w:ascii="宋体" w:hAnsi="宋体"/>
          <w:iCs/>
          <w:sz w:val="20"/>
          <w:szCs w:val="20"/>
        </w:rPr>
      </w:pPr>
      <w:r>
        <w:rPr>
          <w:rFonts w:ascii="宋体" w:hAnsi="宋体"/>
          <w:position w:val="-40"/>
          <w:sz w:val="20"/>
          <w:szCs w:val="20"/>
        </w:rPr>
        <w:object>
          <v:shape id="_x0000_i1103" o:spt="75" type="#_x0000_t75" style="height:40.9pt;width:186.05pt;" o:ole="t" filled="f" o:preferrelative="t" stroked="f" coordsize="21600,21600">
            <v:path/>
            <v:fill on="f" focussize="0,0"/>
            <v:stroke on="f" joinstyle="miter"/>
            <v:imagedata r:id="rId174" o:title=""/>
            <o:lock v:ext="edit" aspectratio="t"/>
            <w10:wrap type="none"/>
            <w10:anchorlock/>
          </v:shape>
          <o:OLEObject Type="Embed" ProgID="Equation.3" ShapeID="_x0000_i1103" DrawAspect="Content" ObjectID="_1468075806" r:id="rId173">
            <o:LockedField>false</o:LockedField>
          </o:OLEObject>
        </w:object>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hint="eastAsia" w:ascii="宋体" w:hAnsi="宋体"/>
          <w:iCs/>
          <w:sz w:val="20"/>
          <w:szCs w:val="20"/>
        </w:rPr>
        <w:t>（</w:t>
      </w:r>
      <w:r>
        <w:rPr>
          <w:sz w:val="20"/>
          <w:szCs w:val="20"/>
        </w:rPr>
        <w:t>8.2.8</w:t>
      </w:r>
      <w:r>
        <w:rPr>
          <w:rFonts w:hint="eastAsia" w:ascii="宋体" w:hAnsi="宋体"/>
          <w:sz w:val="20"/>
          <w:szCs w:val="20"/>
        </w:rPr>
        <w:t>）</w:t>
      </w:r>
    </w:p>
    <w:p w14:paraId="65E468C0">
      <w:pPr>
        <w:adjustRightInd w:val="0"/>
        <w:snapToGrid w:val="0"/>
        <w:spacing w:line="288" w:lineRule="auto"/>
        <w:rPr>
          <w:rFonts w:ascii="宋体" w:hAnsi="宋体"/>
          <w:iCs/>
          <w:sz w:val="20"/>
          <w:szCs w:val="20"/>
        </w:rPr>
      </w:pPr>
      <w:r>
        <w:rPr>
          <w:rFonts w:hint="eastAsia" w:ascii="宋体" w:hAnsi="宋体"/>
          <w:iCs/>
          <w:sz w:val="20"/>
          <w:szCs w:val="20"/>
        </w:rPr>
        <w:t>式中：</w:t>
      </w:r>
      <w:r>
        <w:rPr>
          <w:i/>
          <w:iCs/>
          <w:sz w:val="20"/>
          <w:szCs w:val="20"/>
        </w:rPr>
        <w:t>β</w:t>
      </w:r>
      <w:r>
        <w:rPr>
          <w:rFonts w:hint="eastAsia"/>
          <w:i/>
          <w:iCs/>
          <w:sz w:val="20"/>
          <w:szCs w:val="20"/>
        </w:rPr>
        <w:t xml:space="preserve"> </w:t>
      </w:r>
      <w:r>
        <w:rPr>
          <w:iCs/>
        </w:rPr>
        <w:t>——</w:t>
      </w:r>
      <w:r>
        <w:rPr>
          <w:rFonts w:hint="eastAsia" w:ascii="宋体" w:hAnsi="宋体"/>
          <w:iCs/>
          <w:sz w:val="20"/>
          <w:szCs w:val="20"/>
        </w:rPr>
        <w:t>土钉墙坡面与水平面的夹角</w:t>
      </w:r>
      <w:r>
        <w:rPr>
          <w:rFonts w:hint="eastAsia" w:ascii="宋体" w:hAnsi="宋体"/>
          <w:sz w:val="20"/>
          <w:szCs w:val="20"/>
        </w:rPr>
        <w:t>（º）</w:t>
      </w:r>
      <w:r>
        <w:rPr>
          <w:rFonts w:hint="eastAsia" w:ascii="宋体" w:hAnsi="宋体"/>
          <w:iCs/>
          <w:sz w:val="20"/>
          <w:szCs w:val="20"/>
        </w:rPr>
        <w:t>；</w:t>
      </w:r>
    </w:p>
    <w:p w14:paraId="12601661">
      <w:pPr>
        <w:adjustRightInd w:val="0"/>
        <w:snapToGrid w:val="0"/>
        <w:spacing w:line="288" w:lineRule="auto"/>
        <w:ind w:left="1167" w:leftChars="251" w:hanging="640" w:hangingChars="320"/>
        <w:rPr>
          <w:rFonts w:ascii="宋体" w:hAnsi="宋体"/>
          <w:iCs/>
          <w:sz w:val="20"/>
          <w:szCs w:val="20"/>
        </w:rPr>
      </w:pPr>
      <w:r>
        <w:rPr>
          <w:i/>
          <w:sz w:val="20"/>
          <w:szCs w:val="20"/>
        </w:rPr>
        <w:t>φ</w:t>
      </w:r>
      <w:r>
        <w:rPr>
          <w:sz w:val="20"/>
          <w:szCs w:val="20"/>
          <w:vertAlign w:val="subscript"/>
        </w:rPr>
        <w:t>m</w:t>
      </w:r>
      <w:r>
        <w:rPr>
          <w:iCs/>
        </w:rPr>
        <w:t>——</w:t>
      </w:r>
      <w:r>
        <w:rPr>
          <w:rFonts w:hint="eastAsia" w:ascii="宋体" w:hAnsi="宋体"/>
          <w:sz w:val="20"/>
          <w:szCs w:val="20"/>
        </w:rPr>
        <w:t>基坑底面以上各土层按厚度加权的等效内摩擦角平均值（º）</w:t>
      </w:r>
      <w:r>
        <w:rPr>
          <w:rFonts w:hint="eastAsia" w:ascii="宋体" w:hAnsi="宋体"/>
          <w:iCs/>
          <w:sz w:val="20"/>
          <w:szCs w:val="20"/>
        </w:rPr>
        <w:t>。</w:t>
      </w:r>
    </w:p>
    <w:p w14:paraId="5C33AFAF">
      <w:pPr>
        <w:adjustRightInd w:val="0"/>
        <w:snapToGrid w:val="0"/>
        <w:spacing w:line="288" w:lineRule="auto"/>
        <w:rPr>
          <w:rFonts w:ascii="宋体" w:hAnsi="宋体"/>
          <w:iCs/>
          <w:sz w:val="20"/>
          <w:szCs w:val="20"/>
        </w:rPr>
      </w:pPr>
      <w:r>
        <w:rPr>
          <w:b/>
          <w:bCs/>
          <w:kern w:val="0"/>
          <w:sz w:val="20"/>
          <w:szCs w:val="20"/>
        </w:rPr>
        <w:t>8.2.9</w:t>
      </w:r>
      <w:r>
        <w:rPr>
          <w:rFonts w:ascii="宋体" w:hAnsi="宋体"/>
          <w:sz w:val="20"/>
          <w:szCs w:val="20"/>
        </w:rPr>
        <w:t xml:space="preserve">  </w:t>
      </w:r>
      <w:r>
        <w:rPr>
          <w:rFonts w:hint="eastAsia" w:ascii="宋体" w:hAnsi="宋体"/>
          <w:sz w:val="20"/>
          <w:szCs w:val="20"/>
        </w:rPr>
        <w:t>土钉轴向拉力调整系数可按下列公式计算：</w:t>
      </w:r>
      <w:r>
        <w:rPr>
          <w:rFonts w:ascii="宋体" w:hAnsi="宋体"/>
          <w:sz w:val="20"/>
          <w:szCs w:val="20"/>
        </w:rPr>
        <w:t xml:space="preserve"> </w:t>
      </w:r>
    </w:p>
    <w:p w14:paraId="6FA7B8C9">
      <w:pPr>
        <w:adjustRightInd w:val="0"/>
        <w:snapToGrid w:val="0"/>
        <w:spacing w:line="288" w:lineRule="auto"/>
        <w:ind w:firstLine="400" w:firstLineChars="200"/>
        <w:jc w:val="center"/>
        <w:rPr>
          <w:rFonts w:ascii="宋体" w:hAnsi="宋体"/>
          <w:sz w:val="20"/>
          <w:szCs w:val="20"/>
        </w:rPr>
      </w:pPr>
      <w:r>
        <w:rPr>
          <w:rFonts w:hint="eastAsia" w:ascii="宋体" w:hAnsi="宋体"/>
          <w:position w:val="-24"/>
          <w:sz w:val="20"/>
          <w:szCs w:val="20"/>
        </w:rPr>
        <w:object>
          <v:shape id="_x0000_i1104" o:spt="75" type="#_x0000_t75" style="height:29.4pt;width:96.2pt;" o:ole="t" filled="f" o:preferrelative="t" stroked="f" coordsize="21600,21600">
            <v:path/>
            <v:fill on="f" focussize="0,0"/>
            <v:stroke on="f" joinstyle="miter"/>
            <v:imagedata r:id="rId176" o:title=""/>
            <o:lock v:ext="edit" aspectratio="t"/>
            <w10:wrap type="none"/>
            <w10:anchorlock/>
          </v:shape>
          <o:OLEObject Type="Embed" ProgID="Equation.3" ShapeID="_x0000_i1104" DrawAspect="Content" ObjectID="_1468075807" r:id="rId175">
            <o:LockedField>false</o:LockedField>
          </o:OLEObject>
        </w:object>
      </w:r>
      <w:r>
        <w:rPr>
          <w:rFonts w:hint="eastAsia" w:ascii="宋体" w:hAnsi="宋体"/>
          <w:sz w:val="20"/>
          <w:szCs w:val="20"/>
        </w:rPr>
        <w:t xml:space="preserve">  </w:t>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hint="eastAsia" w:ascii="宋体" w:hAnsi="宋体"/>
          <w:sz w:val="20"/>
          <w:szCs w:val="20"/>
        </w:rPr>
        <w:t>（</w:t>
      </w:r>
      <w:r>
        <w:rPr>
          <w:sz w:val="20"/>
          <w:szCs w:val="20"/>
        </w:rPr>
        <w:t>8.2.9-1</w:t>
      </w:r>
      <w:r>
        <w:rPr>
          <w:rFonts w:hint="eastAsia" w:ascii="宋体" w:hAnsi="宋体"/>
          <w:sz w:val="20"/>
          <w:szCs w:val="20"/>
        </w:rPr>
        <w:t>）</w:t>
      </w:r>
    </w:p>
    <w:p w14:paraId="37AD571A">
      <w:pPr>
        <w:adjustRightInd w:val="0"/>
        <w:snapToGrid w:val="0"/>
        <w:spacing w:line="288" w:lineRule="auto"/>
        <w:ind w:firstLine="400" w:firstLineChars="200"/>
        <w:jc w:val="center"/>
        <w:rPr>
          <w:rFonts w:ascii="宋体" w:hAnsi="宋体"/>
          <w:sz w:val="20"/>
          <w:szCs w:val="20"/>
        </w:rPr>
      </w:pPr>
      <w:r>
        <w:rPr>
          <w:rFonts w:hint="eastAsia" w:ascii="宋体" w:hAnsi="宋体"/>
          <w:position w:val="-60"/>
          <w:sz w:val="20"/>
          <w:szCs w:val="20"/>
        </w:rPr>
        <w:object>
          <v:shape id="_x0000_i1105" o:spt="75" type="#_x0000_t75" style="height:47.8pt;width:94.45pt;" o:ole="t" filled="f" o:preferrelative="t" stroked="f" coordsize="21600,21600">
            <v:path/>
            <v:fill on="f" focussize="0,0"/>
            <v:stroke on="f" joinstyle="miter"/>
            <v:imagedata r:id="rId178" o:title=""/>
            <o:lock v:ext="edit" aspectratio="t"/>
            <w10:wrap type="none"/>
            <w10:anchorlock/>
          </v:shape>
          <o:OLEObject Type="Embed" ProgID="Equation.3" ShapeID="_x0000_i1105" DrawAspect="Content" ObjectID="_1468075808" r:id="rId177">
            <o:LockedField>false</o:LockedField>
          </o:OLEObject>
        </w:object>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8.2.9-2</w:t>
      </w:r>
      <w:r>
        <w:rPr>
          <w:rFonts w:hint="eastAsia" w:ascii="宋体" w:hAnsi="宋体"/>
          <w:sz w:val="20"/>
          <w:szCs w:val="20"/>
        </w:rPr>
        <w:t>）</w:t>
      </w:r>
    </w:p>
    <w:p w14:paraId="44B26316">
      <w:pPr>
        <w:adjustRightInd w:val="0"/>
        <w:snapToGrid w:val="0"/>
        <w:spacing w:line="288" w:lineRule="auto"/>
        <w:ind w:left="1" w:leftChars="-6" w:hanging="14" w:hangingChars="7"/>
        <w:rPr>
          <w:rFonts w:ascii="宋体" w:hAnsi="宋体"/>
          <w:sz w:val="20"/>
          <w:szCs w:val="20"/>
        </w:rPr>
      </w:pPr>
      <w:r>
        <w:rPr>
          <w:rFonts w:hint="eastAsia" w:ascii="宋体" w:hAnsi="宋体"/>
          <w:sz w:val="20"/>
          <w:szCs w:val="20"/>
        </w:rPr>
        <w:t>式中：</w:t>
      </w:r>
      <w:r>
        <w:rPr>
          <w:i/>
          <w:sz w:val="20"/>
          <w:szCs w:val="20"/>
        </w:rPr>
        <w:t>z</w:t>
      </w:r>
      <w:r>
        <w:rPr>
          <w:i/>
          <w:sz w:val="20"/>
          <w:szCs w:val="20"/>
          <w:vertAlign w:val="subscript"/>
        </w:rPr>
        <w:t>j</w:t>
      </w:r>
      <w:r>
        <w:rPr>
          <w:rFonts w:hint="eastAsia"/>
          <w:sz w:val="20"/>
          <w:szCs w:val="20"/>
          <w:vertAlign w:val="subscript"/>
        </w:rPr>
        <w:t xml:space="preserve"> </w:t>
      </w:r>
      <w:r>
        <w:rPr>
          <w:iCs/>
        </w:rPr>
        <w:t>——</w:t>
      </w:r>
      <w:r>
        <w:rPr>
          <w:rFonts w:hint="eastAsia" w:ascii="宋体" w:hAnsi="宋体"/>
          <w:sz w:val="20"/>
          <w:szCs w:val="20"/>
        </w:rPr>
        <w:t>第</w:t>
      </w:r>
      <w:r>
        <w:rPr>
          <w:i/>
          <w:sz w:val="20"/>
          <w:szCs w:val="20"/>
        </w:rPr>
        <w:t>j</w:t>
      </w:r>
      <w:r>
        <w:rPr>
          <w:rFonts w:hint="eastAsia" w:ascii="宋体" w:hAnsi="宋体"/>
          <w:sz w:val="20"/>
          <w:szCs w:val="20"/>
        </w:rPr>
        <w:t>层土钉至基坑顶面的垂直距离（</w:t>
      </w:r>
      <w:r>
        <w:rPr>
          <w:sz w:val="20"/>
          <w:szCs w:val="20"/>
        </w:rPr>
        <w:t>m</w:t>
      </w:r>
      <w:r>
        <w:rPr>
          <w:rFonts w:hint="eastAsia" w:ascii="宋体" w:hAnsi="宋体"/>
          <w:sz w:val="20"/>
          <w:szCs w:val="20"/>
        </w:rPr>
        <w:t>）；</w:t>
      </w:r>
    </w:p>
    <w:p w14:paraId="03B6414B">
      <w:pPr>
        <w:adjustRightInd w:val="0"/>
        <w:snapToGrid w:val="0"/>
        <w:spacing w:line="288" w:lineRule="auto"/>
        <w:ind w:firstLine="574" w:firstLineChars="287"/>
        <w:rPr>
          <w:rFonts w:ascii="宋体" w:hAnsi="宋体"/>
          <w:sz w:val="20"/>
          <w:szCs w:val="20"/>
        </w:rPr>
      </w:pPr>
      <w:r>
        <w:rPr>
          <w:rFonts w:hint="eastAsia"/>
          <w:i/>
          <w:sz w:val="20"/>
          <w:szCs w:val="20"/>
        </w:rPr>
        <w:t xml:space="preserve">h </w:t>
      </w:r>
      <w:r>
        <w:rPr>
          <w:iCs/>
        </w:rPr>
        <w:t>——</w:t>
      </w:r>
      <w:r>
        <w:rPr>
          <w:rFonts w:hint="eastAsia" w:ascii="宋体" w:hAnsi="宋体"/>
          <w:sz w:val="20"/>
          <w:szCs w:val="20"/>
        </w:rPr>
        <w:t>基坑深度（</w:t>
      </w:r>
      <w:r>
        <w:rPr>
          <w:sz w:val="20"/>
          <w:szCs w:val="20"/>
        </w:rPr>
        <w:t>m</w:t>
      </w:r>
      <w:r>
        <w:rPr>
          <w:rFonts w:hint="eastAsia" w:ascii="宋体" w:hAnsi="宋体"/>
          <w:sz w:val="20"/>
          <w:szCs w:val="20"/>
        </w:rPr>
        <w:t>）；</w:t>
      </w:r>
    </w:p>
    <w:p w14:paraId="069CF4B0">
      <w:pPr>
        <w:adjustRightInd w:val="0"/>
        <w:snapToGrid w:val="0"/>
        <w:spacing w:line="288" w:lineRule="auto"/>
        <w:ind w:left="1087" w:leftChars="186" w:hanging="696" w:hangingChars="348"/>
        <w:rPr>
          <w:rFonts w:ascii="宋体" w:hAnsi="宋体"/>
          <w:sz w:val="20"/>
          <w:szCs w:val="20"/>
        </w:rPr>
      </w:pPr>
      <w:r>
        <w:rPr>
          <w:sz w:val="20"/>
          <w:szCs w:val="20"/>
        </w:rPr>
        <w:t>Δ</w:t>
      </w:r>
      <w:r>
        <w:rPr>
          <w:i/>
          <w:sz w:val="20"/>
          <w:szCs w:val="20"/>
        </w:rPr>
        <w:t>E</w:t>
      </w:r>
      <w:r>
        <w:rPr>
          <w:sz w:val="20"/>
          <w:szCs w:val="20"/>
          <w:vertAlign w:val="subscript"/>
        </w:rPr>
        <w:t>aj</w:t>
      </w:r>
      <w:r>
        <w:rPr>
          <w:iCs/>
        </w:rPr>
        <w:t>——</w:t>
      </w:r>
      <w:r>
        <w:rPr>
          <w:rFonts w:hint="eastAsia" w:ascii="宋体" w:hAnsi="宋体"/>
          <w:sz w:val="20"/>
          <w:szCs w:val="20"/>
        </w:rPr>
        <w:t>作用在以</w:t>
      </w:r>
      <w:r>
        <w:rPr>
          <w:i/>
          <w:iCs/>
          <w:sz w:val="20"/>
          <w:szCs w:val="20"/>
        </w:rPr>
        <w:t>s</w:t>
      </w:r>
      <w:r>
        <w:rPr>
          <w:iCs/>
          <w:sz w:val="20"/>
          <w:szCs w:val="20"/>
          <w:vertAlign w:val="subscript"/>
        </w:rPr>
        <w:t>x</w:t>
      </w:r>
      <w:r>
        <w:rPr>
          <w:sz w:val="20"/>
          <w:szCs w:val="20"/>
          <w:vertAlign w:val="subscript"/>
        </w:rPr>
        <w:t>,</w:t>
      </w:r>
      <w:r>
        <w:rPr>
          <w:i/>
          <w:iCs/>
          <w:sz w:val="20"/>
          <w:szCs w:val="20"/>
          <w:vertAlign w:val="subscript"/>
        </w:rPr>
        <w:t>j</w:t>
      </w:r>
      <w:r>
        <w:rPr>
          <w:rFonts w:hAnsi="宋体"/>
          <w:i/>
          <w:iCs/>
          <w:sz w:val="20"/>
          <w:szCs w:val="20"/>
        </w:rPr>
        <w:t>、</w:t>
      </w:r>
      <w:r>
        <w:rPr>
          <w:i/>
          <w:iCs/>
          <w:sz w:val="20"/>
          <w:szCs w:val="20"/>
        </w:rPr>
        <w:t>s</w:t>
      </w:r>
      <w:r>
        <w:rPr>
          <w:iCs/>
          <w:sz w:val="20"/>
          <w:szCs w:val="20"/>
          <w:vertAlign w:val="subscript"/>
        </w:rPr>
        <w:t>z</w:t>
      </w:r>
      <w:r>
        <w:rPr>
          <w:sz w:val="20"/>
          <w:szCs w:val="20"/>
          <w:vertAlign w:val="subscript"/>
        </w:rPr>
        <w:t>,</w:t>
      </w:r>
      <w:r>
        <w:rPr>
          <w:i/>
          <w:iCs/>
          <w:sz w:val="20"/>
          <w:szCs w:val="20"/>
          <w:vertAlign w:val="subscript"/>
        </w:rPr>
        <w:t>j</w:t>
      </w:r>
      <w:r>
        <w:rPr>
          <w:rFonts w:hint="eastAsia" w:ascii="宋体" w:hAnsi="宋体"/>
          <w:iCs/>
          <w:sz w:val="20"/>
          <w:szCs w:val="20"/>
        </w:rPr>
        <w:t>为边长的面积内的</w:t>
      </w:r>
      <w:r>
        <w:rPr>
          <w:rFonts w:hint="eastAsia" w:ascii="宋体" w:hAnsi="宋体"/>
          <w:sz w:val="20"/>
          <w:szCs w:val="20"/>
        </w:rPr>
        <w:t>主动土压力标准值（</w:t>
      </w:r>
      <w:r>
        <w:rPr>
          <w:sz w:val="20"/>
          <w:szCs w:val="20"/>
        </w:rPr>
        <w:t>kN</w:t>
      </w:r>
      <w:r>
        <w:rPr>
          <w:rFonts w:hint="eastAsia" w:ascii="宋体" w:hAnsi="宋体"/>
          <w:sz w:val="20"/>
          <w:szCs w:val="20"/>
        </w:rPr>
        <w:t>）；</w:t>
      </w:r>
    </w:p>
    <w:p w14:paraId="19FF46FC">
      <w:pPr>
        <w:adjustRightInd w:val="0"/>
        <w:snapToGrid w:val="0"/>
        <w:spacing w:line="288" w:lineRule="auto"/>
        <w:ind w:firstLine="560" w:firstLineChars="280"/>
        <w:rPr>
          <w:rFonts w:ascii="宋体" w:hAnsi="宋体"/>
          <w:sz w:val="20"/>
          <w:szCs w:val="20"/>
        </w:rPr>
      </w:pPr>
      <w:r>
        <w:rPr>
          <w:i/>
          <w:sz w:val="20"/>
          <w:szCs w:val="20"/>
        </w:rPr>
        <w:t>η</w:t>
      </w:r>
      <w:r>
        <w:rPr>
          <w:sz w:val="20"/>
          <w:szCs w:val="20"/>
          <w:vertAlign w:val="subscript"/>
        </w:rPr>
        <w:t>a</w:t>
      </w:r>
      <w:r>
        <w:rPr>
          <w:rFonts w:hint="eastAsia"/>
          <w:sz w:val="20"/>
          <w:szCs w:val="20"/>
          <w:vertAlign w:val="subscript"/>
        </w:rPr>
        <w:t xml:space="preserve"> </w:t>
      </w:r>
      <w:r>
        <w:rPr>
          <w:iCs/>
        </w:rPr>
        <w:t>——</w:t>
      </w:r>
      <w:r>
        <w:rPr>
          <w:rFonts w:hint="eastAsia" w:ascii="宋体" w:hAnsi="宋体"/>
          <w:sz w:val="20"/>
          <w:szCs w:val="20"/>
        </w:rPr>
        <w:t>计算系数；</w:t>
      </w:r>
    </w:p>
    <w:p w14:paraId="3EF55F73">
      <w:pPr>
        <w:adjustRightInd w:val="0"/>
        <w:snapToGrid w:val="0"/>
        <w:spacing w:line="288" w:lineRule="auto"/>
        <w:ind w:firstLine="560" w:firstLineChars="280"/>
        <w:rPr>
          <w:rFonts w:ascii="宋体" w:hAnsi="宋体"/>
          <w:sz w:val="20"/>
          <w:szCs w:val="20"/>
        </w:rPr>
      </w:pPr>
      <w:r>
        <w:rPr>
          <w:i/>
          <w:sz w:val="20"/>
          <w:szCs w:val="20"/>
        </w:rPr>
        <w:t>η</w:t>
      </w:r>
      <w:r>
        <w:rPr>
          <w:sz w:val="20"/>
          <w:szCs w:val="20"/>
          <w:vertAlign w:val="subscript"/>
        </w:rPr>
        <w:t>b</w:t>
      </w:r>
      <w:r>
        <w:rPr>
          <w:rFonts w:hint="eastAsia"/>
          <w:sz w:val="20"/>
          <w:szCs w:val="20"/>
          <w:vertAlign w:val="subscript"/>
        </w:rPr>
        <w:t xml:space="preserve"> </w:t>
      </w:r>
      <w:r>
        <w:rPr>
          <w:iCs/>
        </w:rPr>
        <w:t>——</w:t>
      </w:r>
      <w:r>
        <w:rPr>
          <w:rFonts w:hint="eastAsia" w:ascii="宋体" w:hAnsi="宋体"/>
          <w:sz w:val="20"/>
          <w:szCs w:val="20"/>
        </w:rPr>
        <w:t>经验系数，可取</w:t>
      </w:r>
      <w:r>
        <w:rPr>
          <w:sz w:val="20"/>
          <w:szCs w:val="20"/>
        </w:rPr>
        <w:t>0.6</w:t>
      </w:r>
      <w:r>
        <w:rPr>
          <w:rFonts w:hint="eastAsia"/>
          <w:sz w:val="20"/>
          <w:szCs w:val="20"/>
        </w:rPr>
        <w:t>～</w:t>
      </w:r>
      <w:r>
        <w:rPr>
          <w:sz w:val="20"/>
          <w:szCs w:val="20"/>
        </w:rPr>
        <w:t>1.0</w:t>
      </w:r>
      <w:r>
        <w:rPr>
          <w:rFonts w:hint="eastAsia" w:ascii="宋体" w:hAnsi="宋体"/>
          <w:sz w:val="20"/>
          <w:szCs w:val="20"/>
        </w:rPr>
        <w:t>；</w:t>
      </w:r>
    </w:p>
    <w:p w14:paraId="5B8747E9">
      <w:pPr>
        <w:adjustRightInd w:val="0"/>
        <w:snapToGrid w:val="0"/>
        <w:spacing w:line="288" w:lineRule="auto"/>
        <w:ind w:firstLine="602" w:firstLineChars="301"/>
        <w:rPr>
          <w:rFonts w:ascii="宋体" w:hAnsi="宋体"/>
          <w:sz w:val="20"/>
          <w:szCs w:val="20"/>
        </w:rPr>
      </w:pPr>
      <w:r>
        <w:rPr>
          <w:i/>
          <w:sz w:val="20"/>
          <w:szCs w:val="20"/>
        </w:rPr>
        <w:t>n</w:t>
      </w:r>
      <w:r>
        <w:rPr>
          <w:rFonts w:hint="eastAsia"/>
          <w:iCs/>
        </w:rPr>
        <w:t xml:space="preserve"> </w:t>
      </w:r>
      <w:r>
        <w:rPr>
          <w:iCs/>
        </w:rPr>
        <w:t>——</w:t>
      </w:r>
      <w:r>
        <w:rPr>
          <w:rFonts w:hint="eastAsia" w:ascii="宋体" w:hAnsi="宋体"/>
          <w:sz w:val="20"/>
          <w:szCs w:val="20"/>
        </w:rPr>
        <w:t>土钉层数。</w:t>
      </w:r>
    </w:p>
    <w:p w14:paraId="0F8D49EA">
      <w:pPr>
        <w:adjustRightInd w:val="0"/>
        <w:snapToGrid w:val="0"/>
        <w:spacing w:line="288" w:lineRule="auto"/>
        <w:rPr>
          <w:rFonts w:ascii="宋体" w:hAnsi="宋体"/>
          <w:sz w:val="20"/>
          <w:szCs w:val="20"/>
        </w:rPr>
      </w:pPr>
      <w:r>
        <w:rPr>
          <w:b/>
          <w:kern w:val="0"/>
          <w:sz w:val="20"/>
          <w:szCs w:val="20"/>
        </w:rPr>
        <w:t>8.2.10</w:t>
      </w:r>
      <w:r>
        <w:rPr>
          <w:b/>
          <w:bCs/>
          <w:sz w:val="20"/>
          <w:szCs w:val="20"/>
        </w:rPr>
        <w:t xml:space="preserve"> </w:t>
      </w:r>
      <w:r>
        <w:rPr>
          <w:rFonts w:ascii="宋体" w:hAnsi="宋体"/>
          <w:sz w:val="20"/>
          <w:szCs w:val="20"/>
        </w:rPr>
        <w:t xml:space="preserve"> </w:t>
      </w:r>
      <w:r>
        <w:rPr>
          <w:rFonts w:hint="eastAsia" w:ascii="宋体" w:hAnsi="宋体"/>
          <w:sz w:val="20"/>
          <w:szCs w:val="20"/>
        </w:rPr>
        <w:t>单根土钉的极限抗拔承载力应按下列规定确定：</w:t>
      </w:r>
    </w:p>
    <w:p w14:paraId="554EAB82">
      <w:pPr>
        <w:adjustRightInd w:val="0"/>
        <w:snapToGrid w:val="0"/>
        <w:spacing w:line="288" w:lineRule="auto"/>
        <w:ind w:firstLine="402" w:firstLineChars="200"/>
        <w:rPr>
          <w:rFonts w:ascii="宋体" w:hAnsi="宋体"/>
          <w:sz w:val="20"/>
          <w:szCs w:val="20"/>
        </w:rPr>
      </w:pPr>
      <w:r>
        <w:rPr>
          <w:b/>
          <w:bCs/>
          <w:sz w:val="20"/>
          <w:szCs w:val="20"/>
        </w:rPr>
        <w:t>1</w:t>
      </w:r>
      <w:r>
        <w:rPr>
          <w:rFonts w:ascii="宋体" w:hAnsi="宋体"/>
          <w:sz w:val="20"/>
          <w:szCs w:val="20"/>
        </w:rPr>
        <w:t xml:space="preserve">  </w:t>
      </w:r>
      <w:r>
        <w:rPr>
          <w:rFonts w:hint="eastAsia" w:ascii="宋体" w:hAnsi="宋体"/>
          <w:sz w:val="20"/>
          <w:szCs w:val="20"/>
        </w:rPr>
        <w:t>单根土钉的极限抗拔承载力标准值可按下式估算，并通过土钉抗拔试验进行验证：</w:t>
      </w:r>
    </w:p>
    <w:p w14:paraId="6DB5B3BD">
      <w:pPr>
        <w:adjustRightInd w:val="0"/>
        <w:snapToGrid w:val="0"/>
        <w:spacing w:line="288" w:lineRule="auto"/>
        <w:ind w:firstLine="400" w:firstLineChars="200"/>
        <w:jc w:val="center"/>
        <w:rPr>
          <w:rFonts w:ascii="宋体" w:hAnsi="宋体"/>
          <w:sz w:val="20"/>
          <w:szCs w:val="20"/>
        </w:rPr>
      </w:pPr>
      <w:r>
        <w:rPr>
          <w:rFonts w:hint="eastAsia" w:ascii="宋体" w:hAnsi="宋体"/>
          <w:position w:val="-16"/>
          <w:sz w:val="20"/>
          <w:szCs w:val="20"/>
        </w:rPr>
        <w:object>
          <v:shape id="_x0000_i1106" o:spt="75" type="#_x0000_t75" style="height:24.2pt;width:86.4pt;" o:ole="t" filled="f" o:preferrelative="t" stroked="f" coordsize="21600,21600">
            <v:path/>
            <v:fill on="f" focussize="0,0"/>
            <v:stroke on="f" joinstyle="miter"/>
            <v:imagedata r:id="rId180" o:title=""/>
            <o:lock v:ext="edit" aspectratio="t"/>
            <w10:wrap type="none"/>
            <w10:anchorlock/>
          </v:shape>
          <o:OLEObject Type="Embed" ProgID="Equation.3" ShapeID="_x0000_i1106" DrawAspect="Content" ObjectID="_1468075809" r:id="rId179">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8.2.10</w:t>
      </w:r>
      <w:r>
        <w:rPr>
          <w:rFonts w:hint="eastAsia" w:ascii="宋体" w:hAnsi="宋体"/>
          <w:sz w:val="20"/>
          <w:szCs w:val="20"/>
        </w:rPr>
        <w:t>）</w:t>
      </w:r>
    </w:p>
    <w:p w14:paraId="73C8A354">
      <w:pPr>
        <w:adjustRightInd w:val="0"/>
        <w:snapToGrid w:val="0"/>
        <w:spacing w:line="288" w:lineRule="auto"/>
        <w:rPr>
          <w:rFonts w:ascii="宋体" w:hAnsi="宋体"/>
          <w:sz w:val="20"/>
          <w:szCs w:val="20"/>
        </w:rPr>
      </w:pPr>
      <w:r>
        <w:rPr>
          <w:rFonts w:hint="eastAsia" w:ascii="宋体" w:hAnsi="宋体"/>
          <w:sz w:val="20"/>
          <w:szCs w:val="20"/>
        </w:rPr>
        <w:t>式中：</w:t>
      </w:r>
      <w:r>
        <w:rPr>
          <w:i/>
          <w:sz w:val="20"/>
          <w:szCs w:val="20"/>
        </w:rPr>
        <w:t>R</w:t>
      </w:r>
      <w:r>
        <w:rPr>
          <w:iCs/>
          <w:sz w:val="20"/>
          <w:szCs w:val="20"/>
          <w:vertAlign w:val="subscript"/>
        </w:rPr>
        <w:t>k</w:t>
      </w:r>
      <w:r>
        <w:rPr>
          <w:sz w:val="20"/>
          <w:szCs w:val="20"/>
          <w:vertAlign w:val="subscript"/>
        </w:rPr>
        <w:t>,</w:t>
      </w:r>
      <w:r>
        <w:rPr>
          <w:i/>
          <w:sz w:val="20"/>
          <w:szCs w:val="20"/>
          <w:vertAlign w:val="subscript"/>
        </w:rPr>
        <w:t>j</w:t>
      </w:r>
      <w:r>
        <w:rPr>
          <w:rFonts w:hint="eastAsia"/>
          <w:i/>
          <w:sz w:val="20"/>
          <w:szCs w:val="20"/>
          <w:vertAlign w:val="subscript"/>
        </w:rPr>
        <w:t xml:space="preserve"> </w:t>
      </w:r>
      <w:r>
        <w:rPr>
          <w:iCs/>
        </w:rPr>
        <w:t>——</w:t>
      </w:r>
      <w:r>
        <w:rPr>
          <w:rFonts w:hint="eastAsia" w:ascii="宋体" w:hAnsi="宋体"/>
          <w:sz w:val="20"/>
          <w:szCs w:val="20"/>
        </w:rPr>
        <w:t>第</w:t>
      </w:r>
      <w:r>
        <w:rPr>
          <w:i/>
          <w:sz w:val="20"/>
          <w:szCs w:val="20"/>
        </w:rPr>
        <w:t>j</w:t>
      </w:r>
      <w:r>
        <w:rPr>
          <w:rFonts w:hint="eastAsia" w:ascii="宋体" w:hAnsi="宋体"/>
          <w:sz w:val="20"/>
          <w:szCs w:val="20"/>
        </w:rPr>
        <w:t>层土钉的极限抗拔承载力标准值（</w:t>
      </w:r>
      <w:r>
        <w:rPr>
          <w:rFonts w:hint="eastAsia"/>
          <w:sz w:val="20"/>
          <w:szCs w:val="20"/>
        </w:rPr>
        <w:t>kN</w:t>
      </w:r>
      <w:r>
        <w:rPr>
          <w:rFonts w:hint="eastAsia" w:ascii="宋体" w:hAnsi="宋体"/>
          <w:sz w:val="20"/>
          <w:szCs w:val="20"/>
        </w:rPr>
        <w:t>）；</w:t>
      </w:r>
    </w:p>
    <w:p w14:paraId="269ADDE2">
      <w:pPr>
        <w:adjustRightInd w:val="0"/>
        <w:snapToGrid w:val="0"/>
        <w:spacing w:line="288" w:lineRule="auto"/>
        <w:ind w:left="1313" w:leftChars="333" w:hanging="614" w:hangingChars="307"/>
        <w:rPr>
          <w:rFonts w:ascii="宋体" w:hAnsi="宋体"/>
          <w:sz w:val="20"/>
          <w:szCs w:val="20"/>
        </w:rPr>
      </w:pPr>
      <w:r>
        <w:rPr>
          <w:i/>
          <w:sz w:val="20"/>
          <w:szCs w:val="20"/>
        </w:rPr>
        <w:t>d</w:t>
      </w:r>
      <w:r>
        <w:rPr>
          <w:i/>
          <w:sz w:val="20"/>
          <w:szCs w:val="20"/>
          <w:vertAlign w:val="subscript"/>
        </w:rPr>
        <w:t xml:space="preserve">j </w:t>
      </w:r>
      <w:r>
        <w:rPr>
          <w:iCs/>
        </w:rPr>
        <w:t>——</w:t>
      </w:r>
      <w:r>
        <w:rPr>
          <w:rFonts w:hint="eastAsia" w:ascii="宋体" w:hAnsi="宋体"/>
          <w:sz w:val="20"/>
          <w:szCs w:val="20"/>
        </w:rPr>
        <w:t>第</w:t>
      </w:r>
      <w:r>
        <w:rPr>
          <w:i/>
          <w:sz w:val="20"/>
          <w:szCs w:val="20"/>
        </w:rPr>
        <w:t>j</w:t>
      </w:r>
      <w:r>
        <w:rPr>
          <w:rFonts w:hint="eastAsia" w:ascii="宋体" w:hAnsi="宋体"/>
          <w:sz w:val="20"/>
          <w:szCs w:val="20"/>
        </w:rPr>
        <w:t>层土钉的锚固体直径（</w:t>
      </w:r>
      <w:r>
        <w:rPr>
          <w:rFonts w:hint="eastAsia"/>
          <w:sz w:val="20"/>
          <w:szCs w:val="20"/>
        </w:rPr>
        <w:t>m</w:t>
      </w:r>
      <w:r>
        <w:rPr>
          <w:rFonts w:hint="eastAsia" w:ascii="宋体" w:hAnsi="宋体"/>
          <w:sz w:val="20"/>
          <w:szCs w:val="20"/>
        </w:rPr>
        <w:t>）；对成孔注浆土钉，按成孔直径计算，对打入钢管土钉，按钢管直径计算；</w:t>
      </w:r>
    </w:p>
    <w:p w14:paraId="6C172EA3">
      <w:pPr>
        <w:adjustRightInd w:val="0"/>
        <w:snapToGrid w:val="0"/>
        <w:spacing w:line="288" w:lineRule="auto"/>
        <w:ind w:left="1217" w:leftChars="274" w:hanging="642" w:hangingChars="321"/>
        <w:rPr>
          <w:rFonts w:ascii="宋体" w:hAnsi="宋体"/>
          <w:sz w:val="20"/>
          <w:szCs w:val="20"/>
        </w:rPr>
      </w:pPr>
      <w:r>
        <w:rPr>
          <w:rFonts w:hint="eastAsia"/>
          <w:i/>
          <w:sz w:val="20"/>
          <w:szCs w:val="20"/>
        </w:rPr>
        <w:t>q</w:t>
      </w:r>
      <w:r>
        <w:rPr>
          <w:rFonts w:hint="eastAsia"/>
          <w:sz w:val="20"/>
          <w:szCs w:val="20"/>
          <w:vertAlign w:val="subscript"/>
        </w:rPr>
        <w:t>sk</w:t>
      </w:r>
      <w:r>
        <w:rPr>
          <w:rFonts w:hint="eastAsia" w:hAnsi="宋体"/>
          <w:sz w:val="20"/>
          <w:szCs w:val="20"/>
          <w:vertAlign w:val="subscript"/>
        </w:rPr>
        <w:t>，</w:t>
      </w:r>
      <w:r>
        <w:rPr>
          <w:rFonts w:hint="eastAsia"/>
          <w:i/>
          <w:sz w:val="20"/>
          <w:szCs w:val="20"/>
          <w:vertAlign w:val="subscript"/>
        </w:rPr>
        <w:t>i</w:t>
      </w:r>
      <w:r>
        <w:rPr>
          <w:iCs/>
        </w:rPr>
        <w:t>——</w:t>
      </w:r>
      <w:r>
        <w:rPr>
          <w:rFonts w:hint="eastAsia" w:ascii="宋体" w:hAnsi="宋体"/>
          <w:sz w:val="20"/>
          <w:szCs w:val="20"/>
        </w:rPr>
        <w:t>第</w:t>
      </w:r>
      <w:r>
        <w:rPr>
          <w:rFonts w:ascii="宋体" w:hAnsi="宋体"/>
          <w:i/>
          <w:sz w:val="20"/>
          <w:szCs w:val="20"/>
        </w:rPr>
        <w:t>j</w:t>
      </w:r>
      <w:r>
        <w:rPr>
          <w:rFonts w:hint="eastAsia" w:ascii="宋体" w:hAnsi="宋体"/>
          <w:sz w:val="20"/>
          <w:szCs w:val="20"/>
        </w:rPr>
        <w:t>层土钉在第</w:t>
      </w:r>
      <w:r>
        <w:rPr>
          <w:i/>
          <w:sz w:val="20"/>
          <w:szCs w:val="20"/>
        </w:rPr>
        <w:t>i</w:t>
      </w:r>
      <w:r>
        <w:rPr>
          <w:rFonts w:hint="eastAsia" w:ascii="宋体" w:hAnsi="宋体"/>
          <w:sz w:val="20"/>
          <w:szCs w:val="20"/>
        </w:rPr>
        <w:t>层土的极限粘结强度标准值（</w:t>
      </w:r>
      <w:r>
        <w:rPr>
          <w:rFonts w:hint="eastAsia"/>
          <w:sz w:val="20"/>
          <w:szCs w:val="20"/>
        </w:rPr>
        <w:t>kPa</w:t>
      </w:r>
      <w:r>
        <w:rPr>
          <w:rFonts w:hint="eastAsia" w:ascii="宋体" w:hAnsi="宋体"/>
          <w:sz w:val="20"/>
          <w:szCs w:val="20"/>
        </w:rPr>
        <w:t>）；应由土钉抗拔试验确定，无试验数据时，可根据工程经验并结合本规程表</w:t>
      </w:r>
      <w:r>
        <w:rPr>
          <w:sz w:val="20"/>
          <w:szCs w:val="20"/>
        </w:rPr>
        <w:t>8.2.4</w:t>
      </w:r>
      <w:r>
        <w:rPr>
          <w:rFonts w:hint="eastAsia" w:ascii="宋体" w:hAnsi="宋体"/>
          <w:sz w:val="20"/>
          <w:szCs w:val="20"/>
        </w:rPr>
        <w:t>取值；</w:t>
      </w:r>
    </w:p>
    <w:p w14:paraId="24001580">
      <w:pPr>
        <w:adjustRightInd w:val="0"/>
        <w:snapToGrid w:val="0"/>
        <w:spacing w:line="288" w:lineRule="auto"/>
        <w:ind w:left="1201" w:leftChars="308" w:hanging="554" w:hangingChars="277"/>
        <w:rPr>
          <w:rFonts w:ascii="宋体" w:hAnsi="宋体"/>
          <w:sz w:val="20"/>
          <w:szCs w:val="20"/>
        </w:rPr>
      </w:pPr>
      <w:r>
        <w:rPr>
          <w:rFonts w:ascii="宋体" w:hAnsi="宋体"/>
          <w:sz w:val="20"/>
          <w:szCs w:val="20"/>
        </w:rPr>
        <w:pict>
          <v:shape id="_x0000_s1268" o:spid="_x0000_s1268" o:spt="75" type="#_x0000_t75" style="position:absolute;left:0pt;margin-left:312.45pt;margin-top:9.65pt;height:23.1pt;width:28.15pt;z-index:251664384;mso-width-relative:page;mso-height-relative:page;" o:ole="t" filled="f" o:preferrelative="t" stroked="f" coordsize="21600,21600">
            <v:path/>
            <v:fill on="f" focussize="0,0"/>
            <v:stroke on="f" joinstyle="miter"/>
            <v:imagedata r:id="rId182" o:title=""/>
            <o:lock v:ext="edit" aspectratio="t"/>
          </v:shape>
          <o:OLEObject Type="Embed" ProgID="Equation.3" ShapeID="_x0000_s1268" DrawAspect="Content" ObjectID="_1468075810" r:id="rId181">
            <o:LockedField>false</o:LockedField>
          </o:OLEObject>
        </w:pict>
      </w:r>
      <w:r>
        <w:rPr>
          <w:i/>
          <w:sz w:val="20"/>
          <w:szCs w:val="20"/>
        </w:rPr>
        <w:t>l</w:t>
      </w:r>
      <w:r>
        <w:rPr>
          <w:i/>
          <w:sz w:val="20"/>
          <w:szCs w:val="20"/>
          <w:vertAlign w:val="subscript"/>
        </w:rPr>
        <w:t xml:space="preserve">i </w:t>
      </w:r>
      <w:r>
        <w:rPr>
          <w:iCs/>
        </w:rPr>
        <w:t>——</w:t>
      </w:r>
      <w:r>
        <w:rPr>
          <w:rFonts w:hint="eastAsia" w:ascii="宋体" w:hAnsi="宋体"/>
          <w:sz w:val="20"/>
          <w:szCs w:val="20"/>
        </w:rPr>
        <w:t>第</w:t>
      </w:r>
      <w:r>
        <w:rPr>
          <w:rFonts w:ascii="宋体" w:hAnsi="宋体"/>
          <w:i/>
          <w:sz w:val="20"/>
          <w:szCs w:val="20"/>
        </w:rPr>
        <w:t>j</w:t>
      </w:r>
      <w:r>
        <w:rPr>
          <w:rFonts w:hint="eastAsia" w:ascii="宋体" w:hAnsi="宋体"/>
          <w:sz w:val="20"/>
          <w:szCs w:val="20"/>
        </w:rPr>
        <w:t>层土钉滑动面以外的部分在第</w:t>
      </w:r>
      <w:r>
        <w:rPr>
          <w:i/>
          <w:sz w:val="20"/>
          <w:szCs w:val="20"/>
        </w:rPr>
        <w:t>i</w:t>
      </w:r>
      <w:r>
        <w:rPr>
          <w:rFonts w:hint="eastAsia" w:ascii="宋体" w:hAnsi="宋体"/>
          <w:sz w:val="20"/>
          <w:szCs w:val="20"/>
        </w:rPr>
        <w:t>土层中的长度</w:t>
      </w:r>
      <w:r>
        <w:rPr>
          <w:rFonts w:ascii="宋体" w:hAnsi="宋体"/>
          <w:sz w:val="20"/>
          <w:szCs w:val="20"/>
        </w:rPr>
        <w:t>（</w:t>
      </w:r>
      <w:r>
        <w:rPr>
          <w:sz w:val="20"/>
          <w:szCs w:val="20"/>
        </w:rPr>
        <w:t>m</w:t>
      </w:r>
      <w:r>
        <w:rPr>
          <w:rFonts w:ascii="宋体" w:hAnsi="宋体"/>
          <w:sz w:val="20"/>
          <w:szCs w:val="20"/>
        </w:rPr>
        <w:t>）</w:t>
      </w:r>
      <w:r>
        <w:rPr>
          <w:rFonts w:hint="eastAsia" w:ascii="宋体" w:hAnsi="宋体"/>
          <w:sz w:val="20"/>
          <w:szCs w:val="20"/>
        </w:rPr>
        <w:t>；计算单根土钉极限抗拔承载力时，取图</w:t>
      </w:r>
      <w:r>
        <w:rPr>
          <w:sz w:val="20"/>
          <w:szCs w:val="20"/>
        </w:rPr>
        <w:t>8.2.10</w:t>
      </w:r>
      <w:r>
        <w:rPr>
          <w:rFonts w:hint="eastAsia" w:ascii="宋体" w:hAnsi="宋体"/>
          <w:sz w:val="20"/>
          <w:szCs w:val="20"/>
        </w:rPr>
        <w:t>所示的直线滑动面，直线滑动面与水平面的夹角取      。</w:t>
      </w:r>
    </w:p>
    <w:p w14:paraId="7D0A85F0">
      <w:pPr>
        <w:adjustRightInd w:val="0"/>
        <w:snapToGrid w:val="0"/>
        <w:spacing w:line="288" w:lineRule="auto"/>
        <w:ind w:firstLine="402" w:firstLineChars="200"/>
        <w:rPr>
          <w:rFonts w:ascii="宋体" w:hAnsi="宋体"/>
          <w:sz w:val="20"/>
          <w:szCs w:val="20"/>
        </w:rPr>
      </w:pPr>
      <w:r>
        <w:rPr>
          <w:b/>
          <w:sz w:val="20"/>
          <w:szCs w:val="20"/>
        </w:rPr>
        <w:t>2</w:t>
      </w:r>
      <w:r>
        <w:rPr>
          <w:rFonts w:ascii="宋体" w:hAnsi="宋体"/>
          <w:sz w:val="20"/>
          <w:szCs w:val="20"/>
        </w:rPr>
        <w:t xml:space="preserve">  </w:t>
      </w:r>
      <w:r>
        <w:rPr>
          <w:rFonts w:hint="eastAsia" w:ascii="宋体" w:hAnsi="宋体"/>
          <w:sz w:val="20"/>
          <w:szCs w:val="20"/>
        </w:rPr>
        <w:t>对基坑侧壁安全等级为三级的土钉墙，可按公式（</w:t>
      </w:r>
      <w:r>
        <w:rPr>
          <w:sz w:val="20"/>
          <w:szCs w:val="20"/>
        </w:rPr>
        <w:t>8.2.10</w:t>
      </w:r>
      <w:r>
        <w:rPr>
          <w:rFonts w:hint="eastAsia" w:ascii="宋体" w:hAnsi="宋体"/>
          <w:sz w:val="20"/>
          <w:szCs w:val="20"/>
        </w:rPr>
        <w:t>）确定单根土钉的极限抗拔承载力；</w:t>
      </w:r>
    </w:p>
    <w:p w14:paraId="65750D31">
      <w:pPr>
        <w:adjustRightInd w:val="0"/>
        <w:snapToGrid w:val="0"/>
        <w:spacing w:line="288" w:lineRule="auto"/>
        <w:ind w:firstLine="402" w:firstLineChars="200"/>
        <w:rPr>
          <w:rFonts w:ascii="宋体" w:hAnsi="宋体"/>
          <w:sz w:val="20"/>
          <w:szCs w:val="20"/>
        </w:rPr>
      </w:pPr>
      <w:r>
        <w:rPr>
          <w:b/>
          <w:sz w:val="20"/>
          <w:szCs w:val="20"/>
        </w:rPr>
        <w:t>3</w:t>
      </w:r>
      <w:r>
        <w:rPr>
          <w:rFonts w:ascii="宋体" w:hAnsi="宋体"/>
          <w:sz w:val="20"/>
          <w:szCs w:val="20"/>
        </w:rPr>
        <w:t xml:space="preserve">  </w:t>
      </w:r>
      <w:r>
        <w:rPr>
          <w:rFonts w:hint="eastAsia" w:ascii="宋体" w:hAnsi="宋体"/>
          <w:sz w:val="20"/>
          <w:szCs w:val="20"/>
        </w:rPr>
        <w:t>当按本条第</w:t>
      </w:r>
      <w:r>
        <w:rPr>
          <w:sz w:val="20"/>
          <w:szCs w:val="20"/>
        </w:rPr>
        <w:t>1</w:t>
      </w:r>
      <w:r>
        <w:rPr>
          <w:rFonts w:hint="eastAsia" w:ascii="宋体" w:hAnsi="宋体"/>
          <w:sz w:val="20"/>
          <w:szCs w:val="20"/>
        </w:rPr>
        <w:t>款、第</w:t>
      </w:r>
      <w:r>
        <w:rPr>
          <w:sz w:val="20"/>
          <w:szCs w:val="20"/>
        </w:rPr>
        <w:t>2</w:t>
      </w:r>
      <w:r>
        <w:rPr>
          <w:rFonts w:hint="eastAsia" w:ascii="宋体" w:hAnsi="宋体"/>
          <w:sz w:val="20"/>
          <w:szCs w:val="20"/>
        </w:rPr>
        <w:t>款确定的土钉极限抗拔承载力标准值大于</w:t>
      </w:r>
      <w:r>
        <w:rPr>
          <w:i/>
          <w:sz w:val="20"/>
          <w:szCs w:val="20"/>
        </w:rPr>
        <w:t>f</w:t>
      </w:r>
      <w:r>
        <w:rPr>
          <w:sz w:val="20"/>
          <w:szCs w:val="20"/>
          <w:vertAlign w:val="subscript"/>
        </w:rPr>
        <w:t>yk</w:t>
      </w:r>
      <w:r>
        <w:rPr>
          <w:i/>
          <w:sz w:val="20"/>
          <w:szCs w:val="20"/>
        </w:rPr>
        <w:t>A</w:t>
      </w:r>
      <w:r>
        <w:rPr>
          <w:sz w:val="20"/>
          <w:szCs w:val="20"/>
          <w:vertAlign w:val="subscript"/>
        </w:rPr>
        <w:t>s</w:t>
      </w:r>
      <w:r>
        <w:rPr>
          <w:rFonts w:hint="eastAsia" w:ascii="宋体" w:hAnsi="宋体"/>
          <w:sz w:val="20"/>
          <w:szCs w:val="20"/>
        </w:rPr>
        <w:t>时，应取</w:t>
      </w:r>
      <w:r>
        <w:rPr>
          <w:i/>
          <w:sz w:val="20"/>
          <w:szCs w:val="20"/>
        </w:rPr>
        <w:t>R</w:t>
      </w:r>
      <w:r>
        <w:rPr>
          <w:sz w:val="20"/>
          <w:szCs w:val="20"/>
          <w:vertAlign w:val="subscript"/>
        </w:rPr>
        <w:t>k</w:t>
      </w:r>
      <w:r>
        <w:rPr>
          <w:rFonts w:hAnsi="宋体"/>
          <w:sz w:val="20"/>
          <w:szCs w:val="20"/>
          <w:vertAlign w:val="subscript"/>
        </w:rPr>
        <w:t>，</w:t>
      </w:r>
      <w:r>
        <w:rPr>
          <w:i/>
          <w:sz w:val="20"/>
          <w:szCs w:val="20"/>
          <w:vertAlign w:val="subscript"/>
        </w:rPr>
        <w:t>j</w:t>
      </w:r>
      <w:r>
        <w:rPr>
          <w:rFonts w:hAnsi="宋体"/>
          <w:sz w:val="20"/>
          <w:szCs w:val="20"/>
        </w:rPr>
        <w:t>＝</w:t>
      </w:r>
      <w:r>
        <w:rPr>
          <w:i/>
          <w:sz w:val="20"/>
          <w:szCs w:val="20"/>
        </w:rPr>
        <w:t>f</w:t>
      </w:r>
      <w:r>
        <w:rPr>
          <w:sz w:val="20"/>
          <w:szCs w:val="20"/>
          <w:vertAlign w:val="subscript"/>
        </w:rPr>
        <w:t>yk</w:t>
      </w:r>
      <w:r>
        <w:rPr>
          <w:i/>
          <w:sz w:val="20"/>
          <w:szCs w:val="20"/>
        </w:rPr>
        <w:t>A</w:t>
      </w:r>
      <w:r>
        <w:rPr>
          <w:sz w:val="20"/>
          <w:szCs w:val="20"/>
          <w:vertAlign w:val="subscript"/>
        </w:rPr>
        <w:t>s</w:t>
      </w:r>
      <w:r>
        <w:rPr>
          <w:rFonts w:hint="eastAsia" w:ascii="宋体" w:hAnsi="宋体"/>
          <w:sz w:val="20"/>
          <w:szCs w:val="20"/>
        </w:rPr>
        <w:t>。</w:t>
      </w:r>
    </w:p>
    <w:p w14:paraId="36C82D65">
      <w:pPr>
        <w:adjustRightInd w:val="0"/>
        <w:snapToGrid w:val="0"/>
        <w:spacing w:line="288" w:lineRule="auto"/>
        <w:jc w:val="center"/>
        <w:rPr>
          <w:rFonts w:ascii="宋体" w:hAnsi="宋体"/>
          <w:sz w:val="20"/>
          <w:szCs w:val="20"/>
        </w:rPr>
      </w:pPr>
      <w:r>
        <w:rPr>
          <w:rFonts w:ascii="宋体" w:hAnsi="宋体"/>
          <w:sz w:val="20"/>
          <w:szCs w:val="20"/>
        </w:rPr>
        <w:object>
          <v:shape id="_x0000_i1107" o:spt="75" type="#_x0000_t75" style="height:140.55pt;width:277.05pt;" o:ole="t" filled="f" o:preferrelative="t" stroked="f" coordsize="21600,21600">
            <v:path/>
            <v:fill on="f" focussize="0,0"/>
            <v:stroke on="f" joinstyle="miter"/>
            <v:imagedata r:id="rId184" cropleft="14469f" croptop="14095f" cropright="15605f" cropbottom="10562f" o:title=""/>
            <o:lock v:ext="edit" aspectratio="t"/>
            <w10:wrap type="none"/>
            <w10:anchorlock/>
          </v:shape>
          <o:OLEObject Type="Embed" ProgID="AutoCAD.Drawing.16" ShapeID="_x0000_i1107" DrawAspect="Content" ObjectID="_1468075811" r:id="rId183">
            <o:LockedField>false</o:LockedField>
          </o:OLEObject>
        </w:object>
      </w:r>
    </w:p>
    <w:p w14:paraId="44DC3E19">
      <w:pPr>
        <w:adjustRightInd w:val="0"/>
        <w:snapToGrid w:val="0"/>
        <w:spacing w:before="156" w:beforeLines="50" w:line="288" w:lineRule="auto"/>
        <w:jc w:val="center"/>
        <w:rPr>
          <w:rFonts w:ascii="宋体" w:hAnsi="宋体"/>
          <w:b/>
          <w:sz w:val="18"/>
          <w:szCs w:val="18"/>
        </w:rPr>
      </w:pPr>
      <w:r>
        <w:rPr>
          <w:rFonts w:hint="eastAsia" w:ascii="宋体" w:hAnsi="宋体"/>
          <w:b/>
          <w:sz w:val="18"/>
          <w:szCs w:val="18"/>
        </w:rPr>
        <w:t>图</w:t>
      </w:r>
      <w:r>
        <w:rPr>
          <w:b/>
          <w:bCs/>
          <w:sz w:val="18"/>
          <w:szCs w:val="18"/>
        </w:rPr>
        <w:t>8.2.10</w:t>
      </w:r>
      <w:r>
        <w:rPr>
          <w:rFonts w:hint="eastAsia" w:ascii="宋体" w:hAnsi="宋体"/>
          <w:b/>
          <w:sz w:val="18"/>
          <w:szCs w:val="18"/>
        </w:rPr>
        <w:t xml:space="preserve">  土钉抗拔承载力计算简图</w:t>
      </w:r>
    </w:p>
    <w:p w14:paraId="5BBF6DB9">
      <w:pPr>
        <w:adjustRightInd w:val="0"/>
        <w:snapToGrid w:val="0"/>
        <w:spacing w:after="156" w:afterLines="50" w:line="288" w:lineRule="auto"/>
        <w:jc w:val="center"/>
        <w:rPr>
          <w:rFonts w:ascii="宋体" w:hAnsi="宋体"/>
          <w:bCs/>
          <w:sz w:val="15"/>
          <w:szCs w:val="15"/>
        </w:rPr>
      </w:pPr>
      <w:r>
        <w:rPr>
          <w:rFonts w:hint="eastAsia"/>
          <w:bCs/>
          <w:sz w:val="15"/>
          <w:szCs w:val="15"/>
        </w:rPr>
        <w:t>1</w:t>
      </w:r>
      <w:r>
        <w:rPr>
          <w:rFonts w:hint="eastAsia" w:ascii="宋体" w:hAnsi="宋体"/>
          <w:sz w:val="15"/>
          <w:szCs w:val="15"/>
        </w:rPr>
        <w:t>—</w:t>
      </w:r>
      <w:r>
        <w:rPr>
          <w:rFonts w:hint="eastAsia" w:ascii="宋体" w:hAnsi="宋体"/>
          <w:iCs/>
          <w:sz w:val="15"/>
          <w:szCs w:val="15"/>
        </w:rPr>
        <w:t>土钉；</w:t>
      </w:r>
      <w:r>
        <w:rPr>
          <w:rFonts w:hint="eastAsia"/>
          <w:bCs/>
          <w:sz w:val="15"/>
          <w:szCs w:val="15"/>
        </w:rPr>
        <w:t>2</w:t>
      </w:r>
      <w:r>
        <w:rPr>
          <w:rFonts w:hint="eastAsia" w:ascii="宋体" w:hAnsi="宋体"/>
          <w:sz w:val="15"/>
          <w:szCs w:val="15"/>
        </w:rPr>
        <w:t>—喷射混凝土面层；</w:t>
      </w:r>
      <w:r>
        <w:rPr>
          <w:bCs/>
          <w:sz w:val="15"/>
          <w:szCs w:val="15"/>
        </w:rPr>
        <w:t>3</w:t>
      </w:r>
      <w:r>
        <w:rPr>
          <w:rFonts w:hint="eastAsia" w:ascii="宋体" w:hAnsi="宋体"/>
          <w:sz w:val="15"/>
          <w:szCs w:val="15"/>
        </w:rPr>
        <w:t>—滑动面</w:t>
      </w:r>
    </w:p>
    <w:p w14:paraId="79F45819">
      <w:pPr>
        <w:adjustRightInd w:val="0"/>
        <w:snapToGrid w:val="0"/>
        <w:spacing w:line="288" w:lineRule="auto"/>
        <w:rPr>
          <w:rFonts w:ascii="宋体" w:hAnsi="宋体"/>
          <w:iCs/>
          <w:sz w:val="20"/>
          <w:szCs w:val="20"/>
        </w:rPr>
      </w:pPr>
      <w:r>
        <w:rPr>
          <w:b/>
          <w:kern w:val="0"/>
          <w:sz w:val="20"/>
          <w:szCs w:val="20"/>
        </w:rPr>
        <w:t>8.2.11</w:t>
      </w:r>
      <w:r>
        <w:rPr>
          <w:rFonts w:ascii="宋体" w:hAnsi="宋体"/>
          <w:bCs/>
          <w:sz w:val="20"/>
          <w:szCs w:val="20"/>
        </w:rPr>
        <w:t xml:space="preserve">  </w:t>
      </w:r>
      <w:r>
        <w:rPr>
          <w:rFonts w:hint="eastAsia" w:ascii="宋体" w:hAnsi="宋体"/>
          <w:iCs/>
          <w:sz w:val="20"/>
          <w:szCs w:val="20"/>
        </w:rPr>
        <w:t>土钉墙应根据施工期间不同开挖深度及可能滑动面（图</w:t>
      </w:r>
      <w:r>
        <w:rPr>
          <w:sz w:val="20"/>
          <w:szCs w:val="20"/>
        </w:rPr>
        <w:t>8.2.11</w:t>
      </w:r>
      <w:r>
        <w:rPr>
          <w:rFonts w:hint="eastAsia" w:ascii="宋体" w:hAnsi="宋体"/>
          <w:iCs/>
          <w:sz w:val="20"/>
          <w:szCs w:val="20"/>
        </w:rPr>
        <w:t>）采用圆弧滑动简单条分法按下列公式进行整体稳定性验算：</w:t>
      </w:r>
    </w:p>
    <w:p w14:paraId="50910105">
      <w:pPr>
        <w:adjustRightInd w:val="0"/>
        <w:snapToGrid w:val="0"/>
        <w:spacing w:line="288" w:lineRule="auto"/>
        <w:jc w:val="center"/>
        <w:rPr>
          <w:rFonts w:ascii="宋体" w:hAnsi="宋体" w:cs="宋体"/>
          <w:kern w:val="0"/>
          <w:sz w:val="20"/>
          <w:szCs w:val="20"/>
        </w:rPr>
      </w:pPr>
      <w:r>
        <w:rPr>
          <w:rFonts w:ascii="宋体" w:hAnsi="宋体"/>
          <w:sz w:val="20"/>
          <w:szCs w:val="20"/>
        </w:rPr>
        <w:object>
          <v:shape id="_x0000_i1108" o:spt="75" type="#_x0000_t75" style="height:144pt;width:247.1pt;" o:ole="t" filled="f" o:preferrelative="t" stroked="f" coordsize="21600,21600">
            <v:path/>
            <v:fill on="f" focussize="0,0"/>
            <v:stroke on="f" joinstyle="miter"/>
            <v:imagedata r:id="rId186" cropleft="14931f" croptop="7968f" cropright="13974f" cropbottom="9171f" o:title=""/>
            <o:lock v:ext="edit" aspectratio="t"/>
            <w10:wrap type="none"/>
            <w10:anchorlock/>
          </v:shape>
          <o:OLEObject Type="Embed" ProgID="AutoCAD.Drawing.16" ShapeID="_x0000_i1108" DrawAspect="Content" ObjectID="_1468075812" r:id="rId185">
            <o:LockedField>false</o:LockedField>
          </o:OLEObject>
        </w:object>
      </w:r>
    </w:p>
    <w:p w14:paraId="46751D4C">
      <w:pPr>
        <w:adjustRightInd w:val="0"/>
        <w:snapToGrid w:val="0"/>
        <w:spacing w:before="156" w:beforeLines="50" w:line="288" w:lineRule="auto"/>
        <w:jc w:val="center"/>
        <w:rPr>
          <w:b/>
          <w:iCs/>
          <w:sz w:val="18"/>
          <w:szCs w:val="18"/>
        </w:rPr>
      </w:pPr>
      <w:r>
        <w:rPr>
          <w:b/>
          <w:iCs/>
          <w:sz w:val="18"/>
          <w:szCs w:val="18"/>
        </w:rPr>
        <w:t>图</w:t>
      </w:r>
      <w:r>
        <w:rPr>
          <w:b/>
          <w:bCs/>
          <w:sz w:val="18"/>
          <w:szCs w:val="18"/>
        </w:rPr>
        <w:t xml:space="preserve">8.2.11  </w:t>
      </w:r>
      <w:r>
        <w:rPr>
          <w:b/>
          <w:iCs/>
          <w:sz w:val="18"/>
          <w:szCs w:val="18"/>
        </w:rPr>
        <w:t>整体稳定性验算简图</w:t>
      </w:r>
    </w:p>
    <w:p w14:paraId="55F34005">
      <w:pPr>
        <w:adjustRightInd w:val="0"/>
        <w:snapToGrid w:val="0"/>
        <w:spacing w:after="156" w:afterLines="50" w:line="288" w:lineRule="auto"/>
        <w:jc w:val="center"/>
        <w:rPr>
          <w:rFonts w:ascii="宋体" w:hAnsi="宋体"/>
          <w:bCs/>
          <w:sz w:val="15"/>
          <w:szCs w:val="15"/>
        </w:rPr>
      </w:pPr>
      <w:r>
        <w:rPr>
          <w:bCs/>
          <w:sz w:val="15"/>
          <w:szCs w:val="15"/>
        </w:rPr>
        <w:t>1</w:t>
      </w:r>
      <w:r>
        <w:rPr>
          <w:rFonts w:hint="eastAsia" w:ascii="宋体" w:hAnsi="宋体"/>
          <w:bCs/>
          <w:sz w:val="15"/>
          <w:szCs w:val="15"/>
        </w:rPr>
        <w:t>－滑动面；</w:t>
      </w:r>
      <w:r>
        <w:rPr>
          <w:rFonts w:hint="eastAsia"/>
          <w:bCs/>
          <w:sz w:val="15"/>
          <w:szCs w:val="15"/>
        </w:rPr>
        <w:t>2</w:t>
      </w:r>
      <w:r>
        <w:rPr>
          <w:rFonts w:hint="eastAsia" w:ascii="宋体" w:hAnsi="宋体"/>
          <w:bCs/>
          <w:sz w:val="15"/>
          <w:szCs w:val="15"/>
        </w:rPr>
        <w:t>－土钉；</w:t>
      </w:r>
      <w:r>
        <w:rPr>
          <w:rFonts w:hint="eastAsia"/>
          <w:bCs/>
          <w:sz w:val="15"/>
          <w:szCs w:val="15"/>
        </w:rPr>
        <w:t>3</w:t>
      </w:r>
      <w:r>
        <w:rPr>
          <w:rFonts w:hint="eastAsia" w:ascii="宋体" w:hAnsi="宋体"/>
          <w:bCs/>
          <w:sz w:val="15"/>
          <w:szCs w:val="15"/>
        </w:rPr>
        <w:t>－喷射混凝土面层</w:t>
      </w:r>
    </w:p>
    <w:p w14:paraId="4F2C01C9">
      <w:pPr>
        <w:tabs>
          <w:tab w:val="left" w:pos="2700"/>
        </w:tabs>
        <w:adjustRightInd w:val="0"/>
        <w:snapToGrid w:val="0"/>
        <w:spacing w:line="288" w:lineRule="auto"/>
        <w:ind w:firstLine="400" w:firstLineChars="200"/>
        <w:jc w:val="center"/>
        <w:rPr>
          <w:rFonts w:ascii="宋体" w:hAnsi="宋体"/>
          <w:sz w:val="20"/>
          <w:szCs w:val="20"/>
        </w:rPr>
      </w:pPr>
      <w:r>
        <w:rPr>
          <w:rFonts w:hint="eastAsia" w:ascii="宋体" w:hAnsi="宋体"/>
          <w:position w:val="-10"/>
          <w:sz w:val="20"/>
          <w:szCs w:val="20"/>
        </w:rPr>
        <w:object>
          <v:shape id="_x0000_i1109" o:spt="75" type="#_x0000_t75" style="height:14.4pt;width:101.4pt;" o:ole="t" filled="f" o:preferrelative="t" stroked="f" coordsize="21600,21600">
            <v:path/>
            <v:fill on="f" focussize="0,0"/>
            <v:stroke on="f" joinstyle="miter"/>
            <v:imagedata r:id="rId188" o:title=""/>
            <o:lock v:ext="edit" aspectratio="t"/>
            <w10:wrap type="none"/>
            <w10:anchorlock/>
          </v:shape>
          <o:OLEObject Type="Embed" ProgID="Equation.3" ShapeID="_x0000_i1109" DrawAspect="Content" ObjectID="_1468075813" r:id="rId187">
            <o:LockedField>false</o:LockedField>
          </o:OLEObject>
        </w:object>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8.2.11-1</w:t>
      </w:r>
      <w:r>
        <w:rPr>
          <w:rFonts w:hint="eastAsia" w:ascii="宋体" w:hAnsi="宋体"/>
          <w:sz w:val="20"/>
          <w:szCs w:val="20"/>
        </w:rPr>
        <w:t>）</w:t>
      </w:r>
    </w:p>
    <w:p w14:paraId="28BEF93C">
      <w:pPr>
        <w:adjustRightInd w:val="0"/>
        <w:snapToGrid w:val="0"/>
        <w:spacing w:line="288" w:lineRule="auto"/>
        <w:jc w:val="center"/>
        <w:rPr>
          <w:rFonts w:ascii="宋体" w:hAnsi="宋体"/>
          <w:sz w:val="20"/>
          <w:szCs w:val="20"/>
        </w:rPr>
      </w:pPr>
      <w:r>
        <w:rPr>
          <w:rFonts w:hint="eastAsia" w:ascii="宋体" w:hAnsi="宋体"/>
          <w:position w:val="-32"/>
          <w:sz w:val="20"/>
          <w:szCs w:val="20"/>
        </w:rPr>
        <w:object>
          <v:shape id="_x0000_i1110" o:spt="75" type="#_x0000_t75" style="height:40.9pt;width:241.9pt;" o:ole="t" filled="f" o:preferrelative="t" stroked="f" coordsize="21600,21600">
            <v:path/>
            <v:fill on="f" focussize="0,0"/>
            <v:stroke on="f" joinstyle="miter"/>
            <v:imagedata r:id="rId190" o:title=""/>
            <o:lock v:ext="edit" aspectratio="t"/>
            <w10:wrap type="none"/>
            <w10:anchorlock/>
          </v:shape>
          <o:OLEObject Type="Embed" ProgID="Equation.3" ShapeID="_x0000_i1110" DrawAspect="Content" ObjectID="_1468075814" r:id="rId189">
            <o:LockedField>false</o:LockedField>
          </o:OLEObject>
        </w:object>
      </w:r>
      <w:r>
        <w:rPr>
          <w:rFonts w:hint="eastAsia" w:ascii="宋体" w:hAnsi="宋体"/>
          <w:sz w:val="20"/>
          <w:szCs w:val="20"/>
        </w:rPr>
        <w:t xml:space="preserve"> （</w:t>
      </w:r>
      <w:r>
        <w:rPr>
          <w:rFonts w:ascii="宋体" w:hAnsi="宋体"/>
          <w:sz w:val="20"/>
          <w:szCs w:val="20"/>
        </w:rPr>
        <w:t>8.2.</w:t>
      </w:r>
      <w:r>
        <w:rPr>
          <w:rFonts w:hint="eastAsia" w:ascii="宋体" w:hAnsi="宋体"/>
          <w:sz w:val="20"/>
          <w:szCs w:val="20"/>
        </w:rPr>
        <w:t>11-2）</w:t>
      </w:r>
    </w:p>
    <w:p w14:paraId="056B6CAA">
      <w:pPr>
        <w:adjustRightInd w:val="0"/>
        <w:snapToGrid w:val="0"/>
        <w:spacing w:line="288" w:lineRule="auto"/>
        <w:ind w:left="1276" w:hanging="1276" w:hangingChars="638"/>
        <w:rPr>
          <w:rFonts w:ascii="宋体" w:hAnsi="宋体"/>
          <w:sz w:val="20"/>
          <w:szCs w:val="20"/>
        </w:rPr>
      </w:pPr>
      <w:r>
        <w:rPr>
          <w:rFonts w:hint="eastAsia" w:ascii="宋体" w:hAnsi="宋体"/>
          <w:iCs/>
          <w:sz w:val="20"/>
          <w:szCs w:val="20"/>
        </w:rPr>
        <w:t>式中：</w:t>
      </w:r>
      <w:r>
        <w:rPr>
          <w:i/>
          <w:sz w:val="20"/>
          <w:szCs w:val="20"/>
        </w:rPr>
        <w:t>K</w:t>
      </w:r>
      <w:r>
        <w:rPr>
          <w:sz w:val="20"/>
          <w:szCs w:val="20"/>
          <w:vertAlign w:val="subscript"/>
        </w:rPr>
        <w:t>s</w:t>
      </w:r>
      <w:r>
        <w:rPr>
          <w:rFonts w:hint="eastAsia" w:ascii="宋体" w:hAnsi="宋体"/>
          <w:sz w:val="20"/>
          <w:szCs w:val="20"/>
          <w:vertAlign w:val="subscript"/>
        </w:rPr>
        <w:t xml:space="preserve"> </w:t>
      </w:r>
      <w:r>
        <w:rPr>
          <w:iCs/>
        </w:rPr>
        <w:t>——</w:t>
      </w:r>
      <w:r>
        <w:rPr>
          <w:rFonts w:hint="eastAsia" w:ascii="宋体" w:hAnsi="宋体"/>
          <w:iCs/>
          <w:sz w:val="20"/>
          <w:szCs w:val="20"/>
        </w:rPr>
        <w:t>圆弧滑动稳定安全系数；基坑侧壁安全等级为二级、三级的土钉墙，</w:t>
      </w:r>
      <w:r>
        <w:rPr>
          <w:i/>
          <w:sz w:val="20"/>
          <w:szCs w:val="20"/>
        </w:rPr>
        <w:t>K</w:t>
      </w:r>
      <w:r>
        <w:rPr>
          <w:sz w:val="20"/>
          <w:szCs w:val="20"/>
          <w:vertAlign w:val="subscript"/>
        </w:rPr>
        <w:t>s</w:t>
      </w:r>
      <w:r>
        <w:rPr>
          <w:rFonts w:hint="eastAsia" w:ascii="宋体" w:hAnsi="宋体"/>
          <w:sz w:val="20"/>
          <w:szCs w:val="20"/>
        </w:rPr>
        <w:t>分别不应小于</w:t>
      </w:r>
      <w:r>
        <w:rPr>
          <w:sz w:val="20"/>
          <w:szCs w:val="20"/>
        </w:rPr>
        <w:t>1.3</w:t>
      </w:r>
      <w:r>
        <w:rPr>
          <w:rFonts w:hint="eastAsia"/>
          <w:sz w:val="20"/>
          <w:szCs w:val="20"/>
        </w:rPr>
        <w:t>、</w:t>
      </w:r>
      <w:r>
        <w:rPr>
          <w:sz w:val="20"/>
          <w:szCs w:val="20"/>
        </w:rPr>
        <w:t>1.25</w:t>
      </w:r>
      <w:r>
        <w:rPr>
          <w:rFonts w:hint="eastAsia" w:ascii="宋体" w:hAnsi="宋体"/>
          <w:sz w:val="20"/>
          <w:szCs w:val="20"/>
        </w:rPr>
        <w:t>；</w:t>
      </w:r>
    </w:p>
    <w:p w14:paraId="45DEDD96">
      <w:pPr>
        <w:tabs>
          <w:tab w:val="left" w:pos="672"/>
          <w:tab w:val="left" w:pos="1036"/>
          <w:tab w:val="left" w:pos="1620"/>
          <w:tab w:val="left" w:pos="2160"/>
          <w:tab w:val="left" w:pos="7020"/>
        </w:tabs>
        <w:adjustRightInd w:val="0"/>
        <w:snapToGrid w:val="0"/>
        <w:spacing w:line="288" w:lineRule="auto"/>
        <w:ind w:left="1266" w:leftChars="278" w:hanging="682" w:hangingChars="341"/>
        <w:rPr>
          <w:rFonts w:ascii="宋体" w:hAnsi="宋体"/>
          <w:sz w:val="20"/>
          <w:szCs w:val="20"/>
        </w:rPr>
      </w:pPr>
      <w:r>
        <w:rPr>
          <w:i/>
          <w:sz w:val="20"/>
          <w:szCs w:val="20"/>
        </w:rPr>
        <w:t>K</w:t>
      </w:r>
      <w:r>
        <w:rPr>
          <w:sz w:val="20"/>
          <w:szCs w:val="20"/>
          <w:vertAlign w:val="subscript"/>
        </w:rPr>
        <w:t>s,</w:t>
      </w:r>
      <w:r>
        <w:rPr>
          <w:rFonts w:hint="eastAsia"/>
          <w:i/>
          <w:sz w:val="20"/>
          <w:szCs w:val="20"/>
          <w:vertAlign w:val="subscript"/>
        </w:rPr>
        <w:t>i</w:t>
      </w:r>
      <w:r>
        <w:rPr>
          <w:iCs/>
        </w:rPr>
        <w:t>——</w:t>
      </w:r>
      <w:r>
        <w:rPr>
          <w:rFonts w:hint="eastAsia" w:ascii="宋体" w:hAnsi="宋体"/>
          <w:sz w:val="20"/>
          <w:szCs w:val="20"/>
        </w:rPr>
        <w:t>第</w:t>
      </w:r>
      <w:r>
        <w:rPr>
          <w:i/>
          <w:sz w:val="20"/>
          <w:szCs w:val="20"/>
        </w:rPr>
        <w:t>i</w:t>
      </w:r>
      <w:r>
        <w:rPr>
          <w:rFonts w:hint="eastAsia" w:ascii="宋体" w:hAnsi="宋体"/>
          <w:sz w:val="20"/>
          <w:szCs w:val="20"/>
        </w:rPr>
        <w:t>个滑动圆弧的抗滑力矩与滑动力矩的比值；抗滑力矩与滑动力矩之比的最小值宜通过搜索不同圆心及半径的所有潜在滑动圆弧确定；</w:t>
      </w:r>
    </w:p>
    <w:p w14:paraId="78B40520">
      <w:pPr>
        <w:tabs>
          <w:tab w:val="left" w:pos="672"/>
          <w:tab w:val="left" w:pos="1036"/>
          <w:tab w:val="left" w:pos="1620"/>
          <w:tab w:val="left" w:pos="2160"/>
          <w:tab w:val="left" w:pos="7020"/>
        </w:tabs>
        <w:adjustRightInd w:val="0"/>
        <w:snapToGrid w:val="0"/>
        <w:spacing w:line="288" w:lineRule="auto"/>
        <w:ind w:left="1286" w:leftChars="165" w:hanging="940" w:hangingChars="470"/>
        <w:rPr>
          <w:rFonts w:ascii="宋体" w:hAnsi="宋体"/>
          <w:sz w:val="20"/>
          <w:szCs w:val="20"/>
        </w:rPr>
      </w:pPr>
      <w:r>
        <w:rPr>
          <w:i/>
          <w:sz w:val="20"/>
          <w:szCs w:val="20"/>
        </w:rPr>
        <w:t>c</w:t>
      </w:r>
      <w:r>
        <w:rPr>
          <w:i/>
          <w:sz w:val="20"/>
          <w:szCs w:val="20"/>
          <w:vertAlign w:val="subscript"/>
        </w:rPr>
        <w:t>j</w:t>
      </w:r>
      <w:r>
        <w:rPr>
          <w:rFonts w:hAnsi="宋体"/>
          <w:sz w:val="20"/>
          <w:szCs w:val="20"/>
        </w:rPr>
        <w:t>、</w:t>
      </w:r>
      <w:r>
        <w:rPr>
          <w:i/>
          <w:sz w:val="20"/>
          <w:szCs w:val="20"/>
        </w:rPr>
        <w:sym w:font="Symbol" w:char="F06A"/>
      </w:r>
      <w:r>
        <w:rPr>
          <w:i/>
          <w:sz w:val="20"/>
          <w:szCs w:val="20"/>
          <w:vertAlign w:val="subscript"/>
        </w:rPr>
        <w:t>j</w:t>
      </w:r>
      <w:r>
        <w:rPr>
          <w:iCs/>
        </w:rPr>
        <w:t>——</w:t>
      </w:r>
      <w:r>
        <w:rPr>
          <w:rFonts w:hint="eastAsia" w:ascii="宋体" w:hAnsi="宋体"/>
          <w:sz w:val="20"/>
          <w:szCs w:val="20"/>
        </w:rPr>
        <w:t>分别为第</w:t>
      </w:r>
      <w:r>
        <w:rPr>
          <w:i/>
          <w:sz w:val="20"/>
          <w:szCs w:val="20"/>
        </w:rPr>
        <w:t>j</w:t>
      </w:r>
      <w:r>
        <w:rPr>
          <w:rFonts w:hint="eastAsia" w:ascii="宋体" w:hAnsi="宋体"/>
          <w:sz w:val="20"/>
          <w:szCs w:val="20"/>
        </w:rPr>
        <w:t>土条滑弧面处土的粘聚力（</w:t>
      </w:r>
      <w:r>
        <w:rPr>
          <w:rFonts w:hint="eastAsia"/>
          <w:sz w:val="20"/>
          <w:szCs w:val="20"/>
        </w:rPr>
        <w:t>kPa</w:t>
      </w:r>
      <w:r>
        <w:rPr>
          <w:rFonts w:hint="eastAsia" w:ascii="宋体" w:hAnsi="宋体"/>
          <w:sz w:val="20"/>
          <w:szCs w:val="20"/>
        </w:rPr>
        <w:t>）、内摩擦角（</w:t>
      </w:r>
      <w:r>
        <w:rPr>
          <w:rFonts w:hint="eastAsia"/>
          <w:sz w:val="20"/>
          <w:szCs w:val="20"/>
        </w:rPr>
        <w:t>º</w:t>
      </w:r>
      <w:r>
        <w:rPr>
          <w:rFonts w:hint="eastAsia" w:ascii="宋体" w:hAnsi="宋体"/>
          <w:sz w:val="20"/>
          <w:szCs w:val="20"/>
        </w:rPr>
        <w:t>），按本规程第</w:t>
      </w:r>
      <w:r>
        <w:rPr>
          <w:rFonts w:hint="eastAsia"/>
          <w:sz w:val="20"/>
          <w:szCs w:val="20"/>
        </w:rPr>
        <w:t>3.1.1</w:t>
      </w:r>
      <w:r>
        <w:rPr>
          <w:sz w:val="20"/>
          <w:szCs w:val="20"/>
        </w:rPr>
        <w:t>3</w:t>
      </w:r>
      <w:r>
        <w:rPr>
          <w:rFonts w:hint="eastAsia" w:ascii="宋体" w:hAnsi="宋体"/>
          <w:sz w:val="20"/>
          <w:szCs w:val="20"/>
        </w:rPr>
        <w:t>条的规定取值；</w:t>
      </w:r>
    </w:p>
    <w:p w14:paraId="2515478B">
      <w:pPr>
        <w:adjustRightInd w:val="0"/>
        <w:snapToGrid w:val="0"/>
        <w:spacing w:line="288" w:lineRule="auto"/>
        <w:ind w:firstLine="708" w:firstLineChars="354"/>
        <w:rPr>
          <w:rFonts w:ascii="宋体" w:hAnsi="宋体"/>
          <w:sz w:val="20"/>
          <w:szCs w:val="20"/>
        </w:rPr>
      </w:pPr>
      <w:r>
        <w:rPr>
          <w:i/>
          <w:sz w:val="20"/>
          <w:szCs w:val="20"/>
        </w:rPr>
        <w:t>b</w:t>
      </w:r>
      <w:r>
        <w:rPr>
          <w:i/>
          <w:sz w:val="20"/>
          <w:szCs w:val="20"/>
          <w:vertAlign w:val="subscript"/>
        </w:rPr>
        <w:t>j</w:t>
      </w:r>
      <w:r>
        <w:rPr>
          <w:iCs/>
        </w:rPr>
        <w:t>——</w:t>
      </w:r>
      <w:r>
        <w:rPr>
          <w:rFonts w:hint="eastAsia" w:ascii="宋体" w:hAnsi="宋体"/>
          <w:sz w:val="20"/>
          <w:szCs w:val="20"/>
        </w:rPr>
        <w:t>第</w:t>
      </w:r>
      <w:r>
        <w:rPr>
          <w:i/>
          <w:sz w:val="20"/>
          <w:szCs w:val="20"/>
        </w:rPr>
        <w:t>j</w:t>
      </w:r>
      <w:r>
        <w:rPr>
          <w:rFonts w:hint="eastAsia" w:ascii="宋体" w:hAnsi="宋体"/>
          <w:sz w:val="20"/>
          <w:szCs w:val="20"/>
        </w:rPr>
        <w:t>土条的宽度（</w:t>
      </w:r>
      <w:r>
        <w:rPr>
          <w:rFonts w:hint="eastAsia"/>
          <w:sz w:val="20"/>
          <w:szCs w:val="20"/>
        </w:rPr>
        <w:t>m</w:t>
      </w:r>
      <w:r>
        <w:rPr>
          <w:rFonts w:hint="eastAsia" w:ascii="宋体" w:hAnsi="宋体"/>
          <w:sz w:val="20"/>
          <w:szCs w:val="20"/>
        </w:rPr>
        <w:t>）；</w:t>
      </w:r>
    </w:p>
    <w:p w14:paraId="1F558EC3">
      <w:pPr>
        <w:tabs>
          <w:tab w:val="left" w:pos="1120"/>
          <w:tab w:val="left" w:pos="1260"/>
          <w:tab w:val="left" w:pos="1620"/>
          <w:tab w:val="left" w:pos="2160"/>
          <w:tab w:val="left" w:pos="3060"/>
          <w:tab w:val="left" w:pos="4680"/>
          <w:tab w:val="left" w:pos="7020"/>
        </w:tabs>
        <w:adjustRightInd w:val="0"/>
        <w:snapToGrid w:val="0"/>
        <w:spacing w:line="288" w:lineRule="auto"/>
        <w:ind w:firstLine="708" w:firstLineChars="354"/>
        <w:rPr>
          <w:rFonts w:ascii="宋体" w:hAnsi="宋体"/>
          <w:sz w:val="20"/>
          <w:szCs w:val="20"/>
        </w:rPr>
      </w:pPr>
      <w:r>
        <w:rPr>
          <w:i/>
          <w:sz w:val="20"/>
          <w:szCs w:val="20"/>
        </w:rPr>
        <w:t>θ</w:t>
      </w:r>
      <w:r>
        <w:rPr>
          <w:i/>
          <w:sz w:val="20"/>
          <w:szCs w:val="20"/>
          <w:vertAlign w:val="subscript"/>
        </w:rPr>
        <w:t>j</w:t>
      </w:r>
      <w:r>
        <w:rPr>
          <w:iCs/>
        </w:rPr>
        <w:t>——</w:t>
      </w:r>
      <w:r>
        <w:rPr>
          <w:rFonts w:hint="eastAsia" w:ascii="宋体" w:hAnsi="宋体"/>
          <w:sz w:val="20"/>
          <w:szCs w:val="20"/>
        </w:rPr>
        <w:t>第</w:t>
      </w:r>
      <w:r>
        <w:rPr>
          <w:rFonts w:hint="eastAsia"/>
          <w:i/>
          <w:sz w:val="20"/>
          <w:szCs w:val="20"/>
        </w:rPr>
        <w:t>j</w:t>
      </w:r>
      <w:r>
        <w:rPr>
          <w:rFonts w:hint="eastAsia" w:ascii="宋体" w:hAnsi="宋体"/>
          <w:sz w:val="20"/>
          <w:szCs w:val="20"/>
        </w:rPr>
        <w:t>土条滑弧面中点处的法线与垂直面的夹角（</w:t>
      </w:r>
      <w:r>
        <w:rPr>
          <w:rFonts w:hint="eastAsia"/>
          <w:sz w:val="20"/>
          <w:szCs w:val="20"/>
        </w:rPr>
        <w:t>º</w:t>
      </w:r>
      <w:r>
        <w:rPr>
          <w:rFonts w:hint="eastAsia" w:ascii="宋体" w:hAnsi="宋体"/>
          <w:sz w:val="20"/>
          <w:szCs w:val="20"/>
        </w:rPr>
        <w:t>）；</w:t>
      </w:r>
    </w:p>
    <w:p w14:paraId="22A1177D">
      <w:pPr>
        <w:adjustRightInd w:val="0"/>
        <w:snapToGrid w:val="0"/>
        <w:spacing w:line="288" w:lineRule="auto"/>
        <w:ind w:firstLine="742" w:firstLineChars="371"/>
        <w:rPr>
          <w:rFonts w:ascii="宋体" w:hAnsi="宋体"/>
          <w:sz w:val="20"/>
          <w:szCs w:val="20"/>
        </w:rPr>
      </w:pPr>
      <w:r>
        <w:rPr>
          <w:i/>
          <w:sz w:val="20"/>
          <w:szCs w:val="20"/>
        </w:rPr>
        <w:t>l</w:t>
      </w:r>
      <w:r>
        <w:rPr>
          <w:i/>
          <w:sz w:val="20"/>
          <w:szCs w:val="20"/>
          <w:vertAlign w:val="subscript"/>
        </w:rPr>
        <w:t>j</w:t>
      </w:r>
      <w:r>
        <w:rPr>
          <w:sz w:val="20"/>
          <w:szCs w:val="20"/>
          <w:vertAlign w:val="subscript"/>
        </w:rPr>
        <w:t xml:space="preserve"> </w:t>
      </w:r>
      <w:r>
        <w:rPr>
          <w:iCs/>
        </w:rPr>
        <w:t>——</w:t>
      </w:r>
      <w:r>
        <w:rPr>
          <w:rFonts w:hint="eastAsia" w:ascii="宋体" w:hAnsi="宋体"/>
          <w:sz w:val="20"/>
          <w:szCs w:val="20"/>
        </w:rPr>
        <w:t>第</w:t>
      </w:r>
      <w:r>
        <w:rPr>
          <w:rFonts w:hint="eastAsia"/>
          <w:i/>
          <w:sz w:val="20"/>
          <w:szCs w:val="20"/>
        </w:rPr>
        <w:t>j</w:t>
      </w:r>
      <w:r>
        <w:rPr>
          <w:rFonts w:hint="eastAsia" w:ascii="宋体" w:hAnsi="宋体"/>
          <w:sz w:val="20"/>
          <w:szCs w:val="20"/>
        </w:rPr>
        <w:t>土条的滑弧长度（</w:t>
      </w:r>
      <w:r>
        <w:rPr>
          <w:rFonts w:hint="eastAsia"/>
          <w:sz w:val="20"/>
          <w:szCs w:val="20"/>
        </w:rPr>
        <w:t>m</w:t>
      </w:r>
      <w:r>
        <w:rPr>
          <w:rFonts w:hint="eastAsia" w:ascii="宋体" w:hAnsi="宋体"/>
          <w:sz w:val="20"/>
          <w:szCs w:val="20"/>
        </w:rPr>
        <w:t>），取</w:t>
      </w:r>
      <w:r>
        <w:rPr>
          <w:i/>
          <w:sz w:val="20"/>
          <w:szCs w:val="20"/>
        </w:rPr>
        <w:t>l</w:t>
      </w:r>
      <w:r>
        <w:rPr>
          <w:i/>
          <w:sz w:val="20"/>
          <w:szCs w:val="20"/>
          <w:vertAlign w:val="subscript"/>
        </w:rPr>
        <w:t>j</w:t>
      </w:r>
      <w:r>
        <w:rPr>
          <w:rFonts w:hAnsi="宋体"/>
          <w:sz w:val="20"/>
          <w:szCs w:val="20"/>
        </w:rPr>
        <w:t>＝</w:t>
      </w:r>
      <w:r>
        <w:rPr>
          <w:i/>
          <w:sz w:val="20"/>
          <w:szCs w:val="20"/>
        </w:rPr>
        <w:t>b</w:t>
      </w:r>
      <w:r>
        <w:rPr>
          <w:i/>
          <w:sz w:val="20"/>
          <w:szCs w:val="20"/>
          <w:vertAlign w:val="subscript"/>
        </w:rPr>
        <w:t>j</w:t>
      </w:r>
      <w:r>
        <w:rPr>
          <w:sz w:val="20"/>
          <w:szCs w:val="20"/>
        </w:rPr>
        <w:t>/cos</w:t>
      </w:r>
      <w:r>
        <w:rPr>
          <w:i/>
          <w:sz w:val="20"/>
          <w:szCs w:val="20"/>
        </w:rPr>
        <w:t>θ</w:t>
      </w:r>
      <w:r>
        <w:rPr>
          <w:i/>
          <w:sz w:val="20"/>
          <w:szCs w:val="20"/>
          <w:vertAlign w:val="subscript"/>
        </w:rPr>
        <w:t>j</w:t>
      </w:r>
      <w:r>
        <w:rPr>
          <w:rFonts w:hint="eastAsia" w:ascii="宋体" w:hAnsi="宋体"/>
          <w:sz w:val="20"/>
          <w:szCs w:val="20"/>
        </w:rPr>
        <w:t>；</w:t>
      </w:r>
    </w:p>
    <w:p w14:paraId="4535D511">
      <w:pPr>
        <w:tabs>
          <w:tab w:val="left" w:pos="658"/>
          <w:tab w:val="left" w:pos="1134"/>
          <w:tab w:val="left" w:pos="1372"/>
          <w:tab w:val="left" w:pos="2160"/>
          <w:tab w:val="left" w:pos="3060"/>
          <w:tab w:val="left" w:pos="4680"/>
          <w:tab w:val="left" w:pos="7020"/>
        </w:tabs>
        <w:adjustRightInd w:val="0"/>
        <w:snapToGrid w:val="0"/>
        <w:spacing w:line="288" w:lineRule="auto"/>
        <w:ind w:firstLine="714" w:firstLineChars="357"/>
        <w:rPr>
          <w:rFonts w:ascii="宋体" w:hAnsi="宋体"/>
          <w:sz w:val="20"/>
          <w:szCs w:val="20"/>
        </w:rPr>
      </w:pPr>
      <w:r>
        <w:rPr>
          <w:i/>
          <w:sz w:val="20"/>
          <w:szCs w:val="20"/>
        </w:rPr>
        <w:t>q</w:t>
      </w:r>
      <w:r>
        <w:rPr>
          <w:i/>
          <w:sz w:val="20"/>
          <w:szCs w:val="20"/>
          <w:vertAlign w:val="subscript"/>
        </w:rPr>
        <w:t>j</w:t>
      </w:r>
      <w:r>
        <w:rPr>
          <w:iCs/>
        </w:rPr>
        <w:t>——</w:t>
      </w:r>
      <w:r>
        <w:rPr>
          <w:rFonts w:hint="eastAsia" w:ascii="宋体" w:hAnsi="宋体"/>
          <w:sz w:val="20"/>
          <w:szCs w:val="20"/>
        </w:rPr>
        <w:t>第</w:t>
      </w:r>
      <w:r>
        <w:rPr>
          <w:rFonts w:hint="eastAsia"/>
          <w:i/>
          <w:sz w:val="20"/>
          <w:szCs w:val="20"/>
        </w:rPr>
        <w:t>j</w:t>
      </w:r>
      <w:r>
        <w:rPr>
          <w:rFonts w:hint="eastAsia" w:ascii="宋体" w:hAnsi="宋体"/>
          <w:sz w:val="20"/>
          <w:szCs w:val="20"/>
        </w:rPr>
        <w:t>土条上的附加分布荷载标准值（</w:t>
      </w:r>
      <w:r>
        <w:rPr>
          <w:rFonts w:hint="eastAsia"/>
          <w:sz w:val="20"/>
          <w:szCs w:val="20"/>
        </w:rPr>
        <w:t>kPa</w:t>
      </w:r>
      <w:r>
        <w:rPr>
          <w:rFonts w:hint="eastAsia" w:ascii="宋体" w:hAnsi="宋体"/>
          <w:sz w:val="20"/>
          <w:szCs w:val="20"/>
        </w:rPr>
        <w:t>）；</w:t>
      </w:r>
    </w:p>
    <w:p w14:paraId="10278947">
      <w:pPr>
        <w:tabs>
          <w:tab w:val="left" w:pos="672"/>
          <w:tab w:val="left" w:pos="1620"/>
          <w:tab w:val="left" w:pos="2160"/>
          <w:tab w:val="left" w:pos="7020"/>
        </w:tabs>
        <w:adjustRightInd w:val="0"/>
        <w:snapToGrid w:val="0"/>
        <w:spacing w:line="288" w:lineRule="auto"/>
        <w:ind w:firstLine="560" w:firstLineChars="280"/>
        <w:rPr>
          <w:rFonts w:ascii="宋体" w:hAnsi="宋体"/>
          <w:sz w:val="20"/>
          <w:szCs w:val="20"/>
        </w:rPr>
      </w:pPr>
      <w:r>
        <w:rPr>
          <w:i/>
          <w:sz w:val="20"/>
          <w:szCs w:val="20"/>
        </w:rPr>
        <w:t>ΔG</w:t>
      </w:r>
      <w:r>
        <w:rPr>
          <w:i/>
          <w:sz w:val="20"/>
          <w:szCs w:val="20"/>
          <w:vertAlign w:val="subscript"/>
        </w:rPr>
        <w:t>j</w:t>
      </w:r>
      <w:r>
        <w:rPr>
          <w:iCs/>
        </w:rPr>
        <w:t>——</w:t>
      </w:r>
      <w:r>
        <w:rPr>
          <w:rFonts w:hint="eastAsia" w:ascii="宋体" w:hAnsi="宋体"/>
          <w:sz w:val="20"/>
          <w:szCs w:val="20"/>
        </w:rPr>
        <w:t>第</w:t>
      </w:r>
      <w:r>
        <w:rPr>
          <w:rFonts w:hint="eastAsia"/>
          <w:i/>
          <w:sz w:val="20"/>
          <w:szCs w:val="20"/>
        </w:rPr>
        <w:t>j</w:t>
      </w:r>
      <w:r>
        <w:rPr>
          <w:rFonts w:hint="eastAsia" w:ascii="宋体" w:hAnsi="宋体"/>
          <w:sz w:val="20"/>
          <w:szCs w:val="20"/>
        </w:rPr>
        <w:t>土条的自重（</w:t>
      </w:r>
      <w:r>
        <w:rPr>
          <w:rFonts w:hint="eastAsia"/>
          <w:sz w:val="20"/>
          <w:szCs w:val="20"/>
        </w:rPr>
        <w:t>kN</w:t>
      </w:r>
      <w:r>
        <w:rPr>
          <w:rFonts w:hint="eastAsia" w:ascii="宋体" w:hAnsi="宋体"/>
          <w:sz w:val="20"/>
          <w:szCs w:val="20"/>
        </w:rPr>
        <w:t>），按天然重度计算；</w:t>
      </w:r>
    </w:p>
    <w:p w14:paraId="1A7E072B">
      <w:pPr>
        <w:tabs>
          <w:tab w:val="left" w:pos="672"/>
          <w:tab w:val="left" w:pos="1134"/>
          <w:tab w:val="left" w:pos="1418"/>
          <w:tab w:val="left" w:pos="2160"/>
          <w:tab w:val="left" w:pos="7020"/>
        </w:tabs>
        <w:adjustRightInd w:val="0"/>
        <w:snapToGrid w:val="0"/>
        <w:spacing w:line="288" w:lineRule="auto"/>
        <w:ind w:left="1187" w:leftChars="253" w:hanging="656" w:hangingChars="328"/>
        <w:rPr>
          <w:rFonts w:ascii="宋体" w:hAnsi="宋体"/>
          <w:sz w:val="20"/>
          <w:szCs w:val="20"/>
        </w:rPr>
      </w:pPr>
      <w:r>
        <w:rPr>
          <w:i/>
          <w:sz w:val="20"/>
          <w:szCs w:val="20"/>
        </w:rPr>
        <w:t>R</w:t>
      </w:r>
      <w:r>
        <w:rPr>
          <w:i/>
          <w:sz w:val="20"/>
          <w:szCs w:val="20"/>
          <w:vertAlign w:val="superscript"/>
        </w:rPr>
        <w:t>’</w:t>
      </w:r>
      <w:r>
        <w:rPr>
          <w:sz w:val="20"/>
          <w:szCs w:val="20"/>
          <w:vertAlign w:val="subscript"/>
        </w:rPr>
        <w:t>k,</w:t>
      </w:r>
      <w:r>
        <w:rPr>
          <w:i/>
          <w:sz w:val="20"/>
          <w:szCs w:val="20"/>
          <w:vertAlign w:val="subscript"/>
        </w:rPr>
        <w:t>k</w:t>
      </w:r>
      <w:r>
        <w:rPr>
          <w:iCs/>
        </w:rPr>
        <w:t>——</w:t>
      </w:r>
      <w:r>
        <w:rPr>
          <w:rFonts w:hint="eastAsia" w:ascii="宋体" w:hAnsi="宋体"/>
          <w:sz w:val="20"/>
          <w:szCs w:val="20"/>
        </w:rPr>
        <w:t>第</w:t>
      </w:r>
      <w:r>
        <w:rPr>
          <w:rFonts w:hint="eastAsia"/>
          <w:i/>
          <w:sz w:val="20"/>
          <w:szCs w:val="20"/>
        </w:rPr>
        <w:t>k</w:t>
      </w:r>
      <w:r>
        <w:rPr>
          <w:rFonts w:hint="eastAsia" w:ascii="宋体" w:hAnsi="宋体"/>
          <w:sz w:val="20"/>
          <w:szCs w:val="20"/>
        </w:rPr>
        <w:t>层土钉或锚杆在滑动面以外的锚固段的极限抗拔承载力标准值与杆体受拉承载力标准值（</w:t>
      </w:r>
      <w:r>
        <w:rPr>
          <w:i/>
          <w:sz w:val="20"/>
          <w:szCs w:val="20"/>
        </w:rPr>
        <w:t>f</w:t>
      </w:r>
      <w:r>
        <w:rPr>
          <w:sz w:val="20"/>
          <w:szCs w:val="20"/>
          <w:vertAlign w:val="subscript"/>
        </w:rPr>
        <w:t>yk</w:t>
      </w:r>
      <w:r>
        <w:rPr>
          <w:i/>
          <w:sz w:val="20"/>
          <w:szCs w:val="20"/>
        </w:rPr>
        <w:t>A</w:t>
      </w:r>
      <w:r>
        <w:rPr>
          <w:sz w:val="20"/>
          <w:szCs w:val="20"/>
          <w:vertAlign w:val="subscript"/>
        </w:rPr>
        <w:t>s</w:t>
      </w:r>
      <w:r>
        <w:rPr>
          <w:rFonts w:hint="eastAsia" w:ascii="宋体" w:hAnsi="宋体"/>
          <w:sz w:val="20"/>
          <w:szCs w:val="20"/>
        </w:rPr>
        <w:t>或</w:t>
      </w:r>
      <w:r>
        <w:rPr>
          <w:i/>
          <w:sz w:val="20"/>
          <w:szCs w:val="20"/>
        </w:rPr>
        <w:t>f</w:t>
      </w:r>
      <w:r>
        <w:rPr>
          <w:sz w:val="20"/>
          <w:szCs w:val="20"/>
          <w:vertAlign w:val="subscript"/>
        </w:rPr>
        <w:t>ptk</w:t>
      </w:r>
      <w:r>
        <w:rPr>
          <w:i/>
          <w:sz w:val="20"/>
          <w:szCs w:val="20"/>
        </w:rPr>
        <w:t>A</w:t>
      </w:r>
      <w:r>
        <w:rPr>
          <w:sz w:val="20"/>
          <w:szCs w:val="20"/>
          <w:vertAlign w:val="subscript"/>
        </w:rPr>
        <w:t>p</w:t>
      </w:r>
      <w:r>
        <w:rPr>
          <w:rFonts w:hint="eastAsia" w:ascii="宋体" w:hAnsi="宋体"/>
          <w:sz w:val="20"/>
          <w:szCs w:val="20"/>
        </w:rPr>
        <w:t>）的较小值（</w:t>
      </w:r>
      <w:r>
        <w:rPr>
          <w:sz w:val="20"/>
          <w:szCs w:val="20"/>
        </w:rPr>
        <w:t>kN</w:t>
      </w:r>
      <w:r>
        <w:rPr>
          <w:rFonts w:hint="eastAsia" w:ascii="宋体" w:hAnsi="宋体"/>
          <w:sz w:val="20"/>
          <w:szCs w:val="20"/>
        </w:rPr>
        <w:t>）；</w:t>
      </w:r>
      <w:r>
        <w:rPr>
          <w:rFonts w:hint="eastAsia" w:ascii="宋体" w:hAnsi="宋体"/>
          <w:iCs/>
          <w:sz w:val="20"/>
          <w:szCs w:val="20"/>
        </w:rPr>
        <w:t>第</w:t>
      </w:r>
      <w:r>
        <w:rPr>
          <w:i/>
          <w:sz w:val="20"/>
          <w:szCs w:val="20"/>
        </w:rPr>
        <w:t>k</w:t>
      </w:r>
      <w:r>
        <w:rPr>
          <w:rFonts w:hint="eastAsia" w:ascii="宋体" w:hAnsi="宋体"/>
          <w:iCs/>
          <w:sz w:val="20"/>
          <w:szCs w:val="20"/>
        </w:rPr>
        <w:t>层土钉在圆弧滑裂面外锚固体与土体的极限抗拔承载力可按本规程第</w:t>
      </w:r>
      <w:r>
        <w:rPr>
          <w:sz w:val="20"/>
          <w:szCs w:val="20"/>
        </w:rPr>
        <w:t>8.2.1</w:t>
      </w:r>
      <w:r>
        <w:rPr>
          <w:rFonts w:hint="eastAsia"/>
          <w:sz w:val="20"/>
          <w:szCs w:val="20"/>
        </w:rPr>
        <w:t>0</w:t>
      </w:r>
      <w:r>
        <w:rPr>
          <w:rFonts w:hint="eastAsia" w:ascii="宋体" w:hAnsi="宋体"/>
          <w:iCs/>
          <w:sz w:val="20"/>
          <w:szCs w:val="20"/>
        </w:rPr>
        <w:t>条和第</w:t>
      </w:r>
      <w:r>
        <w:rPr>
          <w:sz w:val="20"/>
          <w:szCs w:val="20"/>
        </w:rPr>
        <w:t>7</w:t>
      </w:r>
      <w:r>
        <w:rPr>
          <w:rFonts w:hint="eastAsia"/>
          <w:sz w:val="20"/>
          <w:szCs w:val="20"/>
        </w:rPr>
        <w:t>.6.3</w:t>
      </w:r>
      <w:r>
        <w:rPr>
          <w:rFonts w:hint="eastAsia" w:ascii="宋体" w:hAnsi="宋体"/>
          <w:iCs/>
          <w:sz w:val="20"/>
          <w:szCs w:val="20"/>
        </w:rPr>
        <w:t>条的规定计算</w:t>
      </w:r>
      <w:r>
        <w:rPr>
          <w:rFonts w:hint="eastAsia" w:ascii="宋体" w:hAnsi="宋体"/>
          <w:sz w:val="20"/>
          <w:szCs w:val="20"/>
        </w:rPr>
        <w:t>；</w:t>
      </w:r>
    </w:p>
    <w:p w14:paraId="4C8F1BC8">
      <w:pPr>
        <w:tabs>
          <w:tab w:val="left" w:pos="870"/>
          <w:tab w:val="left" w:pos="1120"/>
          <w:tab w:val="left" w:pos="1372"/>
          <w:tab w:val="left" w:pos="2160"/>
          <w:tab w:val="left" w:pos="3060"/>
          <w:tab w:val="left" w:pos="4680"/>
          <w:tab w:val="left" w:pos="7020"/>
        </w:tabs>
        <w:adjustRightInd w:val="0"/>
        <w:snapToGrid w:val="0"/>
        <w:spacing w:line="288" w:lineRule="auto"/>
        <w:ind w:firstLine="588" w:firstLineChars="294"/>
        <w:rPr>
          <w:rFonts w:ascii="宋体" w:hAnsi="宋体"/>
          <w:sz w:val="20"/>
          <w:szCs w:val="20"/>
        </w:rPr>
      </w:pPr>
      <w:r>
        <w:rPr>
          <w:i/>
          <w:sz w:val="20"/>
          <w:szCs w:val="20"/>
        </w:rPr>
        <w:t>α</w:t>
      </w:r>
      <w:r>
        <w:rPr>
          <w:i/>
          <w:sz w:val="20"/>
          <w:szCs w:val="20"/>
          <w:vertAlign w:val="subscript"/>
        </w:rPr>
        <w:t>k</w:t>
      </w:r>
      <w:r>
        <w:rPr>
          <w:iCs/>
        </w:rPr>
        <w:t>——</w:t>
      </w:r>
      <w:r>
        <w:rPr>
          <w:rFonts w:hint="eastAsia" w:ascii="宋体" w:hAnsi="宋体"/>
          <w:sz w:val="20"/>
          <w:szCs w:val="20"/>
        </w:rPr>
        <w:t>第</w:t>
      </w:r>
      <w:r>
        <w:rPr>
          <w:i/>
          <w:sz w:val="20"/>
          <w:szCs w:val="20"/>
        </w:rPr>
        <w:t>k</w:t>
      </w:r>
      <w:r>
        <w:rPr>
          <w:rFonts w:hint="eastAsia" w:ascii="宋体" w:hAnsi="宋体"/>
          <w:sz w:val="20"/>
          <w:szCs w:val="20"/>
        </w:rPr>
        <w:t>层土钉或锚杆的倾角（</w:t>
      </w:r>
      <w:r>
        <w:rPr>
          <w:rFonts w:hint="eastAsia"/>
          <w:sz w:val="20"/>
          <w:szCs w:val="20"/>
        </w:rPr>
        <w:t>º）</w:t>
      </w:r>
      <w:r>
        <w:rPr>
          <w:rFonts w:hint="eastAsia" w:ascii="宋体" w:hAnsi="宋体"/>
          <w:sz w:val="20"/>
          <w:szCs w:val="20"/>
        </w:rPr>
        <w:t>；</w:t>
      </w:r>
    </w:p>
    <w:p w14:paraId="525C73E3">
      <w:pPr>
        <w:tabs>
          <w:tab w:val="left" w:pos="1260"/>
          <w:tab w:val="left" w:pos="1620"/>
          <w:tab w:val="left" w:pos="2160"/>
          <w:tab w:val="left" w:pos="3060"/>
          <w:tab w:val="left" w:pos="4680"/>
          <w:tab w:val="left" w:pos="7020"/>
        </w:tabs>
        <w:adjustRightInd w:val="0"/>
        <w:snapToGrid w:val="0"/>
        <w:spacing w:line="288" w:lineRule="auto"/>
        <w:ind w:left="1117" w:leftChars="294" w:hanging="500" w:hangingChars="250"/>
        <w:rPr>
          <w:rFonts w:ascii="宋体" w:hAnsi="宋体"/>
          <w:sz w:val="20"/>
          <w:szCs w:val="20"/>
        </w:rPr>
      </w:pPr>
      <w:r>
        <w:rPr>
          <w:i/>
          <w:sz w:val="20"/>
          <w:szCs w:val="20"/>
        </w:rPr>
        <w:t>θ</w:t>
      </w:r>
      <w:r>
        <w:rPr>
          <w:i/>
          <w:sz w:val="20"/>
          <w:szCs w:val="20"/>
          <w:vertAlign w:val="subscript"/>
        </w:rPr>
        <w:t>k</w:t>
      </w:r>
      <w:r>
        <w:rPr>
          <w:iCs/>
        </w:rPr>
        <w:t>——</w:t>
      </w:r>
      <w:r>
        <w:rPr>
          <w:rFonts w:hint="eastAsia" w:ascii="宋体" w:hAnsi="宋体"/>
          <w:sz w:val="20"/>
          <w:szCs w:val="20"/>
        </w:rPr>
        <w:t>滑弧面在第</w:t>
      </w:r>
      <w:r>
        <w:rPr>
          <w:rFonts w:hint="eastAsia"/>
          <w:i/>
          <w:sz w:val="20"/>
          <w:szCs w:val="20"/>
        </w:rPr>
        <w:t>k</w:t>
      </w:r>
      <w:r>
        <w:rPr>
          <w:rFonts w:hint="eastAsia" w:ascii="宋体" w:hAnsi="宋体"/>
          <w:sz w:val="20"/>
          <w:szCs w:val="20"/>
        </w:rPr>
        <w:t>层土钉或锚杆处的法线与垂直面的夹角（</w:t>
      </w:r>
      <w:r>
        <w:rPr>
          <w:sz w:val="20"/>
          <w:szCs w:val="20"/>
        </w:rPr>
        <w:t>º</w:t>
      </w:r>
      <w:r>
        <w:rPr>
          <w:rFonts w:hint="eastAsia" w:ascii="宋体" w:hAnsi="宋体"/>
          <w:sz w:val="20"/>
          <w:szCs w:val="20"/>
        </w:rPr>
        <w:t>）；</w:t>
      </w:r>
    </w:p>
    <w:p w14:paraId="4D2ADA9D">
      <w:pPr>
        <w:tabs>
          <w:tab w:val="left" w:pos="660"/>
          <w:tab w:val="left" w:pos="930"/>
          <w:tab w:val="left" w:pos="1440"/>
          <w:tab w:val="left" w:pos="2160"/>
          <w:tab w:val="left" w:pos="3060"/>
          <w:tab w:val="left" w:pos="4680"/>
          <w:tab w:val="left" w:pos="7020"/>
        </w:tabs>
        <w:adjustRightInd w:val="0"/>
        <w:snapToGrid w:val="0"/>
        <w:spacing w:line="288" w:lineRule="auto"/>
        <w:ind w:firstLine="500" w:firstLineChars="250"/>
        <w:rPr>
          <w:rFonts w:ascii="宋体" w:hAnsi="宋体"/>
          <w:sz w:val="20"/>
          <w:szCs w:val="20"/>
        </w:rPr>
      </w:pPr>
      <w:r>
        <w:rPr>
          <w:i/>
          <w:sz w:val="20"/>
          <w:szCs w:val="20"/>
        </w:rPr>
        <w:t>s</w:t>
      </w:r>
      <w:r>
        <w:rPr>
          <w:sz w:val="20"/>
          <w:szCs w:val="20"/>
          <w:vertAlign w:val="subscript"/>
        </w:rPr>
        <w:t>x,</w:t>
      </w:r>
      <w:r>
        <w:rPr>
          <w:i/>
          <w:sz w:val="20"/>
          <w:szCs w:val="20"/>
          <w:vertAlign w:val="subscript"/>
        </w:rPr>
        <w:t xml:space="preserve">k </w:t>
      </w:r>
      <w:r>
        <w:rPr>
          <w:iCs/>
        </w:rPr>
        <w:t>——</w:t>
      </w:r>
      <w:r>
        <w:rPr>
          <w:rFonts w:hint="eastAsia" w:ascii="宋体" w:hAnsi="宋体"/>
          <w:sz w:val="20"/>
          <w:szCs w:val="20"/>
        </w:rPr>
        <w:t>第</w:t>
      </w:r>
      <w:r>
        <w:rPr>
          <w:i/>
          <w:sz w:val="20"/>
          <w:szCs w:val="20"/>
        </w:rPr>
        <w:t>k</w:t>
      </w:r>
      <w:r>
        <w:rPr>
          <w:rFonts w:hint="eastAsia" w:ascii="宋体" w:hAnsi="宋体"/>
          <w:sz w:val="20"/>
          <w:szCs w:val="20"/>
        </w:rPr>
        <w:t>层土钉或锚杆的水平间距(</w:t>
      </w:r>
      <w:r>
        <w:rPr>
          <w:rFonts w:hint="eastAsia"/>
          <w:sz w:val="20"/>
          <w:szCs w:val="20"/>
        </w:rPr>
        <w:t>m</w:t>
      </w:r>
      <w:r>
        <w:rPr>
          <w:rFonts w:hint="eastAsia" w:ascii="宋体" w:hAnsi="宋体"/>
          <w:sz w:val="20"/>
          <w:szCs w:val="20"/>
        </w:rPr>
        <w:t>)；</w:t>
      </w:r>
    </w:p>
    <w:p w14:paraId="3528F6B2">
      <w:pPr>
        <w:tabs>
          <w:tab w:val="left" w:pos="870"/>
          <w:tab w:val="left" w:pos="930"/>
          <w:tab w:val="left" w:pos="1620"/>
          <w:tab w:val="left" w:pos="2160"/>
          <w:tab w:val="left" w:pos="3060"/>
          <w:tab w:val="left" w:pos="4680"/>
          <w:tab w:val="left" w:pos="7020"/>
        </w:tabs>
        <w:adjustRightInd w:val="0"/>
        <w:snapToGrid w:val="0"/>
        <w:spacing w:line="288" w:lineRule="auto"/>
        <w:ind w:firstLine="566" w:firstLineChars="283"/>
        <w:rPr>
          <w:rFonts w:ascii="宋体" w:hAnsi="宋体"/>
          <w:sz w:val="20"/>
          <w:szCs w:val="20"/>
        </w:rPr>
      </w:pPr>
      <w:r>
        <w:rPr>
          <w:i/>
          <w:sz w:val="20"/>
          <w:szCs w:val="20"/>
        </w:rPr>
        <w:t>ψ</w:t>
      </w:r>
      <w:r>
        <w:rPr>
          <w:sz w:val="20"/>
          <w:szCs w:val="20"/>
          <w:vertAlign w:val="subscript"/>
        </w:rPr>
        <w:t>v</w:t>
      </w:r>
      <w:r>
        <w:rPr>
          <w:iCs/>
        </w:rPr>
        <w:t>——</w:t>
      </w:r>
      <w:r>
        <w:rPr>
          <w:rFonts w:hint="eastAsia" w:ascii="宋体" w:hAnsi="宋体"/>
          <w:sz w:val="20"/>
          <w:szCs w:val="20"/>
        </w:rPr>
        <w:t>计算系数；可取</w:t>
      </w:r>
      <w:r>
        <w:rPr>
          <w:i/>
          <w:sz w:val="20"/>
          <w:szCs w:val="20"/>
        </w:rPr>
        <w:t>ψ</w:t>
      </w:r>
      <w:r>
        <w:rPr>
          <w:sz w:val="20"/>
          <w:szCs w:val="20"/>
          <w:vertAlign w:val="subscript"/>
        </w:rPr>
        <w:t>v</w:t>
      </w:r>
      <w:r>
        <w:rPr>
          <w:rFonts w:hAnsi="宋体"/>
          <w:sz w:val="20"/>
          <w:szCs w:val="20"/>
        </w:rPr>
        <w:t>＝</w:t>
      </w:r>
      <w:r>
        <w:rPr>
          <w:sz w:val="20"/>
          <w:szCs w:val="20"/>
        </w:rPr>
        <w:t>0.5sin</w:t>
      </w:r>
      <w:r>
        <w:rPr>
          <w:rFonts w:hAnsi="宋体"/>
          <w:sz w:val="20"/>
          <w:szCs w:val="20"/>
        </w:rPr>
        <w:t>（</w:t>
      </w:r>
      <w:r>
        <w:rPr>
          <w:i/>
          <w:iCs/>
          <w:sz w:val="20"/>
          <w:szCs w:val="20"/>
        </w:rPr>
        <w:t>θ</w:t>
      </w:r>
      <w:r>
        <w:rPr>
          <w:iCs/>
          <w:sz w:val="20"/>
          <w:szCs w:val="20"/>
          <w:vertAlign w:val="subscript"/>
        </w:rPr>
        <w:t>k</w:t>
      </w:r>
      <w:r>
        <w:rPr>
          <w:rFonts w:hAnsi="宋体"/>
          <w:iCs/>
          <w:sz w:val="20"/>
          <w:szCs w:val="20"/>
        </w:rPr>
        <w:t>＋</w:t>
      </w:r>
      <w:r>
        <w:rPr>
          <w:i/>
          <w:sz w:val="20"/>
          <w:szCs w:val="20"/>
        </w:rPr>
        <w:t>α</w:t>
      </w:r>
      <w:r>
        <w:rPr>
          <w:sz w:val="20"/>
          <w:szCs w:val="20"/>
          <w:vertAlign w:val="subscript"/>
        </w:rPr>
        <w:t>k</w:t>
      </w:r>
      <w:r>
        <w:rPr>
          <w:rFonts w:hAnsi="宋体"/>
          <w:sz w:val="20"/>
          <w:szCs w:val="20"/>
        </w:rPr>
        <w:t>）</w:t>
      </w:r>
      <w:r>
        <w:rPr>
          <w:sz w:val="20"/>
          <w:szCs w:val="20"/>
        </w:rPr>
        <w:t>tan</w:t>
      </w:r>
      <w:r>
        <w:rPr>
          <w:i/>
          <w:sz w:val="20"/>
          <w:szCs w:val="20"/>
        </w:rPr>
        <w:sym w:font="Symbol" w:char="F06A"/>
      </w:r>
      <w:r>
        <w:rPr>
          <w:rFonts w:hint="eastAsia" w:ascii="宋体" w:hAnsi="宋体"/>
          <w:sz w:val="20"/>
          <w:szCs w:val="20"/>
        </w:rPr>
        <w:t>；</w:t>
      </w:r>
    </w:p>
    <w:p w14:paraId="73C1A664">
      <w:pPr>
        <w:tabs>
          <w:tab w:val="left" w:pos="870"/>
          <w:tab w:val="left" w:pos="930"/>
          <w:tab w:val="left" w:pos="1620"/>
          <w:tab w:val="left" w:pos="2160"/>
          <w:tab w:val="left" w:pos="3060"/>
          <w:tab w:val="left" w:pos="4680"/>
          <w:tab w:val="left" w:pos="7020"/>
        </w:tabs>
        <w:adjustRightInd w:val="0"/>
        <w:snapToGrid w:val="0"/>
        <w:spacing w:line="288" w:lineRule="auto"/>
        <w:ind w:firstLine="600" w:firstLineChars="300"/>
        <w:rPr>
          <w:rFonts w:ascii="宋体" w:hAnsi="宋体"/>
          <w:sz w:val="20"/>
          <w:szCs w:val="20"/>
        </w:rPr>
      </w:pPr>
      <w:r>
        <w:rPr>
          <w:i/>
          <w:sz w:val="20"/>
          <w:szCs w:val="20"/>
        </w:rPr>
        <w:sym w:font="Symbol" w:char="F06A"/>
      </w:r>
      <w:r>
        <w:rPr>
          <w:rFonts w:hint="eastAsia"/>
          <w:i/>
          <w:sz w:val="20"/>
          <w:szCs w:val="20"/>
        </w:rPr>
        <w:t xml:space="preserve"> </w:t>
      </w:r>
      <w:r>
        <w:rPr>
          <w:iCs/>
        </w:rPr>
        <w:t>——</w:t>
      </w:r>
      <w:r>
        <w:rPr>
          <w:rFonts w:hint="eastAsia" w:ascii="宋体" w:hAnsi="宋体"/>
          <w:sz w:val="20"/>
          <w:szCs w:val="20"/>
        </w:rPr>
        <w:t>第</w:t>
      </w:r>
      <w:r>
        <w:rPr>
          <w:i/>
          <w:sz w:val="20"/>
          <w:szCs w:val="20"/>
        </w:rPr>
        <w:t>k</w:t>
      </w:r>
      <w:r>
        <w:rPr>
          <w:rFonts w:hint="eastAsia" w:ascii="宋体" w:hAnsi="宋体"/>
          <w:sz w:val="20"/>
          <w:szCs w:val="20"/>
        </w:rPr>
        <w:t>层土钉或锚杆与滑弧交点处土的内摩擦角（</w:t>
      </w:r>
      <w:r>
        <w:rPr>
          <w:sz w:val="20"/>
          <w:szCs w:val="20"/>
        </w:rPr>
        <w:t>º</w:t>
      </w:r>
      <w:r>
        <w:rPr>
          <w:rFonts w:hint="eastAsia" w:ascii="宋体" w:hAnsi="宋体"/>
          <w:sz w:val="20"/>
          <w:szCs w:val="20"/>
        </w:rPr>
        <w:t>）。</w:t>
      </w:r>
    </w:p>
    <w:p w14:paraId="581C2134">
      <w:pPr>
        <w:pStyle w:val="2"/>
        <w:spacing w:line="288" w:lineRule="auto"/>
        <w:ind w:left="0" w:leftChars="0" w:firstLine="0" w:firstLineChars="0"/>
        <w:rPr>
          <w:sz w:val="20"/>
          <w:szCs w:val="20"/>
        </w:rPr>
      </w:pPr>
      <w:r>
        <w:rPr>
          <w:b/>
          <w:kern w:val="0"/>
          <w:sz w:val="20"/>
          <w:szCs w:val="20"/>
        </w:rPr>
        <w:t>8.2.12</w:t>
      </w:r>
      <w:r>
        <w:rPr>
          <w:sz w:val="20"/>
          <w:szCs w:val="20"/>
        </w:rPr>
        <w:t xml:space="preserve">  </w:t>
      </w:r>
      <w:r>
        <w:rPr>
          <w:rFonts w:hint="eastAsia"/>
          <w:sz w:val="20"/>
          <w:szCs w:val="20"/>
        </w:rPr>
        <w:t>基坑底面下有软土层的土钉墙结构应进行坑底抗隆起稳定性验算，验算可采用下列公式（图</w:t>
      </w:r>
      <w:r>
        <w:rPr>
          <w:sz w:val="20"/>
          <w:szCs w:val="20"/>
        </w:rPr>
        <w:t>8.2.12</w:t>
      </w:r>
      <w:r>
        <w:rPr>
          <w:rFonts w:hint="eastAsia"/>
          <w:sz w:val="20"/>
          <w:szCs w:val="20"/>
        </w:rPr>
        <w:t>）。</w:t>
      </w:r>
    </w:p>
    <w:p w14:paraId="797FFB14">
      <w:pPr>
        <w:pStyle w:val="2"/>
        <w:spacing w:line="288" w:lineRule="auto"/>
        <w:ind w:left="0" w:leftChars="0" w:firstLine="0" w:firstLineChars="0"/>
        <w:jc w:val="center"/>
        <w:rPr>
          <w:sz w:val="20"/>
          <w:szCs w:val="20"/>
        </w:rPr>
      </w:pPr>
      <w:r>
        <w:rPr>
          <w:sz w:val="20"/>
          <w:szCs w:val="20"/>
        </w:rPr>
        <w:object>
          <v:shape id="_x0000_i1111" o:spt="75" type="#_x0000_t75" style="height:173.95pt;width:199.85pt;" o:ole="t" filled="f" o:preferrelative="t" stroked="f" coordsize="21600,21600">
            <v:path/>
            <v:fill on="f" focussize="0,0"/>
            <v:stroke on="f" joinstyle="miter"/>
            <v:imagedata r:id="rId192" cropleft="13997f" cropright="15160f" cropbottom="1429f" o:title=""/>
            <o:lock v:ext="edit" aspectratio="t"/>
            <w10:wrap type="none"/>
            <w10:anchorlock/>
          </v:shape>
          <o:OLEObject Type="Embed" ProgID="AutoCAD.Drawing.20" ShapeID="_x0000_i1111" DrawAspect="Content" ObjectID="_1468075815" r:id="rId191">
            <o:LockedField>false</o:LockedField>
          </o:OLEObject>
        </w:object>
      </w:r>
    </w:p>
    <w:p w14:paraId="5D931B7F">
      <w:pPr>
        <w:adjustRightInd w:val="0"/>
        <w:snapToGrid w:val="0"/>
        <w:spacing w:before="156" w:beforeLines="50" w:line="288" w:lineRule="auto"/>
        <w:jc w:val="center"/>
        <w:rPr>
          <w:b/>
          <w:iCs/>
          <w:sz w:val="18"/>
          <w:szCs w:val="18"/>
        </w:rPr>
      </w:pPr>
      <w:r>
        <w:rPr>
          <w:rFonts w:hint="eastAsia"/>
          <w:b/>
          <w:iCs/>
          <w:sz w:val="18"/>
          <w:szCs w:val="18"/>
        </w:rPr>
        <w:t>图</w:t>
      </w:r>
      <w:r>
        <w:rPr>
          <w:b/>
          <w:iCs/>
          <w:sz w:val="18"/>
          <w:szCs w:val="18"/>
        </w:rPr>
        <w:t xml:space="preserve">8.2.12 </w:t>
      </w:r>
      <w:r>
        <w:rPr>
          <w:rFonts w:hint="eastAsia"/>
          <w:b/>
          <w:iCs/>
          <w:sz w:val="18"/>
          <w:szCs w:val="18"/>
        </w:rPr>
        <w:t>基坑底面下有软土层的土钉墙隆起稳定性验算</w:t>
      </w:r>
    </w:p>
    <w:p w14:paraId="187570BD">
      <w:pPr>
        <w:adjustRightInd w:val="0"/>
        <w:snapToGrid w:val="0"/>
        <w:spacing w:line="288" w:lineRule="auto"/>
        <w:ind w:firstLine="400" w:firstLineChars="200"/>
        <w:jc w:val="center"/>
        <w:rPr>
          <w:rFonts w:ascii="宋体" w:hAnsi="宋体"/>
          <w:sz w:val="20"/>
          <w:szCs w:val="20"/>
        </w:rPr>
      </w:pPr>
      <w:r>
        <w:rPr>
          <w:rFonts w:ascii="宋体" w:hAnsi="宋体"/>
          <w:position w:val="-30"/>
          <w:sz w:val="20"/>
          <w:szCs w:val="20"/>
        </w:rPr>
        <w:object>
          <v:shape id="_x0000_i1112" o:spt="75" type="#_x0000_t75" style="height:36.85pt;width:123.85pt;" o:ole="t" filled="f" o:preferrelative="t" stroked="f" coordsize="21600,21600">
            <v:path/>
            <v:fill on="f" focussize="0,0"/>
            <v:stroke on="f" joinstyle="miter"/>
            <v:imagedata r:id="rId194" o:title=""/>
            <o:lock v:ext="edit" aspectratio="t"/>
            <w10:wrap type="none"/>
            <w10:anchorlock/>
          </v:shape>
          <o:OLEObject Type="Embed" ProgID="Equation.DSMT4" ShapeID="_x0000_i1112" DrawAspect="Content" ObjectID="_1468075816" r:id="rId193">
            <o:LockedField>false</o:LockedField>
          </o:OLEObject>
        </w:object>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8.2.12 -1</w:t>
      </w:r>
      <w:r>
        <w:rPr>
          <w:rFonts w:hint="eastAsia" w:ascii="宋体" w:hAnsi="宋体"/>
          <w:sz w:val="20"/>
          <w:szCs w:val="20"/>
        </w:rPr>
        <w:t>）</w:t>
      </w:r>
    </w:p>
    <w:p w14:paraId="302E7CCA">
      <w:pPr>
        <w:adjustRightInd w:val="0"/>
        <w:snapToGrid w:val="0"/>
        <w:spacing w:line="288" w:lineRule="auto"/>
        <w:ind w:firstLine="400" w:firstLineChars="200"/>
        <w:jc w:val="center"/>
        <w:rPr>
          <w:rFonts w:ascii="宋体" w:hAnsi="宋体"/>
          <w:iCs/>
          <w:sz w:val="20"/>
          <w:szCs w:val="20"/>
        </w:rPr>
      </w:pPr>
      <w:r>
        <w:rPr>
          <w:rFonts w:ascii="宋体" w:hAnsi="宋体"/>
          <w:position w:val="-24"/>
          <w:sz w:val="20"/>
          <w:szCs w:val="20"/>
        </w:rPr>
        <w:object>
          <v:shape id="_x0000_i1113" o:spt="75" type="#_x0000_t75" style="height:29.95pt;width:123.85pt;" o:ole="t" filled="f" o:preferrelative="t" stroked="f" coordsize="21600,21600">
            <v:path/>
            <v:fill on="f" focussize="0,0"/>
            <v:stroke on="f" joinstyle="miter"/>
            <v:imagedata r:id="rId196" o:title=""/>
            <o:lock v:ext="edit" aspectratio="t"/>
            <w10:wrap type="none"/>
            <w10:anchorlock/>
          </v:shape>
          <o:OLEObject Type="Embed" ProgID="Equation.DSMT4" ShapeID="_x0000_i1113" DrawAspect="Content" ObjectID="_1468075817" r:id="rId195">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 xml:space="preserve"> </w:t>
      </w:r>
      <w:r>
        <w:rPr>
          <w:rFonts w:hint="eastAsia" w:ascii="宋体" w:hAnsi="宋体"/>
          <w:sz w:val="20"/>
          <w:szCs w:val="20"/>
        </w:rPr>
        <w:t xml:space="preserve"> （</w:t>
      </w:r>
      <w:r>
        <w:rPr>
          <w:sz w:val="20"/>
          <w:szCs w:val="20"/>
        </w:rPr>
        <w:t>8.2.12 -2</w:t>
      </w:r>
      <w:r>
        <w:rPr>
          <w:rFonts w:hint="eastAsia" w:ascii="宋体" w:hAnsi="宋体"/>
          <w:sz w:val="20"/>
          <w:szCs w:val="20"/>
        </w:rPr>
        <w:t>）</w:t>
      </w:r>
    </w:p>
    <w:p w14:paraId="7F3BDC2D">
      <w:pPr>
        <w:adjustRightInd w:val="0"/>
        <w:snapToGrid w:val="0"/>
        <w:spacing w:line="288" w:lineRule="auto"/>
        <w:ind w:firstLine="400" w:firstLineChars="200"/>
        <w:jc w:val="center"/>
        <w:rPr>
          <w:rFonts w:ascii="宋体" w:hAnsi="宋体"/>
          <w:iCs/>
          <w:sz w:val="20"/>
          <w:szCs w:val="20"/>
        </w:rPr>
      </w:pPr>
      <w:r>
        <w:rPr>
          <w:rFonts w:ascii="宋体" w:hAnsi="宋体"/>
          <w:position w:val="-14"/>
          <w:sz w:val="20"/>
          <w:szCs w:val="20"/>
        </w:rPr>
        <w:object>
          <v:shape id="_x0000_i1114" o:spt="75" type="#_x0000_t75" style="height:19pt;width:99.05pt;" o:ole="t" filled="f" o:preferrelative="t" stroked="f" coordsize="21600,21600">
            <v:path/>
            <v:fill on="f" focussize="0,0"/>
            <v:stroke on="f" joinstyle="miter"/>
            <v:imagedata r:id="rId198" o:title=""/>
            <o:lock v:ext="edit" aspectratio="t"/>
            <w10:wrap type="none"/>
            <w10:anchorlock/>
          </v:shape>
          <o:OLEObject Type="Embed" ProgID="Equation.DSMT4" ShapeID="_x0000_i1114" DrawAspect="Content" ObjectID="_1468075818" r:id="rId197">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 xml:space="preserve">    </w:t>
      </w:r>
      <w:r>
        <w:rPr>
          <w:rFonts w:hint="eastAsia" w:ascii="宋体" w:hAnsi="宋体"/>
          <w:sz w:val="20"/>
          <w:szCs w:val="20"/>
        </w:rPr>
        <w:t xml:space="preserve"> （</w:t>
      </w:r>
      <w:r>
        <w:rPr>
          <w:sz w:val="20"/>
          <w:szCs w:val="20"/>
        </w:rPr>
        <w:t>8.2.12 -3</w:t>
      </w:r>
      <w:r>
        <w:rPr>
          <w:rFonts w:hint="eastAsia" w:ascii="宋体" w:hAnsi="宋体"/>
          <w:sz w:val="20"/>
          <w:szCs w:val="20"/>
        </w:rPr>
        <w:t>）</w:t>
      </w:r>
    </w:p>
    <w:p w14:paraId="50CFB2BF">
      <w:pPr>
        <w:adjustRightInd w:val="0"/>
        <w:snapToGrid w:val="0"/>
        <w:spacing w:line="288" w:lineRule="auto"/>
        <w:ind w:firstLine="400" w:firstLineChars="200"/>
        <w:jc w:val="center"/>
        <w:rPr>
          <w:rFonts w:ascii="宋体" w:hAnsi="宋体"/>
          <w:iCs/>
          <w:sz w:val="20"/>
          <w:szCs w:val="20"/>
        </w:rPr>
      </w:pPr>
      <w:r>
        <w:rPr>
          <w:rFonts w:ascii="宋体" w:hAnsi="宋体"/>
          <w:position w:val="-12"/>
          <w:sz w:val="20"/>
          <w:szCs w:val="20"/>
        </w:rPr>
        <w:object>
          <v:shape id="_x0000_i1115" o:spt="75" type="#_x0000_t75" style="height:19pt;width:95.6pt;" o:ole="t" filled="f" o:preferrelative="t" stroked="f" coordsize="21600,21600">
            <v:path/>
            <v:fill on="f" focussize="0,0"/>
            <v:stroke on="f" joinstyle="miter"/>
            <v:imagedata r:id="rId200" o:title=""/>
            <o:lock v:ext="edit" aspectratio="t"/>
            <w10:wrap type="none"/>
            <w10:anchorlock/>
          </v:shape>
          <o:OLEObject Type="Embed" ProgID="Equation.DSMT4" ShapeID="_x0000_i1115" DrawAspect="Content" ObjectID="_1468075819" r:id="rId199">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 xml:space="preserve">    </w:t>
      </w:r>
      <w:r>
        <w:rPr>
          <w:rFonts w:hint="eastAsia" w:ascii="宋体" w:hAnsi="宋体"/>
          <w:sz w:val="20"/>
          <w:szCs w:val="20"/>
        </w:rPr>
        <w:t xml:space="preserve"> （</w:t>
      </w:r>
      <w:r>
        <w:rPr>
          <w:sz w:val="20"/>
          <w:szCs w:val="20"/>
        </w:rPr>
        <w:t>8.2.12 -4</w:t>
      </w:r>
      <w:r>
        <w:rPr>
          <w:rFonts w:hint="eastAsia" w:ascii="宋体" w:hAnsi="宋体"/>
          <w:sz w:val="20"/>
          <w:szCs w:val="20"/>
        </w:rPr>
        <w:t>）</w:t>
      </w:r>
    </w:p>
    <w:p w14:paraId="19592295">
      <w:pPr>
        <w:adjustRightInd w:val="0"/>
        <w:snapToGrid w:val="0"/>
        <w:spacing w:line="288" w:lineRule="auto"/>
        <w:ind w:firstLine="400" w:firstLineChars="200"/>
        <w:jc w:val="center"/>
        <w:rPr>
          <w:rFonts w:ascii="宋体" w:hAnsi="宋体"/>
          <w:iCs/>
          <w:sz w:val="20"/>
          <w:szCs w:val="20"/>
        </w:rPr>
      </w:pPr>
      <w:r>
        <w:rPr>
          <w:rFonts w:ascii="宋体" w:hAnsi="宋体"/>
          <w:position w:val="-12"/>
          <w:sz w:val="20"/>
          <w:szCs w:val="20"/>
        </w:rPr>
        <w:object>
          <v:shape id="_x0000_i1116" o:spt="75" type="#_x0000_t75" style="height:19pt;width:97.9pt;" o:ole="t" filled="f" o:preferrelative="t" stroked="f" coordsize="21600,21600">
            <v:path/>
            <v:fill on="f" focussize="0,0"/>
            <v:stroke on="f" joinstyle="miter"/>
            <v:imagedata r:id="rId202" o:title=""/>
            <o:lock v:ext="edit" aspectratio="t"/>
            <w10:wrap type="none"/>
            <w10:anchorlock/>
          </v:shape>
          <o:OLEObject Type="Embed" ProgID="Equation.DSMT4" ShapeID="_x0000_i1116" DrawAspect="Content" ObjectID="_1468075820" r:id="rId201">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 xml:space="preserve">    </w:t>
      </w:r>
      <w:r>
        <w:rPr>
          <w:rFonts w:hint="eastAsia" w:ascii="宋体" w:hAnsi="宋体"/>
          <w:sz w:val="20"/>
          <w:szCs w:val="20"/>
        </w:rPr>
        <w:t xml:space="preserve"> （</w:t>
      </w:r>
      <w:r>
        <w:rPr>
          <w:sz w:val="20"/>
          <w:szCs w:val="20"/>
        </w:rPr>
        <w:t>8.2.12 -5</w:t>
      </w:r>
      <w:r>
        <w:rPr>
          <w:rFonts w:hint="eastAsia" w:ascii="宋体" w:hAnsi="宋体"/>
          <w:sz w:val="20"/>
          <w:szCs w:val="20"/>
        </w:rPr>
        <w:t>）</w:t>
      </w:r>
    </w:p>
    <w:p w14:paraId="3E63FB8B">
      <w:pPr>
        <w:adjustRightInd w:val="0"/>
        <w:snapToGrid w:val="0"/>
        <w:spacing w:line="288" w:lineRule="auto"/>
        <w:ind w:left="1276" w:hanging="1276" w:hangingChars="638"/>
        <w:rPr>
          <w:rFonts w:ascii="宋体" w:hAnsi="宋体"/>
          <w:sz w:val="20"/>
          <w:szCs w:val="20"/>
        </w:rPr>
      </w:pPr>
      <w:r>
        <w:rPr>
          <w:rFonts w:hint="eastAsia" w:ascii="宋体" w:hAnsi="宋体"/>
          <w:iCs/>
          <w:sz w:val="20"/>
          <w:szCs w:val="20"/>
        </w:rPr>
        <w:t>式中：</w:t>
      </w:r>
      <w:r>
        <w:rPr>
          <w:i/>
          <w:sz w:val="20"/>
          <w:szCs w:val="20"/>
        </w:rPr>
        <w:t>K</w:t>
      </w:r>
      <w:r>
        <w:rPr>
          <w:rFonts w:hint="eastAsia"/>
          <w:sz w:val="20"/>
          <w:szCs w:val="20"/>
          <w:vertAlign w:val="subscript"/>
        </w:rPr>
        <w:t>b</w:t>
      </w:r>
      <w:r>
        <w:rPr>
          <w:rFonts w:hint="eastAsia" w:ascii="宋体" w:hAnsi="宋体"/>
          <w:sz w:val="20"/>
          <w:szCs w:val="20"/>
          <w:vertAlign w:val="subscript"/>
        </w:rPr>
        <w:t xml:space="preserve"> </w:t>
      </w:r>
      <w:r>
        <w:rPr>
          <w:iCs/>
        </w:rPr>
        <w:t>——</w:t>
      </w:r>
      <w:r>
        <w:rPr>
          <w:rFonts w:hint="eastAsia" w:ascii="宋体" w:hAnsi="宋体"/>
          <w:iCs/>
          <w:sz w:val="20"/>
          <w:szCs w:val="20"/>
        </w:rPr>
        <w:t>抗隆起安全系数；安全等级为二级、三级的土钉墙，</w:t>
      </w:r>
      <w:r>
        <w:rPr>
          <w:i/>
          <w:sz w:val="20"/>
          <w:szCs w:val="20"/>
        </w:rPr>
        <w:t>K</w:t>
      </w:r>
      <w:r>
        <w:rPr>
          <w:rFonts w:hint="eastAsia"/>
          <w:sz w:val="20"/>
          <w:szCs w:val="20"/>
          <w:vertAlign w:val="subscript"/>
        </w:rPr>
        <w:t>b</w:t>
      </w:r>
      <w:r>
        <w:rPr>
          <w:rFonts w:hint="eastAsia" w:ascii="宋体" w:hAnsi="宋体"/>
          <w:sz w:val="20"/>
          <w:szCs w:val="20"/>
        </w:rPr>
        <w:t>分别不应小于</w:t>
      </w:r>
      <w:r>
        <w:rPr>
          <w:sz w:val="20"/>
          <w:szCs w:val="20"/>
        </w:rPr>
        <w:t>1.6</w:t>
      </w:r>
      <w:r>
        <w:rPr>
          <w:rFonts w:hint="eastAsia"/>
          <w:sz w:val="20"/>
          <w:szCs w:val="20"/>
        </w:rPr>
        <w:t>、</w:t>
      </w:r>
      <w:r>
        <w:rPr>
          <w:sz w:val="20"/>
          <w:szCs w:val="20"/>
        </w:rPr>
        <w:t>1.4</w:t>
      </w:r>
      <w:r>
        <w:rPr>
          <w:rFonts w:hint="eastAsia" w:ascii="宋体" w:hAnsi="宋体"/>
          <w:sz w:val="20"/>
          <w:szCs w:val="20"/>
        </w:rPr>
        <w:t>；</w:t>
      </w:r>
    </w:p>
    <w:p w14:paraId="6089A1CA">
      <w:pPr>
        <w:pStyle w:val="2"/>
        <w:ind w:left="0" w:leftChars="0" w:firstLine="600" w:firstLineChars="300"/>
        <w:rPr>
          <w:rFonts w:ascii="宋体" w:hAnsi="宋体"/>
          <w:iCs/>
          <w:sz w:val="20"/>
          <w:szCs w:val="20"/>
        </w:rPr>
      </w:pPr>
      <w:r>
        <w:rPr>
          <w:rFonts w:hint="eastAsia"/>
          <w:i/>
          <w:sz w:val="20"/>
          <w:szCs w:val="20"/>
        </w:rPr>
        <w:t>q</w:t>
      </w:r>
      <w:r>
        <w:rPr>
          <w:sz w:val="20"/>
          <w:szCs w:val="20"/>
          <w:vertAlign w:val="subscript"/>
        </w:rPr>
        <w:t>0</w:t>
      </w:r>
      <w:r>
        <w:rPr>
          <w:rFonts w:hint="eastAsia" w:ascii="宋体" w:hAnsi="宋体"/>
          <w:sz w:val="20"/>
          <w:szCs w:val="20"/>
          <w:vertAlign w:val="subscript"/>
        </w:rPr>
        <w:t xml:space="preserve"> </w:t>
      </w:r>
      <w:r>
        <w:rPr>
          <w:iCs/>
        </w:rPr>
        <w:t>——</w:t>
      </w:r>
      <w:r>
        <w:rPr>
          <w:rFonts w:hint="eastAsia" w:ascii="宋体" w:hAnsi="宋体"/>
          <w:iCs/>
          <w:sz w:val="20"/>
          <w:szCs w:val="20"/>
        </w:rPr>
        <w:t>地面均布荷载（kPa）；</w:t>
      </w:r>
    </w:p>
    <w:p w14:paraId="0AFC7464">
      <w:pPr>
        <w:adjustRightInd w:val="0"/>
        <w:snapToGrid w:val="0"/>
        <w:spacing w:line="288" w:lineRule="auto"/>
        <w:ind w:left="1312" w:leftChars="244" w:hanging="800" w:hangingChars="400"/>
        <w:rPr>
          <w:rFonts w:ascii="宋体" w:hAnsi="宋体"/>
          <w:sz w:val="20"/>
          <w:szCs w:val="20"/>
        </w:rPr>
      </w:pPr>
      <w:r>
        <w:rPr>
          <w:i/>
          <w:sz w:val="20"/>
          <w:szCs w:val="20"/>
        </w:rPr>
        <w:t>ϒ</w:t>
      </w:r>
      <w:r>
        <w:rPr>
          <w:rFonts w:hint="eastAsia"/>
          <w:sz w:val="20"/>
          <w:szCs w:val="20"/>
          <w:vertAlign w:val="subscript"/>
        </w:rPr>
        <w:t>m</w:t>
      </w:r>
      <w:r>
        <w:rPr>
          <w:sz w:val="20"/>
          <w:szCs w:val="20"/>
          <w:vertAlign w:val="subscript"/>
        </w:rPr>
        <w:t>1</w:t>
      </w:r>
      <w:r>
        <w:rPr>
          <w:rFonts w:hint="eastAsia" w:ascii="宋体" w:hAnsi="宋体"/>
          <w:sz w:val="20"/>
          <w:szCs w:val="20"/>
          <w:vertAlign w:val="subscript"/>
        </w:rPr>
        <w:t xml:space="preserve"> </w:t>
      </w:r>
      <w:r>
        <w:rPr>
          <w:iCs/>
        </w:rPr>
        <w:t>——</w:t>
      </w:r>
      <w:r>
        <w:rPr>
          <w:rFonts w:hint="eastAsia" w:ascii="宋体" w:hAnsi="宋体"/>
          <w:iCs/>
          <w:sz w:val="20"/>
          <w:szCs w:val="20"/>
        </w:rPr>
        <w:t>基坑底面以上土的天然重度（kN</w:t>
      </w:r>
      <w:r>
        <w:rPr>
          <w:rFonts w:ascii="宋体" w:hAnsi="宋体"/>
          <w:iCs/>
          <w:sz w:val="20"/>
          <w:szCs w:val="20"/>
        </w:rPr>
        <w:t>/m³</w:t>
      </w:r>
      <w:r>
        <w:rPr>
          <w:rFonts w:hint="eastAsia" w:ascii="宋体" w:hAnsi="宋体"/>
          <w:iCs/>
          <w:sz w:val="20"/>
          <w:szCs w:val="20"/>
        </w:rPr>
        <w:t>）；对多层土取各层土按厚度加权的平均重度；</w:t>
      </w:r>
    </w:p>
    <w:p w14:paraId="7381D441">
      <w:pPr>
        <w:pStyle w:val="2"/>
        <w:ind w:left="0" w:leftChars="0" w:firstLine="700" w:firstLineChars="350"/>
        <w:rPr>
          <w:rFonts w:ascii="宋体" w:hAnsi="宋体"/>
          <w:iCs/>
          <w:sz w:val="20"/>
          <w:szCs w:val="20"/>
        </w:rPr>
      </w:pPr>
      <w:r>
        <w:rPr>
          <w:rFonts w:hint="eastAsia"/>
          <w:i/>
          <w:sz w:val="20"/>
          <w:szCs w:val="20"/>
        </w:rPr>
        <w:t>h</w:t>
      </w:r>
      <w:r>
        <w:rPr>
          <w:iCs/>
        </w:rPr>
        <w:t>——</w:t>
      </w:r>
      <w:r>
        <w:rPr>
          <w:rFonts w:hint="eastAsia" w:ascii="宋体" w:hAnsi="宋体"/>
          <w:iCs/>
          <w:sz w:val="20"/>
          <w:szCs w:val="20"/>
        </w:rPr>
        <w:t>基坑深度（m）；</w:t>
      </w:r>
    </w:p>
    <w:p w14:paraId="0DD8159A">
      <w:pPr>
        <w:adjustRightInd w:val="0"/>
        <w:snapToGrid w:val="0"/>
        <w:spacing w:line="288" w:lineRule="auto"/>
        <w:ind w:left="1145" w:leftChars="212" w:hanging="700" w:hangingChars="350"/>
        <w:rPr>
          <w:rFonts w:ascii="宋体" w:hAnsi="宋体"/>
          <w:sz w:val="20"/>
          <w:szCs w:val="20"/>
        </w:rPr>
      </w:pPr>
      <w:r>
        <w:rPr>
          <w:rFonts w:ascii="Calibri" w:hAnsi="Calibri" w:cs="Calibri"/>
          <w:i/>
          <w:sz w:val="20"/>
          <w:szCs w:val="20"/>
        </w:rPr>
        <w:t>ϒ</w:t>
      </w:r>
      <w:r>
        <w:rPr>
          <w:rFonts w:hint="eastAsia"/>
          <w:sz w:val="20"/>
          <w:szCs w:val="20"/>
          <w:vertAlign w:val="subscript"/>
        </w:rPr>
        <w:t>m</w:t>
      </w:r>
      <w:r>
        <w:rPr>
          <w:sz w:val="20"/>
          <w:szCs w:val="20"/>
          <w:vertAlign w:val="subscript"/>
        </w:rPr>
        <w:t>2</w:t>
      </w:r>
      <w:r>
        <w:rPr>
          <w:rFonts w:hint="eastAsia" w:ascii="宋体" w:hAnsi="宋体"/>
          <w:sz w:val="20"/>
          <w:szCs w:val="20"/>
          <w:vertAlign w:val="subscript"/>
        </w:rPr>
        <w:t xml:space="preserve"> </w:t>
      </w:r>
      <w:r>
        <w:rPr>
          <w:iCs/>
        </w:rPr>
        <w:t>——</w:t>
      </w:r>
      <w:r>
        <w:rPr>
          <w:rFonts w:hint="eastAsia" w:ascii="宋体" w:hAnsi="宋体"/>
          <w:iCs/>
          <w:sz w:val="20"/>
          <w:szCs w:val="20"/>
        </w:rPr>
        <w:t>基坑底面至抗隆起计算平面之间土层的天然重度（kN</w:t>
      </w:r>
      <w:r>
        <w:rPr>
          <w:rFonts w:ascii="宋体" w:hAnsi="宋体"/>
          <w:iCs/>
          <w:sz w:val="20"/>
          <w:szCs w:val="20"/>
        </w:rPr>
        <w:t>/m³</w:t>
      </w:r>
      <w:r>
        <w:rPr>
          <w:rFonts w:hint="eastAsia" w:ascii="宋体" w:hAnsi="宋体"/>
          <w:iCs/>
          <w:sz w:val="20"/>
          <w:szCs w:val="20"/>
        </w:rPr>
        <w:t>）；对多层土取各层土按厚度加权的平均重度；</w:t>
      </w:r>
    </w:p>
    <w:p w14:paraId="3D2A54DB">
      <w:pPr>
        <w:adjustRightInd w:val="0"/>
        <w:snapToGrid w:val="0"/>
        <w:spacing w:line="288" w:lineRule="auto"/>
        <w:ind w:left="1306" w:leftChars="300" w:hanging="676" w:hangingChars="338"/>
        <w:rPr>
          <w:rFonts w:ascii="宋体" w:hAnsi="宋体"/>
          <w:iCs/>
          <w:sz w:val="20"/>
          <w:szCs w:val="20"/>
        </w:rPr>
      </w:pPr>
      <w:r>
        <w:rPr>
          <w:i/>
          <w:sz w:val="20"/>
          <w:szCs w:val="20"/>
        </w:rPr>
        <w:t>D</w:t>
      </w:r>
      <w:r>
        <w:rPr>
          <w:sz w:val="20"/>
          <w:szCs w:val="20"/>
          <w:vertAlign w:val="subscript"/>
        </w:rPr>
        <w:t xml:space="preserve"> </w:t>
      </w:r>
      <w:r>
        <w:rPr>
          <w:iCs/>
        </w:rPr>
        <w:t>——</w:t>
      </w:r>
      <w:r>
        <w:rPr>
          <w:rFonts w:hint="eastAsia" w:ascii="宋体" w:hAnsi="宋体"/>
          <w:iCs/>
          <w:sz w:val="20"/>
          <w:szCs w:val="20"/>
        </w:rPr>
        <w:t>基坑底面至抗隆起计算平面之间土层的厚度（m）；当抗隆起计算平面为基坑底平面时，取</w:t>
      </w:r>
      <w:r>
        <w:rPr>
          <w:rFonts w:ascii="宋体" w:hAnsi="宋体"/>
          <w:i/>
          <w:iCs/>
          <w:sz w:val="20"/>
          <w:szCs w:val="20"/>
        </w:rPr>
        <w:t>D</w:t>
      </w:r>
      <w:r>
        <w:rPr>
          <w:rFonts w:ascii="宋体" w:hAnsi="宋体"/>
          <w:iCs/>
          <w:sz w:val="20"/>
          <w:szCs w:val="20"/>
        </w:rPr>
        <w:t>=0</w:t>
      </w:r>
      <w:r>
        <w:rPr>
          <w:rFonts w:hint="eastAsia" w:ascii="宋体" w:hAnsi="宋体"/>
          <w:iCs/>
          <w:sz w:val="20"/>
          <w:szCs w:val="20"/>
        </w:rPr>
        <w:t>；</w:t>
      </w:r>
    </w:p>
    <w:p w14:paraId="40D6057E">
      <w:pPr>
        <w:pStyle w:val="2"/>
        <w:ind w:left="0" w:leftChars="0" w:firstLine="200" w:firstLineChars="100"/>
        <w:rPr>
          <w:sz w:val="20"/>
          <w:szCs w:val="20"/>
        </w:rPr>
      </w:pPr>
      <w:r>
        <w:rPr>
          <w:i/>
          <w:sz w:val="20"/>
          <w:szCs w:val="20"/>
        </w:rPr>
        <w:t>N</w:t>
      </w:r>
      <w:r>
        <w:rPr>
          <w:sz w:val="20"/>
          <w:szCs w:val="20"/>
          <w:vertAlign w:val="subscript"/>
        </w:rPr>
        <w:t>c</w:t>
      </w:r>
      <w:r>
        <w:rPr>
          <w:rFonts w:ascii="Calibri" w:hAnsi="Calibri" w:cs="Calibri"/>
          <w:i/>
          <w:sz w:val="20"/>
          <w:szCs w:val="20"/>
        </w:rPr>
        <w:t>、</w:t>
      </w:r>
      <w:r>
        <w:rPr>
          <w:i/>
          <w:sz w:val="20"/>
          <w:szCs w:val="20"/>
        </w:rPr>
        <w:t>N</w:t>
      </w:r>
      <w:r>
        <w:rPr>
          <w:sz w:val="20"/>
          <w:szCs w:val="20"/>
          <w:vertAlign w:val="subscript"/>
        </w:rPr>
        <w:t>q</w:t>
      </w:r>
      <w:r>
        <w:rPr>
          <w:iCs/>
          <w:sz w:val="20"/>
          <w:szCs w:val="20"/>
        </w:rPr>
        <w:t>——承载力系数；</w:t>
      </w:r>
    </w:p>
    <w:p w14:paraId="176C6C7A">
      <w:pPr>
        <w:pStyle w:val="2"/>
        <w:ind w:left="1220" w:hanging="800" w:hangingChars="400"/>
        <w:rPr>
          <w:iCs/>
          <w:sz w:val="20"/>
          <w:szCs w:val="20"/>
        </w:rPr>
      </w:pPr>
      <w:r>
        <w:rPr>
          <w:i/>
          <w:sz w:val="20"/>
          <w:szCs w:val="20"/>
        </w:rPr>
        <w:t>c</w:t>
      </w:r>
      <w:r>
        <w:rPr>
          <w:rFonts w:hint="eastAsia"/>
          <w:sz w:val="20"/>
          <w:szCs w:val="20"/>
        </w:rPr>
        <w:t>、</w:t>
      </w:r>
      <w:r>
        <w:rPr>
          <w:i/>
          <w:sz w:val="20"/>
          <w:szCs w:val="20"/>
        </w:rPr>
        <w:sym w:font="Symbol" w:char="F06A"/>
      </w:r>
      <w:r>
        <w:rPr>
          <w:iCs/>
          <w:sz w:val="20"/>
          <w:szCs w:val="20"/>
        </w:rPr>
        <w:t>——分别为抗隆起计算平面以下土的粘聚力（kPa）、内摩擦角（</w:t>
      </w:r>
      <w:r>
        <w:rPr>
          <w:iCs/>
          <w:sz w:val="20"/>
          <w:szCs w:val="20"/>
          <w:vertAlign w:val="superscript"/>
        </w:rPr>
        <w:t>°</w:t>
      </w:r>
      <w:r>
        <w:rPr>
          <w:iCs/>
          <w:sz w:val="20"/>
          <w:szCs w:val="20"/>
        </w:rPr>
        <w:t>），按本规程第</w:t>
      </w:r>
      <w:r>
        <w:rPr>
          <w:rFonts w:hint="eastAsia"/>
          <w:iCs/>
          <w:sz w:val="20"/>
          <w:szCs w:val="20"/>
        </w:rPr>
        <w:t>3</w:t>
      </w:r>
      <w:r>
        <w:rPr>
          <w:iCs/>
          <w:sz w:val="20"/>
          <w:szCs w:val="20"/>
        </w:rPr>
        <w:t>.1.13条的规定取值；</w:t>
      </w:r>
    </w:p>
    <w:p w14:paraId="5BC83FAD">
      <w:pPr>
        <w:pStyle w:val="2"/>
        <w:ind w:left="1230" w:leftChars="300" w:hanging="600" w:hangingChars="300"/>
        <w:rPr>
          <w:sz w:val="20"/>
          <w:szCs w:val="22"/>
        </w:rPr>
      </w:pPr>
      <w:r>
        <w:rPr>
          <w:i/>
          <w:sz w:val="20"/>
          <w:szCs w:val="22"/>
        </w:rPr>
        <w:t>b</w:t>
      </w:r>
      <w:r>
        <w:rPr>
          <w:sz w:val="20"/>
          <w:szCs w:val="22"/>
          <w:vertAlign w:val="subscript"/>
        </w:rPr>
        <w:t>1</w:t>
      </w:r>
      <w:r>
        <w:rPr>
          <w:iCs/>
          <w:sz w:val="20"/>
          <w:szCs w:val="22"/>
        </w:rPr>
        <w:t>——土钉墙坡面的宽度</w:t>
      </w:r>
      <w:r>
        <w:rPr>
          <w:rFonts w:hint="eastAsia"/>
          <w:iCs/>
          <w:sz w:val="20"/>
          <w:szCs w:val="22"/>
        </w:rPr>
        <w:t>（m）；当土钉墙坡面垂直时取</w:t>
      </w:r>
      <w:r>
        <w:rPr>
          <w:i/>
          <w:sz w:val="20"/>
          <w:szCs w:val="22"/>
        </w:rPr>
        <w:t>b</w:t>
      </w:r>
      <w:r>
        <w:rPr>
          <w:sz w:val="20"/>
          <w:szCs w:val="22"/>
          <w:vertAlign w:val="subscript"/>
        </w:rPr>
        <w:t>1</w:t>
      </w:r>
      <w:r>
        <w:rPr>
          <w:sz w:val="20"/>
          <w:szCs w:val="22"/>
        </w:rPr>
        <w:t>=0；</w:t>
      </w:r>
    </w:p>
    <w:p w14:paraId="455230EF">
      <w:pPr>
        <w:pStyle w:val="2"/>
        <w:ind w:left="1230" w:leftChars="300" w:hanging="600" w:hangingChars="300"/>
        <w:rPr>
          <w:sz w:val="20"/>
          <w:szCs w:val="22"/>
        </w:rPr>
      </w:pPr>
      <w:r>
        <w:rPr>
          <w:i/>
          <w:sz w:val="20"/>
          <w:szCs w:val="22"/>
        </w:rPr>
        <w:t>b</w:t>
      </w:r>
      <w:r>
        <w:rPr>
          <w:sz w:val="20"/>
          <w:szCs w:val="22"/>
          <w:vertAlign w:val="subscript"/>
        </w:rPr>
        <w:t>2</w:t>
      </w:r>
      <w:r>
        <w:rPr>
          <w:iCs/>
          <w:sz w:val="20"/>
          <w:szCs w:val="22"/>
        </w:rPr>
        <w:t>——</w:t>
      </w:r>
      <w:r>
        <w:rPr>
          <w:rFonts w:hint="eastAsia"/>
          <w:iCs/>
          <w:sz w:val="20"/>
          <w:szCs w:val="22"/>
        </w:rPr>
        <w:t>地面</w:t>
      </w:r>
      <w:r>
        <w:rPr>
          <w:iCs/>
          <w:sz w:val="20"/>
          <w:szCs w:val="22"/>
        </w:rPr>
        <w:t>均布荷载的计算宽度</w:t>
      </w:r>
      <w:r>
        <w:rPr>
          <w:rFonts w:hint="eastAsia"/>
          <w:iCs/>
          <w:sz w:val="20"/>
          <w:szCs w:val="22"/>
        </w:rPr>
        <w:t>（m），可取</w:t>
      </w:r>
      <w:r>
        <w:rPr>
          <w:i/>
          <w:sz w:val="20"/>
          <w:szCs w:val="22"/>
        </w:rPr>
        <w:t>b</w:t>
      </w:r>
      <w:r>
        <w:rPr>
          <w:sz w:val="20"/>
          <w:szCs w:val="22"/>
          <w:vertAlign w:val="subscript"/>
        </w:rPr>
        <w:t>2</w:t>
      </w:r>
      <w:r>
        <w:rPr>
          <w:sz w:val="20"/>
          <w:szCs w:val="22"/>
        </w:rPr>
        <w:t>=</w:t>
      </w:r>
      <w:r>
        <w:rPr>
          <w:i/>
          <w:sz w:val="20"/>
          <w:szCs w:val="22"/>
        </w:rPr>
        <w:t>h</w:t>
      </w:r>
      <w:r>
        <w:rPr>
          <w:rFonts w:hint="eastAsia"/>
          <w:sz w:val="20"/>
          <w:szCs w:val="22"/>
        </w:rPr>
        <w:t>。</w:t>
      </w:r>
    </w:p>
    <w:p w14:paraId="68903CF3">
      <w:pPr>
        <w:adjustRightInd w:val="0"/>
        <w:snapToGrid w:val="0"/>
        <w:spacing w:line="288" w:lineRule="auto"/>
        <w:rPr>
          <w:rFonts w:ascii="宋体" w:hAnsi="宋体"/>
          <w:iCs/>
          <w:sz w:val="20"/>
          <w:szCs w:val="20"/>
        </w:rPr>
      </w:pPr>
      <w:r>
        <w:rPr>
          <w:b/>
          <w:kern w:val="0"/>
          <w:sz w:val="20"/>
          <w:szCs w:val="20"/>
        </w:rPr>
        <w:t>8.2.13</w:t>
      </w:r>
      <w:r>
        <w:rPr>
          <w:rFonts w:ascii="宋体" w:hAnsi="宋体"/>
          <w:bCs/>
          <w:sz w:val="20"/>
          <w:szCs w:val="20"/>
        </w:rPr>
        <w:t xml:space="preserve">  </w:t>
      </w:r>
      <w:r>
        <w:rPr>
          <w:rFonts w:hint="eastAsia" w:ascii="宋体" w:hAnsi="宋体"/>
          <w:sz w:val="20"/>
          <w:szCs w:val="20"/>
        </w:rPr>
        <w:t>土钉杆体的受拉承载力应符合下列规定：</w:t>
      </w:r>
    </w:p>
    <w:p w14:paraId="41993F7E">
      <w:pPr>
        <w:adjustRightInd w:val="0"/>
        <w:snapToGrid w:val="0"/>
        <w:spacing w:line="288" w:lineRule="auto"/>
        <w:ind w:firstLine="400" w:firstLineChars="200"/>
        <w:jc w:val="center"/>
        <w:rPr>
          <w:rFonts w:ascii="宋体" w:hAnsi="宋体"/>
          <w:iCs/>
          <w:sz w:val="20"/>
          <w:szCs w:val="20"/>
        </w:rPr>
      </w:pPr>
      <w:r>
        <w:rPr>
          <w:rFonts w:ascii="宋体" w:hAnsi="宋体"/>
          <w:position w:val="-12"/>
          <w:sz w:val="20"/>
          <w:szCs w:val="20"/>
        </w:rPr>
        <w:object>
          <v:shape id="_x0000_i1117" o:spt="75" type="#_x0000_t75" style="height:22.45pt;width:57pt;" o:ole="t" filled="f" o:preferrelative="t" stroked="f" coordsize="21600,21600">
            <v:path/>
            <v:fill on="f" focussize="0,0"/>
            <v:stroke on="f" joinstyle="miter"/>
            <v:imagedata r:id="rId204" o:title=""/>
            <o:lock v:ext="edit" aspectratio="t"/>
            <w10:wrap type="none"/>
            <w10:anchorlock/>
          </v:shape>
          <o:OLEObject Type="Embed" ProgID="Equation.3" ShapeID="_x0000_i1117" DrawAspect="Content" ObjectID="_1468075821" r:id="rId203">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8.2.13</w:t>
      </w:r>
      <w:r>
        <w:rPr>
          <w:rFonts w:hint="eastAsia" w:ascii="宋体" w:hAnsi="宋体"/>
          <w:sz w:val="20"/>
          <w:szCs w:val="20"/>
        </w:rPr>
        <w:t>）</w:t>
      </w:r>
    </w:p>
    <w:p w14:paraId="036524FF">
      <w:pPr>
        <w:adjustRightInd w:val="0"/>
        <w:snapToGrid w:val="0"/>
        <w:spacing w:line="288" w:lineRule="auto"/>
        <w:ind w:left="1200" w:hanging="1200" w:hangingChars="600"/>
        <w:rPr>
          <w:rFonts w:ascii="宋体" w:hAnsi="宋体"/>
          <w:sz w:val="20"/>
          <w:szCs w:val="20"/>
        </w:rPr>
      </w:pPr>
      <w:r>
        <w:rPr>
          <w:rFonts w:hint="eastAsia" w:ascii="宋体" w:hAnsi="宋体"/>
          <w:iCs/>
          <w:sz w:val="20"/>
          <w:szCs w:val="20"/>
        </w:rPr>
        <w:t xml:space="preserve">式中： </w:t>
      </w:r>
      <w:r>
        <w:rPr>
          <w:i/>
          <w:sz w:val="20"/>
          <w:szCs w:val="20"/>
        </w:rPr>
        <w:t>N</w:t>
      </w:r>
      <w:r>
        <w:rPr>
          <w:i/>
          <w:sz w:val="20"/>
          <w:szCs w:val="20"/>
          <w:vertAlign w:val="subscript"/>
        </w:rPr>
        <w:t>j</w:t>
      </w:r>
      <w:r>
        <w:rPr>
          <w:iCs/>
        </w:rPr>
        <w:t>——</w:t>
      </w:r>
      <w:r>
        <w:rPr>
          <w:rFonts w:hint="eastAsia" w:ascii="宋体" w:hAnsi="宋体"/>
          <w:sz w:val="20"/>
          <w:szCs w:val="20"/>
        </w:rPr>
        <w:t>第</w:t>
      </w:r>
      <w:r>
        <w:rPr>
          <w:i/>
          <w:sz w:val="20"/>
          <w:szCs w:val="20"/>
        </w:rPr>
        <w:t>j</w:t>
      </w:r>
      <w:r>
        <w:rPr>
          <w:rFonts w:hint="eastAsia" w:ascii="宋体" w:hAnsi="宋体"/>
          <w:sz w:val="20"/>
          <w:szCs w:val="20"/>
        </w:rPr>
        <w:t>层土钉的轴向拉力设计值(</w:t>
      </w:r>
      <w:r>
        <w:rPr>
          <w:sz w:val="20"/>
          <w:szCs w:val="20"/>
        </w:rPr>
        <w:t>kN</w:t>
      </w:r>
      <w:r>
        <w:rPr>
          <w:rFonts w:hint="eastAsia" w:ascii="宋体" w:hAnsi="宋体"/>
          <w:sz w:val="20"/>
          <w:szCs w:val="20"/>
        </w:rPr>
        <w:t>)，按式</w:t>
      </w:r>
      <w:r>
        <w:rPr>
          <w:sz w:val="20"/>
          <w:szCs w:val="20"/>
        </w:rPr>
        <w:t>7</w:t>
      </w:r>
      <w:r>
        <w:rPr>
          <w:rFonts w:hint="eastAsia"/>
          <w:sz w:val="20"/>
          <w:szCs w:val="20"/>
        </w:rPr>
        <w:t>.5.1-3</w:t>
      </w:r>
      <w:r>
        <w:rPr>
          <w:rFonts w:hint="eastAsia" w:ascii="宋体" w:hAnsi="宋体"/>
          <w:sz w:val="20"/>
          <w:szCs w:val="20"/>
        </w:rPr>
        <w:t>计算，但式中的N</w:t>
      </w:r>
      <w:r>
        <w:rPr>
          <w:rFonts w:hint="eastAsia" w:ascii="宋体" w:hAnsi="宋体"/>
          <w:sz w:val="20"/>
          <w:szCs w:val="20"/>
          <w:vertAlign w:val="subscript"/>
        </w:rPr>
        <w:t>k</w:t>
      </w:r>
      <w:r>
        <w:rPr>
          <w:rFonts w:hint="eastAsia" w:ascii="宋体" w:hAnsi="宋体"/>
          <w:sz w:val="20"/>
          <w:szCs w:val="20"/>
        </w:rPr>
        <w:t>应按第</w:t>
      </w:r>
      <w:r>
        <w:rPr>
          <w:sz w:val="20"/>
          <w:szCs w:val="20"/>
        </w:rPr>
        <w:t>8.2.</w:t>
      </w:r>
      <w:r>
        <w:rPr>
          <w:rFonts w:hint="eastAsia"/>
          <w:sz w:val="20"/>
          <w:szCs w:val="20"/>
        </w:rPr>
        <w:t>7</w:t>
      </w:r>
      <w:r>
        <w:rPr>
          <w:rFonts w:hint="eastAsia" w:ascii="宋体" w:hAnsi="宋体"/>
          <w:sz w:val="20"/>
          <w:szCs w:val="20"/>
        </w:rPr>
        <w:t>条确定；</w:t>
      </w:r>
    </w:p>
    <w:p w14:paraId="5CD0C71F">
      <w:pPr>
        <w:adjustRightInd w:val="0"/>
        <w:snapToGrid w:val="0"/>
        <w:spacing w:line="288" w:lineRule="auto"/>
        <w:ind w:left="1231" w:leftChars="294" w:hanging="614" w:hangingChars="307"/>
        <w:rPr>
          <w:rFonts w:ascii="宋体" w:hAnsi="宋体"/>
          <w:sz w:val="20"/>
          <w:szCs w:val="20"/>
        </w:rPr>
      </w:pPr>
      <w:r>
        <w:rPr>
          <w:i/>
          <w:sz w:val="20"/>
          <w:szCs w:val="20"/>
        </w:rPr>
        <w:t>f</w:t>
      </w:r>
      <w:r>
        <w:rPr>
          <w:sz w:val="20"/>
          <w:szCs w:val="20"/>
          <w:vertAlign w:val="subscript"/>
        </w:rPr>
        <w:t xml:space="preserve">y </w:t>
      </w:r>
      <w:r>
        <w:rPr>
          <w:iCs/>
        </w:rPr>
        <w:t>——</w:t>
      </w:r>
      <w:r>
        <w:rPr>
          <w:rFonts w:hint="eastAsia" w:ascii="宋体" w:hAnsi="宋体"/>
          <w:sz w:val="20"/>
          <w:szCs w:val="20"/>
        </w:rPr>
        <w:t>土钉杆体的抗拉强度设计值(</w:t>
      </w:r>
      <w:r>
        <w:rPr>
          <w:rFonts w:hint="eastAsia"/>
          <w:sz w:val="20"/>
          <w:szCs w:val="20"/>
        </w:rPr>
        <w:t>kPa</w:t>
      </w:r>
      <w:r>
        <w:rPr>
          <w:rFonts w:hint="eastAsia" w:ascii="宋体" w:hAnsi="宋体"/>
          <w:sz w:val="20"/>
          <w:szCs w:val="20"/>
        </w:rPr>
        <w:t>)；</w:t>
      </w:r>
    </w:p>
    <w:p w14:paraId="4B7455BF">
      <w:pPr>
        <w:adjustRightInd w:val="0"/>
        <w:snapToGrid w:val="0"/>
        <w:spacing w:line="288" w:lineRule="auto"/>
        <w:ind w:left="1231" w:leftChars="287" w:hanging="628" w:hangingChars="314"/>
        <w:rPr>
          <w:rFonts w:ascii="宋体" w:hAnsi="宋体"/>
          <w:sz w:val="20"/>
          <w:szCs w:val="20"/>
        </w:rPr>
      </w:pPr>
      <w:r>
        <w:rPr>
          <w:i/>
          <w:iCs/>
          <w:sz w:val="20"/>
          <w:szCs w:val="20"/>
        </w:rPr>
        <w:t>A</w:t>
      </w:r>
      <w:r>
        <w:rPr>
          <w:i/>
          <w:iCs/>
          <w:sz w:val="20"/>
          <w:szCs w:val="20"/>
          <w:vertAlign w:val="subscript"/>
        </w:rPr>
        <w:t>s</w:t>
      </w:r>
      <w:r>
        <w:rPr>
          <w:iCs/>
        </w:rPr>
        <w:t>——</w:t>
      </w:r>
      <w:r>
        <w:rPr>
          <w:rFonts w:hint="eastAsia" w:ascii="宋体" w:hAnsi="宋体"/>
          <w:sz w:val="20"/>
          <w:szCs w:val="20"/>
        </w:rPr>
        <w:t>土钉杆体的截面面积(</w:t>
      </w:r>
      <w:r>
        <w:rPr>
          <w:rFonts w:hint="eastAsia"/>
          <w:sz w:val="20"/>
          <w:szCs w:val="20"/>
        </w:rPr>
        <w:t>m</w:t>
      </w:r>
      <w:r>
        <w:rPr>
          <w:sz w:val="20"/>
          <w:szCs w:val="20"/>
          <w:vertAlign w:val="superscript"/>
        </w:rPr>
        <w:t>2</w:t>
      </w:r>
      <w:r>
        <w:rPr>
          <w:rFonts w:hint="eastAsia" w:ascii="宋体" w:hAnsi="宋体"/>
          <w:sz w:val="20"/>
          <w:szCs w:val="20"/>
        </w:rPr>
        <w:t>)</w:t>
      </w:r>
      <w:r>
        <w:rPr>
          <w:rFonts w:hint="eastAsia" w:ascii="宋体" w:hAnsi="宋体"/>
          <w:iCs/>
          <w:sz w:val="20"/>
          <w:szCs w:val="20"/>
        </w:rPr>
        <w:t>。</w:t>
      </w:r>
    </w:p>
    <w:p w14:paraId="2AD0DA01">
      <w:pPr>
        <w:adjustRightInd w:val="0"/>
        <w:snapToGrid w:val="0"/>
        <w:spacing w:line="288" w:lineRule="auto"/>
        <w:rPr>
          <w:rFonts w:ascii="宋体" w:hAnsi="宋体"/>
          <w:sz w:val="20"/>
          <w:szCs w:val="20"/>
        </w:rPr>
      </w:pPr>
      <w:r>
        <w:rPr>
          <w:b/>
          <w:kern w:val="0"/>
          <w:sz w:val="20"/>
          <w:szCs w:val="20"/>
        </w:rPr>
        <w:t>8.2.14</w:t>
      </w:r>
      <w:r>
        <w:rPr>
          <w:rFonts w:ascii="宋体" w:hAnsi="宋体"/>
          <w:sz w:val="20"/>
          <w:szCs w:val="20"/>
        </w:rPr>
        <w:t xml:space="preserve">  </w:t>
      </w:r>
      <w:r>
        <w:rPr>
          <w:rFonts w:hint="eastAsia" w:ascii="宋体" w:hAnsi="宋体"/>
          <w:sz w:val="20"/>
          <w:szCs w:val="20"/>
        </w:rPr>
        <w:t>微型桩、水泥土桩复合土钉墙，当滑弧穿过其嵌固段时，可考虑桩的抗滑作用。</w:t>
      </w:r>
    </w:p>
    <w:p w14:paraId="68B51B9B">
      <w:pPr>
        <w:adjustRightInd w:val="0"/>
        <w:snapToGrid w:val="0"/>
        <w:spacing w:line="288" w:lineRule="auto"/>
        <w:rPr>
          <w:rFonts w:ascii="宋体" w:hAnsi="宋体"/>
          <w:sz w:val="20"/>
          <w:szCs w:val="20"/>
        </w:rPr>
      </w:pPr>
      <w:r>
        <w:rPr>
          <w:b/>
          <w:kern w:val="0"/>
          <w:sz w:val="20"/>
          <w:szCs w:val="20"/>
        </w:rPr>
        <w:t>8.2.15</w:t>
      </w:r>
      <w:r>
        <w:rPr>
          <w:rFonts w:ascii="宋体" w:hAnsi="宋体"/>
          <w:sz w:val="20"/>
          <w:szCs w:val="20"/>
        </w:rPr>
        <w:t xml:space="preserve">  </w:t>
      </w:r>
      <w:r>
        <w:rPr>
          <w:rFonts w:hint="eastAsia" w:ascii="宋体" w:hAnsi="宋体"/>
          <w:sz w:val="20"/>
          <w:szCs w:val="20"/>
        </w:rPr>
        <w:t>土钉墙与截水帷幕结合时，应按本规程附录</w:t>
      </w:r>
      <w:r>
        <w:rPr>
          <w:sz w:val="20"/>
          <w:szCs w:val="20"/>
        </w:rPr>
        <w:t>B</w:t>
      </w:r>
      <w:r>
        <w:rPr>
          <w:rFonts w:hint="eastAsia" w:ascii="宋体" w:hAnsi="宋体"/>
          <w:sz w:val="20"/>
          <w:szCs w:val="20"/>
        </w:rPr>
        <w:t>的规定进行地下水渗透稳定性验算。</w:t>
      </w:r>
    </w:p>
    <w:p w14:paraId="2300F867">
      <w:pPr>
        <w:adjustRightInd w:val="0"/>
        <w:snapToGrid w:val="0"/>
        <w:spacing w:line="288" w:lineRule="auto"/>
        <w:rPr>
          <w:rFonts w:ascii="宋体" w:hAnsi="宋体"/>
          <w:sz w:val="20"/>
          <w:szCs w:val="20"/>
        </w:rPr>
      </w:pPr>
      <w:r>
        <w:rPr>
          <w:b/>
          <w:kern w:val="0"/>
          <w:sz w:val="20"/>
          <w:szCs w:val="20"/>
        </w:rPr>
        <w:t>8.2.16</w:t>
      </w:r>
      <w:r>
        <w:rPr>
          <w:rFonts w:ascii="宋体" w:hAnsi="宋体"/>
          <w:bCs/>
          <w:sz w:val="20"/>
          <w:szCs w:val="20"/>
        </w:rPr>
        <w:t xml:space="preserve">  </w:t>
      </w:r>
      <w:r>
        <w:rPr>
          <w:rFonts w:hint="eastAsia" w:ascii="宋体" w:hAnsi="宋体"/>
          <w:sz w:val="20"/>
          <w:szCs w:val="20"/>
        </w:rPr>
        <w:t>土钉墙构造设计应符合下列规定：</w:t>
      </w:r>
    </w:p>
    <w:p w14:paraId="0EF61D76">
      <w:pPr>
        <w:adjustRightInd w:val="0"/>
        <w:snapToGrid w:val="0"/>
        <w:spacing w:line="288" w:lineRule="auto"/>
        <w:ind w:firstLine="402" w:firstLineChars="200"/>
        <w:rPr>
          <w:rFonts w:ascii="宋体" w:hAnsi="宋体"/>
          <w:sz w:val="20"/>
          <w:szCs w:val="20"/>
        </w:rPr>
      </w:pPr>
      <w:r>
        <w:rPr>
          <w:b/>
          <w:bCs/>
          <w:sz w:val="20"/>
          <w:szCs w:val="20"/>
        </w:rPr>
        <w:t>1</w:t>
      </w:r>
      <w:r>
        <w:rPr>
          <w:rFonts w:ascii="宋体" w:hAnsi="宋体"/>
          <w:bCs/>
          <w:sz w:val="20"/>
          <w:szCs w:val="20"/>
        </w:rPr>
        <w:t xml:space="preserve">  </w:t>
      </w:r>
      <w:r>
        <w:rPr>
          <w:rFonts w:hint="eastAsia" w:ascii="宋体" w:hAnsi="宋体"/>
          <w:sz w:val="20"/>
          <w:szCs w:val="20"/>
        </w:rPr>
        <w:t>土钉墙墙面坡度宜为</w:t>
      </w:r>
      <w:r>
        <w:rPr>
          <w:sz w:val="20"/>
          <w:szCs w:val="20"/>
        </w:rPr>
        <w:t>1</w:t>
      </w:r>
      <w:r>
        <w:rPr>
          <w:rFonts w:hint="eastAsia"/>
          <w:sz w:val="20"/>
          <w:szCs w:val="20"/>
        </w:rPr>
        <w:t>:</w:t>
      </w:r>
      <w:r>
        <w:rPr>
          <w:sz w:val="20"/>
          <w:szCs w:val="20"/>
        </w:rPr>
        <w:t>0.2～1</w:t>
      </w:r>
      <w:r>
        <w:rPr>
          <w:rFonts w:hint="eastAsia"/>
          <w:sz w:val="20"/>
          <w:szCs w:val="20"/>
        </w:rPr>
        <w:t>:</w:t>
      </w:r>
      <w:r>
        <w:rPr>
          <w:sz w:val="20"/>
          <w:szCs w:val="20"/>
        </w:rPr>
        <w:t>0.5</w:t>
      </w:r>
      <w:r>
        <w:rPr>
          <w:rFonts w:hint="eastAsia" w:ascii="宋体" w:hAnsi="宋体"/>
          <w:sz w:val="20"/>
          <w:szCs w:val="20"/>
        </w:rPr>
        <w:t>，一般不宜大于</w:t>
      </w:r>
      <w:r>
        <w:rPr>
          <w:sz w:val="20"/>
          <w:szCs w:val="20"/>
        </w:rPr>
        <w:t>1</w:t>
      </w:r>
      <w:r>
        <w:rPr>
          <w:rFonts w:hint="eastAsia"/>
          <w:sz w:val="20"/>
          <w:szCs w:val="20"/>
        </w:rPr>
        <w:t>:</w:t>
      </w:r>
      <w:r>
        <w:rPr>
          <w:sz w:val="20"/>
          <w:szCs w:val="20"/>
        </w:rPr>
        <w:t>0.1</w:t>
      </w:r>
      <w:r>
        <w:rPr>
          <w:rFonts w:hint="eastAsia" w:ascii="宋体" w:hAnsi="宋体"/>
          <w:sz w:val="20"/>
          <w:szCs w:val="20"/>
        </w:rPr>
        <w:t>；</w:t>
      </w:r>
    </w:p>
    <w:p w14:paraId="3E24C49C">
      <w:pPr>
        <w:adjustRightInd w:val="0"/>
        <w:snapToGrid w:val="0"/>
        <w:spacing w:line="288" w:lineRule="auto"/>
        <w:ind w:firstLine="402" w:firstLineChars="200"/>
        <w:rPr>
          <w:rFonts w:ascii="宋体" w:hAnsi="宋体"/>
          <w:sz w:val="20"/>
          <w:szCs w:val="20"/>
        </w:rPr>
      </w:pPr>
      <w:r>
        <w:rPr>
          <w:b/>
          <w:bCs/>
          <w:sz w:val="20"/>
          <w:szCs w:val="20"/>
        </w:rPr>
        <w:t>2</w:t>
      </w:r>
      <w:r>
        <w:rPr>
          <w:rFonts w:ascii="宋体" w:hAnsi="宋体"/>
          <w:bCs/>
          <w:sz w:val="20"/>
          <w:szCs w:val="20"/>
        </w:rPr>
        <w:t xml:space="preserve">  </w:t>
      </w:r>
      <w:r>
        <w:rPr>
          <w:rFonts w:hint="eastAsia" w:ascii="宋体" w:hAnsi="宋体"/>
          <w:sz w:val="20"/>
          <w:szCs w:val="20"/>
        </w:rPr>
        <w:t>土钉必须和混凝土面层有效连接，应设加强钢筋等构造措施；</w:t>
      </w:r>
    </w:p>
    <w:p w14:paraId="7D11CC08">
      <w:pPr>
        <w:adjustRightInd w:val="0"/>
        <w:snapToGrid w:val="0"/>
        <w:spacing w:line="288" w:lineRule="auto"/>
        <w:ind w:firstLine="402" w:firstLineChars="200"/>
        <w:rPr>
          <w:rFonts w:ascii="宋体" w:hAnsi="宋体"/>
          <w:sz w:val="20"/>
          <w:szCs w:val="20"/>
        </w:rPr>
      </w:pPr>
      <w:r>
        <w:rPr>
          <w:b/>
          <w:bCs/>
          <w:sz w:val="20"/>
          <w:szCs w:val="20"/>
        </w:rPr>
        <w:t xml:space="preserve">3  </w:t>
      </w:r>
      <w:r>
        <w:rPr>
          <w:rFonts w:hint="eastAsia" w:ascii="宋体" w:hAnsi="宋体"/>
          <w:sz w:val="20"/>
          <w:szCs w:val="20"/>
        </w:rPr>
        <w:t>土钉的长度宜为土钉墙支护高度的</w:t>
      </w:r>
      <w:r>
        <w:rPr>
          <w:sz w:val="20"/>
          <w:szCs w:val="20"/>
        </w:rPr>
        <w:t>0.5</w:t>
      </w:r>
      <w:r>
        <w:rPr>
          <w:rFonts w:hint="eastAsia" w:ascii="宋体" w:hAnsi="宋体"/>
          <w:sz w:val="20"/>
          <w:szCs w:val="20"/>
        </w:rPr>
        <w:t>倍</w:t>
      </w:r>
      <w:r>
        <w:rPr>
          <w:rFonts w:hint="eastAsia"/>
          <w:sz w:val="20"/>
          <w:szCs w:val="20"/>
        </w:rPr>
        <w:t>～</w:t>
      </w:r>
      <w:r>
        <w:rPr>
          <w:sz w:val="20"/>
          <w:szCs w:val="20"/>
        </w:rPr>
        <w:t>1.2</w:t>
      </w:r>
      <w:r>
        <w:rPr>
          <w:rFonts w:hint="eastAsia" w:ascii="宋体" w:hAnsi="宋体"/>
          <w:sz w:val="20"/>
          <w:szCs w:val="20"/>
        </w:rPr>
        <w:t>倍，密实砂土和坚硬黏土可取低值；对软塑黏性土不应小于</w:t>
      </w:r>
      <w:r>
        <w:rPr>
          <w:sz w:val="20"/>
          <w:szCs w:val="20"/>
        </w:rPr>
        <w:t>1.0</w:t>
      </w:r>
      <w:r>
        <w:rPr>
          <w:rFonts w:hint="eastAsia" w:ascii="宋体" w:hAnsi="宋体"/>
          <w:sz w:val="20"/>
          <w:szCs w:val="20"/>
        </w:rPr>
        <w:t>倍。顶部土钉的长度宜加长；</w:t>
      </w:r>
    </w:p>
    <w:p w14:paraId="664DD0A9">
      <w:pPr>
        <w:adjustRightInd w:val="0"/>
        <w:snapToGrid w:val="0"/>
        <w:spacing w:line="288" w:lineRule="auto"/>
        <w:ind w:firstLine="402" w:firstLineChars="200"/>
        <w:rPr>
          <w:rFonts w:ascii="宋体" w:hAnsi="宋体"/>
          <w:sz w:val="20"/>
          <w:szCs w:val="20"/>
        </w:rPr>
      </w:pPr>
      <w:r>
        <w:rPr>
          <w:b/>
          <w:bCs/>
          <w:sz w:val="20"/>
          <w:szCs w:val="20"/>
        </w:rPr>
        <w:t>4</w:t>
      </w:r>
      <w:r>
        <w:rPr>
          <w:rFonts w:ascii="宋体" w:hAnsi="宋体"/>
          <w:bCs/>
          <w:sz w:val="20"/>
          <w:szCs w:val="20"/>
        </w:rPr>
        <w:t xml:space="preserve">  </w:t>
      </w:r>
      <w:r>
        <w:rPr>
          <w:rFonts w:hint="eastAsia" w:ascii="宋体" w:hAnsi="宋体"/>
          <w:sz w:val="20"/>
          <w:szCs w:val="20"/>
        </w:rPr>
        <w:t>土钉间距宜为</w:t>
      </w:r>
      <w:r>
        <w:rPr>
          <w:sz w:val="20"/>
          <w:szCs w:val="20"/>
        </w:rPr>
        <w:t>1.2m</w:t>
      </w:r>
      <w:r>
        <w:rPr>
          <w:rFonts w:hint="eastAsia"/>
          <w:sz w:val="20"/>
          <w:szCs w:val="20"/>
        </w:rPr>
        <w:t>～</w:t>
      </w:r>
      <w:r>
        <w:rPr>
          <w:sz w:val="20"/>
          <w:szCs w:val="20"/>
        </w:rPr>
        <w:t>2.0m</w:t>
      </w:r>
      <w:r>
        <w:rPr>
          <w:rFonts w:hint="eastAsia" w:ascii="宋体" w:hAnsi="宋体"/>
          <w:sz w:val="20"/>
          <w:szCs w:val="20"/>
        </w:rPr>
        <w:t>，局部软弱土中可小于</w:t>
      </w:r>
      <w:r>
        <w:rPr>
          <w:sz w:val="20"/>
          <w:szCs w:val="20"/>
        </w:rPr>
        <w:t>1.2m</w:t>
      </w:r>
      <w:r>
        <w:rPr>
          <w:rFonts w:hint="eastAsia" w:ascii="宋体" w:hAnsi="宋体"/>
          <w:sz w:val="20"/>
          <w:szCs w:val="20"/>
        </w:rPr>
        <w:t>；</w:t>
      </w:r>
    </w:p>
    <w:p w14:paraId="65160030">
      <w:pPr>
        <w:adjustRightInd w:val="0"/>
        <w:snapToGrid w:val="0"/>
        <w:spacing w:line="288" w:lineRule="auto"/>
        <w:ind w:firstLine="402" w:firstLineChars="200"/>
        <w:rPr>
          <w:rFonts w:ascii="宋体" w:hAnsi="宋体"/>
          <w:sz w:val="20"/>
          <w:szCs w:val="20"/>
        </w:rPr>
      </w:pPr>
      <w:r>
        <w:rPr>
          <w:b/>
          <w:bCs/>
          <w:sz w:val="20"/>
          <w:szCs w:val="20"/>
        </w:rPr>
        <w:t>5</w:t>
      </w:r>
      <w:r>
        <w:rPr>
          <w:rFonts w:ascii="宋体" w:hAnsi="宋体"/>
          <w:bCs/>
          <w:sz w:val="20"/>
          <w:szCs w:val="20"/>
        </w:rPr>
        <w:t xml:space="preserve">  </w:t>
      </w:r>
      <w:r>
        <w:rPr>
          <w:rFonts w:hint="eastAsia" w:ascii="宋体" w:hAnsi="宋体"/>
          <w:sz w:val="20"/>
          <w:szCs w:val="20"/>
        </w:rPr>
        <w:t>土钉与水平面夹角宜为</w:t>
      </w:r>
      <w:r>
        <w:rPr>
          <w:sz w:val="20"/>
          <w:szCs w:val="20"/>
        </w:rPr>
        <w:t>5</w:t>
      </w:r>
      <w:r>
        <w:rPr>
          <w:rFonts w:hint="eastAsia"/>
          <w:sz w:val="20"/>
          <w:szCs w:val="20"/>
        </w:rPr>
        <w:t>º～</w:t>
      </w:r>
      <w:r>
        <w:rPr>
          <w:sz w:val="20"/>
          <w:szCs w:val="20"/>
        </w:rPr>
        <w:t>20</w:t>
      </w:r>
      <w:r>
        <w:rPr>
          <w:rFonts w:hint="eastAsia"/>
          <w:sz w:val="20"/>
          <w:szCs w:val="20"/>
        </w:rPr>
        <w:t>º</w:t>
      </w:r>
      <w:r>
        <w:rPr>
          <w:rFonts w:hint="eastAsia" w:ascii="宋体" w:hAnsi="宋体"/>
          <w:sz w:val="20"/>
          <w:szCs w:val="20"/>
        </w:rPr>
        <w:t>。当用压力注浆且有可靠排气措施时倾角可接近水平。当上层土较软弱时，可适当增大倾角。当遇有局部障碍物时，允许调整钻孔位置和方向；</w:t>
      </w:r>
    </w:p>
    <w:p w14:paraId="67121D7C">
      <w:pPr>
        <w:adjustRightInd w:val="0"/>
        <w:snapToGrid w:val="0"/>
        <w:spacing w:line="288" w:lineRule="auto"/>
        <w:ind w:firstLine="402" w:firstLineChars="200"/>
        <w:rPr>
          <w:rFonts w:ascii="宋体" w:hAnsi="宋体"/>
          <w:sz w:val="20"/>
          <w:szCs w:val="20"/>
        </w:rPr>
      </w:pPr>
      <w:r>
        <w:rPr>
          <w:b/>
          <w:bCs/>
          <w:sz w:val="20"/>
          <w:szCs w:val="20"/>
        </w:rPr>
        <w:t>6</w:t>
      </w:r>
      <w:r>
        <w:rPr>
          <w:rFonts w:ascii="宋体" w:hAnsi="宋体"/>
          <w:bCs/>
          <w:sz w:val="20"/>
          <w:szCs w:val="20"/>
        </w:rPr>
        <w:t xml:space="preserve">  </w:t>
      </w:r>
      <w:r>
        <w:rPr>
          <w:rFonts w:hint="eastAsia" w:ascii="宋体" w:hAnsi="宋体"/>
          <w:sz w:val="20"/>
          <w:szCs w:val="20"/>
        </w:rPr>
        <w:t>土钉钢筋不应低于</w:t>
      </w:r>
      <w:r>
        <w:rPr>
          <w:sz w:val="20"/>
          <w:szCs w:val="20"/>
        </w:rPr>
        <w:t>HRB400</w:t>
      </w:r>
      <w:r>
        <w:rPr>
          <w:rFonts w:hint="eastAsia" w:ascii="宋体" w:hAnsi="宋体"/>
          <w:sz w:val="20"/>
          <w:szCs w:val="20"/>
        </w:rPr>
        <w:t>级，钢筋直径宜为</w:t>
      </w:r>
      <w:r>
        <w:rPr>
          <w:sz w:val="20"/>
          <w:szCs w:val="20"/>
        </w:rPr>
        <w:t>16mm</w:t>
      </w:r>
      <w:r>
        <w:rPr>
          <w:rFonts w:hint="eastAsia"/>
          <w:sz w:val="20"/>
          <w:szCs w:val="20"/>
        </w:rPr>
        <w:t>～</w:t>
      </w:r>
      <w:r>
        <w:rPr>
          <w:sz w:val="20"/>
          <w:szCs w:val="20"/>
        </w:rPr>
        <w:t>32mm</w:t>
      </w:r>
      <w:r>
        <w:rPr>
          <w:rFonts w:hint="eastAsia" w:ascii="宋体" w:hAnsi="宋体"/>
          <w:sz w:val="20"/>
          <w:szCs w:val="20"/>
        </w:rPr>
        <w:t>，钻孔直径宜为</w:t>
      </w:r>
      <w:r>
        <w:t>80mm</w:t>
      </w:r>
      <w:r>
        <w:rPr>
          <w:rFonts w:hint="eastAsia"/>
        </w:rPr>
        <w:t>～</w:t>
      </w:r>
      <w:r>
        <w:rPr>
          <w:szCs w:val="24"/>
        </w:rPr>
        <w:t>150</w:t>
      </w:r>
      <w:r>
        <w:t>mm</w:t>
      </w:r>
      <w:r>
        <w:rPr>
          <w:rFonts w:hint="eastAsia"/>
        </w:rPr>
        <w:t>；</w:t>
      </w:r>
    </w:p>
    <w:p w14:paraId="5A396D19">
      <w:pPr>
        <w:adjustRightInd w:val="0"/>
        <w:snapToGrid w:val="0"/>
        <w:spacing w:line="288" w:lineRule="auto"/>
        <w:ind w:firstLine="402" w:firstLineChars="200"/>
        <w:rPr>
          <w:rFonts w:ascii="宋体" w:hAnsi="宋体"/>
          <w:sz w:val="20"/>
          <w:szCs w:val="20"/>
        </w:rPr>
      </w:pPr>
      <w:r>
        <w:rPr>
          <w:b/>
          <w:bCs/>
          <w:sz w:val="20"/>
          <w:szCs w:val="20"/>
        </w:rPr>
        <w:t>7</w:t>
      </w:r>
      <w:r>
        <w:rPr>
          <w:rFonts w:ascii="宋体" w:hAnsi="宋体"/>
          <w:sz w:val="20"/>
          <w:szCs w:val="20"/>
        </w:rPr>
        <w:t xml:space="preserve">  </w:t>
      </w:r>
      <w:r>
        <w:rPr>
          <w:rFonts w:hint="eastAsia" w:ascii="宋体" w:hAnsi="宋体"/>
          <w:sz w:val="20"/>
          <w:szCs w:val="20"/>
        </w:rPr>
        <w:t>应沿土钉全长设置对中定位支架，其间距宜取</w:t>
      </w:r>
      <w:r>
        <w:rPr>
          <w:sz w:val="20"/>
          <w:szCs w:val="20"/>
        </w:rPr>
        <w:t>1.5m</w:t>
      </w:r>
      <w:r>
        <w:rPr>
          <w:rFonts w:hint="eastAsia"/>
          <w:sz w:val="20"/>
          <w:szCs w:val="20"/>
        </w:rPr>
        <w:t>～</w:t>
      </w:r>
      <w:r>
        <w:rPr>
          <w:sz w:val="20"/>
          <w:szCs w:val="20"/>
        </w:rPr>
        <w:t>2.5m</w:t>
      </w:r>
      <w:r>
        <w:rPr>
          <w:rFonts w:hint="eastAsia" w:ascii="宋体" w:hAnsi="宋体"/>
          <w:sz w:val="20"/>
          <w:szCs w:val="20"/>
        </w:rPr>
        <w:t>，土钉钢筋保护层厚度不宜小于</w:t>
      </w:r>
      <w:r>
        <w:rPr>
          <w:sz w:val="20"/>
          <w:szCs w:val="20"/>
        </w:rPr>
        <w:t>20mm</w:t>
      </w:r>
      <w:r>
        <w:rPr>
          <w:rFonts w:hint="eastAsia" w:ascii="宋体" w:hAnsi="宋体"/>
          <w:sz w:val="20"/>
          <w:szCs w:val="20"/>
        </w:rPr>
        <w:t>；</w:t>
      </w:r>
    </w:p>
    <w:p w14:paraId="64CAEF78">
      <w:pPr>
        <w:adjustRightInd w:val="0"/>
        <w:snapToGrid w:val="0"/>
        <w:spacing w:line="288" w:lineRule="auto"/>
        <w:ind w:firstLine="402" w:firstLineChars="200"/>
        <w:rPr>
          <w:rFonts w:ascii="宋体" w:hAnsi="宋体"/>
          <w:sz w:val="20"/>
          <w:szCs w:val="20"/>
        </w:rPr>
      </w:pPr>
      <w:r>
        <w:rPr>
          <w:b/>
          <w:bCs/>
          <w:sz w:val="20"/>
          <w:szCs w:val="20"/>
        </w:rPr>
        <w:t>8</w:t>
      </w:r>
      <w:r>
        <w:rPr>
          <w:rFonts w:ascii="宋体" w:hAnsi="宋体"/>
          <w:sz w:val="20"/>
          <w:szCs w:val="20"/>
        </w:rPr>
        <w:t xml:space="preserve">  </w:t>
      </w:r>
      <w:r>
        <w:rPr>
          <w:rFonts w:hint="eastAsia" w:ascii="宋体" w:hAnsi="宋体"/>
          <w:sz w:val="20"/>
          <w:szCs w:val="20"/>
        </w:rPr>
        <w:t>土钉注浆材料宜采用水泥浆或水泥砂浆，其强度等级不宜低于</w:t>
      </w:r>
      <w:r>
        <w:rPr>
          <w:sz w:val="20"/>
          <w:szCs w:val="20"/>
        </w:rPr>
        <w:t>20MPa</w:t>
      </w:r>
      <w:r>
        <w:rPr>
          <w:rFonts w:hint="eastAsia" w:ascii="宋体" w:hAnsi="宋体"/>
          <w:sz w:val="20"/>
          <w:szCs w:val="20"/>
        </w:rPr>
        <w:t>；</w:t>
      </w:r>
    </w:p>
    <w:p w14:paraId="1F432140">
      <w:pPr>
        <w:adjustRightInd w:val="0"/>
        <w:snapToGrid w:val="0"/>
        <w:spacing w:line="288" w:lineRule="auto"/>
        <w:ind w:firstLine="402" w:firstLineChars="200"/>
        <w:rPr>
          <w:rFonts w:ascii="宋体" w:hAnsi="宋体"/>
          <w:sz w:val="20"/>
          <w:szCs w:val="20"/>
        </w:rPr>
      </w:pPr>
      <w:r>
        <w:rPr>
          <w:b/>
          <w:bCs/>
          <w:sz w:val="20"/>
          <w:szCs w:val="20"/>
        </w:rPr>
        <w:t>9</w:t>
      </w:r>
      <w:r>
        <w:rPr>
          <w:rFonts w:ascii="宋体" w:hAnsi="宋体"/>
          <w:bCs/>
          <w:sz w:val="20"/>
          <w:szCs w:val="20"/>
        </w:rPr>
        <w:t xml:space="preserve">  </w:t>
      </w:r>
      <w:r>
        <w:rPr>
          <w:rFonts w:hint="eastAsia" w:ascii="宋体" w:hAnsi="宋体"/>
          <w:sz w:val="20"/>
          <w:szCs w:val="20"/>
        </w:rPr>
        <w:t>喷射混凝土面层的厚度宜为</w:t>
      </w:r>
      <w:r>
        <w:rPr>
          <w:sz w:val="20"/>
          <w:szCs w:val="20"/>
        </w:rPr>
        <w:t>80mm</w:t>
      </w:r>
      <w:r>
        <w:rPr>
          <w:rFonts w:hint="eastAsia"/>
          <w:sz w:val="20"/>
          <w:szCs w:val="20"/>
        </w:rPr>
        <w:t>～</w:t>
      </w:r>
      <w:r>
        <w:rPr>
          <w:sz w:val="20"/>
          <w:szCs w:val="20"/>
        </w:rPr>
        <w:t>150mm</w:t>
      </w:r>
      <w:r>
        <w:rPr>
          <w:rFonts w:hint="eastAsia" w:ascii="宋体" w:hAnsi="宋体"/>
          <w:sz w:val="20"/>
          <w:szCs w:val="20"/>
        </w:rPr>
        <w:t>，混凝土强度等级不宜低于</w:t>
      </w:r>
      <w:r>
        <w:rPr>
          <w:sz w:val="20"/>
          <w:szCs w:val="20"/>
        </w:rPr>
        <w:t>C20</w:t>
      </w:r>
      <w:r>
        <w:rPr>
          <w:rFonts w:hint="eastAsia" w:ascii="宋体" w:hAnsi="宋体"/>
          <w:sz w:val="20"/>
          <w:szCs w:val="20"/>
        </w:rPr>
        <w:t>。混凝土面层内应配置钢筋网和通长的加强钢筋，钢筋网宜采用</w:t>
      </w:r>
      <w:r>
        <w:rPr>
          <w:sz w:val="20"/>
          <w:szCs w:val="20"/>
        </w:rPr>
        <w:t>HPB300</w:t>
      </w:r>
      <w:r>
        <w:rPr>
          <w:rFonts w:hint="eastAsia" w:ascii="宋体" w:hAnsi="宋体"/>
          <w:sz w:val="20"/>
          <w:szCs w:val="20"/>
        </w:rPr>
        <w:t>级钢筋，钢筋直径宜为</w:t>
      </w:r>
      <w:r>
        <w:rPr>
          <w:sz w:val="20"/>
          <w:szCs w:val="20"/>
        </w:rPr>
        <w:t>6mm</w:t>
      </w:r>
      <w:r>
        <w:rPr>
          <w:rFonts w:hint="eastAsia"/>
          <w:sz w:val="20"/>
          <w:szCs w:val="20"/>
        </w:rPr>
        <w:t>～</w:t>
      </w:r>
      <w:r>
        <w:rPr>
          <w:sz w:val="20"/>
          <w:szCs w:val="20"/>
        </w:rPr>
        <w:t>10mm</w:t>
      </w:r>
      <w:r>
        <w:rPr>
          <w:rFonts w:hint="eastAsia" w:ascii="宋体" w:hAnsi="宋体"/>
          <w:sz w:val="20"/>
          <w:szCs w:val="20"/>
        </w:rPr>
        <w:t>，间距宜为</w:t>
      </w:r>
      <w:r>
        <w:rPr>
          <w:sz w:val="20"/>
          <w:szCs w:val="20"/>
        </w:rPr>
        <w:t>150mm</w:t>
      </w:r>
      <w:r>
        <w:rPr>
          <w:rFonts w:hint="eastAsia"/>
          <w:sz w:val="20"/>
          <w:szCs w:val="20"/>
        </w:rPr>
        <w:t>～</w:t>
      </w:r>
      <w:r>
        <w:rPr>
          <w:sz w:val="20"/>
          <w:szCs w:val="20"/>
        </w:rPr>
        <w:t>300mm</w:t>
      </w:r>
      <w:r>
        <w:rPr>
          <w:rFonts w:hint="eastAsia" w:ascii="宋体" w:hAnsi="宋体"/>
          <w:sz w:val="20"/>
          <w:szCs w:val="20"/>
        </w:rPr>
        <w:t>；加强钢筋的直径宜取</w:t>
      </w:r>
      <w:r>
        <w:rPr>
          <w:sz w:val="20"/>
          <w:szCs w:val="20"/>
        </w:rPr>
        <w:t>14mm</w:t>
      </w:r>
      <w:r>
        <w:rPr>
          <w:rFonts w:hint="eastAsia"/>
          <w:sz w:val="20"/>
          <w:szCs w:val="20"/>
        </w:rPr>
        <w:t>～</w:t>
      </w:r>
      <w:r>
        <w:rPr>
          <w:sz w:val="20"/>
          <w:szCs w:val="20"/>
        </w:rPr>
        <w:t>20mm</w:t>
      </w:r>
      <w:r>
        <w:rPr>
          <w:rFonts w:hint="eastAsia" w:ascii="宋体" w:hAnsi="宋体"/>
          <w:sz w:val="20"/>
          <w:szCs w:val="20"/>
        </w:rPr>
        <w:t>，当充分利用土钉杆体的抗拉强度时，加强钢筋的截面面积不应小于土钉杆体截面面积的</w:t>
      </w:r>
      <w:r>
        <w:rPr>
          <w:rFonts w:hint="eastAsia"/>
          <w:sz w:val="20"/>
          <w:szCs w:val="20"/>
        </w:rPr>
        <w:t>1/2</w:t>
      </w:r>
      <w:r>
        <w:rPr>
          <w:rFonts w:hint="eastAsia" w:ascii="宋体" w:hAnsi="宋体"/>
          <w:sz w:val="20"/>
          <w:szCs w:val="20"/>
        </w:rPr>
        <w:t>。当面层厚度大于</w:t>
      </w:r>
      <w:r>
        <w:rPr>
          <w:sz w:val="20"/>
          <w:szCs w:val="20"/>
        </w:rPr>
        <w:t>120mm</w:t>
      </w:r>
      <w:r>
        <w:rPr>
          <w:rFonts w:hint="eastAsia" w:ascii="宋体" w:hAnsi="宋体"/>
          <w:sz w:val="20"/>
          <w:szCs w:val="20"/>
        </w:rPr>
        <w:t>时，宜设置双层钢筋网；</w:t>
      </w:r>
    </w:p>
    <w:p w14:paraId="6733DF56">
      <w:pPr>
        <w:adjustRightInd w:val="0"/>
        <w:snapToGrid w:val="0"/>
        <w:spacing w:line="288" w:lineRule="auto"/>
        <w:ind w:firstLine="402" w:firstLineChars="200"/>
        <w:rPr>
          <w:rFonts w:ascii="宋体" w:hAnsi="宋体"/>
          <w:sz w:val="20"/>
          <w:szCs w:val="20"/>
        </w:rPr>
      </w:pPr>
      <w:r>
        <w:rPr>
          <w:b/>
          <w:bCs/>
          <w:sz w:val="20"/>
          <w:szCs w:val="20"/>
        </w:rPr>
        <w:t>10</w:t>
      </w:r>
      <w:r>
        <w:rPr>
          <w:rFonts w:ascii="宋体" w:hAnsi="宋体"/>
          <w:bCs/>
          <w:sz w:val="20"/>
          <w:szCs w:val="20"/>
        </w:rPr>
        <w:t xml:space="preserve"> </w:t>
      </w:r>
      <w:r>
        <w:rPr>
          <w:rFonts w:hint="eastAsia" w:ascii="宋体" w:hAnsi="宋体"/>
          <w:sz w:val="20"/>
          <w:szCs w:val="20"/>
        </w:rPr>
        <w:t>钢筋网搭接长度应大于</w:t>
      </w:r>
      <w:r>
        <w:rPr>
          <w:sz w:val="20"/>
          <w:szCs w:val="20"/>
        </w:rPr>
        <w:t>300mm</w:t>
      </w:r>
      <w:r>
        <w:rPr>
          <w:rFonts w:hint="eastAsia" w:ascii="宋体" w:hAnsi="宋体"/>
          <w:sz w:val="20"/>
          <w:szCs w:val="20"/>
        </w:rPr>
        <w:t>；</w:t>
      </w:r>
    </w:p>
    <w:p w14:paraId="2F54A3E2">
      <w:pPr>
        <w:spacing w:line="340" w:lineRule="exact"/>
        <w:ind w:firstLine="404" w:firstLineChars="201"/>
      </w:pPr>
      <w:r>
        <w:rPr>
          <w:b/>
          <w:bCs/>
          <w:sz w:val="20"/>
          <w:szCs w:val="20"/>
        </w:rPr>
        <w:t>11</w:t>
      </w:r>
      <w:r>
        <w:rPr>
          <w:rFonts w:ascii="宋体" w:hAnsi="宋体"/>
          <w:sz w:val="20"/>
          <w:szCs w:val="20"/>
        </w:rPr>
        <w:t xml:space="preserve"> </w:t>
      </w:r>
      <w:r>
        <w:rPr>
          <w:rFonts w:hint="eastAsia" w:ascii="宋体" w:hAnsi="宋体"/>
          <w:sz w:val="20"/>
          <w:szCs w:val="20"/>
        </w:rPr>
        <w:t>土钉与加强钢筋宜采用焊接连接，其连接应满足承受土钉拉力的要求</w:t>
      </w:r>
      <w:r>
        <w:rPr>
          <w:rFonts w:hint="eastAsia"/>
        </w:rPr>
        <w:t>；</w:t>
      </w:r>
    </w:p>
    <w:p w14:paraId="7FCDD55B">
      <w:pPr>
        <w:spacing w:line="340" w:lineRule="exact"/>
        <w:ind w:firstLine="404" w:firstLineChars="201"/>
        <w:rPr>
          <w:rFonts w:ascii="宋体" w:hAnsi="宋体"/>
          <w:sz w:val="20"/>
          <w:szCs w:val="20"/>
        </w:rPr>
      </w:pPr>
      <w:r>
        <w:rPr>
          <w:rFonts w:hint="eastAsia"/>
          <w:b/>
          <w:bCs/>
          <w:sz w:val="20"/>
          <w:szCs w:val="20"/>
        </w:rPr>
        <w:t>12</w:t>
      </w:r>
      <w:r>
        <w:rPr>
          <w:sz w:val="20"/>
          <w:szCs w:val="20"/>
        </w:rPr>
        <w:t xml:space="preserve"> </w:t>
      </w:r>
      <w:r>
        <w:rPr>
          <w:rFonts w:hint="eastAsia"/>
          <w:sz w:val="20"/>
          <w:szCs w:val="20"/>
        </w:rPr>
        <w:t>当采用钢管土钉时，钢管外径不宜小于4</w:t>
      </w:r>
      <w:r>
        <w:rPr>
          <w:sz w:val="20"/>
          <w:szCs w:val="20"/>
        </w:rPr>
        <w:t>8mm</w:t>
      </w:r>
      <w:r>
        <w:rPr>
          <w:rFonts w:hint="eastAsia"/>
          <w:sz w:val="20"/>
          <w:szCs w:val="20"/>
        </w:rPr>
        <w:t>，壁厚不宜小于3</w:t>
      </w:r>
      <w:r>
        <w:rPr>
          <w:sz w:val="20"/>
          <w:szCs w:val="20"/>
        </w:rPr>
        <w:t>mm</w:t>
      </w:r>
      <w:r>
        <w:rPr>
          <w:rFonts w:hint="eastAsia"/>
          <w:sz w:val="20"/>
          <w:szCs w:val="20"/>
        </w:rPr>
        <w:t>；钢管注浆孔应设置在钢管里端1/</w:t>
      </w:r>
      <w:r>
        <w:rPr>
          <w:sz w:val="20"/>
          <w:szCs w:val="20"/>
        </w:rPr>
        <w:t>2~2/3</w:t>
      </w:r>
      <w:r>
        <w:rPr>
          <w:rFonts w:hint="eastAsia"/>
          <w:sz w:val="20"/>
          <w:szCs w:val="20"/>
        </w:rPr>
        <w:t>总长范围内。注浆孔孔径宜取5</w:t>
      </w:r>
      <w:r>
        <w:rPr>
          <w:sz w:val="20"/>
          <w:szCs w:val="20"/>
        </w:rPr>
        <w:t>~8mm</w:t>
      </w:r>
      <w:r>
        <w:rPr>
          <w:rFonts w:hint="eastAsia"/>
          <w:sz w:val="20"/>
          <w:szCs w:val="20"/>
        </w:rPr>
        <w:t>，均匀对称分布。</w:t>
      </w:r>
    </w:p>
    <w:p w14:paraId="675522E5">
      <w:pPr>
        <w:adjustRightInd w:val="0"/>
        <w:snapToGrid w:val="0"/>
        <w:spacing w:line="288" w:lineRule="auto"/>
        <w:rPr>
          <w:rFonts w:ascii="宋体" w:hAnsi="宋体"/>
          <w:sz w:val="20"/>
          <w:szCs w:val="20"/>
        </w:rPr>
      </w:pPr>
      <w:r>
        <w:rPr>
          <w:b/>
          <w:kern w:val="0"/>
          <w:sz w:val="20"/>
          <w:szCs w:val="20"/>
        </w:rPr>
        <w:t>8.2.17</w:t>
      </w:r>
      <w:r>
        <w:rPr>
          <w:rFonts w:ascii="宋体" w:hAnsi="宋体"/>
          <w:bCs/>
          <w:sz w:val="20"/>
          <w:szCs w:val="20"/>
        </w:rPr>
        <w:t xml:space="preserve">  </w:t>
      </w:r>
      <w:r>
        <w:rPr>
          <w:rFonts w:hint="eastAsia" w:ascii="宋体" w:hAnsi="宋体"/>
          <w:sz w:val="20"/>
          <w:szCs w:val="20"/>
        </w:rPr>
        <w:t>当基坑开挖深度大、基坑侧壁土质差</w:t>
      </w:r>
      <w:r>
        <w:rPr>
          <w:rFonts w:hint="eastAsia"/>
          <w:sz w:val="20"/>
          <w:szCs w:val="20"/>
        </w:rPr>
        <w:t>或变形控制较严格时</w:t>
      </w:r>
      <w:r>
        <w:rPr>
          <w:rFonts w:hint="eastAsia" w:ascii="宋体" w:hAnsi="宋体"/>
          <w:sz w:val="20"/>
          <w:szCs w:val="20"/>
        </w:rPr>
        <w:t>，可在土钉支护中局部采用预应力锚杆与土钉的联合支护方法。</w:t>
      </w:r>
      <w:r>
        <w:rPr>
          <w:rFonts w:ascii="宋体" w:hAnsi="宋体"/>
          <w:sz w:val="20"/>
          <w:szCs w:val="20"/>
        </w:rPr>
        <w:t xml:space="preserve"> </w:t>
      </w:r>
    </w:p>
    <w:p w14:paraId="6BA7709B">
      <w:pPr>
        <w:adjustRightInd w:val="0"/>
        <w:snapToGrid w:val="0"/>
        <w:spacing w:line="288" w:lineRule="auto"/>
        <w:rPr>
          <w:rFonts w:ascii="宋体" w:hAnsi="宋体"/>
          <w:sz w:val="20"/>
          <w:szCs w:val="20"/>
        </w:rPr>
      </w:pPr>
      <w:r>
        <w:rPr>
          <w:b/>
          <w:kern w:val="0"/>
          <w:sz w:val="20"/>
          <w:szCs w:val="20"/>
        </w:rPr>
        <w:t>8.2.18</w:t>
      </w:r>
      <w:r>
        <w:rPr>
          <w:rFonts w:ascii="宋体" w:hAnsi="宋体"/>
          <w:bCs/>
          <w:sz w:val="20"/>
          <w:szCs w:val="20"/>
        </w:rPr>
        <w:t xml:space="preserve">  </w:t>
      </w:r>
      <w:r>
        <w:rPr>
          <w:rFonts w:hint="eastAsia" w:ascii="宋体" w:hAnsi="宋体"/>
          <w:sz w:val="20"/>
          <w:szCs w:val="20"/>
        </w:rPr>
        <w:t>局部预应力锚杆长度不宜小于按常规设计土钉长度的</w:t>
      </w:r>
      <w:r>
        <w:rPr>
          <w:sz w:val="20"/>
          <w:szCs w:val="20"/>
        </w:rPr>
        <w:t>1.35</w:t>
      </w:r>
      <w:r>
        <w:rPr>
          <w:rFonts w:hint="eastAsia" w:ascii="宋体" w:hAnsi="宋体"/>
          <w:sz w:val="20"/>
          <w:szCs w:val="20"/>
        </w:rPr>
        <w:t>倍。当设置两排及以上预应力锚杆时，其竖向间距</w:t>
      </w:r>
      <w:r>
        <w:rPr>
          <w:rFonts w:hint="eastAsia"/>
          <w:sz w:val="20"/>
          <w:szCs w:val="20"/>
        </w:rPr>
        <w:t>应</w:t>
      </w:r>
      <w:r>
        <w:rPr>
          <w:rFonts w:hint="eastAsia" w:ascii="宋体" w:hAnsi="宋体"/>
          <w:sz w:val="20"/>
          <w:szCs w:val="20"/>
        </w:rPr>
        <w:t>为原土钉间距的</w:t>
      </w:r>
      <w:r>
        <w:rPr>
          <w:sz w:val="20"/>
          <w:szCs w:val="20"/>
        </w:rPr>
        <w:t>2</w:t>
      </w:r>
      <w:r>
        <w:rPr>
          <w:rFonts w:hint="eastAsia" w:ascii="宋体" w:hAnsi="宋体"/>
          <w:sz w:val="20"/>
          <w:szCs w:val="20"/>
        </w:rPr>
        <w:t>倍</w:t>
      </w:r>
      <w:r>
        <w:rPr>
          <w:rFonts w:hint="eastAsia"/>
          <w:sz w:val="20"/>
          <w:szCs w:val="20"/>
        </w:rPr>
        <w:t>～</w:t>
      </w:r>
      <w:r>
        <w:rPr>
          <w:sz w:val="20"/>
          <w:szCs w:val="20"/>
        </w:rPr>
        <w:t>3</w:t>
      </w:r>
      <w:r>
        <w:rPr>
          <w:rFonts w:hint="eastAsia" w:ascii="宋体" w:hAnsi="宋体"/>
          <w:sz w:val="20"/>
          <w:szCs w:val="20"/>
        </w:rPr>
        <w:t>倍。</w:t>
      </w:r>
    </w:p>
    <w:p w14:paraId="5509998E">
      <w:pPr>
        <w:adjustRightInd w:val="0"/>
        <w:snapToGrid w:val="0"/>
        <w:spacing w:line="288" w:lineRule="auto"/>
        <w:rPr>
          <w:rFonts w:ascii="宋体" w:hAnsi="宋体"/>
          <w:sz w:val="20"/>
          <w:szCs w:val="20"/>
        </w:rPr>
      </w:pPr>
      <w:r>
        <w:rPr>
          <w:b/>
          <w:kern w:val="0"/>
          <w:sz w:val="20"/>
          <w:szCs w:val="20"/>
        </w:rPr>
        <w:t>8.2.19</w:t>
      </w:r>
      <w:r>
        <w:rPr>
          <w:rFonts w:ascii="宋体" w:hAnsi="宋体"/>
          <w:sz w:val="20"/>
          <w:szCs w:val="20"/>
        </w:rPr>
        <w:t xml:space="preserve"> </w:t>
      </w:r>
      <w:r>
        <w:rPr>
          <w:rFonts w:hint="eastAsia" w:ascii="宋体" w:hAnsi="宋体"/>
          <w:sz w:val="20"/>
          <w:szCs w:val="20"/>
        </w:rPr>
        <w:t xml:space="preserve"> 采用预应力锚杆复合土钉墙时，预应力锚杆应符合下列要求：</w:t>
      </w:r>
    </w:p>
    <w:p w14:paraId="4CC13C54">
      <w:pPr>
        <w:adjustRightInd w:val="0"/>
        <w:snapToGrid w:val="0"/>
        <w:spacing w:line="288" w:lineRule="auto"/>
        <w:ind w:firstLine="402" w:firstLineChars="200"/>
        <w:rPr>
          <w:rFonts w:ascii="宋体" w:hAnsi="宋体"/>
          <w:sz w:val="20"/>
          <w:szCs w:val="20"/>
        </w:rPr>
      </w:pPr>
      <w:r>
        <w:rPr>
          <w:b/>
          <w:bCs/>
          <w:sz w:val="20"/>
          <w:szCs w:val="20"/>
        </w:rPr>
        <w:t>1</w:t>
      </w:r>
      <w:r>
        <w:rPr>
          <w:rFonts w:ascii="宋体" w:hAnsi="宋体"/>
          <w:sz w:val="20"/>
          <w:szCs w:val="20"/>
        </w:rPr>
        <w:t xml:space="preserve">  </w:t>
      </w:r>
      <w:r>
        <w:rPr>
          <w:rFonts w:hint="eastAsia" w:ascii="宋体" w:hAnsi="宋体"/>
          <w:sz w:val="20"/>
          <w:szCs w:val="20"/>
        </w:rPr>
        <w:t>应采用钢绞线锚杆；</w:t>
      </w:r>
    </w:p>
    <w:p w14:paraId="2C67E8B9">
      <w:pPr>
        <w:adjustRightInd w:val="0"/>
        <w:snapToGrid w:val="0"/>
        <w:spacing w:line="288" w:lineRule="auto"/>
        <w:ind w:firstLine="402" w:firstLineChars="200"/>
        <w:rPr>
          <w:rFonts w:ascii="宋体" w:hAnsi="宋体"/>
          <w:sz w:val="20"/>
          <w:szCs w:val="20"/>
        </w:rPr>
      </w:pPr>
      <w:r>
        <w:rPr>
          <w:b/>
          <w:bCs/>
          <w:sz w:val="20"/>
          <w:szCs w:val="20"/>
        </w:rPr>
        <w:t>2</w:t>
      </w:r>
      <w:r>
        <w:rPr>
          <w:rFonts w:ascii="宋体" w:hAnsi="宋体"/>
          <w:sz w:val="20"/>
          <w:szCs w:val="20"/>
        </w:rPr>
        <w:t xml:space="preserve">  </w:t>
      </w:r>
      <w:r>
        <w:rPr>
          <w:rFonts w:hint="eastAsia" w:ascii="宋体" w:hAnsi="宋体"/>
          <w:sz w:val="20"/>
          <w:szCs w:val="20"/>
        </w:rPr>
        <w:t>当预应力锚杆用于减小地面变形时，锚杆宜布置在土钉墙的较上部位；用于增强面层抵抗土压力的作用时，锚杆应布置在土压力大及墙背土层软弱的部位；</w:t>
      </w:r>
    </w:p>
    <w:p w14:paraId="36D7F71D">
      <w:pPr>
        <w:adjustRightInd w:val="0"/>
        <w:snapToGrid w:val="0"/>
        <w:spacing w:line="288" w:lineRule="auto"/>
        <w:ind w:firstLine="402" w:firstLineChars="200"/>
        <w:rPr>
          <w:rFonts w:ascii="宋体" w:hAnsi="宋体"/>
          <w:sz w:val="20"/>
          <w:szCs w:val="20"/>
        </w:rPr>
      </w:pPr>
      <w:r>
        <w:rPr>
          <w:b/>
          <w:bCs/>
          <w:sz w:val="20"/>
          <w:szCs w:val="20"/>
        </w:rPr>
        <w:t>3</w:t>
      </w:r>
      <w:r>
        <w:rPr>
          <w:rFonts w:ascii="宋体" w:hAnsi="宋体"/>
          <w:sz w:val="20"/>
          <w:szCs w:val="20"/>
        </w:rPr>
        <w:t xml:space="preserve">  </w:t>
      </w:r>
      <w:r>
        <w:rPr>
          <w:rFonts w:hint="eastAsia" w:ascii="宋体" w:hAnsi="宋体"/>
          <w:sz w:val="20"/>
          <w:szCs w:val="20"/>
        </w:rPr>
        <w:t>锚杆的拉力设计值不应大于土钉墙墙面的局部受压承载力；</w:t>
      </w:r>
    </w:p>
    <w:p w14:paraId="0DD4D1DB">
      <w:pPr>
        <w:adjustRightInd w:val="0"/>
        <w:snapToGrid w:val="0"/>
        <w:spacing w:line="288" w:lineRule="auto"/>
        <w:ind w:firstLine="402" w:firstLineChars="200"/>
        <w:rPr>
          <w:rFonts w:ascii="宋体" w:hAnsi="宋体"/>
          <w:sz w:val="20"/>
          <w:szCs w:val="20"/>
        </w:rPr>
      </w:pPr>
      <w:r>
        <w:rPr>
          <w:b/>
          <w:bCs/>
          <w:sz w:val="20"/>
          <w:szCs w:val="20"/>
        </w:rPr>
        <w:t>4</w:t>
      </w:r>
      <w:r>
        <w:rPr>
          <w:rFonts w:ascii="宋体" w:hAnsi="宋体"/>
          <w:sz w:val="20"/>
          <w:szCs w:val="20"/>
        </w:rPr>
        <w:t xml:space="preserve">  </w:t>
      </w:r>
      <w:r>
        <w:rPr>
          <w:rFonts w:hint="eastAsia" w:ascii="宋体" w:hAnsi="宋体"/>
          <w:sz w:val="20"/>
          <w:szCs w:val="20"/>
        </w:rPr>
        <w:t>预应力锚杆自由段长度应超过土钉墙坡体的潜在滑动面；</w:t>
      </w:r>
    </w:p>
    <w:p w14:paraId="14AB7435">
      <w:pPr>
        <w:adjustRightInd w:val="0"/>
        <w:snapToGrid w:val="0"/>
        <w:spacing w:line="288" w:lineRule="auto"/>
        <w:ind w:firstLine="402" w:firstLineChars="200"/>
        <w:rPr>
          <w:rFonts w:ascii="宋体" w:hAnsi="宋体"/>
          <w:sz w:val="20"/>
          <w:szCs w:val="20"/>
        </w:rPr>
      </w:pPr>
      <w:r>
        <w:rPr>
          <w:b/>
          <w:bCs/>
          <w:sz w:val="20"/>
          <w:szCs w:val="20"/>
        </w:rPr>
        <w:t>5</w:t>
      </w:r>
      <w:r>
        <w:rPr>
          <w:rFonts w:ascii="宋体" w:hAnsi="宋体"/>
          <w:sz w:val="20"/>
          <w:szCs w:val="20"/>
        </w:rPr>
        <w:t xml:space="preserve">  </w:t>
      </w:r>
      <w:r>
        <w:rPr>
          <w:rFonts w:hint="eastAsia" w:ascii="宋体" w:hAnsi="宋体"/>
          <w:sz w:val="20"/>
          <w:szCs w:val="20"/>
        </w:rPr>
        <w:t>锚杆与土钉墙的喷射混凝土面层之间应设置腰梁连接，腰梁可采用槽钢腰梁或钢筋混凝土腰梁，腰梁与喷射混凝土面层应紧密接触，腰梁规格应根据锚杆拉力设计值确定；</w:t>
      </w:r>
    </w:p>
    <w:p w14:paraId="4C66A281">
      <w:pPr>
        <w:adjustRightInd w:val="0"/>
        <w:snapToGrid w:val="0"/>
        <w:spacing w:line="288" w:lineRule="auto"/>
        <w:ind w:firstLine="402" w:firstLineChars="200"/>
        <w:rPr>
          <w:rFonts w:ascii="宋体" w:hAnsi="宋体"/>
          <w:sz w:val="20"/>
          <w:szCs w:val="20"/>
        </w:rPr>
      </w:pPr>
      <w:r>
        <w:rPr>
          <w:b/>
          <w:bCs/>
          <w:sz w:val="20"/>
          <w:szCs w:val="20"/>
        </w:rPr>
        <w:t>6</w:t>
      </w:r>
      <w:r>
        <w:rPr>
          <w:rFonts w:ascii="宋体" w:hAnsi="宋体"/>
          <w:sz w:val="20"/>
          <w:szCs w:val="20"/>
        </w:rPr>
        <w:t xml:space="preserve">  </w:t>
      </w:r>
      <w:r>
        <w:rPr>
          <w:rFonts w:hint="eastAsia" w:ascii="宋体" w:hAnsi="宋体"/>
          <w:sz w:val="20"/>
          <w:szCs w:val="20"/>
        </w:rPr>
        <w:t>除应符合上述规定外，锚杆的构造尚应符合本规程第</w:t>
      </w:r>
      <w:r>
        <w:rPr>
          <w:sz w:val="20"/>
          <w:szCs w:val="20"/>
        </w:rPr>
        <w:t>7.</w:t>
      </w:r>
      <w:r>
        <w:rPr>
          <w:rFonts w:hint="eastAsia"/>
          <w:sz w:val="20"/>
          <w:szCs w:val="20"/>
        </w:rPr>
        <w:t>7</w:t>
      </w:r>
      <w:r>
        <w:rPr>
          <w:rFonts w:hint="eastAsia" w:ascii="宋体" w:hAnsi="宋体"/>
          <w:sz w:val="20"/>
          <w:szCs w:val="20"/>
        </w:rPr>
        <w:t>节有关构造的规定。</w:t>
      </w:r>
    </w:p>
    <w:p w14:paraId="447B4CB1">
      <w:pPr>
        <w:adjustRightInd w:val="0"/>
        <w:snapToGrid w:val="0"/>
        <w:spacing w:line="288" w:lineRule="auto"/>
        <w:rPr>
          <w:rFonts w:ascii="宋体" w:hAnsi="宋体"/>
          <w:sz w:val="20"/>
          <w:szCs w:val="20"/>
        </w:rPr>
      </w:pPr>
      <w:r>
        <w:rPr>
          <w:b/>
          <w:kern w:val="0"/>
          <w:sz w:val="20"/>
          <w:szCs w:val="20"/>
        </w:rPr>
        <w:t>8.2.20</w:t>
      </w:r>
      <w:r>
        <w:rPr>
          <w:rFonts w:ascii="宋体" w:hAnsi="宋体"/>
          <w:bCs/>
          <w:sz w:val="20"/>
          <w:szCs w:val="20"/>
        </w:rPr>
        <w:t xml:space="preserve">  </w:t>
      </w:r>
      <w:r>
        <w:rPr>
          <w:rFonts w:hint="eastAsia" w:ascii="宋体" w:hAnsi="宋体"/>
          <w:sz w:val="20"/>
          <w:szCs w:val="20"/>
        </w:rPr>
        <w:t>当基坑侧壁由于土质差、侧壁土坡自稳性差时，可采用超前微型桩局部补强。</w:t>
      </w:r>
    </w:p>
    <w:p w14:paraId="345F74A6">
      <w:pPr>
        <w:adjustRightInd w:val="0"/>
        <w:snapToGrid w:val="0"/>
        <w:spacing w:line="288" w:lineRule="auto"/>
        <w:rPr>
          <w:rFonts w:ascii="宋体" w:hAnsi="宋体"/>
          <w:sz w:val="20"/>
          <w:szCs w:val="20"/>
        </w:rPr>
      </w:pPr>
      <w:r>
        <w:rPr>
          <w:b/>
          <w:kern w:val="0"/>
          <w:sz w:val="20"/>
          <w:szCs w:val="20"/>
        </w:rPr>
        <w:t>8.2.21</w:t>
      </w:r>
      <w:r>
        <w:rPr>
          <w:b/>
          <w:bCs/>
          <w:sz w:val="20"/>
          <w:szCs w:val="20"/>
        </w:rPr>
        <w:t xml:space="preserve"> </w:t>
      </w:r>
      <w:r>
        <w:rPr>
          <w:rFonts w:ascii="宋体" w:hAnsi="宋体"/>
          <w:bCs/>
          <w:sz w:val="20"/>
          <w:szCs w:val="20"/>
        </w:rPr>
        <w:t xml:space="preserve"> </w:t>
      </w:r>
      <w:r>
        <w:rPr>
          <w:rFonts w:hint="eastAsia" w:ascii="宋体" w:hAnsi="宋体"/>
          <w:sz w:val="20"/>
          <w:szCs w:val="20"/>
        </w:rPr>
        <w:t>超前微型桩的直径宜取</w:t>
      </w:r>
      <w:r>
        <w:rPr>
          <w:sz w:val="20"/>
          <w:szCs w:val="20"/>
        </w:rPr>
        <w:t>108mm</w:t>
      </w:r>
      <w:r>
        <w:rPr>
          <w:rFonts w:hint="eastAsia"/>
          <w:sz w:val="20"/>
          <w:szCs w:val="20"/>
        </w:rPr>
        <w:t>～</w:t>
      </w:r>
      <w:r>
        <w:rPr>
          <w:sz w:val="20"/>
          <w:szCs w:val="20"/>
        </w:rPr>
        <w:t>150mm</w:t>
      </w:r>
      <w:r>
        <w:rPr>
          <w:rFonts w:hint="eastAsia" w:ascii="宋体" w:hAnsi="宋体"/>
          <w:sz w:val="20"/>
          <w:szCs w:val="20"/>
        </w:rPr>
        <w:t>，间距宜为</w:t>
      </w:r>
      <w:r>
        <w:rPr>
          <w:sz w:val="20"/>
          <w:szCs w:val="20"/>
        </w:rPr>
        <w:t>500mm</w:t>
      </w:r>
      <w:r>
        <w:rPr>
          <w:rFonts w:hint="eastAsia"/>
          <w:sz w:val="20"/>
          <w:szCs w:val="20"/>
        </w:rPr>
        <w:t>～</w:t>
      </w:r>
      <w:r>
        <w:rPr>
          <w:sz w:val="20"/>
          <w:szCs w:val="20"/>
        </w:rPr>
        <w:t>1000 mm</w:t>
      </w:r>
      <w:r>
        <w:rPr>
          <w:rFonts w:hint="eastAsia" w:ascii="宋体" w:hAnsi="宋体"/>
          <w:sz w:val="20"/>
          <w:szCs w:val="20"/>
        </w:rPr>
        <w:t>。</w:t>
      </w:r>
    </w:p>
    <w:p w14:paraId="53F75A8B">
      <w:pPr>
        <w:adjustRightInd w:val="0"/>
        <w:snapToGrid w:val="0"/>
        <w:spacing w:line="288" w:lineRule="auto"/>
        <w:rPr>
          <w:rFonts w:ascii="宋体" w:hAnsi="宋体"/>
          <w:sz w:val="20"/>
          <w:szCs w:val="20"/>
        </w:rPr>
      </w:pPr>
      <w:r>
        <w:rPr>
          <w:b/>
          <w:kern w:val="0"/>
          <w:sz w:val="20"/>
          <w:szCs w:val="20"/>
        </w:rPr>
        <w:t>8.2.22</w:t>
      </w:r>
      <w:r>
        <w:rPr>
          <w:rFonts w:hint="eastAsia" w:ascii="宋体" w:hAnsi="宋体"/>
          <w:sz w:val="20"/>
          <w:szCs w:val="20"/>
        </w:rPr>
        <w:t xml:space="preserve">  钢筋网</w:t>
      </w:r>
      <w:r>
        <w:rPr>
          <w:sz w:val="20"/>
          <w:szCs w:val="20"/>
        </w:rPr>
        <w:t>混凝土面层宜伸入坡</w:t>
      </w:r>
      <w:r>
        <w:rPr>
          <w:rFonts w:hint="eastAsia"/>
          <w:sz w:val="20"/>
          <w:szCs w:val="20"/>
        </w:rPr>
        <w:t>底</w:t>
      </w:r>
      <w:r>
        <w:rPr>
          <w:sz w:val="20"/>
          <w:szCs w:val="20"/>
        </w:rPr>
        <w:t>以下</w:t>
      </w:r>
      <w:r>
        <w:rPr>
          <w:rFonts w:hint="eastAsia"/>
          <w:sz w:val="20"/>
          <w:szCs w:val="20"/>
        </w:rPr>
        <w:t>不小于10</w:t>
      </w:r>
      <w:r>
        <w:rPr>
          <w:sz w:val="20"/>
          <w:szCs w:val="20"/>
        </w:rPr>
        <w:t>0</w:t>
      </w:r>
      <w:r>
        <w:rPr>
          <w:rFonts w:hint="eastAsia"/>
          <w:sz w:val="20"/>
          <w:szCs w:val="20"/>
        </w:rPr>
        <w:t>mm。</w:t>
      </w:r>
    </w:p>
    <w:p w14:paraId="4B0F32B5">
      <w:pPr>
        <w:adjustRightInd w:val="0"/>
        <w:snapToGrid w:val="0"/>
        <w:spacing w:line="288" w:lineRule="auto"/>
        <w:rPr>
          <w:rFonts w:ascii="宋体" w:hAnsi="宋体"/>
          <w:sz w:val="20"/>
          <w:szCs w:val="20"/>
        </w:rPr>
      </w:pPr>
      <w:r>
        <w:rPr>
          <w:b/>
          <w:kern w:val="0"/>
          <w:sz w:val="20"/>
          <w:szCs w:val="20"/>
        </w:rPr>
        <w:t>8.2.23</w:t>
      </w:r>
      <w:r>
        <w:rPr>
          <w:rFonts w:ascii="宋体" w:hAnsi="宋体"/>
          <w:sz w:val="20"/>
          <w:szCs w:val="20"/>
        </w:rPr>
        <w:t xml:space="preserve">  </w:t>
      </w:r>
      <w:r>
        <w:rPr>
          <w:rFonts w:hint="eastAsia" w:ascii="宋体" w:hAnsi="宋体"/>
          <w:sz w:val="20"/>
          <w:szCs w:val="20"/>
        </w:rPr>
        <w:t>采用微型桩垂直复合土钉墙时，微型桩应符合下列要求：</w:t>
      </w:r>
    </w:p>
    <w:p w14:paraId="042594E1">
      <w:pPr>
        <w:adjustRightInd w:val="0"/>
        <w:snapToGrid w:val="0"/>
        <w:spacing w:line="288" w:lineRule="auto"/>
        <w:ind w:firstLine="402" w:firstLineChars="200"/>
        <w:rPr>
          <w:rFonts w:ascii="宋体" w:hAnsi="宋体"/>
          <w:sz w:val="20"/>
          <w:szCs w:val="20"/>
        </w:rPr>
      </w:pPr>
      <w:r>
        <w:rPr>
          <w:b/>
          <w:bCs/>
          <w:sz w:val="20"/>
          <w:szCs w:val="20"/>
        </w:rPr>
        <w:t>1</w:t>
      </w:r>
      <w:r>
        <w:rPr>
          <w:rFonts w:ascii="宋体" w:hAnsi="宋体"/>
          <w:sz w:val="20"/>
          <w:szCs w:val="20"/>
        </w:rPr>
        <w:t xml:space="preserve">  </w:t>
      </w:r>
      <w:r>
        <w:rPr>
          <w:rFonts w:hint="eastAsia" w:ascii="宋体" w:hAnsi="宋体"/>
          <w:sz w:val="20"/>
          <w:szCs w:val="20"/>
        </w:rPr>
        <w:t>应根据微型桩施工工艺对土层特性和基坑周边环境条件的适用性选用微型钢管桩、型钢桩</w:t>
      </w:r>
      <w:r>
        <w:rPr>
          <w:rFonts w:hint="eastAsia"/>
          <w:sz w:val="20"/>
          <w:szCs w:val="20"/>
        </w:rPr>
        <w:t>、预制混凝土桩</w:t>
      </w:r>
      <w:r>
        <w:rPr>
          <w:rFonts w:hint="eastAsia" w:ascii="宋体" w:hAnsi="宋体"/>
          <w:sz w:val="20"/>
          <w:szCs w:val="20"/>
        </w:rPr>
        <w:t>或灌注桩等桩型；</w:t>
      </w:r>
    </w:p>
    <w:p w14:paraId="54F18B38">
      <w:pPr>
        <w:adjustRightInd w:val="0"/>
        <w:snapToGrid w:val="0"/>
        <w:spacing w:line="288" w:lineRule="auto"/>
        <w:ind w:firstLine="402" w:firstLineChars="200"/>
        <w:rPr>
          <w:rFonts w:ascii="宋体" w:hAnsi="宋体"/>
          <w:sz w:val="20"/>
          <w:szCs w:val="20"/>
        </w:rPr>
      </w:pPr>
      <w:r>
        <w:rPr>
          <w:b/>
          <w:bCs/>
          <w:sz w:val="20"/>
          <w:szCs w:val="20"/>
        </w:rPr>
        <w:t>2</w:t>
      </w:r>
      <w:r>
        <w:rPr>
          <w:rFonts w:ascii="宋体" w:hAnsi="宋体"/>
          <w:sz w:val="20"/>
          <w:szCs w:val="20"/>
        </w:rPr>
        <w:t xml:space="preserve">  </w:t>
      </w:r>
      <w:r>
        <w:rPr>
          <w:rFonts w:hint="eastAsia" w:ascii="宋体" w:hAnsi="宋体"/>
          <w:sz w:val="20"/>
          <w:szCs w:val="20"/>
        </w:rPr>
        <w:t>采用微型桩时，宜同时采用预应力锚杆；</w:t>
      </w:r>
    </w:p>
    <w:p w14:paraId="7FBA136D">
      <w:pPr>
        <w:adjustRightInd w:val="0"/>
        <w:snapToGrid w:val="0"/>
        <w:spacing w:line="288" w:lineRule="auto"/>
        <w:ind w:firstLine="402" w:firstLineChars="200"/>
        <w:rPr>
          <w:rFonts w:ascii="宋体" w:hAnsi="宋体"/>
          <w:sz w:val="20"/>
          <w:szCs w:val="20"/>
          <w:u w:val="single"/>
        </w:rPr>
      </w:pPr>
      <w:r>
        <w:rPr>
          <w:b/>
          <w:bCs/>
          <w:sz w:val="20"/>
          <w:szCs w:val="20"/>
        </w:rPr>
        <w:t xml:space="preserve">3  </w:t>
      </w:r>
      <w:r>
        <w:rPr>
          <w:rFonts w:hint="eastAsia" w:ascii="宋体" w:hAnsi="宋体"/>
          <w:sz w:val="20"/>
          <w:szCs w:val="20"/>
        </w:rPr>
        <w:t>微型桩的直径、规格应根据对复合墙面的强度要求确定；采用成孔后插入微型钢管桩、型钢桩的工艺时，成孔直径宜取</w:t>
      </w:r>
      <w:r>
        <w:rPr>
          <w:sz w:val="20"/>
          <w:szCs w:val="20"/>
        </w:rPr>
        <w:t>130mm</w:t>
      </w:r>
      <w:r>
        <w:rPr>
          <w:rFonts w:hint="eastAsia"/>
          <w:sz w:val="20"/>
          <w:szCs w:val="20"/>
        </w:rPr>
        <w:t>～</w:t>
      </w:r>
      <w:r>
        <w:rPr>
          <w:sz w:val="20"/>
          <w:szCs w:val="20"/>
        </w:rPr>
        <w:t>300mm</w:t>
      </w:r>
      <w:r>
        <w:rPr>
          <w:rFonts w:hint="eastAsia" w:ascii="宋体" w:hAnsi="宋体"/>
          <w:sz w:val="20"/>
          <w:szCs w:val="20"/>
        </w:rPr>
        <w:t>，对钢管，其直径宜取</w:t>
      </w:r>
      <w:r>
        <w:rPr>
          <w:sz w:val="20"/>
          <w:szCs w:val="20"/>
        </w:rPr>
        <w:t>48mm</w:t>
      </w:r>
      <w:r>
        <w:rPr>
          <w:rFonts w:hint="eastAsia"/>
          <w:sz w:val="20"/>
          <w:szCs w:val="20"/>
        </w:rPr>
        <w:t>～</w:t>
      </w:r>
      <w:r>
        <w:rPr>
          <w:sz w:val="20"/>
          <w:szCs w:val="20"/>
        </w:rPr>
        <w:t>250mm</w:t>
      </w:r>
      <w:r>
        <w:rPr>
          <w:rFonts w:hint="eastAsia" w:ascii="宋体" w:hAnsi="宋体"/>
          <w:sz w:val="20"/>
          <w:szCs w:val="20"/>
        </w:rPr>
        <w:t>，对工字钢，其型号宜取</w:t>
      </w:r>
      <w:r>
        <w:rPr>
          <w:rFonts w:hint="eastAsia"/>
          <w:sz w:val="20"/>
          <w:szCs w:val="20"/>
        </w:rPr>
        <w:t>Ⅰ</w:t>
      </w:r>
      <w:r>
        <w:rPr>
          <w:sz w:val="20"/>
          <w:szCs w:val="20"/>
        </w:rPr>
        <w:t>10</w:t>
      </w:r>
      <w:r>
        <w:rPr>
          <w:rFonts w:hint="eastAsia"/>
          <w:sz w:val="20"/>
          <w:szCs w:val="20"/>
        </w:rPr>
        <w:t>～Ⅰ</w:t>
      </w:r>
      <w:r>
        <w:rPr>
          <w:sz w:val="20"/>
          <w:szCs w:val="20"/>
        </w:rPr>
        <w:t>22</w:t>
      </w:r>
      <w:r>
        <w:rPr>
          <w:rFonts w:hint="eastAsia" w:ascii="宋体" w:hAnsi="宋体"/>
          <w:sz w:val="20"/>
          <w:szCs w:val="20"/>
        </w:rPr>
        <w:t>；孔内应灌注水泥浆或水泥砂浆并充填密实；采用微型混凝土桩时，其直径宜取</w:t>
      </w:r>
      <w:r>
        <w:rPr>
          <w:sz w:val="20"/>
          <w:szCs w:val="20"/>
        </w:rPr>
        <w:t>200mm</w:t>
      </w:r>
      <w:r>
        <w:rPr>
          <w:rFonts w:hint="eastAsia"/>
          <w:sz w:val="20"/>
          <w:szCs w:val="20"/>
        </w:rPr>
        <w:t>～</w:t>
      </w:r>
      <w:r>
        <w:rPr>
          <w:sz w:val="20"/>
          <w:szCs w:val="20"/>
        </w:rPr>
        <w:t>300mm</w:t>
      </w:r>
      <w:r>
        <w:rPr>
          <w:rFonts w:hint="eastAsia" w:ascii="宋体" w:hAnsi="宋体"/>
          <w:sz w:val="20"/>
          <w:szCs w:val="20"/>
        </w:rPr>
        <w:t>；</w:t>
      </w:r>
    </w:p>
    <w:p w14:paraId="0E1FB0C8">
      <w:pPr>
        <w:adjustRightInd w:val="0"/>
        <w:snapToGrid w:val="0"/>
        <w:spacing w:line="288" w:lineRule="auto"/>
        <w:ind w:firstLine="402" w:firstLineChars="200"/>
        <w:rPr>
          <w:rFonts w:ascii="宋体" w:hAnsi="宋体"/>
          <w:sz w:val="20"/>
          <w:szCs w:val="20"/>
        </w:rPr>
      </w:pPr>
      <w:r>
        <w:rPr>
          <w:b/>
          <w:bCs/>
          <w:sz w:val="20"/>
          <w:szCs w:val="20"/>
        </w:rPr>
        <w:t>4</w:t>
      </w:r>
      <w:r>
        <w:rPr>
          <w:rFonts w:ascii="宋体" w:hAnsi="宋体"/>
          <w:sz w:val="20"/>
          <w:szCs w:val="20"/>
        </w:rPr>
        <w:t xml:space="preserve">  </w:t>
      </w:r>
      <w:r>
        <w:rPr>
          <w:rFonts w:hint="eastAsia" w:ascii="宋体" w:hAnsi="宋体"/>
          <w:sz w:val="20"/>
          <w:szCs w:val="20"/>
        </w:rPr>
        <w:t>微型桩的间距应满足土钉墙施工时桩间土的稳定性要求；</w:t>
      </w:r>
    </w:p>
    <w:p w14:paraId="447A0E3E">
      <w:pPr>
        <w:adjustRightInd w:val="0"/>
        <w:snapToGrid w:val="0"/>
        <w:spacing w:line="288" w:lineRule="auto"/>
        <w:ind w:firstLine="402" w:firstLineChars="200"/>
        <w:rPr>
          <w:rFonts w:ascii="宋体" w:hAnsi="宋体"/>
          <w:sz w:val="20"/>
          <w:szCs w:val="20"/>
        </w:rPr>
      </w:pPr>
      <w:r>
        <w:rPr>
          <w:b/>
          <w:bCs/>
          <w:sz w:val="20"/>
          <w:szCs w:val="20"/>
        </w:rPr>
        <w:t>5</w:t>
      </w:r>
      <w:r>
        <w:rPr>
          <w:rFonts w:ascii="宋体" w:hAnsi="宋体"/>
          <w:sz w:val="20"/>
          <w:szCs w:val="20"/>
        </w:rPr>
        <w:t xml:space="preserve">  </w:t>
      </w:r>
      <w:r>
        <w:rPr>
          <w:rFonts w:hint="eastAsia" w:ascii="宋体" w:hAnsi="宋体"/>
          <w:sz w:val="20"/>
          <w:szCs w:val="20"/>
        </w:rPr>
        <w:t>微型桩伸入基坑底面的长度宜大于桩径的</w:t>
      </w:r>
      <w:r>
        <w:rPr>
          <w:sz w:val="20"/>
          <w:szCs w:val="20"/>
        </w:rPr>
        <w:t>5</w:t>
      </w:r>
      <w:r>
        <w:rPr>
          <w:rFonts w:hint="eastAsia" w:ascii="宋体" w:hAnsi="宋体"/>
          <w:sz w:val="20"/>
          <w:szCs w:val="20"/>
        </w:rPr>
        <w:t>倍，且不应小于</w:t>
      </w:r>
      <w:r>
        <w:rPr>
          <w:sz w:val="20"/>
          <w:szCs w:val="20"/>
        </w:rPr>
        <w:t>1m</w:t>
      </w:r>
      <w:r>
        <w:rPr>
          <w:rFonts w:hint="eastAsia" w:ascii="宋体" w:hAnsi="宋体"/>
          <w:sz w:val="20"/>
          <w:szCs w:val="20"/>
        </w:rPr>
        <w:t>；</w:t>
      </w:r>
    </w:p>
    <w:p w14:paraId="41EF3756">
      <w:pPr>
        <w:adjustRightInd w:val="0"/>
        <w:snapToGrid w:val="0"/>
        <w:spacing w:line="288" w:lineRule="auto"/>
        <w:ind w:firstLine="402" w:firstLineChars="200"/>
        <w:rPr>
          <w:rFonts w:ascii="宋体" w:hAnsi="宋体"/>
          <w:sz w:val="20"/>
          <w:szCs w:val="20"/>
        </w:rPr>
      </w:pPr>
      <w:r>
        <w:rPr>
          <w:b/>
          <w:bCs/>
          <w:sz w:val="20"/>
          <w:szCs w:val="20"/>
        </w:rPr>
        <w:t>6</w:t>
      </w:r>
      <w:r>
        <w:rPr>
          <w:rFonts w:ascii="宋体" w:hAnsi="宋体"/>
          <w:sz w:val="20"/>
          <w:szCs w:val="20"/>
        </w:rPr>
        <w:t xml:space="preserve">  </w:t>
      </w:r>
      <w:r>
        <w:rPr>
          <w:rFonts w:hint="eastAsia" w:ascii="宋体" w:hAnsi="宋体"/>
          <w:sz w:val="20"/>
          <w:szCs w:val="20"/>
        </w:rPr>
        <w:t>微型桩宜与喷射混凝土面层贴合。</w:t>
      </w:r>
    </w:p>
    <w:p w14:paraId="61D40633">
      <w:pPr>
        <w:adjustRightInd w:val="0"/>
        <w:snapToGrid w:val="0"/>
        <w:spacing w:line="288" w:lineRule="auto"/>
        <w:rPr>
          <w:rFonts w:ascii="宋体" w:hAnsi="宋体"/>
          <w:sz w:val="20"/>
          <w:szCs w:val="20"/>
        </w:rPr>
      </w:pPr>
      <w:r>
        <w:rPr>
          <w:b/>
          <w:kern w:val="0"/>
          <w:sz w:val="20"/>
          <w:szCs w:val="20"/>
        </w:rPr>
        <w:t>8.2.24</w:t>
      </w:r>
      <w:r>
        <w:rPr>
          <w:rFonts w:hint="eastAsia" w:ascii="宋体" w:hAnsi="宋体"/>
          <w:sz w:val="20"/>
          <w:szCs w:val="20"/>
        </w:rPr>
        <w:t xml:space="preserve">  采用水泥土桩复合土钉墙时，水泥土桩应符合下列要求：</w:t>
      </w:r>
    </w:p>
    <w:p w14:paraId="58A8ACF1">
      <w:pPr>
        <w:adjustRightInd w:val="0"/>
        <w:snapToGrid w:val="0"/>
        <w:spacing w:line="288" w:lineRule="auto"/>
        <w:ind w:firstLine="402" w:firstLineChars="200"/>
        <w:rPr>
          <w:rFonts w:ascii="宋体" w:hAnsi="宋体"/>
          <w:sz w:val="20"/>
          <w:szCs w:val="20"/>
        </w:rPr>
      </w:pPr>
      <w:r>
        <w:rPr>
          <w:b/>
          <w:bCs/>
          <w:sz w:val="20"/>
          <w:szCs w:val="20"/>
        </w:rPr>
        <w:t>1</w:t>
      </w:r>
      <w:r>
        <w:rPr>
          <w:rFonts w:ascii="宋体" w:hAnsi="宋体"/>
          <w:sz w:val="20"/>
          <w:szCs w:val="20"/>
        </w:rPr>
        <w:t xml:space="preserve">  </w:t>
      </w:r>
      <w:r>
        <w:rPr>
          <w:rFonts w:hint="eastAsia" w:ascii="宋体" w:hAnsi="宋体"/>
          <w:sz w:val="20"/>
          <w:szCs w:val="20"/>
        </w:rPr>
        <w:t>应根据水泥土桩施工工艺对土层特性和基坑周边环境条件的适用性选用搅拌桩、旋喷桩等桩型；</w:t>
      </w:r>
    </w:p>
    <w:p w14:paraId="1CF5C926">
      <w:pPr>
        <w:adjustRightInd w:val="0"/>
        <w:snapToGrid w:val="0"/>
        <w:spacing w:line="288" w:lineRule="auto"/>
        <w:ind w:firstLine="402" w:firstLineChars="200"/>
        <w:rPr>
          <w:rFonts w:ascii="宋体" w:hAnsi="宋体"/>
          <w:sz w:val="20"/>
          <w:szCs w:val="20"/>
        </w:rPr>
      </w:pPr>
      <w:r>
        <w:rPr>
          <w:b/>
          <w:bCs/>
          <w:sz w:val="20"/>
          <w:szCs w:val="20"/>
        </w:rPr>
        <w:t>2</w:t>
      </w:r>
      <w:r>
        <w:rPr>
          <w:rFonts w:ascii="宋体" w:hAnsi="宋体"/>
          <w:sz w:val="20"/>
          <w:szCs w:val="20"/>
        </w:rPr>
        <w:t xml:space="preserve">  </w:t>
      </w:r>
      <w:r>
        <w:rPr>
          <w:rFonts w:hint="eastAsia" w:ascii="宋体" w:hAnsi="宋体"/>
          <w:sz w:val="20"/>
          <w:szCs w:val="20"/>
        </w:rPr>
        <w:t>伸入基坑底面的长度宜大于桩径的</w:t>
      </w:r>
      <w:r>
        <w:rPr>
          <w:sz w:val="20"/>
          <w:szCs w:val="20"/>
        </w:rPr>
        <w:t>2</w:t>
      </w:r>
      <w:r>
        <w:rPr>
          <w:rFonts w:hint="eastAsia" w:ascii="宋体" w:hAnsi="宋体"/>
          <w:sz w:val="20"/>
          <w:szCs w:val="20"/>
        </w:rPr>
        <w:t>倍，且不应小于</w:t>
      </w:r>
      <w:r>
        <w:rPr>
          <w:sz w:val="20"/>
          <w:szCs w:val="20"/>
        </w:rPr>
        <w:t>1m</w:t>
      </w:r>
      <w:r>
        <w:rPr>
          <w:rFonts w:hint="eastAsia" w:ascii="宋体" w:hAnsi="宋体"/>
          <w:sz w:val="20"/>
          <w:szCs w:val="20"/>
        </w:rPr>
        <w:t>；</w:t>
      </w:r>
    </w:p>
    <w:p w14:paraId="6F5F6B2C">
      <w:pPr>
        <w:adjustRightInd w:val="0"/>
        <w:snapToGrid w:val="0"/>
        <w:spacing w:line="288" w:lineRule="auto"/>
        <w:ind w:firstLine="402" w:firstLineChars="200"/>
        <w:rPr>
          <w:rFonts w:ascii="宋体" w:hAnsi="宋体"/>
          <w:sz w:val="20"/>
          <w:szCs w:val="20"/>
        </w:rPr>
      </w:pPr>
      <w:r>
        <w:rPr>
          <w:b/>
          <w:bCs/>
          <w:sz w:val="20"/>
          <w:szCs w:val="20"/>
        </w:rPr>
        <w:t>3</w:t>
      </w:r>
      <w:r>
        <w:rPr>
          <w:rFonts w:ascii="宋体" w:hAnsi="宋体"/>
          <w:sz w:val="20"/>
          <w:szCs w:val="20"/>
        </w:rPr>
        <w:t xml:space="preserve">  </w:t>
      </w:r>
      <w:r>
        <w:rPr>
          <w:rFonts w:hint="eastAsia" w:ascii="宋体" w:hAnsi="宋体"/>
          <w:sz w:val="20"/>
          <w:szCs w:val="20"/>
        </w:rPr>
        <w:t>水泥土桩应与喷射混凝土面层贴合；</w:t>
      </w:r>
    </w:p>
    <w:p w14:paraId="081CE075">
      <w:pPr>
        <w:adjustRightInd w:val="0"/>
        <w:snapToGrid w:val="0"/>
        <w:spacing w:line="288" w:lineRule="auto"/>
        <w:ind w:firstLine="402" w:firstLineChars="200"/>
        <w:rPr>
          <w:rFonts w:ascii="宋体" w:hAnsi="宋体"/>
          <w:sz w:val="20"/>
          <w:szCs w:val="20"/>
        </w:rPr>
      </w:pPr>
      <w:r>
        <w:rPr>
          <w:b/>
          <w:bCs/>
          <w:sz w:val="20"/>
          <w:szCs w:val="20"/>
        </w:rPr>
        <w:t>4</w:t>
      </w:r>
      <w:r>
        <w:rPr>
          <w:rFonts w:ascii="宋体" w:hAnsi="宋体"/>
          <w:sz w:val="20"/>
          <w:szCs w:val="20"/>
        </w:rPr>
        <w:t xml:space="preserve">  </w:t>
      </w:r>
      <w:r>
        <w:rPr>
          <w:rFonts w:hint="eastAsia" w:ascii="宋体" w:hAnsi="宋体"/>
          <w:sz w:val="20"/>
          <w:szCs w:val="20"/>
        </w:rPr>
        <w:t>桩身</w:t>
      </w:r>
      <w:r>
        <w:rPr>
          <w:sz w:val="20"/>
          <w:szCs w:val="20"/>
        </w:rPr>
        <w:t>28d</w:t>
      </w:r>
      <w:r>
        <w:rPr>
          <w:rFonts w:hint="eastAsia" w:ascii="宋体" w:hAnsi="宋体"/>
          <w:sz w:val="20"/>
          <w:szCs w:val="20"/>
        </w:rPr>
        <w:t>无侧限抗压强度不宜小于</w:t>
      </w:r>
      <w:r>
        <w:rPr>
          <w:sz w:val="20"/>
          <w:szCs w:val="20"/>
        </w:rPr>
        <w:t>1MPa</w:t>
      </w:r>
      <w:r>
        <w:rPr>
          <w:rFonts w:hint="eastAsia" w:ascii="宋体" w:hAnsi="宋体"/>
          <w:sz w:val="20"/>
          <w:szCs w:val="20"/>
        </w:rPr>
        <w:t>；</w:t>
      </w:r>
    </w:p>
    <w:p w14:paraId="5B27DB57">
      <w:pPr>
        <w:adjustRightInd w:val="0"/>
        <w:snapToGrid w:val="0"/>
        <w:spacing w:line="288" w:lineRule="auto"/>
        <w:ind w:firstLine="402" w:firstLineChars="200"/>
        <w:rPr>
          <w:sz w:val="20"/>
          <w:szCs w:val="20"/>
        </w:rPr>
      </w:pPr>
      <w:r>
        <w:rPr>
          <w:b/>
          <w:bCs/>
          <w:sz w:val="20"/>
          <w:szCs w:val="20"/>
        </w:rPr>
        <w:t>5</w:t>
      </w:r>
      <w:r>
        <w:rPr>
          <w:rFonts w:ascii="宋体" w:hAnsi="宋体"/>
          <w:sz w:val="20"/>
          <w:szCs w:val="20"/>
        </w:rPr>
        <w:t xml:space="preserve">  </w:t>
      </w:r>
      <w:r>
        <w:rPr>
          <w:rFonts w:hint="eastAsia" w:ascii="宋体" w:hAnsi="宋体"/>
          <w:sz w:val="20"/>
          <w:szCs w:val="20"/>
        </w:rPr>
        <w:t>水泥土桩兼作截水帷幕时，应符合本规程第</w:t>
      </w:r>
      <w:r>
        <w:rPr>
          <w:sz w:val="20"/>
          <w:szCs w:val="20"/>
        </w:rPr>
        <w:t>5.</w:t>
      </w:r>
      <w:r>
        <w:rPr>
          <w:rFonts w:hint="eastAsia"/>
          <w:sz w:val="20"/>
          <w:szCs w:val="20"/>
        </w:rPr>
        <w:t>2</w:t>
      </w:r>
      <w:r>
        <w:rPr>
          <w:rFonts w:hint="eastAsia" w:ascii="宋体" w:hAnsi="宋体"/>
          <w:sz w:val="20"/>
          <w:szCs w:val="20"/>
        </w:rPr>
        <w:t>节对截水的要求。</w:t>
      </w:r>
      <w:bookmarkStart w:id="97" w:name="_Toc468104717"/>
    </w:p>
    <w:p w14:paraId="2E65A0EF">
      <w:pPr>
        <w:pStyle w:val="7"/>
        <w:keepNext w:val="0"/>
        <w:keepLines w:val="0"/>
        <w:adjustRightInd w:val="0"/>
        <w:snapToGrid w:val="0"/>
        <w:spacing w:before="312" w:beforeLines="100" w:after="312" w:afterLines="100" w:line="288" w:lineRule="auto"/>
        <w:jc w:val="center"/>
        <w:rPr>
          <w:rFonts w:ascii="宋体" w:hAnsi="宋体"/>
          <w:b w:val="0"/>
          <w:sz w:val="20"/>
          <w:szCs w:val="20"/>
        </w:rPr>
      </w:pPr>
      <w:bookmarkStart w:id="98" w:name="_Toc139613737"/>
      <w:r>
        <w:rPr>
          <w:sz w:val="20"/>
          <w:szCs w:val="20"/>
        </w:rPr>
        <w:t xml:space="preserve">8.3  </w:t>
      </w:r>
      <w:r>
        <w:rPr>
          <w:rFonts w:hint="eastAsia" w:ascii="黑体" w:hAnsi="黑体" w:eastAsia="黑体"/>
          <w:b w:val="0"/>
          <w:sz w:val="20"/>
          <w:szCs w:val="20"/>
        </w:rPr>
        <w:t>施    工</w:t>
      </w:r>
      <w:bookmarkEnd w:id="98"/>
    </w:p>
    <w:p w14:paraId="59480DB3">
      <w:pPr>
        <w:adjustRightInd w:val="0"/>
        <w:snapToGrid w:val="0"/>
        <w:spacing w:line="288" w:lineRule="auto"/>
        <w:rPr>
          <w:rFonts w:ascii="宋体" w:hAnsi="宋体"/>
          <w:sz w:val="20"/>
          <w:szCs w:val="20"/>
        </w:rPr>
      </w:pPr>
      <w:r>
        <w:rPr>
          <w:b/>
          <w:bCs/>
          <w:kern w:val="0"/>
          <w:sz w:val="20"/>
          <w:szCs w:val="20"/>
        </w:rPr>
        <w:t xml:space="preserve">8.3.1  </w:t>
      </w:r>
      <w:r>
        <w:rPr>
          <w:rFonts w:hint="eastAsia" w:ascii="宋体" w:hAnsi="宋体"/>
          <w:sz w:val="20"/>
          <w:szCs w:val="20"/>
        </w:rPr>
        <w:t>土钉墙可按下列流程施工：</w:t>
      </w:r>
    </w:p>
    <w:p w14:paraId="7C7781B7">
      <w:pPr>
        <w:adjustRightInd w:val="0"/>
        <w:snapToGrid w:val="0"/>
        <w:spacing w:line="288" w:lineRule="auto"/>
        <w:ind w:firstLine="402" w:firstLineChars="200"/>
        <w:rPr>
          <w:rFonts w:ascii="宋体" w:hAnsi="宋体"/>
          <w:sz w:val="20"/>
          <w:szCs w:val="20"/>
        </w:rPr>
      </w:pPr>
      <w:r>
        <w:rPr>
          <w:b/>
          <w:bCs/>
          <w:sz w:val="20"/>
          <w:szCs w:val="20"/>
        </w:rPr>
        <w:t xml:space="preserve">1  </w:t>
      </w:r>
      <w:r>
        <w:rPr>
          <w:rFonts w:hint="eastAsia" w:ascii="宋体" w:hAnsi="宋体"/>
          <w:bCs/>
          <w:sz w:val="20"/>
          <w:szCs w:val="20"/>
        </w:rPr>
        <w:t>应</w:t>
      </w:r>
      <w:r>
        <w:rPr>
          <w:rFonts w:hint="eastAsia" w:ascii="宋体" w:hAnsi="宋体"/>
          <w:sz w:val="20"/>
          <w:szCs w:val="20"/>
        </w:rPr>
        <w:t>按设计要求开挖工作面，修整边坡、喷射混凝土厚度控制标志；</w:t>
      </w:r>
    </w:p>
    <w:p w14:paraId="0A5B00DF">
      <w:pPr>
        <w:adjustRightInd w:val="0"/>
        <w:snapToGrid w:val="0"/>
        <w:spacing w:line="288" w:lineRule="auto"/>
        <w:ind w:firstLine="402" w:firstLineChars="200"/>
        <w:rPr>
          <w:bCs/>
          <w:sz w:val="20"/>
          <w:szCs w:val="20"/>
        </w:rPr>
      </w:pPr>
      <w:r>
        <w:rPr>
          <w:rFonts w:hint="eastAsia"/>
          <w:b/>
          <w:sz w:val="20"/>
          <w:szCs w:val="20"/>
        </w:rPr>
        <w:t>2</w:t>
      </w:r>
      <w:r>
        <w:rPr>
          <w:b/>
          <w:sz w:val="20"/>
          <w:szCs w:val="20"/>
        </w:rPr>
        <w:t xml:space="preserve">  </w:t>
      </w:r>
      <w:r>
        <w:rPr>
          <w:rFonts w:hint="eastAsia"/>
          <w:bCs/>
          <w:sz w:val="20"/>
          <w:szCs w:val="20"/>
        </w:rPr>
        <w:t>施工土钉，包括成孔、安放土钉杆体钢筋、注浆等；</w:t>
      </w:r>
    </w:p>
    <w:p w14:paraId="15A15A9F">
      <w:pPr>
        <w:adjustRightInd w:val="0"/>
        <w:snapToGrid w:val="0"/>
        <w:spacing w:line="288" w:lineRule="auto"/>
        <w:ind w:firstLine="402" w:firstLineChars="200"/>
        <w:rPr>
          <w:bCs/>
          <w:sz w:val="20"/>
          <w:szCs w:val="20"/>
        </w:rPr>
      </w:pPr>
      <w:r>
        <w:rPr>
          <w:rFonts w:hint="eastAsia"/>
          <w:b/>
          <w:sz w:val="20"/>
          <w:szCs w:val="20"/>
        </w:rPr>
        <w:t>3</w:t>
      </w:r>
      <w:r>
        <w:rPr>
          <w:b/>
          <w:sz w:val="20"/>
          <w:szCs w:val="20"/>
        </w:rPr>
        <w:t xml:space="preserve">  </w:t>
      </w:r>
      <w:r>
        <w:rPr>
          <w:rFonts w:hint="eastAsia"/>
          <w:bCs/>
          <w:sz w:val="20"/>
          <w:szCs w:val="20"/>
        </w:rPr>
        <w:t>铺设面层</w:t>
      </w:r>
      <w:r>
        <w:rPr>
          <w:bCs/>
          <w:sz w:val="20"/>
          <w:szCs w:val="20"/>
        </w:rPr>
        <w:t>钢筋网</w:t>
      </w:r>
      <w:r>
        <w:rPr>
          <w:rFonts w:hint="eastAsia"/>
          <w:bCs/>
          <w:sz w:val="20"/>
          <w:szCs w:val="20"/>
        </w:rPr>
        <w:t>，安设压网拉结筋、</w:t>
      </w:r>
      <w:r>
        <w:rPr>
          <w:bCs/>
          <w:sz w:val="20"/>
          <w:szCs w:val="20"/>
        </w:rPr>
        <w:t>排水</w:t>
      </w:r>
      <w:r>
        <w:rPr>
          <w:rFonts w:hint="eastAsia"/>
          <w:bCs/>
          <w:sz w:val="20"/>
          <w:szCs w:val="20"/>
        </w:rPr>
        <w:t>管及钢筋保护层垫块；</w:t>
      </w:r>
    </w:p>
    <w:p w14:paraId="3AF5488F">
      <w:pPr>
        <w:adjustRightInd w:val="0"/>
        <w:snapToGrid w:val="0"/>
        <w:spacing w:line="288" w:lineRule="auto"/>
        <w:ind w:firstLine="402" w:firstLineChars="200"/>
        <w:rPr>
          <w:rFonts w:ascii="宋体" w:hAnsi="宋体"/>
          <w:sz w:val="20"/>
          <w:szCs w:val="20"/>
        </w:rPr>
      </w:pPr>
      <w:r>
        <w:rPr>
          <w:rFonts w:hint="eastAsia"/>
          <w:b/>
          <w:bCs/>
          <w:sz w:val="20"/>
          <w:szCs w:val="20"/>
        </w:rPr>
        <w:t>4</w:t>
      </w:r>
      <w:r>
        <w:rPr>
          <w:b/>
          <w:bCs/>
          <w:sz w:val="20"/>
          <w:szCs w:val="20"/>
        </w:rPr>
        <w:t xml:space="preserve">  </w:t>
      </w:r>
      <w:r>
        <w:rPr>
          <w:rFonts w:hint="eastAsia" w:ascii="宋体" w:hAnsi="宋体"/>
          <w:bCs/>
          <w:sz w:val="20"/>
          <w:szCs w:val="20"/>
        </w:rPr>
        <w:t>设</w:t>
      </w:r>
      <w:r>
        <w:rPr>
          <w:rFonts w:hint="eastAsia" w:ascii="宋体" w:hAnsi="宋体"/>
          <w:sz w:val="20"/>
          <w:szCs w:val="20"/>
        </w:rPr>
        <w:t>置坡顶、坡面和坡脚的排水系统。</w:t>
      </w:r>
    </w:p>
    <w:p w14:paraId="5E668853">
      <w:pPr>
        <w:adjustRightInd w:val="0"/>
        <w:snapToGrid w:val="0"/>
        <w:spacing w:line="288" w:lineRule="auto"/>
        <w:rPr>
          <w:rFonts w:ascii="宋体" w:hAnsi="宋体"/>
          <w:sz w:val="20"/>
          <w:szCs w:val="20"/>
        </w:rPr>
      </w:pPr>
      <w:r>
        <w:rPr>
          <w:b/>
          <w:bCs/>
          <w:kern w:val="0"/>
          <w:sz w:val="20"/>
          <w:szCs w:val="20"/>
        </w:rPr>
        <w:t xml:space="preserve">8.3.2  </w:t>
      </w:r>
      <w:r>
        <w:rPr>
          <w:rFonts w:hint="eastAsia" w:ascii="宋体" w:hAnsi="宋体"/>
          <w:sz w:val="20"/>
          <w:szCs w:val="20"/>
        </w:rPr>
        <w:t>基坑开挖和土钉墙施工应按设计要求竖向分层水平分段进行，在上层土钉锚固体及喷射混凝土面层</w:t>
      </w:r>
      <w:r>
        <w:rPr>
          <w:rFonts w:ascii="宋体" w:hAnsi="宋体"/>
          <w:sz w:val="20"/>
          <w:szCs w:val="20"/>
        </w:rPr>
        <w:t>达到设计强度的</w:t>
      </w:r>
      <w:r>
        <w:rPr>
          <w:sz w:val="20"/>
          <w:szCs w:val="20"/>
        </w:rPr>
        <w:t>70％</w:t>
      </w:r>
      <w:r>
        <w:rPr>
          <w:rFonts w:hint="eastAsia" w:ascii="宋体" w:hAnsi="宋体"/>
          <w:sz w:val="20"/>
          <w:szCs w:val="20"/>
        </w:rPr>
        <w:t>后方可开挖下层土方。</w:t>
      </w:r>
    </w:p>
    <w:p w14:paraId="16BDC7E4">
      <w:pPr>
        <w:adjustRightInd w:val="0"/>
        <w:snapToGrid w:val="0"/>
        <w:spacing w:line="288" w:lineRule="auto"/>
        <w:rPr>
          <w:rFonts w:ascii="宋体" w:hAnsi="宋体"/>
          <w:sz w:val="20"/>
          <w:szCs w:val="20"/>
        </w:rPr>
      </w:pPr>
      <w:r>
        <w:rPr>
          <w:b/>
          <w:bCs/>
          <w:kern w:val="0"/>
          <w:sz w:val="20"/>
          <w:szCs w:val="20"/>
        </w:rPr>
        <w:t xml:space="preserve">8.3.3  </w:t>
      </w:r>
      <w:r>
        <w:rPr>
          <w:rFonts w:hint="eastAsia" w:ascii="宋体" w:hAnsi="宋体"/>
          <w:sz w:val="20"/>
          <w:szCs w:val="20"/>
        </w:rPr>
        <w:t>在机械进行土方作业时，严禁坡壁出现超挖或扰动坡面土体。坡面宜采用小型机具辅以人工修整，在坡面喷射混凝土支护前，应清除坡面虚土。</w:t>
      </w:r>
    </w:p>
    <w:p w14:paraId="04318D3D">
      <w:pPr>
        <w:pStyle w:val="12"/>
        <w:adjustRightInd w:val="0"/>
        <w:snapToGrid w:val="0"/>
        <w:spacing w:line="288" w:lineRule="auto"/>
        <w:rPr>
          <w:rFonts w:ascii="宋体" w:hAnsi="宋体"/>
          <w:sz w:val="20"/>
          <w:szCs w:val="20"/>
        </w:rPr>
      </w:pPr>
      <w:r>
        <w:rPr>
          <w:rFonts w:ascii="Times New Roman" w:hAnsi="Times New Roman"/>
          <w:b/>
          <w:bCs/>
          <w:sz w:val="20"/>
          <w:szCs w:val="20"/>
        </w:rPr>
        <w:t>8.3.4</w:t>
      </w:r>
      <w:r>
        <w:rPr>
          <w:rFonts w:hint="eastAsia" w:ascii="宋体" w:hAnsi="宋体"/>
          <w:spacing w:val="-2"/>
          <w:sz w:val="20"/>
          <w:szCs w:val="20"/>
        </w:rPr>
        <w:t xml:space="preserve"> </w:t>
      </w:r>
      <w:r>
        <w:rPr>
          <w:rFonts w:ascii="宋体" w:hAnsi="宋体"/>
          <w:spacing w:val="-2"/>
          <w:sz w:val="20"/>
          <w:szCs w:val="20"/>
        </w:rPr>
        <w:t xml:space="preserve"> </w:t>
      </w:r>
      <w:r>
        <w:rPr>
          <w:rFonts w:hint="eastAsia" w:ascii="宋体" w:hAnsi="宋体"/>
          <w:spacing w:val="-2"/>
          <w:sz w:val="20"/>
          <w:szCs w:val="20"/>
        </w:rPr>
        <w:t>支护分层开挖深度应符合设计</w:t>
      </w:r>
      <w:r>
        <w:rPr>
          <w:rFonts w:ascii="宋体" w:hAnsi="宋体"/>
          <w:spacing w:val="-2"/>
          <w:sz w:val="20"/>
          <w:szCs w:val="20"/>
        </w:rPr>
        <w:t>工况</w:t>
      </w:r>
      <w:r>
        <w:rPr>
          <w:rFonts w:hint="eastAsia" w:ascii="宋体" w:hAnsi="宋体"/>
          <w:spacing w:val="-2"/>
          <w:sz w:val="20"/>
          <w:szCs w:val="20"/>
        </w:rPr>
        <w:t>，不应</w:t>
      </w:r>
      <w:r>
        <w:rPr>
          <w:rFonts w:ascii="宋体" w:hAnsi="宋体"/>
          <w:spacing w:val="-2"/>
          <w:sz w:val="20"/>
          <w:szCs w:val="20"/>
        </w:rPr>
        <w:t>超挖</w:t>
      </w:r>
      <w:r>
        <w:rPr>
          <w:rFonts w:hint="eastAsia" w:ascii="宋体" w:hAnsi="宋体"/>
          <w:spacing w:val="-2"/>
          <w:sz w:val="20"/>
          <w:szCs w:val="20"/>
        </w:rPr>
        <w:t>。</w:t>
      </w:r>
    </w:p>
    <w:p w14:paraId="62333C03">
      <w:pPr>
        <w:adjustRightInd w:val="0"/>
        <w:snapToGrid w:val="0"/>
        <w:spacing w:line="288" w:lineRule="auto"/>
        <w:rPr>
          <w:sz w:val="20"/>
          <w:szCs w:val="20"/>
        </w:rPr>
      </w:pPr>
      <w:r>
        <w:rPr>
          <w:b/>
          <w:bCs/>
          <w:kern w:val="0"/>
          <w:sz w:val="20"/>
          <w:szCs w:val="20"/>
        </w:rPr>
        <w:t xml:space="preserve">8.3.5  </w:t>
      </w:r>
      <w:r>
        <w:rPr>
          <w:rFonts w:hint="eastAsia"/>
          <w:bCs/>
          <w:sz w:val="20"/>
          <w:szCs w:val="20"/>
        </w:rPr>
        <w:t>裸露坡面应及时支护。</w:t>
      </w:r>
      <w:r>
        <w:rPr>
          <w:sz w:val="20"/>
          <w:szCs w:val="20"/>
        </w:rPr>
        <w:t>软弱、松散等自稳能力差的土体</w:t>
      </w:r>
      <w:r>
        <w:rPr>
          <w:rFonts w:hint="eastAsia"/>
          <w:sz w:val="20"/>
          <w:szCs w:val="20"/>
        </w:rPr>
        <w:t>应</w:t>
      </w:r>
      <w:r>
        <w:rPr>
          <w:sz w:val="20"/>
          <w:szCs w:val="20"/>
        </w:rPr>
        <w:t>采用以下措施：</w:t>
      </w:r>
    </w:p>
    <w:p w14:paraId="19421BBA">
      <w:pPr>
        <w:adjustRightInd w:val="0"/>
        <w:snapToGrid w:val="0"/>
        <w:spacing w:line="288" w:lineRule="auto"/>
        <w:ind w:firstLine="402" w:firstLineChars="200"/>
        <w:rPr>
          <w:sz w:val="20"/>
          <w:szCs w:val="20"/>
        </w:rPr>
      </w:pPr>
      <w:r>
        <w:rPr>
          <w:b/>
          <w:bCs/>
          <w:sz w:val="20"/>
          <w:szCs w:val="20"/>
        </w:rPr>
        <w:t xml:space="preserve">1  </w:t>
      </w:r>
      <w:r>
        <w:rPr>
          <w:bCs/>
          <w:sz w:val="20"/>
          <w:szCs w:val="20"/>
        </w:rPr>
        <w:t>对</w:t>
      </w:r>
      <w:r>
        <w:rPr>
          <w:sz w:val="20"/>
          <w:szCs w:val="20"/>
        </w:rPr>
        <w:t>修整后的坡面</w:t>
      </w:r>
      <w:r>
        <w:rPr>
          <w:rFonts w:hint="eastAsia"/>
          <w:sz w:val="20"/>
          <w:szCs w:val="20"/>
        </w:rPr>
        <w:t>宜</w:t>
      </w:r>
      <w:r>
        <w:rPr>
          <w:sz w:val="20"/>
          <w:szCs w:val="20"/>
        </w:rPr>
        <w:t>预先喷射30mm～50mm</w:t>
      </w:r>
      <w:r>
        <w:rPr>
          <w:rFonts w:hint="eastAsia"/>
          <w:sz w:val="20"/>
          <w:szCs w:val="20"/>
        </w:rPr>
        <w:t>厚</w:t>
      </w:r>
      <w:r>
        <w:rPr>
          <w:sz w:val="20"/>
          <w:szCs w:val="20"/>
        </w:rPr>
        <w:t>混凝土或喷洒一层水泥浆，待凝结后再进行成孔；</w:t>
      </w:r>
    </w:p>
    <w:p w14:paraId="472FA40B">
      <w:pPr>
        <w:adjustRightInd w:val="0"/>
        <w:snapToGrid w:val="0"/>
        <w:spacing w:line="288" w:lineRule="auto"/>
        <w:ind w:firstLine="402" w:firstLineChars="200"/>
        <w:rPr>
          <w:sz w:val="20"/>
          <w:szCs w:val="20"/>
        </w:rPr>
      </w:pPr>
      <w:r>
        <w:rPr>
          <w:b/>
          <w:bCs/>
          <w:sz w:val="20"/>
          <w:szCs w:val="20"/>
        </w:rPr>
        <w:t xml:space="preserve">2  </w:t>
      </w:r>
      <w:r>
        <w:rPr>
          <w:bCs/>
          <w:sz w:val="20"/>
          <w:szCs w:val="20"/>
        </w:rPr>
        <w:t>在</w:t>
      </w:r>
      <w:r>
        <w:rPr>
          <w:sz w:val="20"/>
          <w:szCs w:val="20"/>
        </w:rPr>
        <w:t>水平方向分小段间隔开挖并进行支护；</w:t>
      </w:r>
    </w:p>
    <w:p w14:paraId="24044456">
      <w:pPr>
        <w:adjustRightInd w:val="0"/>
        <w:snapToGrid w:val="0"/>
        <w:spacing w:line="288" w:lineRule="auto"/>
        <w:ind w:firstLine="402" w:firstLineChars="200"/>
        <w:rPr>
          <w:sz w:val="20"/>
          <w:szCs w:val="20"/>
        </w:rPr>
      </w:pPr>
      <w:r>
        <w:rPr>
          <w:b/>
          <w:bCs/>
          <w:sz w:val="20"/>
          <w:szCs w:val="20"/>
        </w:rPr>
        <w:t xml:space="preserve">3  </w:t>
      </w:r>
      <w:r>
        <w:rPr>
          <w:bCs/>
          <w:sz w:val="20"/>
          <w:szCs w:val="20"/>
        </w:rPr>
        <w:t>先</w:t>
      </w:r>
      <w:r>
        <w:rPr>
          <w:sz w:val="20"/>
          <w:szCs w:val="20"/>
        </w:rPr>
        <w:t>将作业深度上的坡壁做成较缓斜坡，待土钉设置后再清坡；</w:t>
      </w:r>
    </w:p>
    <w:p w14:paraId="3C6A0E27">
      <w:pPr>
        <w:adjustRightInd w:val="0"/>
        <w:snapToGrid w:val="0"/>
        <w:spacing w:line="288" w:lineRule="auto"/>
        <w:ind w:firstLine="402" w:firstLineChars="200"/>
        <w:rPr>
          <w:sz w:val="20"/>
          <w:szCs w:val="20"/>
        </w:rPr>
      </w:pPr>
      <w:r>
        <w:rPr>
          <w:b/>
          <w:bCs/>
          <w:sz w:val="20"/>
          <w:szCs w:val="20"/>
        </w:rPr>
        <w:t xml:space="preserve">4  </w:t>
      </w:r>
      <w:r>
        <w:rPr>
          <w:bCs/>
          <w:sz w:val="20"/>
          <w:szCs w:val="20"/>
        </w:rPr>
        <w:t>在开</w:t>
      </w:r>
      <w:r>
        <w:rPr>
          <w:sz w:val="20"/>
          <w:szCs w:val="20"/>
        </w:rPr>
        <w:t>挖前进行超前支护或加固土体。</w:t>
      </w:r>
    </w:p>
    <w:p w14:paraId="27488571">
      <w:pPr>
        <w:adjustRightInd w:val="0"/>
        <w:snapToGrid w:val="0"/>
        <w:spacing w:line="288" w:lineRule="auto"/>
        <w:rPr>
          <w:rFonts w:ascii="宋体" w:hAnsi="宋体"/>
          <w:bCs/>
          <w:sz w:val="20"/>
          <w:szCs w:val="20"/>
        </w:rPr>
      </w:pPr>
      <w:r>
        <w:rPr>
          <w:b/>
          <w:bCs/>
          <w:kern w:val="0"/>
          <w:sz w:val="20"/>
          <w:szCs w:val="20"/>
        </w:rPr>
        <w:t xml:space="preserve">8.3.6  </w:t>
      </w:r>
      <w:r>
        <w:rPr>
          <w:rFonts w:ascii="宋体" w:hAnsi="宋体"/>
          <w:bCs/>
          <w:sz w:val="20"/>
          <w:szCs w:val="20"/>
        </w:rPr>
        <w:t>土钉墙施工应采取</w:t>
      </w:r>
      <w:r>
        <w:rPr>
          <w:rFonts w:hint="eastAsia" w:ascii="宋体" w:hAnsi="宋体"/>
          <w:bCs/>
          <w:sz w:val="20"/>
          <w:szCs w:val="20"/>
        </w:rPr>
        <w:t>下列</w:t>
      </w:r>
      <w:r>
        <w:rPr>
          <w:rFonts w:ascii="宋体" w:hAnsi="宋体"/>
          <w:bCs/>
          <w:sz w:val="20"/>
          <w:szCs w:val="20"/>
        </w:rPr>
        <w:t>排水措施</w:t>
      </w:r>
      <w:r>
        <w:rPr>
          <w:rFonts w:hint="eastAsia" w:ascii="宋体" w:hAnsi="宋体"/>
          <w:bCs/>
          <w:sz w:val="20"/>
          <w:szCs w:val="20"/>
        </w:rPr>
        <w:t>：</w:t>
      </w:r>
    </w:p>
    <w:p w14:paraId="2D4F0DF8">
      <w:pPr>
        <w:adjustRightInd w:val="0"/>
        <w:snapToGrid w:val="0"/>
        <w:spacing w:line="288" w:lineRule="auto"/>
        <w:ind w:firstLine="402" w:firstLineChars="200"/>
        <w:rPr>
          <w:bCs/>
          <w:sz w:val="20"/>
          <w:szCs w:val="20"/>
        </w:rPr>
      </w:pPr>
      <w:r>
        <w:rPr>
          <w:b/>
          <w:sz w:val="20"/>
          <w:szCs w:val="20"/>
        </w:rPr>
        <w:t xml:space="preserve">1  </w:t>
      </w:r>
      <w:r>
        <w:rPr>
          <w:bCs/>
          <w:sz w:val="20"/>
          <w:szCs w:val="20"/>
        </w:rPr>
        <w:t>基坑周边地表应设置防渗排水沟和地表硬化等疏排水措施，排水沟宜远离坡肩；</w:t>
      </w:r>
    </w:p>
    <w:p w14:paraId="3A99DA6C">
      <w:pPr>
        <w:adjustRightInd w:val="0"/>
        <w:snapToGrid w:val="0"/>
        <w:spacing w:line="288" w:lineRule="auto"/>
        <w:ind w:firstLine="402" w:firstLineChars="200"/>
        <w:rPr>
          <w:bCs/>
          <w:sz w:val="20"/>
          <w:szCs w:val="20"/>
        </w:rPr>
      </w:pPr>
      <w:r>
        <w:rPr>
          <w:b/>
          <w:sz w:val="20"/>
          <w:szCs w:val="20"/>
        </w:rPr>
        <w:t xml:space="preserve">2  </w:t>
      </w:r>
      <w:r>
        <w:rPr>
          <w:bCs/>
          <w:sz w:val="20"/>
          <w:szCs w:val="20"/>
        </w:rPr>
        <w:t>坡肩设高度不小于20cm挡水墙，宽度不小于80cm的散水，防止地表水入渗；</w:t>
      </w:r>
    </w:p>
    <w:p w14:paraId="3FC5FB7B">
      <w:pPr>
        <w:adjustRightInd w:val="0"/>
        <w:snapToGrid w:val="0"/>
        <w:spacing w:line="288" w:lineRule="auto"/>
        <w:ind w:firstLine="402" w:firstLineChars="200"/>
        <w:rPr>
          <w:bCs/>
          <w:sz w:val="20"/>
          <w:szCs w:val="20"/>
        </w:rPr>
      </w:pPr>
      <w:r>
        <w:rPr>
          <w:b/>
          <w:sz w:val="20"/>
          <w:szCs w:val="20"/>
        </w:rPr>
        <w:t xml:space="preserve">3  </w:t>
      </w:r>
      <w:r>
        <w:rPr>
          <w:bCs/>
          <w:sz w:val="20"/>
          <w:szCs w:val="20"/>
        </w:rPr>
        <w:t>当地层中含有滞水时，坡面应插入长度为 400mm～600mm，直径不小于 40mm 的排水管进行导排；</w:t>
      </w:r>
    </w:p>
    <w:p w14:paraId="20C2BAAF">
      <w:pPr>
        <w:adjustRightInd w:val="0"/>
        <w:snapToGrid w:val="0"/>
        <w:spacing w:line="288" w:lineRule="auto"/>
        <w:ind w:firstLine="402" w:firstLineChars="200"/>
        <w:rPr>
          <w:bCs/>
          <w:sz w:val="20"/>
          <w:szCs w:val="20"/>
        </w:rPr>
      </w:pPr>
      <w:r>
        <w:rPr>
          <w:b/>
          <w:sz w:val="20"/>
          <w:szCs w:val="20"/>
        </w:rPr>
        <w:t>4</w:t>
      </w:r>
      <w:r>
        <w:rPr>
          <w:bCs/>
          <w:sz w:val="20"/>
          <w:szCs w:val="20"/>
        </w:rPr>
        <w:t xml:space="preserve">  坡脚宜设置排水盲沟、集水井等排水设施。</w:t>
      </w:r>
    </w:p>
    <w:p w14:paraId="215F2C3B">
      <w:pPr>
        <w:adjustRightInd w:val="0"/>
        <w:snapToGrid w:val="0"/>
        <w:spacing w:line="288" w:lineRule="auto"/>
        <w:rPr>
          <w:rFonts w:ascii="宋体" w:hAnsi="宋体"/>
          <w:bCs/>
          <w:sz w:val="20"/>
          <w:szCs w:val="20"/>
        </w:rPr>
      </w:pPr>
      <w:r>
        <w:rPr>
          <w:b/>
          <w:bCs/>
          <w:kern w:val="0"/>
          <w:sz w:val="20"/>
          <w:szCs w:val="20"/>
        </w:rPr>
        <w:t xml:space="preserve">8.3.7  </w:t>
      </w:r>
      <w:r>
        <w:rPr>
          <w:rFonts w:hint="eastAsia" w:ascii="宋体" w:hAnsi="宋体"/>
          <w:bCs/>
          <w:sz w:val="20"/>
          <w:szCs w:val="20"/>
        </w:rPr>
        <w:t>不宜在冬施条件下进行土钉墙施工。必须在冬期进行施工时，应采取冬施措施，水泥浆注浆时温度不应低于5℃，喷射面层后应及时使用保温材料覆盖养护。</w:t>
      </w:r>
    </w:p>
    <w:p w14:paraId="4AC5535E">
      <w:pPr>
        <w:adjustRightInd w:val="0"/>
        <w:snapToGrid w:val="0"/>
        <w:spacing w:line="288" w:lineRule="auto"/>
        <w:rPr>
          <w:rFonts w:ascii="宋体" w:hAnsi="宋体"/>
          <w:bCs/>
          <w:sz w:val="20"/>
          <w:szCs w:val="20"/>
        </w:rPr>
      </w:pPr>
      <w:r>
        <w:rPr>
          <w:b/>
          <w:bCs/>
          <w:kern w:val="0"/>
          <w:sz w:val="20"/>
          <w:szCs w:val="20"/>
        </w:rPr>
        <w:t>8.3.</w:t>
      </w:r>
      <w:r>
        <w:rPr>
          <w:rFonts w:hint="eastAsia"/>
          <w:b/>
          <w:bCs/>
          <w:kern w:val="0"/>
          <w:sz w:val="20"/>
          <w:szCs w:val="20"/>
        </w:rPr>
        <w:t>8</w:t>
      </w:r>
      <w:r>
        <w:rPr>
          <w:b/>
          <w:bCs/>
          <w:kern w:val="0"/>
          <w:sz w:val="20"/>
          <w:szCs w:val="20"/>
        </w:rPr>
        <w:t xml:space="preserve">  </w:t>
      </w:r>
      <w:r>
        <w:rPr>
          <w:rFonts w:hint="eastAsia" w:ascii="宋体" w:hAnsi="宋体"/>
          <w:sz w:val="20"/>
          <w:szCs w:val="20"/>
        </w:rPr>
        <w:t>土钉墙宜采用先成孔的钢筋土钉。对易塌孔的松散或稍密的砂土、稍密的粉土或填土，或易缩径的软土宜采用打入式钢管土钉。对先成孔或钢管土钉打入困难的土层，宜采用机械成孔的钢筋土钉。</w:t>
      </w:r>
    </w:p>
    <w:p w14:paraId="58898C00">
      <w:pPr>
        <w:adjustRightInd w:val="0"/>
        <w:snapToGrid w:val="0"/>
        <w:spacing w:line="288" w:lineRule="auto"/>
        <w:rPr>
          <w:rFonts w:ascii="宋体" w:hAnsi="宋体"/>
          <w:bCs/>
          <w:sz w:val="20"/>
          <w:szCs w:val="20"/>
        </w:rPr>
      </w:pPr>
      <w:r>
        <w:rPr>
          <w:b/>
          <w:bCs/>
          <w:kern w:val="0"/>
          <w:sz w:val="20"/>
          <w:szCs w:val="20"/>
        </w:rPr>
        <w:t>8.3.</w:t>
      </w:r>
      <w:r>
        <w:rPr>
          <w:rFonts w:hint="eastAsia"/>
          <w:b/>
          <w:bCs/>
          <w:kern w:val="0"/>
          <w:sz w:val="20"/>
          <w:szCs w:val="20"/>
        </w:rPr>
        <w:t>9</w:t>
      </w:r>
      <w:r>
        <w:rPr>
          <w:b/>
          <w:bCs/>
          <w:kern w:val="0"/>
          <w:sz w:val="20"/>
          <w:szCs w:val="20"/>
        </w:rPr>
        <w:t xml:space="preserve">  </w:t>
      </w:r>
      <w:r>
        <w:rPr>
          <w:rFonts w:hint="eastAsia" w:ascii="宋体" w:hAnsi="宋体"/>
          <w:sz w:val="20"/>
          <w:szCs w:val="20"/>
        </w:rPr>
        <w:t>钢筋土钉成孔应符合下列要求：</w:t>
      </w:r>
    </w:p>
    <w:p w14:paraId="1DE3D764">
      <w:pPr>
        <w:adjustRightInd w:val="0"/>
        <w:snapToGrid w:val="0"/>
        <w:spacing w:line="288" w:lineRule="auto"/>
        <w:ind w:firstLine="402" w:firstLineChars="200"/>
        <w:rPr>
          <w:rFonts w:ascii="宋体" w:hAnsi="宋体"/>
          <w:sz w:val="20"/>
          <w:szCs w:val="20"/>
        </w:rPr>
      </w:pPr>
      <w:r>
        <w:rPr>
          <w:b/>
          <w:bCs/>
          <w:sz w:val="20"/>
          <w:szCs w:val="20"/>
        </w:rPr>
        <w:t xml:space="preserve">1  </w:t>
      </w:r>
      <w:r>
        <w:rPr>
          <w:rFonts w:hint="eastAsia" w:ascii="宋体" w:hAnsi="宋体"/>
          <w:sz w:val="20"/>
          <w:szCs w:val="20"/>
        </w:rPr>
        <w:t>土钉成孔范围内存在地下管线等设施时，应在查明其位置并避开后，再进行成孔作业；</w:t>
      </w:r>
    </w:p>
    <w:p w14:paraId="127797BB">
      <w:pPr>
        <w:adjustRightInd w:val="0"/>
        <w:snapToGrid w:val="0"/>
        <w:spacing w:line="288" w:lineRule="auto"/>
        <w:ind w:firstLine="402" w:firstLineChars="200"/>
        <w:rPr>
          <w:rFonts w:ascii="宋体" w:hAnsi="宋体"/>
          <w:sz w:val="20"/>
          <w:szCs w:val="20"/>
        </w:rPr>
      </w:pPr>
      <w:r>
        <w:rPr>
          <w:b/>
          <w:bCs/>
          <w:sz w:val="20"/>
          <w:szCs w:val="20"/>
        </w:rPr>
        <w:t xml:space="preserve">2  </w:t>
      </w:r>
      <w:r>
        <w:rPr>
          <w:rFonts w:hint="eastAsia" w:ascii="宋体" w:hAnsi="宋体"/>
          <w:sz w:val="20"/>
          <w:szCs w:val="20"/>
        </w:rPr>
        <w:t>应根据土层的性状选择螺旋钻、冲击钻、地质钻、洛阳铲等成孔方法，采用的成孔方法</w:t>
      </w:r>
      <w:r>
        <w:rPr>
          <w:rFonts w:hint="eastAsia" w:ascii="宋体" w:hAnsi="宋体"/>
          <w:kern w:val="0"/>
          <w:sz w:val="20"/>
          <w:szCs w:val="20"/>
        </w:rPr>
        <w:t>应能</w:t>
      </w:r>
      <w:r>
        <w:rPr>
          <w:rFonts w:hint="eastAsia" w:ascii="宋体" w:hAnsi="宋体"/>
          <w:sz w:val="20"/>
          <w:szCs w:val="20"/>
        </w:rPr>
        <w:t>减小对孔壁的扰动、保证孔壁的稳定性；</w:t>
      </w:r>
    </w:p>
    <w:p w14:paraId="293E6E19">
      <w:pPr>
        <w:adjustRightInd w:val="0"/>
        <w:snapToGrid w:val="0"/>
        <w:spacing w:line="288" w:lineRule="auto"/>
        <w:ind w:firstLine="402" w:firstLineChars="200"/>
        <w:rPr>
          <w:rFonts w:ascii="宋体" w:hAnsi="宋体"/>
          <w:sz w:val="20"/>
          <w:szCs w:val="20"/>
        </w:rPr>
      </w:pPr>
      <w:r>
        <w:rPr>
          <w:b/>
          <w:bCs/>
          <w:sz w:val="20"/>
          <w:szCs w:val="20"/>
        </w:rPr>
        <w:t xml:space="preserve">3  </w:t>
      </w:r>
      <w:r>
        <w:rPr>
          <w:rFonts w:hint="eastAsia" w:ascii="宋体" w:hAnsi="宋体"/>
          <w:sz w:val="20"/>
          <w:szCs w:val="20"/>
        </w:rPr>
        <w:t>当成孔遇不明障碍物时，应停止成孔作业，在查明障碍物的情况并采取针对性措施后方可继续成孔；</w:t>
      </w:r>
    </w:p>
    <w:p w14:paraId="36D9792B">
      <w:pPr>
        <w:adjustRightInd w:val="0"/>
        <w:snapToGrid w:val="0"/>
        <w:spacing w:line="288" w:lineRule="auto"/>
        <w:ind w:firstLine="402" w:firstLineChars="200"/>
        <w:rPr>
          <w:rFonts w:ascii="宋体" w:hAnsi="宋体"/>
          <w:sz w:val="20"/>
          <w:szCs w:val="20"/>
        </w:rPr>
      </w:pPr>
      <w:r>
        <w:rPr>
          <w:b/>
          <w:bCs/>
          <w:sz w:val="20"/>
          <w:szCs w:val="20"/>
        </w:rPr>
        <w:t xml:space="preserve">4  </w:t>
      </w:r>
      <w:r>
        <w:rPr>
          <w:rFonts w:hint="eastAsia" w:ascii="宋体" w:hAnsi="宋体"/>
          <w:sz w:val="20"/>
          <w:szCs w:val="20"/>
        </w:rPr>
        <w:t>对易塌孔的松散土层宜采用机械成孔工艺；成孔困难时，可采用压注水泥浆或跟管钻进等方法进行护壁。</w:t>
      </w:r>
    </w:p>
    <w:p w14:paraId="557294B1">
      <w:pPr>
        <w:adjustRightInd w:val="0"/>
        <w:snapToGrid w:val="0"/>
        <w:spacing w:line="288" w:lineRule="auto"/>
        <w:rPr>
          <w:rFonts w:ascii="宋体" w:hAnsi="宋体"/>
          <w:sz w:val="20"/>
          <w:szCs w:val="20"/>
        </w:rPr>
      </w:pPr>
      <w:r>
        <w:rPr>
          <w:b/>
          <w:bCs/>
          <w:kern w:val="0"/>
          <w:sz w:val="20"/>
          <w:szCs w:val="20"/>
        </w:rPr>
        <w:t xml:space="preserve">8.3.10 </w:t>
      </w:r>
      <w:r>
        <w:rPr>
          <w:rFonts w:hint="eastAsia" w:ascii="宋体" w:hAnsi="宋体"/>
          <w:bCs/>
          <w:sz w:val="20"/>
          <w:szCs w:val="20"/>
        </w:rPr>
        <w:t xml:space="preserve"> 钢筋</w:t>
      </w:r>
      <w:r>
        <w:rPr>
          <w:rFonts w:hint="eastAsia" w:ascii="宋体" w:hAnsi="宋体"/>
          <w:sz w:val="20"/>
          <w:szCs w:val="20"/>
        </w:rPr>
        <w:t>土钉制作安装应符合下列要求：</w:t>
      </w:r>
    </w:p>
    <w:p w14:paraId="29EC4700">
      <w:pPr>
        <w:tabs>
          <w:tab w:val="left" w:pos="672"/>
          <w:tab w:val="left" w:pos="1036"/>
          <w:tab w:val="left" w:pos="1620"/>
          <w:tab w:val="left" w:pos="2160"/>
          <w:tab w:val="left" w:pos="7020"/>
        </w:tabs>
        <w:adjustRightInd w:val="0"/>
        <w:snapToGrid w:val="0"/>
        <w:spacing w:line="288" w:lineRule="auto"/>
        <w:ind w:firstLine="402" w:firstLineChars="200"/>
        <w:rPr>
          <w:rFonts w:ascii="宋体" w:hAnsi="宋体"/>
          <w:sz w:val="20"/>
          <w:szCs w:val="20"/>
        </w:rPr>
      </w:pPr>
      <w:r>
        <w:rPr>
          <w:b/>
          <w:bCs/>
          <w:sz w:val="20"/>
          <w:szCs w:val="20"/>
        </w:rPr>
        <w:t xml:space="preserve">1  </w:t>
      </w:r>
      <w:r>
        <w:rPr>
          <w:rFonts w:hint="eastAsia" w:ascii="宋体" w:hAnsi="宋体"/>
          <w:sz w:val="20"/>
          <w:szCs w:val="20"/>
        </w:rPr>
        <w:t>土钉杆体钢筋使用前应调直、除锈和除油；</w:t>
      </w:r>
    </w:p>
    <w:p w14:paraId="33F33029">
      <w:pPr>
        <w:tabs>
          <w:tab w:val="left" w:pos="672"/>
          <w:tab w:val="left" w:pos="1036"/>
          <w:tab w:val="left" w:pos="1620"/>
          <w:tab w:val="left" w:pos="2160"/>
          <w:tab w:val="left" w:pos="7020"/>
        </w:tabs>
        <w:adjustRightInd w:val="0"/>
        <w:snapToGrid w:val="0"/>
        <w:spacing w:line="288" w:lineRule="auto"/>
        <w:ind w:firstLine="402" w:firstLineChars="200"/>
        <w:rPr>
          <w:rFonts w:ascii="宋体" w:hAnsi="宋体"/>
          <w:bCs/>
          <w:sz w:val="20"/>
          <w:szCs w:val="20"/>
        </w:rPr>
      </w:pPr>
      <w:r>
        <w:rPr>
          <w:b/>
          <w:bCs/>
          <w:sz w:val="20"/>
          <w:szCs w:val="20"/>
        </w:rPr>
        <w:t xml:space="preserve">2  </w:t>
      </w:r>
      <w:r>
        <w:rPr>
          <w:rFonts w:hint="eastAsia" w:ascii="宋体" w:hAnsi="宋体"/>
          <w:sz w:val="20"/>
          <w:szCs w:val="20"/>
        </w:rPr>
        <w:t>当</w:t>
      </w:r>
      <w:r>
        <w:rPr>
          <w:rFonts w:hint="eastAsia" w:ascii="宋体" w:hAnsi="宋体"/>
          <w:bCs/>
          <w:sz w:val="20"/>
          <w:szCs w:val="20"/>
        </w:rPr>
        <w:t>钢筋需要连接时，宜采用搭接焊，或机械连接；焊接应采用双面焊，双面焊的搭接长度或帮条长度不应小于主筋直径的</w:t>
      </w:r>
      <w:r>
        <w:rPr>
          <w:sz w:val="20"/>
          <w:szCs w:val="20"/>
        </w:rPr>
        <w:t>5</w:t>
      </w:r>
      <w:r>
        <w:rPr>
          <w:rFonts w:hint="eastAsia" w:ascii="宋体" w:hAnsi="宋体"/>
          <w:bCs/>
          <w:sz w:val="20"/>
          <w:szCs w:val="20"/>
        </w:rPr>
        <w:t>倍，焊缝高度不应小于主筋直径的</w:t>
      </w:r>
      <w:r>
        <w:rPr>
          <w:sz w:val="20"/>
          <w:szCs w:val="20"/>
        </w:rPr>
        <w:t>0.3</w:t>
      </w:r>
      <w:r>
        <w:rPr>
          <w:rFonts w:hint="eastAsia" w:ascii="宋体" w:hAnsi="宋体"/>
          <w:bCs/>
          <w:sz w:val="20"/>
          <w:szCs w:val="20"/>
        </w:rPr>
        <w:t>倍；</w:t>
      </w:r>
    </w:p>
    <w:p w14:paraId="0CED9082">
      <w:pPr>
        <w:adjustRightInd w:val="0"/>
        <w:snapToGrid w:val="0"/>
        <w:spacing w:line="288" w:lineRule="auto"/>
        <w:ind w:firstLine="402" w:firstLineChars="200"/>
        <w:rPr>
          <w:rFonts w:ascii="宋体" w:hAnsi="宋体"/>
          <w:sz w:val="20"/>
          <w:szCs w:val="20"/>
        </w:rPr>
      </w:pPr>
      <w:r>
        <w:rPr>
          <w:b/>
          <w:bCs/>
          <w:sz w:val="20"/>
          <w:szCs w:val="20"/>
        </w:rPr>
        <w:t xml:space="preserve">3  </w:t>
      </w:r>
      <w:r>
        <w:rPr>
          <w:rFonts w:hint="eastAsia" w:ascii="宋体" w:hAnsi="宋体"/>
          <w:sz w:val="20"/>
          <w:szCs w:val="20"/>
        </w:rPr>
        <w:t>土钉杆体钢筋应在孔内居中设置，定位器间距不应大于</w:t>
      </w:r>
      <w:r>
        <w:rPr>
          <w:sz w:val="20"/>
          <w:szCs w:val="20"/>
        </w:rPr>
        <w:t>2m</w:t>
      </w:r>
      <w:r>
        <w:rPr>
          <w:rFonts w:hint="eastAsia" w:ascii="宋体" w:hAnsi="宋体"/>
          <w:sz w:val="20"/>
          <w:szCs w:val="20"/>
        </w:rPr>
        <w:t>；</w:t>
      </w:r>
    </w:p>
    <w:p w14:paraId="1A8A8477">
      <w:pPr>
        <w:adjustRightInd w:val="0"/>
        <w:snapToGrid w:val="0"/>
        <w:spacing w:line="288" w:lineRule="auto"/>
        <w:ind w:firstLine="402" w:firstLineChars="200"/>
        <w:rPr>
          <w:rFonts w:ascii="宋体" w:hAnsi="宋体"/>
          <w:bCs/>
          <w:sz w:val="20"/>
          <w:szCs w:val="20"/>
        </w:rPr>
      </w:pPr>
      <w:r>
        <w:rPr>
          <w:b/>
          <w:bCs/>
          <w:sz w:val="20"/>
          <w:szCs w:val="20"/>
        </w:rPr>
        <w:t xml:space="preserve">4  </w:t>
      </w:r>
      <w:r>
        <w:rPr>
          <w:rFonts w:hint="eastAsia" w:ascii="宋体" w:hAnsi="宋体"/>
          <w:bCs/>
          <w:sz w:val="20"/>
          <w:szCs w:val="20"/>
        </w:rPr>
        <w:t>对中支架的断面尺寸应符合土钉杆体保护层厚度要求，对中支架可选用直径</w:t>
      </w:r>
      <w:r>
        <w:rPr>
          <w:sz w:val="20"/>
          <w:szCs w:val="20"/>
        </w:rPr>
        <w:t>6mm</w:t>
      </w:r>
      <w:r>
        <w:rPr>
          <w:rFonts w:hint="eastAsia"/>
          <w:sz w:val="20"/>
          <w:szCs w:val="20"/>
        </w:rPr>
        <w:t>～</w:t>
      </w:r>
      <w:r>
        <w:rPr>
          <w:sz w:val="20"/>
          <w:szCs w:val="20"/>
        </w:rPr>
        <w:t>8mm</w:t>
      </w:r>
      <w:r>
        <w:rPr>
          <w:rFonts w:hint="eastAsia" w:ascii="宋体" w:hAnsi="宋体"/>
          <w:bCs/>
          <w:sz w:val="20"/>
          <w:szCs w:val="20"/>
        </w:rPr>
        <w:t>的钢筋焊制；</w:t>
      </w:r>
    </w:p>
    <w:p w14:paraId="631E6177">
      <w:pPr>
        <w:adjustRightInd w:val="0"/>
        <w:snapToGrid w:val="0"/>
        <w:spacing w:line="288" w:lineRule="auto"/>
        <w:ind w:firstLine="402" w:firstLineChars="200"/>
        <w:rPr>
          <w:rFonts w:ascii="宋体" w:hAnsi="宋体"/>
          <w:sz w:val="20"/>
          <w:szCs w:val="20"/>
        </w:rPr>
      </w:pPr>
      <w:r>
        <w:rPr>
          <w:b/>
          <w:bCs/>
          <w:sz w:val="20"/>
          <w:szCs w:val="20"/>
        </w:rPr>
        <w:t xml:space="preserve">5  </w:t>
      </w:r>
      <w:r>
        <w:rPr>
          <w:rFonts w:hint="eastAsia" w:ascii="宋体" w:hAnsi="宋体"/>
          <w:sz w:val="20"/>
          <w:szCs w:val="20"/>
        </w:rPr>
        <w:t>土钉成孔后应及时插入土钉杆体，遇塌孔、缩径时，应在处理后再插入土钉杆体。</w:t>
      </w:r>
    </w:p>
    <w:p w14:paraId="7DF0B196">
      <w:pPr>
        <w:adjustRightInd w:val="0"/>
        <w:snapToGrid w:val="0"/>
        <w:spacing w:line="288" w:lineRule="auto"/>
        <w:rPr>
          <w:rFonts w:ascii="宋体" w:hAnsi="宋体"/>
          <w:sz w:val="20"/>
          <w:szCs w:val="20"/>
        </w:rPr>
      </w:pPr>
      <w:r>
        <w:rPr>
          <w:b/>
          <w:bCs/>
          <w:kern w:val="0"/>
          <w:sz w:val="20"/>
          <w:szCs w:val="20"/>
        </w:rPr>
        <w:t xml:space="preserve">8.3.11  </w:t>
      </w:r>
      <w:r>
        <w:rPr>
          <w:rFonts w:hint="eastAsia" w:ascii="宋体" w:hAnsi="宋体"/>
          <w:bCs/>
          <w:sz w:val="20"/>
          <w:szCs w:val="20"/>
        </w:rPr>
        <w:t>钢筋</w:t>
      </w:r>
      <w:r>
        <w:rPr>
          <w:rFonts w:hint="eastAsia" w:ascii="宋体" w:hAnsi="宋体"/>
          <w:sz w:val="20"/>
          <w:szCs w:val="20"/>
        </w:rPr>
        <w:t>土钉的制浆与注浆应符合下列要求：</w:t>
      </w:r>
    </w:p>
    <w:p w14:paraId="0330FCD2">
      <w:pPr>
        <w:adjustRightInd w:val="0"/>
        <w:snapToGrid w:val="0"/>
        <w:spacing w:line="288" w:lineRule="auto"/>
        <w:ind w:firstLine="402" w:firstLineChars="200"/>
        <w:rPr>
          <w:rFonts w:ascii="宋体" w:hAnsi="宋体"/>
          <w:sz w:val="20"/>
          <w:szCs w:val="20"/>
        </w:rPr>
      </w:pPr>
      <w:r>
        <w:rPr>
          <w:b/>
          <w:bCs/>
          <w:sz w:val="20"/>
          <w:szCs w:val="20"/>
        </w:rPr>
        <w:t xml:space="preserve">1  </w:t>
      </w:r>
      <w:r>
        <w:rPr>
          <w:rFonts w:hint="eastAsia" w:ascii="宋体" w:hAnsi="宋体"/>
          <w:sz w:val="20"/>
          <w:szCs w:val="20"/>
        </w:rPr>
        <w:t>注浆材料宜用水泥浆，水泥浆水灰比宜为</w:t>
      </w:r>
      <w:r>
        <w:rPr>
          <w:sz w:val="20"/>
          <w:szCs w:val="20"/>
        </w:rPr>
        <w:t>0.5</w:t>
      </w:r>
      <w:r>
        <w:rPr>
          <w:rFonts w:hint="eastAsia"/>
          <w:sz w:val="20"/>
          <w:szCs w:val="20"/>
        </w:rPr>
        <w:t>～</w:t>
      </w:r>
      <w:r>
        <w:rPr>
          <w:sz w:val="20"/>
          <w:szCs w:val="20"/>
        </w:rPr>
        <w:t>0.</w:t>
      </w:r>
      <w:r>
        <w:rPr>
          <w:rFonts w:hint="eastAsia"/>
          <w:sz w:val="20"/>
          <w:szCs w:val="20"/>
        </w:rPr>
        <w:t>6</w:t>
      </w:r>
      <w:r>
        <w:rPr>
          <w:rFonts w:hint="eastAsia" w:ascii="宋体" w:hAnsi="宋体"/>
          <w:sz w:val="20"/>
          <w:szCs w:val="20"/>
        </w:rPr>
        <w:t>；</w:t>
      </w:r>
    </w:p>
    <w:p w14:paraId="2D25DC1A">
      <w:pPr>
        <w:widowControl/>
        <w:ind w:left="801" w:leftChars="190" w:hanging="402" w:hangingChars="200"/>
        <w:jc w:val="left"/>
      </w:pPr>
      <w:r>
        <w:rPr>
          <w:b/>
          <w:bCs/>
          <w:kern w:val="0"/>
          <w:sz w:val="20"/>
          <w:szCs w:val="20"/>
        </w:rPr>
        <w:t xml:space="preserve">2  </w:t>
      </w:r>
      <w:r>
        <w:rPr>
          <w:rFonts w:hint="eastAsia" w:ascii="宋体" w:hAnsi="宋体" w:cs="宋体"/>
          <w:kern w:val="0"/>
          <w:sz w:val="20"/>
          <w:szCs w:val="20"/>
        </w:rPr>
        <w:t>应采用专用机械设备进行浆液拌制及储备，随用随制备，在初凝前使用；</w:t>
      </w:r>
    </w:p>
    <w:p w14:paraId="3AE319F2">
      <w:pPr>
        <w:adjustRightInd w:val="0"/>
        <w:snapToGrid w:val="0"/>
        <w:spacing w:line="288" w:lineRule="auto"/>
        <w:ind w:firstLine="402" w:firstLineChars="200"/>
        <w:rPr>
          <w:rFonts w:ascii="宋体" w:hAnsi="宋体"/>
          <w:sz w:val="20"/>
          <w:szCs w:val="20"/>
        </w:rPr>
      </w:pPr>
      <w:r>
        <w:rPr>
          <w:rFonts w:hint="eastAsia"/>
          <w:b/>
          <w:bCs/>
          <w:sz w:val="20"/>
          <w:szCs w:val="20"/>
        </w:rPr>
        <w:t>3</w:t>
      </w:r>
      <w:r>
        <w:rPr>
          <w:b/>
          <w:bCs/>
          <w:sz w:val="20"/>
          <w:szCs w:val="20"/>
        </w:rPr>
        <w:t xml:space="preserve">  </w:t>
      </w:r>
      <w:r>
        <w:rPr>
          <w:rFonts w:hint="eastAsia" w:ascii="宋体" w:hAnsi="宋体"/>
          <w:sz w:val="20"/>
          <w:szCs w:val="20"/>
        </w:rPr>
        <w:t>注浆前，应将孔内残留及松动的废土清除干净；</w:t>
      </w:r>
    </w:p>
    <w:p w14:paraId="70E595C7">
      <w:pPr>
        <w:adjustRightInd w:val="0"/>
        <w:snapToGrid w:val="0"/>
        <w:spacing w:line="288" w:lineRule="auto"/>
        <w:ind w:firstLine="402" w:firstLineChars="200"/>
        <w:rPr>
          <w:rFonts w:ascii="宋体" w:hAnsi="宋体"/>
          <w:sz w:val="20"/>
          <w:szCs w:val="20"/>
        </w:rPr>
      </w:pPr>
      <w:r>
        <w:rPr>
          <w:rFonts w:hint="eastAsia"/>
          <w:b/>
          <w:bCs/>
          <w:sz w:val="20"/>
          <w:szCs w:val="20"/>
        </w:rPr>
        <w:t>4</w:t>
      </w:r>
      <w:r>
        <w:rPr>
          <w:b/>
          <w:bCs/>
          <w:sz w:val="20"/>
          <w:szCs w:val="20"/>
        </w:rPr>
        <w:t xml:space="preserve">  </w:t>
      </w:r>
      <w:r>
        <w:rPr>
          <w:rFonts w:hint="eastAsia" w:ascii="宋体" w:hAnsi="宋体"/>
          <w:sz w:val="20"/>
          <w:szCs w:val="20"/>
        </w:rPr>
        <w:t>注浆时，注浆管应插至距孔底</w:t>
      </w:r>
      <w:r>
        <w:rPr>
          <w:rFonts w:hint="eastAsia"/>
          <w:sz w:val="20"/>
          <w:szCs w:val="20"/>
        </w:rPr>
        <w:t>不大于25</w:t>
      </w:r>
      <w:r>
        <w:rPr>
          <w:sz w:val="20"/>
          <w:szCs w:val="20"/>
        </w:rPr>
        <w:t>0mm</w:t>
      </w:r>
      <w:r>
        <w:rPr>
          <w:rFonts w:hint="eastAsia" w:ascii="宋体" w:hAnsi="宋体"/>
          <w:sz w:val="20"/>
          <w:szCs w:val="20"/>
        </w:rPr>
        <w:t>处，在孔口部位宜设置止浆塞及排气管，应在新鲜浆液从孔口溢出后停止注浆；注浆后，当浆液液面明显下降时，应及时补浆；对于容易渗漏浆液的杂填土、砂卵石等地层应采取</w:t>
      </w:r>
      <w:r>
        <w:rPr>
          <w:rFonts w:hint="eastAsia"/>
        </w:rPr>
        <w:t>间隔注浆、</w:t>
      </w:r>
      <w:r>
        <w:rPr>
          <w:rFonts w:hint="eastAsia" w:ascii="宋体" w:hAnsi="宋体"/>
          <w:sz w:val="20"/>
          <w:szCs w:val="20"/>
        </w:rPr>
        <w:t>多次补浆，保证注浆饱满；</w:t>
      </w:r>
    </w:p>
    <w:p w14:paraId="3CAC4729">
      <w:pPr>
        <w:adjustRightInd w:val="0"/>
        <w:snapToGrid w:val="0"/>
        <w:spacing w:line="288" w:lineRule="auto"/>
        <w:ind w:firstLine="402" w:firstLineChars="200"/>
        <w:rPr>
          <w:rFonts w:ascii="宋体" w:hAnsi="宋体"/>
          <w:sz w:val="20"/>
          <w:szCs w:val="20"/>
        </w:rPr>
      </w:pPr>
      <w:r>
        <w:rPr>
          <w:b/>
          <w:bCs/>
          <w:sz w:val="20"/>
          <w:szCs w:val="20"/>
        </w:rPr>
        <w:t xml:space="preserve">5  </w:t>
      </w:r>
      <w:r>
        <w:rPr>
          <w:rFonts w:hint="eastAsia" w:ascii="宋体" w:hAnsi="宋体"/>
          <w:sz w:val="20"/>
          <w:szCs w:val="20"/>
        </w:rPr>
        <w:t>注浆开始或中途停止超过</w:t>
      </w:r>
      <w:r>
        <w:rPr>
          <w:sz w:val="20"/>
          <w:szCs w:val="20"/>
        </w:rPr>
        <w:t>30min</w:t>
      </w:r>
      <w:r>
        <w:rPr>
          <w:rFonts w:hint="eastAsia" w:ascii="宋体" w:hAnsi="宋体"/>
          <w:sz w:val="20"/>
          <w:szCs w:val="20"/>
        </w:rPr>
        <w:t>时，应用水或稀水泥浆润滑注浆泵及其管路。</w:t>
      </w:r>
    </w:p>
    <w:p w14:paraId="7249F11B">
      <w:pPr>
        <w:tabs>
          <w:tab w:val="left" w:pos="252"/>
          <w:tab w:val="left" w:pos="616"/>
          <w:tab w:val="left" w:pos="1080"/>
          <w:tab w:val="left" w:pos="2520"/>
          <w:tab w:val="left" w:pos="7020"/>
        </w:tabs>
        <w:adjustRightInd w:val="0"/>
        <w:snapToGrid w:val="0"/>
        <w:spacing w:line="288" w:lineRule="auto"/>
        <w:rPr>
          <w:rFonts w:ascii="宋体" w:hAnsi="宋体"/>
          <w:bCs/>
          <w:sz w:val="20"/>
          <w:szCs w:val="20"/>
        </w:rPr>
      </w:pPr>
      <w:r>
        <w:rPr>
          <w:b/>
          <w:bCs/>
          <w:kern w:val="0"/>
          <w:sz w:val="20"/>
          <w:szCs w:val="20"/>
        </w:rPr>
        <w:t xml:space="preserve">8.3.12 </w:t>
      </w:r>
      <w:r>
        <w:rPr>
          <w:rFonts w:hint="eastAsia" w:ascii="宋体" w:hAnsi="宋体"/>
          <w:sz w:val="20"/>
          <w:szCs w:val="20"/>
        </w:rPr>
        <w:t xml:space="preserve"> 打入式钢管土钉施工应符合下列要求：</w:t>
      </w:r>
    </w:p>
    <w:p w14:paraId="4E6335AB">
      <w:pPr>
        <w:tabs>
          <w:tab w:val="left" w:pos="672"/>
          <w:tab w:val="left" w:pos="1036"/>
          <w:tab w:val="left" w:pos="1620"/>
          <w:tab w:val="left" w:pos="2160"/>
          <w:tab w:val="left" w:pos="7020"/>
        </w:tabs>
        <w:adjustRightInd w:val="0"/>
        <w:snapToGrid w:val="0"/>
        <w:spacing w:line="288" w:lineRule="auto"/>
        <w:ind w:firstLine="402" w:firstLineChars="200"/>
        <w:rPr>
          <w:rFonts w:ascii="宋体" w:hAnsi="宋体"/>
          <w:bCs/>
          <w:sz w:val="20"/>
          <w:szCs w:val="20"/>
        </w:rPr>
      </w:pPr>
      <w:r>
        <w:rPr>
          <w:b/>
          <w:bCs/>
          <w:sz w:val="20"/>
          <w:szCs w:val="20"/>
        </w:rPr>
        <w:t xml:space="preserve">1  </w:t>
      </w:r>
      <w:r>
        <w:rPr>
          <w:rFonts w:hint="eastAsia" w:ascii="宋体" w:hAnsi="宋体"/>
          <w:bCs/>
          <w:sz w:val="20"/>
          <w:szCs w:val="20"/>
        </w:rPr>
        <w:t>钢管端部应制成尖锥状；顶部宜设置防止钢管顶部施打变形的加强构造；钢管应按设计要求钻设注浆孔、焊接倒刺；</w:t>
      </w:r>
    </w:p>
    <w:p w14:paraId="7ADBF0F6">
      <w:pPr>
        <w:adjustRightInd w:val="0"/>
        <w:snapToGrid w:val="0"/>
        <w:spacing w:line="288" w:lineRule="auto"/>
        <w:ind w:firstLine="402" w:firstLineChars="200"/>
        <w:rPr>
          <w:rFonts w:ascii="宋体" w:hAnsi="宋体"/>
          <w:sz w:val="20"/>
          <w:szCs w:val="20"/>
        </w:rPr>
      </w:pPr>
      <w:r>
        <w:rPr>
          <w:b/>
          <w:bCs/>
          <w:sz w:val="20"/>
          <w:szCs w:val="20"/>
        </w:rPr>
        <w:t>2</w:t>
      </w:r>
      <w:r>
        <w:rPr>
          <w:rFonts w:ascii="宋体" w:hAnsi="宋体"/>
          <w:bCs/>
          <w:sz w:val="20"/>
          <w:szCs w:val="20"/>
        </w:rPr>
        <w:t xml:space="preserve">  </w:t>
      </w:r>
      <w:r>
        <w:rPr>
          <w:rFonts w:hint="eastAsia" w:ascii="宋体" w:hAnsi="宋体"/>
          <w:bCs/>
          <w:sz w:val="20"/>
          <w:szCs w:val="20"/>
        </w:rPr>
        <w:t>注浆材料</w:t>
      </w:r>
      <w:r>
        <w:rPr>
          <w:rFonts w:hint="eastAsia" w:ascii="宋体" w:hAnsi="宋体"/>
          <w:sz w:val="20"/>
          <w:szCs w:val="20"/>
        </w:rPr>
        <w:t>应采用水泥浆；水泥浆的水灰比宜取</w:t>
      </w:r>
      <w:r>
        <w:rPr>
          <w:sz w:val="20"/>
          <w:szCs w:val="20"/>
        </w:rPr>
        <w:t>0.5</w:t>
      </w:r>
      <w:r>
        <w:rPr>
          <w:rFonts w:hint="eastAsia"/>
          <w:sz w:val="20"/>
          <w:szCs w:val="20"/>
        </w:rPr>
        <w:t>～</w:t>
      </w:r>
      <w:r>
        <w:rPr>
          <w:sz w:val="20"/>
          <w:szCs w:val="20"/>
        </w:rPr>
        <w:t>0.6</w:t>
      </w:r>
      <w:r>
        <w:rPr>
          <w:rFonts w:hint="eastAsia" w:ascii="宋体" w:hAnsi="宋体"/>
          <w:sz w:val="20"/>
          <w:szCs w:val="20"/>
        </w:rPr>
        <w:t>；</w:t>
      </w:r>
    </w:p>
    <w:p w14:paraId="2CE4EFC7">
      <w:pPr>
        <w:adjustRightInd w:val="0"/>
        <w:snapToGrid w:val="0"/>
        <w:spacing w:line="288" w:lineRule="auto"/>
        <w:ind w:firstLine="402" w:firstLineChars="200"/>
        <w:rPr>
          <w:rFonts w:ascii="宋体" w:hAnsi="宋体"/>
          <w:sz w:val="20"/>
          <w:szCs w:val="20"/>
        </w:rPr>
      </w:pPr>
      <w:r>
        <w:rPr>
          <w:b/>
          <w:bCs/>
          <w:sz w:val="20"/>
          <w:szCs w:val="20"/>
        </w:rPr>
        <w:t xml:space="preserve">3  </w:t>
      </w:r>
      <w:r>
        <w:rPr>
          <w:rFonts w:hint="eastAsia" w:ascii="宋体" w:hAnsi="宋体"/>
          <w:sz w:val="20"/>
          <w:szCs w:val="20"/>
        </w:rPr>
        <w:t>注浆压力不宜小于</w:t>
      </w:r>
      <w:r>
        <w:rPr>
          <w:sz w:val="20"/>
          <w:szCs w:val="20"/>
        </w:rPr>
        <w:t>0.6MPa</w:t>
      </w:r>
      <w:r>
        <w:rPr>
          <w:rFonts w:hint="eastAsia" w:ascii="宋体" w:hAnsi="宋体"/>
          <w:sz w:val="20"/>
          <w:szCs w:val="20"/>
        </w:rPr>
        <w:t>；应在</w:t>
      </w:r>
      <w:r>
        <w:rPr>
          <w:rFonts w:hint="eastAsia" w:ascii="宋体" w:hAnsi="宋体"/>
          <w:bCs/>
          <w:sz w:val="20"/>
          <w:szCs w:val="20"/>
        </w:rPr>
        <w:t>注浆至管顶周围出现返浆后停止注浆；当不出现返浆时</w:t>
      </w:r>
      <w:r>
        <w:rPr>
          <w:rFonts w:hint="eastAsia" w:ascii="宋体" w:hAnsi="宋体"/>
          <w:sz w:val="20"/>
          <w:szCs w:val="20"/>
        </w:rPr>
        <w:t>，可采用间歇注浆的方法；</w:t>
      </w:r>
    </w:p>
    <w:p w14:paraId="12C04F49">
      <w:pPr>
        <w:tabs>
          <w:tab w:val="left" w:pos="252"/>
          <w:tab w:val="left" w:pos="616"/>
          <w:tab w:val="left" w:pos="1080"/>
          <w:tab w:val="left" w:pos="2520"/>
          <w:tab w:val="left" w:pos="7020"/>
        </w:tabs>
        <w:adjustRightInd w:val="0"/>
        <w:snapToGrid w:val="0"/>
        <w:spacing w:line="288" w:lineRule="auto"/>
        <w:rPr>
          <w:rFonts w:ascii="宋体" w:hAnsi="宋体"/>
          <w:sz w:val="20"/>
          <w:szCs w:val="20"/>
        </w:rPr>
      </w:pPr>
      <w:r>
        <w:rPr>
          <w:b/>
          <w:bCs/>
          <w:kern w:val="0"/>
          <w:sz w:val="20"/>
          <w:szCs w:val="20"/>
        </w:rPr>
        <w:t xml:space="preserve">8.3.13 </w:t>
      </w:r>
      <w:r>
        <w:rPr>
          <w:rFonts w:hint="eastAsia" w:ascii="宋体" w:hAnsi="宋体"/>
          <w:sz w:val="20"/>
          <w:szCs w:val="20"/>
        </w:rPr>
        <w:t xml:space="preserve"> 面层钢筋网铺设应遵守下列规定：</w:t>
      </w:r>
    </w:p>
    <w:p w14:paraId="4966DF7E">
      <w:pPr>
        <w:tabs>
          <w:tab w:val="left" w:pos="672"/>
          <w:tab w:val="left" w:pos="1036"/>
          <w:tab w:val="left" w:pos="1620"/>
          <w:tab w:val="left" w:pos="2160"/>
          <w:tab w:val="left" w:pos="7020"/>
        </w:tabs>
        <w:adjustRightInd w:val="0"/>
        <w:snapToGrid w:val="0"/>
        <w:spacing w:line="288" w:lineRule="auto"/>
        <w:ind w:firstLine="402" w:firstLineChars="200"/>
        <w:rPr>
          <w:sz w:val="20"/>
          <w:szCs w:val="20"/>
        </w:rPr>
      </w:pPr>
      <w:r>
        <w:rPr>
          <w:b/>
          <w:bCs/>
          <w:sz w:val="20"/>
          <w:szCs w:val="20"/>
        </w:rPr>
        <w:t>1</w:t>
      </w:r>
      <w:r>
        <w:rPr>
          <w:sz w:val="20"/>
          <w:szCs w:val="20"/>
        </w:rPr>
        <w:t xml:space="preserve">  </w:t>
      </w:r>
      <w:r>
        <w:rPr>
          <w:rFonts w:hint="eastAsia"/>
          <w:sz w:val="20"/>
          <w:szCs w:val="20"/>
        </w:rPr>
        <w:t>钢筋网与土层坡面净距不应小于</w:t>
      </w:r>
      <w:r>
        <w:rPr>
          <w:sz w:val="20"/>
          <w:szCs w:val="20"/>
        </w:rPr>
        <w:t>30mm</w:t>
      </w:r>
      <w:r>
        <w:rPr>
          <w:rFonts w:hint="eastAsia"/>
          <w:sz w:val="20"/>
          <w:szCs w:val="20"/>
        </w:rPr>
        <w:t>；</w:t>
      </w:r>
    </w:p>
    <w:p w14:paraId="48B3D71A">
      <w:pPr>
        <w:tabs>
          <w:tab w:val="left" w:pos="672"/>
          <w:tab w:val="left" w:pos="1036"/>
          <w:tab w:val="left" w:pos="1620"/>
          <w:tab w:val="left" w:pos="2160"/>
          <w:tab w:val="left" w:pos="7020"/>
        </w:tabs>
        <w:adjustRightInd w:val="0"/>
        <w:snapToGrid w:val="0"/>
        <w:spacing w:line="288" w:lineRule="auto"/>
        <w:ind w:firstLine="402" w:firstLineChars="200"/>
        <w:rPr>
          <w:sz w:val="20"/>
          <w:szCs w:val="20"/>
        </w:rPr>
      </w:pPr>
      <w:r>
        <w:rPr>
          <w:b/>
          <w:bCs/>
          <w:sz w:val="20"/>
          <w:szCs w:val="20"/>
        </w:rPr>
        <w:t>2</w:t>
      </w:r>
      <w:r>
        <w:rPr>
          <w:sz w:val="20"/>
          <w:szCs w:val="20"/>
        </w:rPr>
        <w:t xml:space="preserve">  </w:t>
      </w:r>
      <w:r>
        <w:rPr>
          <w:rFonts w:hint="eastAsia"/>
          <w:sz w:val="20"/>
          <w:szCs w:val="20"/>
        </w:rPr>
        <w:t>采用双层钢筋网时，第二层钢筋网应在第一层钢筋网被喷射混凝土覆盖后铺设；</w:t>
      </w:r>
    </w:p>
    <w:p w14:paraId="276F3BE5">
      <w:pPr>
        <w:tabs>
          <w:tab w:val="left" w:pos="672"/>
          <w:tab w:val="left" w:pos="1036"/>
          <w:tab w:val="left" w:pos="1620"/>
          <w:tab w:val="left" w:pos="2160"/>
          <w:tab w:val="left" w:pos="7020"/>
        </w:tabs>
        <w:adjustRightInd w:val="0"/>
        <w:snapToGrid w:val="0"/>
        <w:spacing w:line="288" w:lineRule="auto"/>
        <w:ind w:firstLine="402" w:firstLineChars="200"/>
        <w:rPr>
          <w:sz w:val="20"/>
          <w:szCs w:val="20"/>
        </w:rPr>
      </w:pPr>
      <w:r>
        <w:rPr>
          <w:b/>
          <w:bCs/>
          <w:sz w:val="20"/>
          <w:szCs w:val="20"/>
        </w:rPr>
        <w:t>3</w:t>
      </w:r>
      <w:r>
        <w:rPr>
          <w:sz w:val="20"/>
          <w:szCs w:val="20"/>
        </w:rPr>
        <w:t xml:space="preserve">  </w:t>
      </w:r>
      <w:r>
        <w:rPr>
          <w:rFonts w:hint="eastAsia"/>
          <w:sz w:val="20"/>
          <w:szCs w:val="20"/>
        </w:rPr>
        <w:t>钢筋网应与土钉或其它锚定装置连结牢固，喷射混凝土时钢筋不得晃动；</w:t>
      </w:r>
    </w:p>
    <w:p w14:paraId="22C1F7D7">
      <w:pPr>
        <w:tabs>
          <w:tab w:val="left" w:pos="672"/>
          <w:tab w:val="left" w:pos="1036"/>
          <w:tab w:val="left" w:pos="1620"/>
          <w:tab w:val="left" w:pos="2160"/>
          <w:tab w:val="left" w:pos="7020"/>
        </w:tabs>
        <w:adjustRightInd w:val="0"/>
        <w:snapToGrid w:val="0"/>
        <w:spacing w:line="288" w:lineRule="auto"/>
        <w:ind w:firstLine="402" w:firstLineChars="200"/>
        <w:rPr>
          <w:b/>
          <w:bCs/>
          <w:sz w:val="20"/>
          <w:szCs w:val="20"/>
        </w:rPr>
      </w:pPr>
      <w:r>
        <w:rPr>
          <w:b/>
          <w:bCs/>
          <w:sz w:val="20"/>
          <w:szCs w:val="20"/>
        </w:rPr>
        <w:t xml:space="preserve">4  </w:t>
      </w:r>
      <w:r>
        <w:rPr>
          <w:rFonts w:hint="eastAsia"/>
          <w:sz w:val="20"/>
          <w:szCs w:val="20"/>
        </w:rPr>
        <w:t>当与排桩、地下连续墙等联合使用时，面层钢筋应与排桩冠梁、地下连续墙进行连接；</w:t>
      </w:r>
    </w:p>
    <w:p w14:paraId="56410CA9">
      <w:pPr>
        <w:tabs>
          <w:tab w:val="left" w:pos="672"/>
          <w:tab w:val="left" w:pos="1036"/>
          <w:tab w:val="left" w:pos="1620"/>
          <w:tab w:val="left" w:pos="2160"/>
          <w:tab w:val="left" w:pos="7020"/>
        </w:tabs>
        <w:adjustRightInd w:val="0"/>
        <w:snapToGrid w:val="0"/>
        <w:spacing w:line="288" w:lineRule="auto"/>
        <w:ind w:firstLine="402" w:firstLineChars="200"/>
        <w:rPr>
          <w:sz w:val="20"/>
          <w:szCs w:val="20"/>
        </w:rPr>
      </w:pPr>
      <w:r>
        <w:rPr>
          <w:b/>
          <w:bCs/>
          <w:sz w:val="20"/>
          <w:szCs w:val="20"/>
        </w:rPr>
        <w:t>5</w:t>
      </w:r>
      <w:r>
        <w:rPr>
          <w:sz w:val="20"/>
          <w:szCs w:val="20"/>
        </w:rPr>
        <w:t xml:space="preserve">  </w:t>
      </w:r>
      <w:r>
        <w:rPr>
          <w:rFonts w:hint="eastAsia"/>
          <w:sz w:val="20"/>
          <w:szCs w:val="20"/>
        </w:rPr>
        <w:t>按设计间距绑扎钢筋网片，应避免在同一截面位置搭接钢筋；水平搭接宽度不宜小于</w:t>
      </w:r>
      <w:r>
        <w:rPr>
          <w:sz w:val="20"/>
          <w:szCs w:val="20"/>
        </w:rPr>
        <w:t>300mm</w:t>
      </w:r>
      <w:r>
        <w:rPr>
          <w:rFonts w:hint="eastAsia"/>
          <w:sz w:val="20"/>
          <w:szCs w:val="20"/>
        </w:rPr>
        <w:t>，垂向搭接宽度不宜小于</w:t>
      </w:r>
      <w:r>
        <w:rPr>
          <w:sz w:val="20"/>
          <w:szCs w:val="20"/>
        </w:rPr>
        <w:t>0.5m</w:t>
      </w:r>
      <w:r>
        <w:rPr>
          <w:rFonts w:hint="eastAsia"/>
          <w:sz w:val="20"/>
          <w:szCs w:val="20"/>
        </w:rPr>
        <w:t>，钢筋搭接宜采用弯钩或焊接形式。</w:t>
      </w:r>
    </w:p>
    <w:p w14:paraId="133820EC">
      <w:pPr>
        <w:adjustRightInd w:val="0"/>
        <w:snapToGrid w:val="0"/>
        <w:spacing w:line="288" w:lineRule="auto"/>
        <w:rPr>
          <w:sz w:val="20"/>
          <w:szCs w:val="20"/>
        </w:rPr>
      </w:pPr>
      <w:r>
        <w:rPr>
          <w:b/>
          <w:bCs/>
          <w:kern w:val="0"/>
          <w:sz w:val="20"/>
          <w:szCs w:val="20"/>
        </w:rPr>
        <w:t xml:space="preserve">8.3.14  </w:t>
      </w:r>
      <w:r>
        <w:rPr>
          <w:sz w:val="20"/>
          <w:szCs w:val="20"/>
        </w:rPr>
        <w:t>喷射混凝土施工应符合下列规定：</w:t>
      </w:r>
    </w:p>
    <w:p w14:paraId="23DC34D6">
      <w:pPr>
        <w:adjustRightInd w:val="0"/>
        <w:snapToGrid w:val="0"/>
        <w:spacing w:line="288" w:lineRule="auto"/>
        <w:ind w:firstLine="402" w:firstLineChars="200"/>
        <w:rPr>
          <w:sz w:val="20"/>
          <w:szCs w:val="20"/>
        </w:rPr>
      </w:pPr>
      <w:r>
        <w:rPr>
          <w:b/>
          <w:bCs/>
          <w:sz w:val="20"/>
          <w:szCs w:val="20"/>
        </w:rPr>
        <w:t xml:space="preserve">1  </w:t>
      </w:r>
      <w:r>
        <w:rPr>
          <w:bCs/>
          <w:sz w:val="20"/>
          <w:szCs w:val="20"/>
        </w:rPr>
        <w:t>喷射</w:t>
      </w:r>
      <w:r>
        <w:rPr>
          <w:sz w:val="20"/>
          <w:szCs w:val="20"/>
        </w:rPr>
        <w:t>混凝土的原材料应满足下列规定：</w:t>
      </w:r>
    </w:p>
    <w:p w14:paraId="6128CEA9">
      <w:pPr>
        <w:adjustRightInd w:val="0"/>
        <w:snapToGrid w:val="0"/>
        <w:spacing w:line="288" w:lineRule="auto"/>
        <w:ind w:firstLine="600" w:firstLineChars="300"/>
        <w:rPr>
          <w:sz w:val="20"/>
          <w:szCs w:val="20"/>
        </w:rPr>
      </w:pPr>
      <w:r>
        <w:rPr>
          <w:sz w:val="20"/>
          <w:szCs w:val="20"/>
        </w:rPr>
        <w:t>1）水泥宜选用普通硅酸盐水泥，强度等级不应低于P·O42.5；</w:t>
      </w:r>
    </w:p>
    <w:p w14:paraId="5693CC22">
      <w:pPr>
        <w:adjustRightInd w:val="0"/>
        <w:snapToGrid w:val="0"/>
        <w:spacing w:line="288" w:lineRule="auto"/>
        <w:ind w:firstLine="600" w:firstLineChars="300"/>
        <w:rPr>
          <w:sz w:val="20"/>
          <w:szCs w:val="20"/>
        </w:rPr>
      </w:pPr>
      <w:r>
        <w:rPr>
          <w:sz w:val="20"/>
          <w:szCs w:val="20"/>
        </w:rPr>
        <w:t>2）砂采用中、粗砂；</w:t>
      </w:r>
    </w:p>
    <w:p w14:paraId="1A4CB40D">
      <w:pPr>
        <w:adjustRightInd w:val="0"/>
        <w:snapToGrid w:val="0"/>
        <w:spacing w:line="288" w:lineRule="auto"/>
        <w:ind w:firstLine="600" w:firstLineChars="300"/>
        <w:rPr>
          <w:sz w:val="20"/>
          <w:szCs w:val="20"/>
        </w:rPr>
      </w:pPr>
      <w:r>
        <w:rPr>
          <w:sz w:val="20"/>
          <w:szCs w:val="20"/>
        </w:rPr>
        <w:t>3）碎石粒径不宜大于15mm；</w:t>
      </w:r>
    </w:p>
    <w:p w14:paraId="4D5EAA22">
      <w:pPr>
        <w:pStyle w:val="12"/>
        <w:spacing w:line="288" w:lineRule="auto"/>
        <w:ind w:left="798" w:leftChars="285" w:hanging="200" w:hangingChars="100"/>
        <w:rPr>
          <w:rFonts w:ascii="Times New Roman" w:hAnsi="Times New Roman"/>
        </w:rPr>
      </w:pPr>
      <w:r>
        <w:rPr>
          <w:rFonts w:ascii="Times New Roman" w:hAnsi="Times New Roman"/>
          <w:sz w:val="20"/>
          <w:szCs w:val="20"/>
        </w:rPr>
        <w:t>4）速凝剂使用前，应做与水泥的相容性试验及水泥净浆凝结效果试验。</w:t>
      </w:r>
    </w:p>
    <w:p w14:paraId="2E871FAD">
      <w:pPr>
        <w:adjustRightInd w:val="0"/>
        <w:snapToGrid w:val="0"/>
        <w:spacing w:line="288" w:lineRule="auto"/>
        <w:ind w:firstLine="402" w:firstLineChars="200"/>
        <w:rPr>
          <w:sz w:val="20"/>
          <w:szCs w:val="20"/>
        </w:rPr>
      </w:pPr>
      <w:r>
        <w:rPr>
          <w:b/>
          <w:bCs/>
          <w:sz w:val="20"/>
          <w:szCs w:val="20"/>
        </w:rPr>
        <w:t xml:space="preserve">2  </w:t>
      </w:r>
      <w:r>
        <w:rPr>
          <w:bCs/>
          <w:sz w:val="20"/>
          <w:szCs w:val="20"/>
        </w:rPr>
        <w:t>喷射</w:t>
      </w:r>
      <w:r>
        <w:rPr>
          <w:sz w:val="20"/>
          <w:szCs w:val="20"/>
        </w:rPr>
        <w:t>混凝土施工机具的选用应符合下列规定：</w:t>
      </w:r>
    </w:p>
    <w:p w14:paraId="6FFBFA99">
      <w:pPr>
        <w:adjustRightInd w:val="0"/>
        <w:snapToGrid w:val="0"/>
        <w:spacing w:line="288" w:lineRule="auto"/>
        <w:ind w:left="897" w:leftChars="286" w:hanging="296" w:hangingChars="148"/>
        <w:rPr>
          <w:sz w:val="20"/>
          <w:szCs w:val="20"/>
        </w:rPr>
      </w:pPr>
      <w:r>
        <w:rPr>
          <w:sz w:val="20"/>
          <w:szCs w:val="20"/>
        </w:rPr>
        <w:t>1）混凝土喷射机应密封性良好，输料连续均匀，允许输送骨料最大粒径为25mm，输送水平距离不宜小于100m，垂直距离不宜小于30m；</w:t>
      </w:r>
    </w:p>
    <w:p w14:paraId="0272ADD9">
      <w:pPr>
        <w:adjustRightInd w:val="0"/>
        <w:snapToGrid w:val="0"/>
        <w:spacing w:line="288" w:lineRule="auto"/>
        <w:ind w:left="895" w:leftChars="286" w:hanging="294" w:hangingChars="147"/>
        <w:rPr>
          <w:sz w:val="20"/>
          <w:szCs w:val="20"/>
        </w:rPr>
      </w:pPr>
      <w:r>
        <w:rPr>
          <w:sz w:val="20"/>
          <w:szCs w:val="20"/>
        </w:rPr>
        <w:t>2）选用的空压机应满足喷射机工作风压和耗风量的要求，一般选用9m</w:t>
      </w:r>
      <w:r>
        <w:rPr>
          <w:sz w:val="20"/>
          <w:szCs w:val="20"/>
          <w:vertAlign w:val="superscript"/>
        </w:rPr>
        <w:t>3</w:t>
      </w:r>
      <w:r>
        <w:rPr>
          <w:sz w:val="20"/>
          <w:szCs w:val="20"/>
        </w:rPr>
        <w:t>/min以上的空压机；</w:t>
      </w:r>
    </w:p>
    <w:p w14:paraId="362A5C85">
      <w:pPr>
        <w:adjustRightInd w:val="0"/>
        <w:snapToGrid w:val="0"/>
        <w:spacing w:line="288" w:lineRule="auto"/>
        <w:ind w:left="895" w:leftChars="286" w:hanging="294" w:hangingChars="147"/>
        <w:rPr>
          <w:sz w:val="20"/>
          <w:szCs w:val="20"/>
        </w:rPr>
      </w:pPr>
      <w:r>
        <w:rPr>
          <w:sz w:val="20"/>
          <w:szCs w:val="20"/>
        </w:rPr>
        <w:t>3）输料管应能承受0.8MPa以上的压力，并应有良好的耐磨性能；</w:t>
      </w:r>
    </w:p>
    <w:p w14:paraId="4148D780">
      <w:pPr>
        <w:adjustRightInd w:val="0"/>
        <w:snapToGrid w:val="0"/>
        <w:spacing w:line="288" w:lineRule="auto"/>
        <w:ind w:firstLine="600" w:firstLineChars="300"/>
        <w:rPr>
          <w:sz w:val="20"/>
          <w:szCs w:val="20"/>
        </w:rPr>
      </w:pPr>
      <w:r>
        <w:rPr>
          <w:sz w:val="20"/>
          <w:szCs w:val="20"/>
        </w:rPr>
        <w:t>4）供水设施应保证喷头处足够的水压，即水压应大于0.2MPa。</w:t>
      </w:r>
    </w:p>
    <w:p w14:paraId="112F3475">
      <w:pPr>
        <w:adjustRightInd w:val="0"/>
        <w:snapToGrid w:val="0"/>
        <w:spacing w:line="288" w:lineRule="auto"/>
        <w:ind w:firstLine="402" w:firstLineChars="200"/>
        <w:rPr>
          <w:sz w:val="20"/>
          <w:szCs w:val="20"/>
        </w:rPr>
      </w:pPr>
      <w:r>
        <w:rPr>
          <w:b/>
          <w:bCs/>
          <w:sz w:val="20"/>
          <w:szCs w:val="20"/>
        </w:rPr>
        <w:t xml:space="preserve">3  </w:t>
      </w:r>
      <w:r>
        <w:rPr>
          <w:bCs/>
          <w:sz w:val="20"/>
          <w:szCs w:val="20"/>
        </w:rPr>
        <w:t>混</w:t>
      </w:r>
      <w:r>
        <w:rPr>
          <w:sz w:val="20"/>
          <w:szCs w:val="20"/>
        </w:rPr>
        <w:t>合料的配比与拌制应符合下列规定：</w:t>
      </w:r>
    </w:p>
    <w:p w14:paraId="2AED5CA7">
      <w:pPr>
        <w:adjustRightInd w:val="0"/>
        <w:snapToGrid w:val="0"/>
        <w:spacing w:line="288" w:lineRule="auto"/>
        <w:ind w:left="880" w:leftChars="277" w:hanging="298" w:hangingChars="149"/>
        <w:rPr>
          <w:sz w:val="20"/>
          <w:szCs w:val="20"/>
        </w:rPr>
      </w:pPr>
      <w:r>
        <w:rPr>
          <w:sz w:val="20"/>
          <w:szCs w:val="20"/>
        </w:rPr>
        <w:t>1）水泥与砂石之重量比宜为1:4～1:4.5，砂率宜为45％～55％，水灰比宜为0.40～0.45；</w:t>
      </w:r>
    </w:p>
    <w:p w14:paraId="68BCB16B">
      <w:pPr>
        <w:adjustRightInd w:val="0"/>
        <w:snapToGrid w:val="0"/>
        <w:spacing w:line="288" w:lineRule="auto"/>
        <w:ind w:left="895" w:leftChars="286" w:hanging="294" w:hangingChars="147"/>
        <w:rPr>
          <w:sz w:val="20"/>
          <w:szCs w:val="20"/>
        </w:rPr>
      </w:pPr>
      <w:r>
        <w:rPr>
          <w:sz w:val="20"/>
          <w:szCs w:val="20"/>
        </w:rPr>
        <w:t>2）原材料称量允许偏差，水泥和速凝剂为±2％，砂石材料为±5％；</w:t>
      </w:r>
    </w:p>
    <w:p w14:paraId="5829C48B">
      <w:pPr>
        <w:widowControl/>
        <w:spacing w:line="288" w:lineRule="auto"/>
        <w:ind w:left="598" w:leftChars="285"/>
        <w:jc w:val="left"/>
        <w:rPr>
          <w:sz w:val="20"/>
          <w:szCs w:val="20"/>
        </w:rPr>
      </w:pPr>
      <w:r>
        <w:rPr>
          <w:sz w:val="20"/>
          <w:szCs w:val="20"/>
        </w:rPr>
        <w:t>3）混合料应拌合均匀，搅拌机拌合时间不少于2min。</w:t>
      </w:r>
      <w:r>
        <w:rPr>
          <w:kern w:val="0"/>
          <w:sz w:val="20"/>
          <w:szCs w:val="20"/>
        </w:rPr>
        <w:t>不掺速凝剂时，存放时间不应超过2h。</w:t>
      </w:r>
    </w:p>
    <w:p w14:paraId="656AF4A8">
      <w:pPr>
        <w:adjustRightInd w:val="0"/>
        <w:snapToGrid w:val="0"/>
        <w:spacing w:line="288" w:lineRule="auto"/>
        <w:ind w:firstLine="402" w:firstLineChars="200"/>
        <w:rPr>
          <w:sz w:val="20"/>
          <w:szCs w:val="20"/>
        </w:rPr>
      </w:pPr>
      <w:r>
        <w:rPr>
          <w:b/>
          <w:bCs/>
          <w:sz w:val="20"/>
          <w:szCs w:val="20"/>
        </w:rPr>
        <w:t xml:space="preserve">4  </w:t>
      </w:r>
      <w:r>
        <w:rPr>
          <w:bCs/>
          <w:sz w:val="20"/>
          <w:szCs w:val="20"/>
        </w:rPr>
        <w:t>喷射</w:t>
      </w:r>
      <w:r>
        <w:rPr>
          <w:sz w:val="20"/>
          <w:szCs w:val="20"/>
        </w:rPr>
        <w:t>混凝土作业应符合下列规定：</w:t>
      </w:r>
    </w:p>
    <w:p w14:paraId="27B3C01E">
      <w:pPr>
        <w:adjustRightInd w:val="0"/>
        <w:snapToGrid w:val="0"/>
        <w:spacing w:line="288" w:lineRule="auto"/>
        <w:ind w:left="897" w:leftChars="286" w:hanging="296" w:hangingChars="148"/>
        <w:rPr>
          <w:sz w:val="20"/>
          <w:szCs w:val="20"/>
        </w:rPr>
      </w:pPr>
      <w:r>
        <w:rPr>
          <w:sz w:val="20"/>
          <w:szCs w:val="20"/>
        </w:rPr>
        <w:t>1）喷射作业应分层分段依次进行，同一分段内喷射顺序应自下而上，一次喷射厚度宜为40mm～70mm；</w:t>
      </w:r>
    </w:p>
    <w:p w14:paraId="5FEAA3B1">
      <w:pPr>
        <w:adjustRightInd w:val="0"/>
        <w:snapToGrid w:val="0"/>
        <w:spacing w:line="288" w:lineRule="auto"/>
        <w:ind w:left="895" w:leftChars="286" w:hanging="294" w:hangingChars="147"/>
        <w:rPr>
          <w:sz w:val="20"/>
          <w:szCs w:val="20"/>
        </w:rPr>
      </w:pPr>
      <w:r>
        <w:rPr>
          <w:sz w:val="20"/>
          <w:szCs w:val="20"/>
        </w:rPr>
        <w:t>2）喷射时，喷头与受喷面宜垂直，距离宜保持0.6m～1.0m；</w:t>
      </w:r>
    </w:p>
    <w:p w14:paraId="01C247CF">
      <w:pPr>
        <w:pStyle w:val="12"/>
        <w:spacing w:line="288" w:lineRule="auto"/>
        <w:ind w:left="798" w:leftChars="285" w:hanging="200" w:hangingChars="100"/>
        <w:rPr>
          <w:rFonts w:ascii="Times New Roman" w:hAnsi="Times New Roman"/>
          <w:sz w:val="20"/>
          <w:szCs w:val="20"/>
        </w:rPr>
      </w:pPr>
      <w:r>
        <w:rPr>
          <w:rFonts w:ascii="Times New Roman" w:hAnsi="Times New Roman"/>
          <w:sz w:val="20"/>
          <w:szCs w:val="20"/>
        </w:rPr>
        <w:t>3）喷射混凝土终凝2h后，应喷水养护，养护时间，根据气温环境等条件，一般为3d～7d。冬季施工时，不应喷水养护，应采取必要的保温措施。</w:t>
      </w:r>
    </w:p>
    <w:p w14:paraId="48714A30">
      <w:pPr>
        <w:tabs>
          <w:tab w:val="left" w:pos="252"/>
          <w:tab w:val="left" w:pos="616"/>
          <w:tab w:val="left" w:pos="1080"/>
          <w:tab w:val="left" w:pos="2520"/>
          <w:tab w:val="left" w:pos="7020"/>
        </w:tabs>
        <w:adjustRightInd w:val="0"/>
        <w:snapToGrid w:val="0"/>
        <w:spacing w:line="288" w:lineRule="auto"/>
        <w:rPr>
          <w:rFonts w:ascii="宋体" w:hAnsi="宋体"/>
          <w:bCs/>
          <w:sz w:val="20"/>
          <w:szCs w:val="20"/>
        </w:rPr>
      </w:pPr>
      <w:r>
        <w:rPr>
          <w:b/>
          <w:bCs/>
          <w:kern w:val="0"/>
          <w:sz w:val="20"/>
          <w:szCs w:val="20"/>
        </w:rPr>
        <w:t xml:space="preserve">8.3.15  </w:t>
      </w:r>
      <w:r>
        <w:rPr>
          <w:rFonts w:hint="eastAsia" w:ascii="宋体" w:hAnsi="宋体"/>
          <w:sz w:val="20"/>
          <w:szCs w:val="20"/>
        </w:rPr>
        <w:t>土钉墙的施工偏差应符合下列要求：</w:t>
      </w:r>
    </w:p>
    <w:p w14:paraId="4D0D8CEA">
      <w:pPr>
        <w:adjustRightInd w:val="0"/>
        <w:snapToGrid w:val="0"/>
        <w:spacing w:line="288" w:lineRule="auto"/>
        <w:ind w:firstLine="402" w:firstLineChars="200"/>
        <w:rPr>
          <w:rFonts w:ascii="宋体" w:hAnsi="宋体"/>
          <w:sz w:val="20"/>
          <w:szCs w:val="20"/>
        </w:rPr>
      </w:pPr>
      <w:r>
        <w:rPr>
          <w:b/>
          <w:bCs/>
          <w:sz w:val="20"/>
          <w:szCs w:val="20"/>
        </w:rPr>
        <w:t>1</w:t>
      </w:r>
      <w:r>
        <w:rPr>
          <w:rFonts w:hint="eastAsia" w:ascii="宋体" w:hAnsi="宋体"/>
          <w:sz w:val="20"/>
          <w:szCs w:val="20"/>
        </w:rPr>
        <w:t>孔深允许偏差为</w:t>
      </w:r>
      <w:r>
        <w:rPr>
          <w:sz w:val="20"/>
          <w:szCs w:val="20"/>
        </w:rPr>
        <w:t>+50mm</w:t>
      </w:r>
      <w:r>
        <w:rPr>
          <w:rFonts w:hint="eastAsia" w:ascii="宋体" w:hAnsi="宋体"/>
          <w:sz w:val="20"/>
          <w:szCs w:val="20"/>
        </w:rPr>
        <w:t>；</w:t>
      </w:r>
    </w:p>
    <w:p w14:paraId="077689A0">
      <w:pPr>
        <w:adjustRightInd w:val="0"/>
        <w:snapToGrid w:val="0"/>
        <w:spacing w:line="288" w:lineRule="auto"/>
        <w:ind w:firstLine="402" w:firstLineChars="200"/>
        <w:rPr>
          <w:rFonts w:ascii="宋体" w:hAnsi="宋体"/>
          <w:sz w:val="20"/>
          <w:szCs w:val="20"/>
        </w:rPr>
      </w:pPr>
      <w:r>
        <w:rPr>
          <w:b/>
          <w:bCs/>
          <w:sz w:val="20"/>
          <w:szCs w:val="20"/>
        </w:rPr>
        <w:t>2</w:t>
      </w:r>
      <w:r>
        <w:rPr>
          <w:rFonts w:hint="eastAsia" w:ascii="宋体" w:hAnsi="宋体"/>
          <w:sz w:val="20"/>
          <w:szCs w:val="20"/>
        </w:rPr>
        <w:t xml:space="preserve"> 孔径允许偏差为</w:t>
      </w:r>
      <w:r>
        <w:rPr>
          <w:rFonts w:hint="eastAsia"/>
          <w:sz w:val="20"/>
          <w:szCs w:val="20"/>
        </w:rPr>
        <w:t>±</w:t>
      </w:r>
      <w:r>
        <w:rPr>
          <w:sz w:val="20"/>
          <w:szCs w:val="20"/>
        </w:rPr>
        <w:t>5mm</w:t>
      </w:r>
      <w:r>
        <w:rPr>
          <w:rFonts w:hint="eastAsia" w:ascii="宋体" w:hAnsi="宋体"/>
          <w:sz w:val="20"/>
          <w:szCs w:val="20"/>
        </w:rPr>
        <w:t>；</w:t>
      </w:r>
    </w:p>
    <w:p w14:paraId="0FC0D9B1">
      <w:pPr>
        <w:adjustRightInd w:val="0"/>
        <w:snapToGrid w:val="0"/>
        <w:spacing w:line="288" w:lineRule="auto"/>
        <w:ind w:firstLine="402" w:firstLineChars="200"/>
        <w:rPr>
          <w:rFonts w:ascii="宋体" w:hAnsi="宋体"/>
          <w:sz w:val="20"/>
          <w:szCs w:val="20"/>
        </w:rPr>
      </w:pPr>
      <w:r>
        <w:rPr>
          <w:b/>
          <w:bCs/>
          <w:sz w:val="20"/>
          <w:szCs w:val="20"/>
        </w:rPr>
        <w:t>3</w:t>
      </w:r>
      <w:r>
        <w:rPr>
          <w:rFonts w:hint="eastAsia" w:ascii="宋体" w:hAnsi="宋体"/>
          <w:sz w:val="20"/>
          <w:szCs w:val="20"/>
        </w:rPr>
        <w:t>土钉孔位允许偏差为</w:t>
      </w:r>
      <w:r>
        <w:rPr>
          <w:rFonts w:hint="eastAsia"/>
          <w:sz w:val="20"/>
          <w:szCs w:val="20"/>
        </w:rPr>
        <w:t>±</w:t>
      </w:r>
      <w:r>
        <w:rPr>
          <w:sz w:val="20"/>
          <w:szCs w:val="20"/>
        </w:rPr>
        <w:t>100mm</w:t>
      </w:r>
      <w:r>
        <w:rPr>
          <w:rFonts w:hint="eastAsia" w:ascii="宋体" w:hAnsi="宋体"/>
          <w:sz w:val="20"/>
          <w:szCs w:val="20"/>
        </w:rPr>
        <w:t>；</w:t>
      </w:r>
    </w:p>
    <w:p w14:paraId="1CD7222F">
      <w:pPr>
        <w:adjustRightInd w:val="0"/>
        <w:snapToGrid w:val="0"/>
        <w:spacing w:line="288" w:lineRule="auto"/>
        <w:ind w:firstLine="402" w:firstLineChars="200"/>
        <w:rPr>
          <w:rFonts w:ascii="宋体" w:hAnsi="宋体"/>
          <w:sz w:val="20"/>
          <w:szCs w:val="20"/>
        </w:rPr>
      </w:pPr>
      <w:r>
        <w:rPr>
          <w:b/>
          <w:bCs/>
          <w:sz w:val="20"/>
          <w:szCs w:val="20"/>
        </w:rPr>
        <w:t xml:space="preserve">4 </w:t>
      </w:r>
      <w:r>
        <w:rPr>
          <w:rFonts w:hint="eastAsia" w:ascii="宋体" w:hAnsi="宋体"/>
          <w:sz w:val="20"/>
          <w:szCs w:val="20"/>
        </w:rPr>
        <w:t>成孔倾角偏差为</w:t>
      </w:r>
      <w:r>
        <w:rPr>
          <w:rFonts w:hint="eastAsia"/>
          <w:sz w:val="20"/>
          <w:szCs w:val="20"/>
        </w:rPr>
        <w:t>±</w:t>
      </w:r>
      <w:r>
        <w:rPr>
          <w:sz w:val="20"/>
          <w:szCs w:val="20"/>
        </w:rPr>
        <w:t>3</w:t>
      </w:r>
      <w:r>
        <w:rPr>
          <w:rFonts w:hint="eastAsia" w:ascii="宋体" w:hAnsi="宋体"/>
          <w:sz w:val="20"/>
          <w:szCs w:val="20"/>
        </w:rPr>
        <w:t>º；</w:t>
      </w:r>
    </w:p>
    <w:p w14:paraId="4AB09CAF">
      <w:pPr>
        <w:tabs>
          <w:tab w:val="left" w:pos="252"/>
          <w:tab w:val="left" w:pos="616"/>
          <w:tab w:val="left" w:pos="1080"/>
          <w:tab w:val="left" w:pos="2520"/>
          <w:tab w:val="left" w:pos="3060"/>
          <w:tab w:val="left" w:pos="7020"/>
        </w:tabs>
        <w:adjustRightInd w:val="0"/>
        <w:snapToGrid w:val="0"/>
        <w:spacing w:line="288" w:lineRule="auto"/>
        <w:ind w:firstLine="402" w:firstLineChars="200"/>
        <w:rPr>
          <w:rFonts w:ascii="宋体" w:hAnsi="宋体"/>
          <w:sz w:val="20"/>
          <w:szCs w:val="20"/>
        </w:rPr>
      </w:pPr>
      <w:r>
        <w:rPr>
          <w:b/>
          <w:bCs/>
          <w:sz w:val="20"/>
          <w:szCs w:val="20"/>
        </w:rPr>
        <w:t xml:space="preserve">5 </w:t>
      </w:r>
      <w:r>
        <w:rPr>
          <w:rFonts w:hint="eastAsia" w:ascii="宋体" w:hAnsi="宋体"/>
          <w:sz w:val="20"/>
          <w:szCs w:val="20"/>
        </w:rPr>
        <w:t>钢筋网间距的允许偏差应为</w:t>
      </w:r>
      <w:r>
        <w:rPr>
          <w:rFonts w:hint="eastAsia"/>
          <w:sz w:val="20"/>
          <w:szCs w:val="20"/>
        </w:rPr>
        <w:t>±</w:t>
      </w:r>
      <w:r>
        <w:rPr>
          <w:sz w:val="20"/>
          <w:szCs w:val="20"/>
        </w:rPr>
        <w:t>30mm</w:t>
      </w:r>
      <w:r>
        <w:rPr>
          <w:rFonts w:hint="eastAsia" w:ascii="宋体" w:hAnsi="宋体"/>
          <w:sz w:val="20"/>
          <w:szCs w:val="20"/>
        </w:rPr>
        <w:t>。</w:t>
      </w:r>
    </w:p>
    <w:p w14:paraId="2737DEF5">
      <w:pPr>
        <w:tabs>
          <w:tab w:val="left" w:pos="672"/>
          <w:tab w:val="left" w:pos="1036"/>
          <w:tab w:val="left" w:pos="1620"/>
          <w:tab w:val="left" w:pos="2160"/>
          <w:tab w:val="left" w:pos="7020"/>
        </w:tabs>
        <w:adjustRightInd w:val="0"/>
        <w:snapToGrid w:val="0"/>
        <w:spacing w:line="288" w:lineRule="auto"/>
        <w:rPr>
          <w:rFonts w:ascii="宋体" w:hAnsi="宋体"/>
          <w:spacing w:val="-2"/>
          <w:sz w:val="20"/>
          <w:szCs w:val="20"/>
        </w:rPr>
      </w:pPr>
      <w:r>
        <w:rPr>
          <w:b/>
          <w:bCs/>
          <w:kern w:val="0"/>
          <w:sz w:val="20"/>
          <w:szCs w:val="20"/>
        </w:rPr>
        <w:t xml:space="preserve">8.3.16  </w:t>
      </w:r>
      <w:r>
        <w:rPr>
          <w:rFonts w:hint="eastAsia" w:ascii="宋体" w:hAnsi="宋体"/>
          <w:bCs/>
          <w:spacing w:val="-2"/>
          <w:sz w:val="20"/>
          <w:szCs w:val="20"/>
        </w:rPr>
        <w:t>复合土钉墙中预应力锚杆的施工应符合本规程第</w:t>
      </w:r>
      <w:r>
        <w:rPr>
          <w:sz w:val="20"/>
          <w:szCs w:val="20"/>
        </w:rPr>
        <w:t>7.</w:t>
      </w:r>
      <w:r>
        <w:rPr>
          <w:rFonts w:hint="eastAsia"/>
          <w:sz w:val="20"/>
          <w:szCs w:val="20"/>
        </w:rPr>
        <w:t>8</w:t>
      </w:r>
      <w:r>
        <w:rPr>
          <w:rFonts w:hint="eastAsia" w:ascii="宋体" w:hAnsi="宋体"/>
          <w:bCs/>
          <w:spacing w:val="-2"/>
          <w:sz w:val="20"/>
          <w:szCs w:val="20"/>
        </w:rPr>
        <w:t>节的有关规定。</w:t>
      </w:r>
      <w:r>
        <w:rPr>
          <w:rFonts w:hint="eastAsia" w:ascii="宋体" w:hAnsi="宋体"/>
          <w:spacing w:val="-2"/>
          <w:sz w:val="20"/>
          <w:szCs w:val="20"/>
        </w:rPr>
        <w:t>微型桩的施工应参照现行行业标准《建筑桩基技术规范》</w:t>
      </w:r>
      <w:r>
        <w:rPr>
          <w:sz w:val="20"/>
          <w:szCs w:val="20"/>
        </w:rPr>
        <w:t>JGJ94</w:t>
      </w:r>
      <w:r>
        <w:rPr>
          <w:rFonts w:hint="eastAsia" w:ascii="宋体" w:hAnsi="宋体"/>
          <w:spacing w:val="-2"/>
          <w:sz w:val="20"/>
          <w:szCs w:val="20"/>
        </w:rPr>
        <w:t>的有关规定。</w:t>
      </w:r>
    </w:p>
    <w:p w14:paraId="332D67EB">
      <w:pPr>
        <w:tabs>
          <w:tab w:val="left" w:pos="672"/>
          <w:tab w:val="left" w:pos="1036"/>
          <w:tab w:val="left" w:pos="1620"/>
          <w:tab w:val="left" w:pos="2160"/>
          <w:tab w:val="left" w:pos="7020"/>
        </w:tabs>
        <w:adjustRightInd w:val="0"/>
        <w:snapToGrid w:val="0"/>
        <w:spacing w:line="288" w:lineRule="auto"/>
        <w:rPr>
          <w:rFonts w:ascii="宋体" w:hAnsi="宋体"/>
          <w:spacing w:val="-2"/>
          <w:sz w:val="20"/>
          <w:szCs w:val="20"/>
        </w:rPr>
      </w:pPr>
      <w:r>
        <w:rPr>
          <w:b/>
          <w:bCs/>
          <w:spacing w:val="-2"/>
          <w:sz w:val="20"/>
          <w:szCs w:val="20"/>
        </w:rPr>
        <w:t xml:space="preserve">8.3.17 </w:t>
      </w:r>
      <w:r>
        <w:rPr>
          <w:rFonts w:hint="eastAsia" w:ascii="宋体" w:hAnsi="宋体"/>
          <w:spacing w:val="-2"/>
          <w:sz w:val="20"/>
          <w:szCs w:val="20"/>
        </w:rPr>
        <w:t xml:space="preserve"> 土钉墙施工过程中，应结合施工过程中的基坑监测成果，进行信息化施工。</w:t>
      </w:r>
    </w:p>
    <w:p w14:paraId="1E6F9406">
      <w:pPr>
        <w:widowControl/>
        <w:tabs>
          <w:tab w:val="left" w:pos="672"/>
          <w:tab w:val="left" w:pos="1036"/>
          <w:tab w:val="left" w:pos="1620"/>
          <w:tab w:val="left" w:pos="2160"/>
          <w:tab w:val="left" w:pos="7020"/>
        </w:tabs>
        <w:adjustRightInd w:val="0"/>
        <w:snapToGrid w:val="0"/>
        <w:spacing w:line="288" w:lineRule="auto"/>
        <w:jc w:val="left"/>
        <w:rPr>
          <w:rFonts w:ascii="宋体" w:hAnsi="宋体"/>
          <w:spacing w:val="-2"/>
          <w:sz w:val="20"/>
          <w:szCs w:val="20"/>
        </w:rPr>
      </w:pPr>
      <w:r>
        <w:rPr>
          <w:b/>
          <w:bCs/>
          <w:spacing w:val="-2"/>
          <w:sz w:val="20"/>
          <w:szCs w:val="20"/>
        </w:rPr>
        <w:t xml:space="preserve">8.3.18 </w:t>
      </w:r>
      <w:r>
        <w:rPr>
          <w:rFonts w:hint="eastAsia" w:ascii="宋体" w:hAnsi="宋体"/>
          <w:spacing w:val="-2"/>
          <w:sz w:val="20"/>
          <w:szCs w:val="20"/>
        </w:rPr>
        <w:t xml:space="preserve"> 施工期间坡顶应按设计要求控制坡顶荷载。</w:t>
      </w:r>
    </w:p>
    <w:p w14:paraId="4E6142CA">
      <w:pPr>
        <w:pStyle w:val="7"/>
        <w:keepNext w:val="0"/>
        <w:keepLines w:val="0"/>
        <w:adjustRightInd w:val="0"/>
        <w:snapToGrid w:val="0"/>
        <w:spacing w:before="312" w:beforeLines="100" w:after="312" w:afterLines="100" w:line="288" w:lineRule="auto"/>
        <w:jc w:val="center"/>
        <w:rPr>
          <w:rFonts w:ascii="宋体" w:hAnsi="宋体"/>
          <w:b w:val="0"/>
          <w:sz w:val="20"/>
          <w:szCs w:val="20"/>
        </w:rPr>
      </w:pPr>
      <w:bookmarkStart w:id="99" w:name="_Toc139613738"/>
      <w:r>
        <w:rPr>
          <w:sz w:val="20"/>
          <w:szCs w:val="20"/>
        </w:rPr>
        <w:t xml:space="preserve">8.4  </w:t>
      </w:r>
      <w:r>
        <w:rPr>
          <w:rFonts w:hint="eastAsia" w:ascii="黑体" w:hAnsi="黑体" w:eastAsia="黑体"/>
          <w:b w:val="0"/>
          <w:sz w:val="20"/>
          <w:szCs w:val="20"/>
        </w:rPr>
        <w:t>质量检测</w:t>
      </w:r>
      <w:bookmarkEnd w:id="99"/>
    </w:p>
    <w:p w14:paraId="5CE0DC51">
      <w:pPr>
        <w:widowControl/>
        <w:adjustRightInd w:val="0"/>
        <w:snapToGrid w:val="0"/>
        <w:spacing w:line="288" w:lineRule="auto"/>
        <w:jc w:val="left"/>
        <w:rPr>
          <w:b/>
          <w:bCs/>
          <w:kern w:val="0"/>
          <w:sz w:val="20"/>
          <w:szCs w:val="20"/>
        </w:rPr>
      </w:pPr>
      <w:r>
        <w:rPr>
          <w:b/>
          <w:bCs/>
          <w:sz w:val="20"/>
          <w:szCs w:val="20"/>
        </w:rPr>
        <w:t xml:space="preserve">8.4.1 </w:t>
      </w:r>
      <w:r>
        <w:rPr>
          <w:sz w:val="20"/>
          <w:szCs w:val="20"/>
        </w:rPr>
        <w:t xml:space="preserve"> 土钉墙和复合土钉墙的质量检测内容应包括土钉（锚杆）的承载力检验、喷射混凝土面层的抗压强度试验、喷射混凝土面层厚度检查、</w:t>
      </w:r>
      <w:r>
        <w:rPr>
          <w:rFonts w:hint="eastAsia"/>
          <w:sz w:val="20"/>
          <w:szCs w:val="20"/>
        </w:rPr>
        <w:t>锚固</w:t>
      </w:r>
      <w:r>
        <w:rPr>
          <w:sz w:val="20"/>
          <w:szCs w:val="20"/>
        </w:rPr>
        <w:t>体强度等。</w:t>
      </w:r>
    </w:p>
    <w:p w14:paraId="30C889B0">
      <w:pPr>
        <w:adjustRightInd w:val="0"/>
        <w:snapToGrid w:val="0"/>
        <w:spacing w:line="288" w:lineRule="auto"/>
        <w:rPr>
          <w:sz w:val="20"/>
          <w:szCs w:val="20"/>
        </w:rPr>
      </w:pPr>
      <w:r>
        <w:rPr>
          <w:b/>
          <w:bCs/>
          <w:kern w:val="0"/>
          <w:sz w:val="20"/>
          <w:szCs w:val="20"/>
        </w:rPr>
        <w:t xml:space="preserve">8.4.2  </w:t>
      </w:r>
      <w:r>
        <w:rPr>
          <w:sz w:val="20"/>
          <w:szCs w:val="20"/>
        </w:rPr>
        <w:t>土钉墙应对土钉抗拔承载力进行检测，同一条件下，检测数量不宜少于土钉总数的1％，且不宜少于3根。土钉抗拔试验宜分层、分区段进行，土钉试验应有代表性和针对性。土钉验收合格标准为：对安全等级为二级、三级土钉墙，抗拔承载力检测值分别不应小于土钉轴向拉力标准值的1.3倍、1.2倍。</w:t>
      </w:r>
    </w:p>
    <w:p w14:paraId="14DA8544">
      <w:pPr>
        <w:adjustRightInd w:val="0"/>
        <w:snapToGrid w:val="0"/>
        <w:spacing w:line="288" w:lineRule="auto"/>
        <w:rPr>
          <w:sz w:val="20"/>
          <w:szCs w:val="20"/>
        </w:rPr>
      </w:pPr>
      <w:r>
        <w:rPr>
          <w:b/>
          <w:bCs/>
          <w:kern w:val="0"/>
          <w:sz w:val="20"/>
          <w:szCs w:val="20"/>
        </w:rPr>
        <w:t xml:space="preserve">8.4.3  </w:t>
      </w:r>
      <w:r>
        <w:rPr>
          <w:sz w:val="20"/>
          <w:szCs w:val="20"/>
        </w:rPr>
        <w:t>土钉墙面层喷射混凝土厚度检查应符合下列规定：</w:t>
      </w:r>
    </w:p>
    <w:p w14:paraId="41838668">
      <w:pPr>
        <w:adjustRightInd w:val="0"/>
        <w:snapToGrid w:val="0"/>
        <w:spacing w:line="288" w:lineRule="auto"/>
        <w:ind w:firstLine="402" w:firstLineChars="200"/>
        <w:rPr>
          <w:sz w:val="20"/>
          <w:szCs w:val="20"/>
        </w:rPr>
      </w:pPr>
      <w:r>
        <w:rPr>
          <w:b/>
          <w:bCs/>
          <w:sz w:val="20"/>
          <w:szCs w:val="20"/>
        </w:rPr>
        <w:t>1</w:t>
      </w:r>
      <w:r>
        <w:rPr>
          <w:sz w:val="20"/>
          <w:szCs w:val="20"/>
        </w:rPr>
        <w:t xml:space="preserve"> 厚度可采用钻孔法或其他方法检查；</w:t>
      </w:r>
    </w:p>
    <w:p w14:paraId="0F9F6A5F">
      <w:pPr>
        <w:adjustRightInd w:val="0"/>
        <w:snapToGrid w:val="0"/>
        <w:spacing w:line="288" w:lineRule="auto"/>
        <w:ind w:firstLine="402" w:firstLineChars="200"/>
        <w:rPr>
          <w:sz w:val="20"/>
          <w:szCs w:val="20"/>
        </w:rPr>
      </w:pPr>
      <w:r>
        <w:rPr>
          <w:b/>
          <w:bCs/>
          <w:sz w:val="20"/>
          <w:szCs w:val="20"/>
        </w:rPr>
        <w:t>2</w:t>
      </w:r>
      <w:r>
        <w:rPr>
          <w:sz w:val="20"/>
          <w:szCs w:val="20"/>
        </w:rPr>
        <w:t>检查数量宜为每500m</w:t>
      </w:r>
      <w:r>
        <w:rPr>
          <w:sz w:val="20"/>
          <w:szCs w:val="20"/>
          <w:vertAlign w:val="superscript"/>
        </w:rPr>
        <w:t>2</w:t>
      </w:r>
      <w:r>
        <w:rPr>
          <w:sz w:val="20"/>
          <w:szCs w:val="20"/>
        </w:rPr>
        <w:t>取一组，每组不少于3个点；</w:t>
      </w:r>
    </w:p>
    <w:p w14:paraId="0D884E22">
      <w:pPr>
        <w:adjustRightInd w:val="0"/>
        <w:snapToGrid w:val="0"/>
        <w:spacing w:line="288" w:lineRule="auto"/>
        <w:ind w:firstLine="402" w:firstLineChars="200"/>
        <w:rPr>
          <w:sz w:val="20"/>
          <w:szCs w:val="20"/>
        </w:rPr>
      </w:pPr>
      <w:r>
        <w:rPr>
          <w:b/>
          <w:bCs/>
          <w:sz w:val="20"/>
          <w:szCs w:val="20"/>
        </w:rPr>
        <w:t>3</w:t>
      </w:r>
      <w:r>
        <w:rPr>
          <w:sz w:val="20"/>
          <w:szCs w:val="20"/>
        </w:rPr>
        <w:t>合格条件为，全部检查孔处厚度的平均值应大于设计厚度，最小厚度不小于设计厚度的80％，并不应小于50mm。</w:t>
      </w:r>
    </w:p>
    <w:p w14:paraId="7E776764">
      <w:pPr>
        <w:widowControl/>
        <w:adjustRightInd w:val="0"/>
        <w:snapToGrid w:val="0"/>
        <w:spacing w:line="288" w:lineRule="auto"/>
        <w:jc w:val="left"/>
        <w:rPr>
          <w:sz w:val="20"/>
          <w:szCs w:val="20"/>
        </w:rPr>
      </w:pPr>
      <w:r>
        <w:rPr>
          <w:b/>
          <w:bCs/>
          <w:sz w:val="20"/>
          <w:szCs w:val="20"/>
        </w:rPr>
        <w:t>8.4.4</w:t>
      </w:r>
      <w:r>
        <w:rPr>
          <w:sz w:val="20"/>
          <w:szCs w:val="20"/>
        </w:rPr>
        <w:t xml:space="preserve">  面层喷射混凝土应进行抗压强度试验，试块数量宜为每 500m</w:t>
      </w:r>
      <w:r>
        <w:rPr>
          <w:sz w:val="20"/>
          <w:szCs w:val="20"/>
          <w:vertAlign w:val="superscript"/>
        </w:rPr>
        <w:t>2</w:t>
      </w:r>
      <w:r>
        <w:rPr>
          <w:sz w:val="20"/>
          <w:szCs w:val="20"/>
        </w:rPr>
        <w:t>取1组，每组试块不得少于3件；对于单次喷射面积小于 500m</w:t>
      </w:r>
      <w:r>
        <w:rPr>
          <w:sz w:val="20"/>
          <w:szCs w:val="20"/>
          <w:vertAlign w:val="superscript"/>
        </w:rPr>
        <w:t>2</w:t>
      </w:r>
      <w:r>
        <w:rPr>
          <w:sz w:val="20"/>
          <w:szCs w:val="20"/>
        </w:rPr>
        <w:t>的，取样不少于1组。</w:t>
      </w:r>
    </w:p>
    <w:p w14:paraId="4F932D68">
      <w:pPr>
        <w:adjustRightInd w:val="0"/>
        <w:snapToGrid w:val="0"/>
        <w:spacing w:line="288" w:lineRule="auto"/>
        <w:rPr>
          <w:sz w:val="20"/>
          <w:szCs w:val="20"/>
        </w:rPr>
      </w:pPr>
      <w:r>
        <w:rPr>
          <w:b/>
          <w:bCs/>
          <w:sz w:val="20"/>
          <w:szCs w:val="20"/>
        </w:rPr>
        <w:t>8.4.5</w:t>
      </w:r>
      <w:r>
        <w:rPr>
          <w:sz w:val="20"/>
          <w:szCs w:val="20"/>
        </w:rPr>
        <w:t xml:space="preserve">  注浆锚固体应进行强度检验，宜为每60根土钉或锚杆制作1组试件；宜采用从孔口收集的返浆制作试件。</w:t>
      </w:r>
    </w:p>
    <w:p w14:paraId="46F307D9">
      <w:pPr>
        <w:adjustRightInd w:val="0"/>
        <w:snapToGrid w:val="0"/>
        <w:spacing w:line="288" w:lineRule="auto"/>
        <w:rPr>
          <w:sz w:val="20"/>
          <w:szCs w:val="20"/>
        </w:rPr>
      </w:pPr>
      <w:r>
        <w:rPr>
          <w:b/>
          <w:bCs/>
          <w:kern w:val="0"/>
          <w:sz w:val="20"/>
          <w:szCs w:val="20"/>
        </w:rPr>
        <w:t xml:space="preserve">8.4.6  </w:t>
      </w:r>
      <w:r>
        <w:rPr>
          <w:sz w:val="20"/>
          <w:szCs w:val="20"/>
        </w:rPr>
        <w:t>复合土钉墙中的预应力锚杆，应按本规程第7.9节的规定进行抗拔承载力检测。</w:t>
      </w:r>
    </w:p>
    <w:p w14:paraId="09E63C23">
      <w:pPr>
        <w:adjustRightInd w:val="0"/>
        <w:snapToGrid w:val="0"/>
        <w:spacing w:line="288" w:lineRule="auto"/>
        <w:rPr>
          <w:sz w:val="20"/>
          <w:szCs w:val="20"/>
        </w:rPr>
      </w:pPr>
      <w:r>
        <w:rPr>
          <w:b/>
          <w:bCs/>
          <w:kern w:val="0"/>
          <w:sz w:val="20"/>
          <w:szCs w:val="20"/>
        </w:rPr>
        <w:t xml:space="preserve">8.4.7  </w:t>
      </w:r>
      <w:r>
        <w:rPr>
          <w:sz w:val="20"/>
          <w:szCs w:val="20"/>
        </w:rPr>
        <w:t>复合土钉墙中的水泥土搅拌桩或旋喷桩用作帷幕时，应按现行行业标准《建筑基坑支护技术规程》JGJ 120的规定进行质量检测。</w:t>
      </w:r>
    </w:p>
    <w:p w14:paraId="6C402D11">
      <w:pPr>
        <w:pStyle w:val="2"/>
      </w:pPr>
      <w:r>
        <w:br w:type="page"/>
      </w:r>
    </w:p>
    <w:bookmarkEnd w:id="97"/>
    <w:p w14:paraId="69159EC3">
      <w:pPr>
        <w:pStyle w:val="5"/>
        <w:keepNext w:val="0"/>
        <w:keepLines w:val="0"/>
        <w:adjustRightInd w:val="0"/>
        <w:snapToGrid w:val="0"/>
        <w:spacing w:before="156" w:beforeLines="50" w:after="312" w:afterLines="100" w:line="288" w:lineRule="auto"/>
        <w:jc w:val="center"/>
        <w:rPr>
          <w:rFonts w:ascii="Times New Roman" w:hAnsi="Times New Roman"/>
          <w:b w:val="0"/>
          <w:bCs w:val="0"/>
          <w:sz w:val="26"/>
          <w:szCs w:val="26"/>
        </w:rPr>
      </w:pPr>
      <w:bookmarkStart w:id="100" w:name="_Toc139613739"/>
      <w:r>
        <w:rPr>
          <w:rFonts w:ascii="Times New Roman" w:hAnsi="Times New Roman"/>
          <w:sz w:val="26"/>
          <w:szCs w:val="26"/>
        </w:rPr>
        <w:t>9</w:t>
      </w:r>
      <w:r>
        <w:rPr>
          <w:rFonts w:ascii="Times New Roman" w:hAnsi="Times New Roman"/>
          <w:b w:val="0"/>
          <w:bCs w:val="0"/>
          <w:sz w:val="26"/>
          <w:szCs w:val="26"/>
        </w:rPr>
        <w:t xml:space="preserve">  </w:t>
      </w:r>
      <w:r>
        <w:rPr>
          <w:rFonts w:hint="eastAsia" w:ascii="Times New Roman" w:hAnsi="Times New Roman"/>
          <w:b w:val="0"/>
          <w:bCs w:val="0"/>
          <w:sz w:val="26"/>
          <w:szCs w:val="26"/>
        </w:rPr>
        <w:t>抗震设计</w:t>
      </w:r>
      <w:bookmarkEnd w:id="100"/>
    </w:p>
    <w:p w14:paraId="5C981185">
      <w:pPr>
        <w:pStyle w:val="7"/>
        <w:keepNext w:val="0"/>
        <w:keepLines w:val="0"/>
        <w:adjustRightInd w:val="0"/>
        <w:snapToGrid w:val="0"/>
        <w:spacing w:before="312" w:beforeLines="100" w:after="312" w:afterLines="100" w:line="288" w:lineRule="auto"/>
        <w:jc w:val="center"/>
        <w:rPr>
          <w:rFonts w:eastAsia="黑体"/>
          <w:b w:val="0"/>
          <w:bCs w:val="0"/>
          <w:sz w:val="20"/>
          <w:szCs w:val="20"/>
        </w:rPr>
      </w:pPr>
      <w:bookmarkStart w:id="101" w:name="_Toc139613740"/>
      <w:r>
        <w:rPr>
          <w:rFonts w:eastAsia="黑体"/>
          <w:sz w:val="20"/>
          <w:szCs w:val="20"/>
        </w:rPr>
        <w:t>9</w:t>
      </w:r>
      <w:r>
        <w:rPr>
          <w:rFonts w:hint="eastAsia" w:eastAsia="黑体"/>
          <w:sz w:val="20"/>
          <w:szCs w:val="20"/>
        </w:rPr>
        <w:t>.</w:t>
      </w:r>
      <w:r>
        <w:rPr>
          <w:rFonts w:eastAsia="黑体"/>
          <w:sz w:val="20"/>
          <w:szCs w:val="20"/>
        </w:rPr>
        <w:t>1</w:t>
      </w:r>
      <w:r>
        <w:rPr>
          <w:rFonts w:eastAsia="黑体"/>
          <w:b w:val="0"/>
          <w:bCs w:val="0"/>
          <w:sz w:val="20"/>
          <w:szCs w:val="20"/>
        </w:rPr>
        <w:t xml:space="preserve">  </w:t>
      </w:r>
      <w:r>
        <w:rPr>
          <w:rFonts w:hint="eastAsia" w:eastAsia="黑体"/>
          <w:b w:val="0"/>
          <w:bCs w:val="0"/>
          <w:sz w:val="20"/>
          <w:szCs w:val="20"/>
        </w:rPr>
        <w:t>一般规定</w:t>
      </w:r>
      <w:bookmarkEnd w:id="101"/>
    </w:p>
    <w:p w14:paraId="25C9F946">
      <w:pPr>
        <w:spacing w:line="360" w:lineRule="auto"/>
        <w:rPr>
          <w:sz w:val="20"/>
          <w:szCs w:val="20"/>
        </w:rPr>
      </w:pPr>
      <w:r>
        <w:rPr>
          <w:b/>
          <w:bCs/>
          <w:sz w:val="20"/>
          <w:szCs w:val="20"/>
        </w:rPr>
        <w:t xml:space="preserve">9.1.1  </w:t>
      </w:r>
      <w:r>
        <w:rPr>
          <w:sz w:val="20"/>
          <w:szCs w:val="20"/>
        </w:rPr>
        <w:t>通过专门论证确定需要进行支护结构抗震设计</w:t>
      </w:r>
      <w:r>
        <w:rPr>
          <w:rFonts w:hint="eastAsia"/>
          <w:sz w:val="20"/>
          <w:szCs w:val="20"/>
        </w:rPr>
        <w:t>的基坑工程应当进行抗震设计。</w:t>
      </w:r>
    </w:p>
    <w:p w14:paraId="0730FB4C">
      <w:pPr>
        <w:spacing w:line="360" w:lineRule="auto"/>
        <w:rPr>
          <w:sz w:val="20"/>
          <w:szCs w:val="20"/>
        </w:rPr>
      </w:pPr>
      <w:r>
        <w:rPr>
          <w:b/>
          <w:bCs/>
          <w:sz w:val="20"/>
          <w:szCs w:val="20"/>
        </w:rPr>
        <w:t>9.1.2</w:t>
      </w:r>
      <w:r>
        <w:rPr>
          <w:sz w:val="20"/>
          <w:szCs w:val="20"/>
        </w:rPr>
        <w:t xml:space="preserve">  </w:t>
      </w:r>
      <w:bookmarkStart w:id="102" w:name="_Hlk136415151"/>
      <w:r>
        <w:rPr>
          <w:rFonts w:hint="eastAsia"/>
          <w:sz w:val="20"/>
          <w:szCs w:val="20"/>
        </w:rPr>
        <w:t>抗震设计</w:t>
      </w:r>
      <w:r>
        <w:rPr>
          <w:sz w:val="20"/>
          <w:szCs w:val="20"/>
        </w:rPr>
        <w:t>宜采取下列措施之一：</w:t>
      </w:r>
    </w:p>
    <w:p w14:paraId="3276A4DA">
      <w:pPr>
        <w:spacing w:line="360" w:lineRule="auto"/>
        <w:ind w:firstLine="602" w:firstLineChars="300"/>
        <w:rPr>
          <w:sz w:val="20"/>
          <w:szCs w:val="20"/>
        </w:rPr>
      </w:pPr>
      <w:r>
        <w:rPr>
          <w:b/>
          <w:bCs/>
          <w:sz w:val="20"/>
          <w:szCs w:val="20"/>
        </w:rPr>
        <w:t>1</w:t>
      </w:r>
      <w:r>
        <w:rPr>
          <w:sz w:val="20"/>
          <w:szCs w:val="20"/>
        </w:rPr>
        <w:t xml:space="preserve"> 增大支护结构与建筑物基础的水平距离，建筑物基础边缘至基坑边的水平距离与</w:t>
      </w:r>
      <w:r>
        <w:rPr>
          <w:rFonts w:hint="eastAsia"/>
          <w:sz w:val="20"/>
          <w:szCs w:val="20"/>
        </w:rPr>
        <w:t>建筑物</w:t>
      </w:r>
      <w:r>
        <w:rPr>
          <w:sz w:val="20"/>
          <w:szCs w:val="20"/>
        </w:rPr>
        <w:t>基底至基坑底的垂直高度的比值宜大于1.</w:t>
      </w:r>
      <w:r>
        <w:rPr>
          <w:rFonts w:hint="eastAsia"/>
          <w:sz w:val="20"/>
          <w:szCs w:val="20"/>
        </w:rPr>
        <w:t>0</w:t>
      </w:r>
      <w:r>
        <w:rPr>
          <w:sz w:val="20"/>
          <w:szCs w:val="20"/>
        </w:rPr>
        <w:t>；</w:t>
      </w:r>
    </w:p>
    <w:p w14:paraId="0615CDD8">
      <w:pPr>
        <w:spacing w:line="360" w:lineRule="auto"/>
        <w:ind w:firstLine="602" w:firstLineChars="300"/>
        <w:rPr>
          <w:sz w:val="20"/>
          <w:szCs w:val="20"/>
        </w:rPr>
      </w:pPr>
      <w:r>
        <w:rPr>
          <w:b/>
          <w:bCs/>
          <w:sz w:val="20"/>
          <w:szCs w:val="20"/>
        </w:rPr>
        <w:t>2</w:t>
      </w:r>
      <w:r>
        <w:rPr>
          <w:sz w:val="20"/>
          <w:szCs w:val="20"/>
        </w:rPr>
        <w:t xml:space="preserve"> 采用对撑式支护结构或地下结构逆作施工法；</w:t>
      </w:r>
    </w:p>
    <w:p w14:paraId="38D119F2">
      <w:pPr>
        <w:spacing w:line="360" w:lineRule="auto"/>
        <w:ind w:firstLine="602" w:firstLineChars="300"/>
        <w:rPr>
          <w:sz w:val="20"/>
          <w:szCs w:val="20"/>
        </w:rPr>
      </w:pPr>
      <w:r>
        <w:rPr>
          <w:b/>
          <w:bCs/>
          <w:sz w:val="20"/>
          <w:szCs w:val="20"/>
        </w:rPr>
        <w:t>3</w:t>
      </w:r>
      <w:r>
        <w:rPr>
          <w:sz w:val="20"/>
          <w:szCs w:val="20"/>
        </w:rPr>
        <w:t xml:space="preserve"> 采用其他具有合理的地震荷载传递路径、足够的延性和必要的耗能能力的支护结构。</w:t>
      </w:r>
    </w:p>
    <w:bookmarkEnd w:id="102"/>
    <w:p w14:paraId="38FF29C3">
      <w:pPr>
        <w:spacing w:line="360" w:lineRule="auto"/>
        <w:rPr>
          <w:sz w:val="20"/>
          <w:szCs w:val="20"/>
        </w:rPr>
      </w:pPr>
      <w:r>
        <w:rPr>
          <w:b/>
          <w:bCs/>
          <w:sz w:val="20"/>
          <w:szCs w:val="20"/>
        </w:rPr>
        <w:t xml:space="preserve">9.1.3  </w:t>
      </w:r>
      <w:r>
        <w:rPr>
          <w:sz w:val="20"/>
          <w:szCs w:val="20"/>
        </w:rPr>
        <w:t>本市各地区抗震设防烈度应取8度，相应的设计基本地震加速度值应取0.20g。当</w:t>
      </w:r>
      <w:r>
        <w:rPr>
          <w:rFonts w:hint="eastAsia"/>
          <w:sz w:val="20"/>
          <w:szCs w:val="20"/>
        </w:rPr>
        <w:t>现行国家标准</w:t>
      </w:r>
      <w:r>
        <w:rPr>
          <w:sz w:val="20"/>
          <w:szCs w:val="20"/>
        </w:rPr>
        <w:t>《建筑抗震设计规范》</w:t>
      </w:r>
      <w:r>
        <w:rPr>
          <w:rFonts w:hint="eastAsia"/>
          <w:sz w:val="20"/>
          <w:szCs w:val="20"/>
        </w:rPr>
        <w:t>G</w:t>
      </w:r>
      <w:r>
        <w:rPr>
          <w:sz w:val="20"/>
          <w:szCs w:val="20"/>
        </w:rPr>
        <w:t>B 50011提供的建筑工程抗震设防烈度和设计基本地震加速度值有调整时，本市各地区的支护结构抗震设防烈度和设计基本地震加速度值应相应进行调整。</w:t>
      </w:r>
    </w:p>
    <w:p w14:paraId="64F8AAB1">
      <w:pPr>
        <w:pStyle w:val="7"/>
        <w:keepNext w:val="0"/>
        <w:keepLines w:val="0"/>
        <w:adjustRightInd w:val="0"/>
        <w:snapToGrid w:val="0"/>
        <w:spacing w:before="312" w:beforeLines="100" w:after="312" w:afterLines="100" w:line="288" w:lineRule="auto"/>
        <w:jc w:val="center"/>
        <w:rPr>
          <w:rFonts w:eastAsia="黑体"/>
          <w:b w:val="0"/>
          <w:bCs w:val="0"/>
          <w:sz w:val="20"/>
          <w:szCs w:val="20"/>
        </w:rPr>
      </w:pPr>
      <w:bookmarkStart w:id="103" w:name="_Toc139613741"/>
      <w:r>
        <w:rPr>
          <w:rFonts w:eastAsia="黑体"/>
          <w:sz w:val="20"/>
          <w:szCs w:val="20"/>
        </w:rPr>
        <w:t>9</w:t>
      </w:r>
      <w:r>
        <w:rPr>
          <w:rFonts w:hint="eastAsia" w:eastAsia="黑体"/>
          <w:sz w:val="20"/>
          <w:szCs w:val="20"/>
        </w:rPr>
        <w:t>.</w:t>
      </w:r>
      <w:r>
        <w:rPr>
          <w:rFonts w:eastAsia="黑体"/>
          <w:sz w:val="20"/>
          <w:szCs w:val="20"/>
        </w:rPr>
        <w:t>2</w:t>
      </w:r>
      <w:r>
        <w:rPr>
          <w:rFonts w:eastAsia="黑体"/>
          <w:b w:val="0"/>
          <w:bCs w:val="0"/>
          <w:sz w:val="20"/>
          <w:szCs w:val="20"/>
        </w:rPr>
        <w:t xml:space="preserve">  </w:t>
      </w:r>
      <w:r>
        <w:rPr>
          <w:rFonts w:hint="eastAsia" w:eastAsia="黑体"/>
          <w:b w:val="0"/>
          <w:bCs w:val="0"/>
          <w:sz w:val="20"/>
          <w:szCs w:val="20"/>
        </w:rPr>
        <w:t>抗震验算</w:t>
      </w:r>
      <w:bookmarkEnd w:id="103"/>
    </w:p>
    <w:p w14:paraId="16AC907E">
      <w:pPr>
        <w:spacing w:line="360" w:lineRule="auto"/>
        <w:rPr>
          <w:sz w:val="20"/>
          <w:szCs w:val="20"/>
        </w:rPr>
      </w:pPr>
      <w:r>
        <w:rPr>
          <w:b/>
          <w:bCs/>
          <w:sz w:val="20"/>
          <w:szCs w:val="20"/>
        </w:rPr>
        <w:t xml:space="preserve">9.2.1  </w:t>
      </w:r>
      <w:r>
        <w:rPr>
          <w:sz w:val="20"/>
          <w:szCs w:val="20"/>
        </w:rPr>
        <w:t>支护结构的水平地震荷载标准值可按公式</w:t>
      </w:r>
      <w:r>
        <w:rPr>
          <w:rFonts w:hint="eastAsia"/>
          <w:sz w:val="20"/>
          <w:szCs w:val="20"/>
        </w:rPr>
        <w:t>（</w:t>
      </w:r>
      <w:r>
        <w:rPr>
          <w:sz w:val="20"/>
          <w:szCs w:val="20"/>
        </w:rPr>
        <w:t>9.2.1-1</w:t>
      </w:r>
      <w:r>
        <w:rPr>
          <w:rFonts w:hint="eastAsia"/>
          <w:sz w:val="20"/>
          <w:szCs w:val="20"/>
        </w:rPr>
        <w:t>）计算，为简化计算，也可按公式（</w:t>
      </w:r>
      <w:r>
        <w:rPr>
          <w:sz w:val="20"/>
          <w:szCs w:val="20"/>
        </w:rPr>
        <w:t>9.2.1-3</w:t>
      </w:r>
      <w:r>
        <w:rPr>
          <w:rFonts w:hint="eastAsia"/>
          <w:sz w:val="20"/>
          <w:szCs w:val="20"/>
        </w:rPr>
        <w:t>）</w:t>
      </w:r>
      <w:r>
        <w:rPr>
          <w:sz w:val="20"/>
          <w:szCs w:val="20"/>
        </w:rPr>
        <w:t>确定</w:t>
      </w:r>
      <w:r>
        <w:rPr>
          <w:rFonts w:hint="eastAsia"/>
          <w:sz w:val="20"/>
          <w:szCs w:val="20"/>
        </w:rPr>
        <w:t>。</w:t>
      </w:r>
      <w:r>
        <w:rPr>
          <w:sz w:val="20"/>
          <w:szCs w:val="20"/>
        </w:rPr>
        <w:t>（图9.2.1）</w:t>
      </w:r>
    </w:p>
    <w:p w14:paraId="6A6E79B8">
      <w:pPr>
        <w:spacing w:line="360" w:lineRule="auto"/>
        <w:ind w:left="840" w:firstLine="420"/>
        <w:jc w:val="center"/>
        <w:rPr>
          <w:sz w:val="24"/>
          <w:szCs w:val="24"/>
        </w:rPr>
      </w:pPr>
      <m:oMath>
        <m:sSub>
          <m:sSubPr>
            <m:ctrlPr>
              <w:rPr>
                <w:rFonts w:ascii="Cambria Math" w:hAnsi="Cambria Math"/>
                <w:i/>
                <w:sz w:val="24"/>
                <w:szCs w:val="24"/>
              </w:rPr>
            </m:ctrlPr>
          </m:sSubPr>
          <m:e>
            <m:r>
              <m:rPr/>
              <w:rPr>
                <w:rFonts w:ascii="Cambria Math" w:hAnsi="Cambria Math"/>
                <w:sz w:val="24"/>
                <w:szCs w:val="24"/>
              </w:rPr>
              <m:t>p</m:t>
            </m:r>
            <m:ctrlPr>
              <w:rPr>
                <w:rFonts w:ascii="Cambria Math" w:hAnsi="Cambria Math"/>
                <w:i/>
                <w:sz w:val="24"/>
                <w:szCs w:val="24"/>
              </w:rPr>
            </m:ctrlPr>
          </m:e>
          <m:sub>
            <m:r>
              <m:rPr/>
              <w:rPr>
                <w:rFonts w:hint="eastAsia" w:ascii="Cambria Math" w:hAnsi="Cambria Math"/>
                <w:sz w:val="24"/>
                <w:szCs w:val="24"/>
              </w:rPr>
              <m:t>a</m:t>
            </m:r>
            <m:r>
              <m:rPr/>
              <w:rPr>
                <w:rFonts w:ascii="Cambria Math" w:hAnsi="Cambria Math"/>
                <w:sz w:val="24"/>
                <w:szCs w:val="24"/>
              </w:rPr>
              <m:t>Ek</m:t>
            </m:r>
            <m:ctrlPr>
              <w:rPr>
                <w:rFonts w:ascii="Cambria Math" w:hAnsi="Cambria Math"/>
                <w:i/>
                <w:sz w:val="24"/>
                <w:szCs w:val="24"/>
              </w:rPr>
            </m:ctrlPr>
          </m:sub>
        </m:sSub>
        <m:r>
          <m:rPr/>
          <w:rPr>
            <w:rFonts w:ascii="Cambria Math" w:hAnsi="Cambria Math"/>
            <w:sz w:val="24"/>
            <w:szCs w:val="24"/>
          </w:rPr>
          <m:t>=ξ</m:t>
        </m:r>
        <m:r>
          <m:rPr>
            <m:sty m:val="p"/>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σ</m:t>
            </m:r>
            <m:ctrlPr>
              <w:rPr>
                <w:rFonts w:ascii="Cambria Math" w:hAnsi="Cambria Math"/>
                <w:i/>
                <w:sz w:val="24"/>
                <w:szCs w:val="24"/>
              </w:rPr>
            </m:ctrlPr>
          </m:e>
          <m:sub>
            <m:r>
              <m:rPr/>
              <w:rPr>
                <w:rFonts w:ascii="Cambria Math" w:hAnsi="Cambria Math"/>
                <w:sz w:val="24"/>
                <w:szCs w:val="24"/>
              </w:rPr>
              <m:t>ak</m:t>
            </m:r>
            <m:ctrlPr>
              <w:rPr>
                <w:rFonts w:ascii="Cambria Math" w:hAnsi="Cambria Math"/>
                <w:i/>
                <w:sz w:val="24"/>
                <w:szCs w:val="24"/>
              </w:rPr>
            </m:ctrlPr>
          </m:sub>
        </m:sSub>
        <m:sSub>
          <m:sSubPr>
            <m:ctrlPr>
              <w:rPr>
                <w:rFonts w:ascii="Cambria Math" w:hAnsi="Cambria Math"/>
                <w:i/>
                <w:sz w:val="24"/>
                <w:szCs w:val="24"/>
              </w:rPr>
            </m:ctrlPr>
          </m:sSubPr>
          <m:e>
            <m:r>
              <m:rPr/>
              <w:rPr>
                <w:rFonts w:ascii="Cambria Math" w:hAnsi="Cambria Math"/>
                <w:sz w:val="24"/>
                <w:szCs w:val="24"/>
              </w:rPr>
              <m:t>K</m:t>
            </m:r>
            <m:ctrlPr>
              <w:rPr>
                <w:rFonts w:ascii="Cambria Math" w:hAnsi="Cambria Math"/>
                <w:i/>
                <w:sz w:val="24"/>
                <w:szCs w:val="24"/>
              </w:rPr>
            </m:ctrlPr>
          </m:e>
          <m:sub>
            <m:r>
              <m:rPr/>
              <w:rPr>
                <w:rFonts w:ascii="Cambria Math" w:hAnsi="Cambria Math"/>
                <w:sz w:val="24"/>
                <w:szCs w:val="24"/>
              </w:rPr>
              <m:t>aE,i</m:t>
            </m:r>
            <m:ctrlPr>
              <w:rPr>
                <w:rFonts w:ascii="Cambria Math" w:hAnsi="Cambria Math"/>
                <w:i/>
                <w:sz w:val="24"/>
                <w:szCs w:val="24"/>
              </w:rPr>
            </m:ctrlPr>
          </m:sub>
        </m:sSub>
        <m:r>
          <m:rPr/>
          <w:rPr>
            <w:rFonts w:ascii="Cambria Math" w:hAnsi="Cambria Math"/>
            <w:sz w:val="24"/>
            <w:szCs w:val="24"/>
          </w:rPr>
          <m:t>−2</m:t>
        </m:r>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f>
          <m:fPr>
            <m:ctrlPr>
              <w:rPr>
                <w:rFonts w:ascii="Cambria Math" w:hAnsi="Cambria Math"/>
                <w:i/>
                <w:sz w:val="24"/>
                <w:szCs w:val="24"/>
              </w:rPr>
            </m:ctrlPr>
          </m:fPr>
          <m:num>
            <m:func>
              <m:funcPr>
                <m:ctrlPr>
                  <w:rPr>
                    <w:rFonts w:ascii="Cambria Math" w:hAnsi="Cambria Math"/>
                    <w:i/>
                    <w:sz w:val="24"/>
                    <w:szCs w:val="24"/>
                  </w:rPr>
                </m:ctrlPr>
              </m:funcPr>
              <m:fName>
                <m:r>
                  <m:rPr/>
                  <w:rPr>
                    <w:rFonts w:ascii="Cambria Math" w:hAnsi="Cambria Math"/>
                    <w:sz w:val="24"/>
                    <w:szCs w:val="24"/>
                  </w:rPr>
                  <m:t>cos</m:t>
                </m:r>
                <m:ctrlPr>
                  <w:rPr>
                    <w:rFonts w:ascii="Cambria Math" w:hAnsi="Cambria Math"/>
                    <w:i/>
                    <w:sz w:val="24"/>
                    <w:szCs w:val="24"/>
                  </w:rPr>
                </m:ctrlPr>
              </m:fName>
              <m:e>
                <m:sSub>
                  <m:sSubPr>
                    <m:ctrlPr>
                      <w:rPr>
                        <w:rFonts w:ascii="Cambria Math" w:hAnsi="Cambria Math"/>
                        <w:i/>
                        <w:sz w:val="24"/>
                        <w:szCs w:val="24"/>
                      </w:rPr>
                    </m:ctrlPr>
                  </m:sSubPr>
                  <m:e>
                    <m:r>
                      <m:rPr/>
                      <w:rPr>
                        <w:rFonts w:ascii="Cambria Math" w:hAnsi="Cambria Math"/>
                        <w:sz w:val="24"/>
                        <w:szCs w:val="24"/>
                      </w:rPr>
                      <m:t>φ</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func>
            <m:ctrlPr>
              <w:rPr>
                <w:rFonts w:ascii="Cambria Math" w:hAnsi="Cambria Math"/>
                <w:i/>
                <w:sz w:val="24"/>
                <w:szCs w:val="24"/>
              </w:rPr>
            </m:ctrlPr>
          </m:num>
          <m:den>
            <m:func>
              <m:funcPr>
                <m:ctrlPr>
                  <w:rPr>
                    <w:rFonts w:ascii="Cambria Math" w:hAnsi="Cambria Math"/>
                    <w:i/>
                    <w:sz w:val="24"/>
                    <w:szCs w:val="24"/>
                  </w:rPr>
                </m:ctrlPr>
              </m:funcPr>
              <m:fName>
                <m:r>
                  <m:rPr/>
                  <w:rPr>
                    <w:rFonts w:ascii="Cambria Math" w:hAnsi="Cambria Math"/>
                    <w:sz w:val="24"/>
                    <w:szCs w:val="24"/>
                  </w:rPr>
                  <m:t>cos</m:t>
                </m:r>
                <m:ctrlPr>
                  <w:rPr>
                    <w:rFonts w:ascii="Cambria Math" w:hAnsi="Cambria Math"/>
                    <w:i/>
                    <w:sz w:val="24"/>
                    <w:szCs w:val="24"/>
                  </w:rPr>
                </m:ctrlPr>
              </m:fName>
              <m:e>
                <m:r>
                  <m:rPr/>
                  <w:rPr>
                    <w:rFonts w:ascii="Cambria Math" w:hAnsi="Cambria Math"/>
                    <w:sz w:val="24"/>
                    <w:szCs w:val="24"/>
                  </w:rPr>
                  <m:t>θ</m:t>
                </m:r>
                <m:d>
                  <m:dPr>
                    <m:ctrlPr>
                      <w:rPr>
                        <w:rFonts w:ascii="Cambria Math" w:hAnsi="Cambria Math"/>
                        <w:i/>
                        <w:sz w:val="24"/>
                        <w:szCs w:val="24"/>
                      </w:rPr>
                    </m:ctrlPr>
                  </m:dPr>
                  <m:e>
                    <m:r>
                      <m:rPr/>
                      <w:rPr>
                        <w:rFonts w:ascii="Cambria Math" w:hAnsi="Cambria Math"/>
                        <w:sz w:val="24"/>
                        <w:szCs w:val="24"/>
                      </w:rPr>
                      <m:t>1+</m:t>
                    </m:r>
                    <m:func>
                      <m:funcPr>
                        <m:ctrlPr>
                          <w:rPr>
                            <w:rFonts w:ascii="Cambria Math" w:hAnsi="Cambria Math"/>
                            <w:i/>
                            <w:sz w:val="24"/>
                            <w:szCs w:val="24"/>
                          </w:rPr>
                        </m:ctrlPr>
                      </m:funcPr>
                      <m:fName>
                        <m:r>
                          <m:rPr/>
                          <w:rPr>
                            <w:rFonts w:ascii="Cambria Math" w:hAnsi="Cambria Math"/>
                            <w:sz w:val="24"/>
                            <w:szCs w:val="24"/>
                          </w:rPr>
                          <m:t>sin</m:t>
                        </m:r>
                        <m:ctrlPr>
                          <w:rPr>
                            <w:rFonts w:ascii="Cambria Math" w:hAnsi="Cambria Math"/>
                            <w:i/>
                            <w:sz w:val="24"/>
                            <w:szCs w:val="24"/>
                          </w:rPr>
                        </m:ctrlPr>
                      </m:fName>
                      <m:e>
                        <m:sSub>
                          <m:sSubPr>
                            <m:ctrlPr>
                              <w:rPr>
                                <w:rFonts w:ascii="Cambria Math" w:hAnsi="Cambria Math"/>
                                <w:i/>
                                <w:sz w:val="24"/>
                                <w:szCs w:val="24"/>
                              </w:rPr>
                            </m:ctrlPr>
                          </m:sSubPr>
                          <m:e>
                            <m:r>
                              <m:rPr/>
                              <w:rPr>
                                <w:rFonts w:ascii="Cambria Math" w:hAnsi="Cambria Math"/>
                                <w:sz w:val="24"/>
                                <w:szCs w:val="24"/>
                              </w:rPr>
                              <m:t>φ</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func>
                    <m:ctrlPr>
                      <w:rPr>
                        <w:rFonts w:ascii="Cambria Math" w:hAnsi="Cambria Math"/>
                        <w:i/>
                        <w:sz w:val="24"/>
                        <w:szCs w:val="24"/>
                      </w:rPr>
                    </m:ctrlPr>
                  </m:e>
                </m:d>
                <m:ctrlPr>
                  <w:rPr>
                    <w:rFonts w:ascii="Cambria Math" w:hAnsi="Cambria Math"/>
                    <w:i/>
                    <w:sz w:val="24"/>
                    <w:szCs w:val="24"/>
                  </w:rPr>
                </m:ctrlPr>
              </m:e>
            </m:func>
            <m:ctrlPr>
              <w:rPr>
                <w:rFonts w:ascii="Cambria Math" w:hAnsi="Cambria Math"/>
                <w:i/>
                <w:sz w:val="24"/>
                <w:szCs w:val="24"/>
              </w:rPr>
            </m:ctrlPr>
          </m:den>
        </m:f>
        <m:r>
          <m:rPr>
            <m:sty m:val="p"/>
          </m:rPr>
          <w:rPr>
            <w:rFonts w:ascii="Cambria Math" w:hAnsi="Cambria Math"/>
            <w:sz w:val="24"/>
            <w:szCs w:val="24"/>
          </w:rPr>
          <m:t>）</m:t>
        </m:r>
      </m:oMath>
      <w:r>
        <w:rPr>
          <w:sz w:val="24"/>
          <w:szCs w:val="24"/>
        </w:rPr>
        <w:t xml:space="preserve">   </w:t>
      </w:r>
      <w:r>
        <w:rPr>
          <w:rFonts w:hint="eastAsia"/>
          <w:sz w:val="24"/>
          <w:szCs w:val="24"/>
        </w:rPr>
        <w:t xml:space="preserve"> </w:t>
      </w:r>
      <w:r>
        <w:rPr>
          <w:sz w:val="24"/>
          <w:szCs w:val="24"/>
        </w:rPr>
        <w:t xml:space="preserve">    </w:t>
      </w:r>
      <w:r>
        <w:rPr>
          <w:sz w:val="20"/>
          <w:szCs w:val="20"/>
        </w:rPr>
        <w:t>（9.2.1-1）</w:t>
      </w:r>
    </w:p>
    <w:p w14:paraId="36AE3BD8">
      <w:pPr>
        <w:spacing w:line="360" w:lineRule="auto"/>
        <w:ind w:left="840" w:firstLine="420"/>
        <w:jc w:val="center"/>
        <w:rPr>
          <w:sz w:val="20"/>
          <w:szCs w:val="20"/>
        </w:rPr>
      </w:pPr>
      <m:oMath>
        <m:sSub>
          <m:sSubPr>
            <m:ctrlPr>
              <w:rPr>
                <w:rFonts w:ascii="Cambria Math" w:hAnsi="Cambria Math"/>
                <w:i/>
                <w:sz w:val="28"/>
                <w:szCs w:val="24"/>
              </w:rPr>
            </m:ctrlPr>
          </m:sSubPr>
          <m:e>
            <m:r>
              <m:rPr/>
              <w:rPr>
                <w:rFonts w:ascii="Cambria Math" w:hAnsi="Cambria Math"/>
                <w:sz w:val="28"/>
                <w:szCs w:val="24"/>
              </w:rPr>
              <m:t>K</m:t>
            </m:r>
            <m:ctrlPr>
              <w:rPr>
                <w:rFonts w:ascii="Cambria Math" w:hAnsi="Cambria Math"/>
                <w:i/>
                <w:sz w:val="28"/>
                <w:szCs w:val="24"/>
              </w:rPr>
            </m:ctrlPr>
          </m:e>
          <m:sub>
            <m:r>
              <m:rPr/>
              <w:rPr>
                <w:rFonts w:ascii="Cambria Math" w:hAnsi="Cambria Math"/>
                <w:sz w:val="28"/>
                <w:szCs w:val="24"/>
              </w:rPr>
              <m:t>aE,i</m:t>
            </m:r>
            <m:ctrlPr>
              <w:rPr>
                <w:rFonts w:ascii="Cambria Math" w:hAnsi="Cambria Math"/>
                <w:i/>
                <w:sz w:val="28"/>
                <w:szCs w:val="24"/>
              </w:rPr>
            </m:ctrlPr>
          </m:sub>
        </m:sSub>
        <m:r>
          <m:rPr/>
          <w:rPr>
            <w:rFonts w:ascii="Cambria Math" w:hAnsi="Cambria Math"/>
            <w:sz w:val="28"/>
            <w:szCs w:val="24"/>
          </w:rPr>
          <m:t>=</m:t>
        </m:r>
        <m:f>
          <m:fPr>
            <m:ctrlPr>
              <w:rPr>
                <w:rFonts w:ascii="Cambria Math" w:hAnsi="Cambria Math"/>
                <w:i/>
                <w:sz w:val="28"/>
                <w:szCs w:val="24"/>
              </w:rPr>
            </m:ctrlPr>
          </m:fPr>
          <m:num>
            <m:sSup>
              <m:sSupPr>
                <m:ctrlPr>
                  <w:rPr>
                    <w:rFonts w:ascii="Cambria Math" w:hAnsi="Cambria Math"/>
                    <w:i/>
                    <w:sz w:val="28"/>
                    <w:szCs w:val="24"/>
                  </w:rPr>
                </m:ctrlPr>
              </m:sSupPr>
              <m:e>
                <m:r>
                  <m:rPr/>
                  <w:rPr>
                    <w:rFonts w:ascii="Cambria Math" w:hAnsi="Cambria Math"/>
                    <w:sz w:val="28"/>
                    <w:szCs w:val="24"/>
                  </w:rPr>
                  <m:t>cos</m:t>
                </m:r>
                <m:ctrlPr>
                  <w:rPr>
                    <w:rFonts w:ascii="Cambria Math" w:hAnsi="Cambria Math"/>
                    <w:i/>
                    <w:sz w:val="28"/>
                    <w:szCs w:val="24"/>
                  </w:rPr>
                </m:ctrlPr>
              </m:e>
              <m:sup>
                <m:r>
                  <m:rPr/>
                  <w:rPr>
                    <w:rFonts w:ascii="Cambria Math" w:hAnsi="Cambria Math"/>
                    <w:sz w:val="28"/>
                    <w:szCs w:val="24"/>
                  </w:rPr>
                  <m:t>2</m:t>
                </m:r>
                <m:ctrlPr>
                  <w:rPr>
                    <w:rFonts w:ascii="Cambria Math" w:hAnsi="Cambria Math"/>
                    <w:i/>
                    <w:sz w:val="28"/>
                    <w:szCs w:val="24"/>
                  </w:rPr>
                </m:ctrlPr>
              </m:sup>
            </m:sSup>
            <m:r>
              <m:rPr/>
              <w:rPr>
                <w:rFonts w:ascii="Cambria Math" w:hAnsi="Cambria Math"/>
                <w:sz w:val="28"/>
                <w:szCs w:val="24"/>
              </w:rPr>
              <m:t>（</m:t>
            </m:r>
            <m:sSub>
              <m:sSubPr>
                <m:ctrlPr>
                  <w:rPr>
                    <w:rFonts w:ascii="Cambria Math" w:hAnsi="Cambria Math"/>
                    <w:i/>
                    <w:sz w:val="28"/>
                    <w:szCs w:val="24"/>
                  </w:rPr>
                </m:ctrlPr>
              </m:sSubPr>
              <m:e>
                <m:r>
                  <m:rPr/>
                  <w:rPr>
                    <w:rFonts w:ascii="Cambria Math" w:hAnsi="Cambria Math"/>
                    <w:sz w:val="28"/>
                    <w:szCs w:val="24"/>
                  </w:rPr>
                  <m:t>φ</m:t>
                </m:r>
                <m:ctrlPr>
                  <w:rPr>
                    <w:rFonts w:ascii="Cambria Math" w:hAnsi="Cambria Math"/>
                    <w:i/>
                    <w:sz w:val="28"/>
                    <w:szCs w:val="24"/>
                  </w:rPr>
                </m:ctrlPr>
              </m:e>
              <m:sub>
                <m:r>
                  <m:rPr/>
                  <w:rPr>
                    <w:rFonts w:ascii="Cambria Math" w:hAnsi="Cambria Math"/>
                    <w:sz w:val="28"/>
                    <w:szCs w:val="24"/>
                  </w:rPr>
                  <m:t>i</m:t>
                </m:r>
                <m:ctrlPr>
                  <w:rPr>
                    <w:rFonts w:ascii="Cambria Math" w:hAnsi="Cambria Math"/>
                    <w:i/>
                    <w:sz w:val="28"/>
                    <w:szCs w:val="24"/>
                  </w:rPr>
                </m:ctrlPr>
              </m:sub>
            </m:sSub>
            <m:r>
              <m:rPr/>
              <w:rPr>
                <w:rFonts w:ascii="Cambria Math" w:hAnsi="Cambria Math"/>
                <w:sz w:val="28"/>
                <w:szCs w:val="24"/>
              </w:rPr>
              <m:t>−θ）</m:t>
            </m:r>
            <m:ctrlPr>
              <w:rPr>
                <w:rFonts w:ascii="Cambria Math" w:hAnsi="Cambria Math"/>
                <w:i/>
                <w:sz w:val="28"/>
                <w:szCs w:val="24"/>
              </w:rPr>
            </m:ctrlPr>
          </m:num>
          <m:den>
            <m:func>
              <m:funcPr>
                <m:ctrlPr>
                  <w:rPr>
                    <w:rFonts w:ascii="Cambria Math" w:hAnsi="Cambria Math"/>
                    <w:i/>
                    <w:sz w:val="28"/>
                    <w:szCs w:val="24"/>
                  </w:rPr>
                </m:ctrlPr>
              </m:funcPr>
              <m:fName>
                <m:sSup>
                  <m:sSupPr>
                    <m:ctrlPr>
                      <w:rPr>
                        <w:rFonts w:ascii="Cambria Math" w:hAnsi="Cambria Math"/>
                        <w:i/>
                        <w:sz w:val="28"/>
                        <w:szCs w:val="24"/>
                      </w:rPr>
                    </m:ctrlPr>
                  </m:sSupPr>
                  <m:e>
                    <m:r>
                      <m:rPr/>
                      <w:rPr>
                        <w:rFonts w:ascii="Cambria Math" w:hAnsi="Cambria Math"/>
                        <w:sz w:val="28"/>
                        <w:szCs w:val="24"/>
                      </w:rPr>
                      <m:t>cos</m:t>
                    </m:r>
                    <m:ctrlPr>
                      <w:rPr>
                        <w:rFonts w:ascii="Cambria Math" w:hAnsi="Cambria Math"/>
                        <w:i/>
                        <w:sz w:val="28"/>
                        <w:szCs w:val="24"/>
                      </w:rPr>
                    </m:ctrlPr>
                  </m:e>
                  <m:sup>
                    <m:r>
                      <m:rPr/>
                      <w:rPr>
                        <w:rFonts w:ascii="Cambria Math" w:hAnsi="Cambria Math"/>
                        <w:sz w:val="28"/>
                        <w:szCs w:val="24"/>
                      </w:rPr>
                      <m:t>2</m:t>
                    </m:r>
                    <m:ctrlPr>
                      <w:rPr>
                        <w:rFonts w:ascii="Cambria Math" w:hAnsi="Cambria Math"/>
                        <w:i/>
                        <w:sz w:val="28"/>
                        <w:szCs w:val="24"/>
                      </w:rPr>
                    </m:ctrlPr>
                  </m:sup>
                </m:sSup>
                <m:ctrlPr>
                  <w:rPr>
                    <w:rFonts w:ascii="Cambria Math" w:hAnsi="Cambria Math"/>
                    <w:i/>
                    <w:sz w:val="28"/>
                    <w:szCs w:val="24"/>
                  </w:rPr>
                </m:ctrlPr>
              </m:fName>
              <m:e>
                <m:r>
                  <m:rPr/>
                  <w:rPr>
                    <w:rFonts w:ascii="Cambria Math" w:hAnsi="Cambria Math"/>
                    <w:sz w:val="28"/>
                    <w:szCs w:val="24"/>
                  </w:rPr>
                  <m:t>θ</m:t>
                </m:r>
                <m:ctrlPr>
                  <w:rPr>
                    <w:rFonts w:ascii="Cambria Math" w:hAnsi="Cambria Math"/>
                    <w:i/>
                    <w:sz w:val="28"/>
                    <w:szCs w:val="24"/>
                  </w:rPr>
                </m:ctrlPr>
              </m:e>
            </m:func>
            <m:r>
              <m:rPr/>
              <w:rPr>
                <w:rFonts w:ascii="Cambria Math" w:hAnsi="Cambria Math"/>
                <w:sz w:val="28"/>
                <w:szCs w:val="24"/>
              </w:rPr>
              <m:t>∙</m:t>
            </m:r>
            <m:sSup>
              <m:sSupPr>
                <m:ctrlPr>
                  <w:rPr>
                    <w:rFonts w:ascii="Cambria Math" w:hAnsi="Cambria Math"/>
                    <w:i/>
                    <w:sz w:val="28"/>
                    <w:szCs w:val="24"/>
                  </w:rPr>
                </m:ctrlPr>
              </m:sSupPr>
              <m:e>
                <m:d>
                  <m:dPr>
                    <m:begChr m:val="["/>
                    <m:endChr m:val="]"/>
                    <m:ctrlPr>
                      <w:rPr>
                        <w:rFonts w:ascii="Cambria Math" w:hAnsi="Cambria Math"/>
                        <w:i/>
                        <w:sz w:val="28"/>
                        <w:szCs w:val="24"/>
                      </w:rPr>
                    </m:ctrlPr>
                  </m:dPr>
                  <m:e>
                    <m:r>
                      <m:rPr/>
                      <w:rPr>
                        <w:rFonts w:ascii="Cambria Math" w:hAnsi="Cambria Math"/>
                        <w:sz w:val="28"/>
                        <w:szCs w:val="24"/>
                      </w:rPr>
                      <m:t>1+</m:t>
                    </m:r>
                    <m:rad>
                      <m:radPr>
                        <m:degHide m:val="1"/>
                        <m:ctrlPr>
                          <w:rPr>
                            <w:rFonts w:ascii="Cambria Math" w:hAnsi="Cambria Math"/>
                            <w:i/>
                            <w:sz w:val="28"/>
                            <w:szCs w:val="24"/>
                          </w:rPr>
                        </m:ctrlPr>
                      </m:radPr>
                      <m:deg>
                        <m:ctrlPr>
                          <w:rPr>
                            <w:rFonts w:ascii="Cambria Math" w:hAnsi="Cambria Math"/>
                            <w:i/>
                            <w:sz w:val="28"/>
                            <w:szCs w:val="24"/>
                          </w:rPr>
                        </m:ctrlPr>
                      </m:deg>
                      <m:e>
                        <m:f>
                          <m:fPr>
                            <m:ctrlPr>
                              <w:rPr>
                                <w:rFonts w:ascii="Cambria Math" w:hAnsi="Cambria Math"/>
                                <w:i/>
                                <w:sz w:val="28"/>
                                <w:szCs w:val="24"/>
                              </w:rPr>
                            </m:ctrlPr>
                          </m:fPr>
                          <m:num>
                            <m:func>
                              <m:funcPr>
                                <m:ctrlPr>
                                  <w:rPr>
                                    <w:rFonts w:ascii="Cambria Math" w:hAnsi="Cambria Math"/>
                                    <w:i/>
                                    <w:sz w:val="28"/>
                                    <w:szCs w:val="24"/>
                                  </w:rPr>
                                </m:ctrlPr>
                              </m:funcPr>
                              <m:fName>
                                <m:r>
                                  <m:rPr/>
                                  <w:rPr>
                                    <w:rFonts w:ascii="Cambria Math" w:hAnsi="Cambria Math"/>
                                    <w:sz w:val="28"/>
                                    <w:szCs w:val="24"/>
                                  </w:rPr>
                                  <m:t>sin</m:t>
                                </m:r>
                                <m:ctrlPr>
                                  <w:rPr>
                                    <w:rFonts w:ascii="Cambria Math" w:hAnsi="Cambria Math"/>
                                    <w:i/>
                                    <w:sz w:val="28"/>
                                    <w:szCs w:val="24"/>
                                  </w:rPr>
                                </m:ctrlPr>
                              </m:fName>
                              <m:e>
                                <m:sSub>
                                  <m:sSubPr>
                                    <m:ctrlPr>
                                      <w:rPr>
                                        <w:rFonts w:ascii="Cambria Math" w:hAnsi="Cambria Math"/>
                                        <w:i/>
                                        <w:sz w:val="28"/>
                                        <w:szCs w:val="24"/>
                                      </w:rPr>
                                    </m:ctrlPr>
                                  </m:sSubPr>
                                  <m:e>
                                    <m:r>
                                      <m:rPr/>
                                      <w:rPr>
                                        <w:rFonts w:ascii="Cambria Math" w:hAnsi="Cambria Math"/>
                                        <w:sz w:val="28"/>
                                        <w:szCs w:val="24"/>
                                      </w:rPr>
                                      <m:t>φ</m:t>
                                    </m:r>
                                    <m:ctrlPr>
                                      <w:rPr>
                                        <w:rFonts w:ascii="Cambria Math" w:hAnsi="Cambria Math"/>
                                        <w:i/>
                                        <w:sz w:val="28"/>
                                        <w:szCs w:val="24"/>
                                      </w:rPr>
                                    </m:ctrlPr>
                                  </m:e>
                                  <m:sub>
                                    <m:r>
                                      <m:rPr/>
                                      <w:rPr>
                                        <w:rFonts w:ascii="Cambria Math" w:hAnsi="Cambria Math"/>
                                        <w:sz w:val="28"/>
                                        <w:szCs w:val="24"/>
                                      </w:rPr>
                                      <m:t>i</m:t>
                                    </m:r>
                                    <m:ctrlPr>
                                      <w:rPr>
                                        <w:rFonts w:ascii="Cambria Math" w:hAnsi="Cambria Math"/>
                                        <w:i/>
                                        <w:sz w:val="28"/>
                                        <w:szCs w:val="24"/>
                                      </w:rPr>
                                    </m:ctrlPr>
                                  </m:sub>
                                </m:sSub>
                                <m:ctrlPr>
                                  <w:rPr>
                                    <w:rFonts w:ascii="Cambria Math" w:hAnsi="Cambria Math"/>
                                    <w:i/>
                                    <w:sz w:val="28"/>
                                    <w:szCs w:val="24"/>
                                  </w:rPr>
                                </m:ctrlPr>
                              </m:e>
                            </m:func>
                            <m:r>
                              <m:rPr/>
                              <w:rPr>
                                <w:rFonts w:ascii="Cambria Math" w:hAnsi="Cambria Math"/>
                                <w:sz w:val="28"/>
                                <w:szCs w:val="24"/>
                              </w:rPr>
                              <m:t>∙</m:t>
                            </m:r>
                            <m:func>
                              <m:funcPr>
                                <m:ctrlPr>
                                  <w:rPr>
                                    <w:rFonts w:ascii="Cambria Math" w:hAnsi="Cambria Math"/>
                                    <w:i/>
                                    <w:sz w:val="28"/>
                                    <w:szCs w:val="24"/>
                                  </w:rPr>
                                </m:ctrlPr>
                              </m:funcPr>
                              <m:fName>
                                <m:r>
                                  <m:rPr/>
                                  <w:rPr>
                                    <w:rFonts w:ascii="Cambria Math" w:hAnsi="Cambria Math"/>
                                    <w:sz w:val="28"/>
                                    <w:szCs w:val="24"/>
                                  </w:rPr>
                                  <m:t>sin</m:t>
                                </m:r>
                                <m:ctrlPr>
                                  <w:rPr>
                                    <w:rFonts w:ascii="Cambria Math" w:hAnsi="Cambria Math"/>
                                    <w:i/>
                                    <w:sz w:val="28"/>
                                    <w:szCs w:val="24"/>
                                  </w:rPr>
                                </m:ctrlPr>
                              </m:fName>
                              <m:e>
                                <m:r>
                                  <m:rPr/>
                                  <w:rPr>
                                    <w:rFonts w:ascii="Cambria Math" w:hAnsi="Cambria Math"/>
                                    <w:sz w:val="28"/>
                                    <w:szCs w:val="24"/>
                                  </w:rPr>
                                  <m:t>（</m:t>
                                </m:r>
                                <m:sSub>
                                  <m:sSubPr>
                                    <m:ctrlPr>
                                      <w:rPr>
                                        <w:rFonts w:ascii="Cambria Math" w:hAnsi="Cambria Math"/>
                                        <w:i/>
                                        <w:sz w:val="28"/>
                                        <w:szCs w:val="24"/>
                                      </w:rPr>
                                    </m:ctrlPr>
                                  </m:sSubPr>
                                  <m:e>
                                    <m:r>
                                      <m:rPr/>
                                      <w:rPr>
                                        <w:rFonts w:ascii="Cambria Math" w:hAnsi="Cambria Math"/>
                                        <w:sz w:val="28"/>
                                        <w:szCs w:val="24"/>
                                      </w:rPr>
                                      <m:t>φ</m:t>
                                    </m:r>
                                    <m:ctrlPr>
                                      <w:rPr>
                                        <w:rFonts w:ascii="Cambria Math" w:hAnsi="Cambria Math"/>
                                        <w:i/>
                                        <w:sz w:val="28"/>
                                        <w:szCs w:val="24"/>
                                      </w:rPr>
                                    </m:ctrlPr>
                                  </m:e>
                                  <m:sub>
                                    <m:r>
                                      <m:rPr/>
                                      <w:rPr>
                                        <w:rFonts w:ascii="Cambria Math" w:hAnsi="Cambria Math"/>
                                        <w:sz w:val="28"/>
                                        <w:szCs w:val="24"/>
                                      </w:rPr>
                                      <m:t>i</m:t>
                                    </m:r>
                                    <m:ctrlPr>
                                      <w:rPr>
                                        <w:rFonts w:ascii="Cambria Math" w:hAnsi="Cambria Math"/>
                                        <w:i/>
                                        <w:sz w:val="28"/>
                                        <w:szCs w:val="24"/>
                                      </w:rPr>
                                    </m:ctrlPr>
                                  </m:sub>
                                </m:sSub>
                                <m:r>
                                  <m:rPr/>
                                  <w:rPr>
                                    <w:rFonts w:ascii="Cambria Math" w:hAnsi="Cambria Math"/>
                                    <w:sz w:val="28"/>
                                    <w:szCs w:val="24"/>
                                  </w:rPr>
                                  <m:t>−θ）</m:t>
                                </m:r>
                                <m:ctrlPr>
                                  <w:rPr>
                                    <w:rFonts w:ascii="Cambria Math" w:hAnsi="Cambria Math"/>
                                    <w:i/>
                                    <w:sz w:val="28"/>
                                    <w:szCs w:val="24"/>
                                  </w:rPr>
                                </m:ctrlPr>
                              </m:e>
                            </m:func>
                            <m:ctrlPr>
                              <w:rPr>
                                <w:rFonts w:ascii="Cambria Math" w:hAnsi="Cambria Math"/>
                                <w:i/>
                                <w:sz w:val="28"/>
                                <w:szCs w:val="24"/>
                              </w:rPr>
                            </m:ctrlPr>
                          </m:num>
                          <m:den>
                            <m:func>
                              <m:funcPr>
                                <m:ctrlPr>
                                  <w:rPr>
                                    <w:rFonts w:ascii="Cambria Math" w:hAnsi="Cambria Math"/>
                                    <w:i/>
                                    <w:sz w:val="28"/>
                                    <w:szCs w:val="24"/>
                                  </w:rPr>
                                </m:ctrlPr>
                              </m:funcPr>
                              <m:fName>
                                <m:r>
                                  <m:rPr/>
                                  <w:rPr>
                                    <w:rFonts w:ascii="Cambria Math" w:hAnsi="Cambria Math"/>
                                    <w:sz w:val="28"/>
                                    <w:szCs w:val="24"/>
                                  </w:rPr>
                                  <m:t>cos</m:t>
                                </m:r>
                                <m:ctrlPr>
                                  <w:rPr>
                                    <w:rFonts w:ascii="Cambria Math" w:hAnsi="Cambria Math"/>
                                    <w:i/>
                                    <w:sz w:val="28"/>
                                    <w:szCs w:val="24"/>
                                  </w:rPr>
                                </m:ctrlPr>
                              </m:fName>
                              <m:e>
                                <m:r>
                                  <m:rPr/>
                                  <w:rPr>
                                    <w:rFonts w:ascii="Cambria Math" w:hAnsi="Cambria Math"/>
                                    <w:sz w:val="28"/>
                                    <w:szCs w:val="24"/>
                                  </w:rPr>
                                  <m:t>θ</m:t>
                                </m:r>
                                <m:ctrlPr>
                                  <w:rPr>
                                    <w:rFonts w:ascii="Cambria Math" w:hAnsi="Cambria Math"/>
                                    <w:i/>
                                    <w:sz w:val="28"/>
                                    <w:szCs w:val="24"/>
                                  </w:rPr>
                                </m:ctrlPr>
                              </m:e>
                            </m:func>
                            <m:ctrlPr>
                              <w:rPr>
                                <w:rFonts w:ascii="Cambria Math" w:hAnsi="Cambria Math"/>
                                <w:i/>
                                <w:sz w:val="28"/>
                                <w:szCs w:val="24"/>
                              </w:rPr>
                            </m:ctrlPr>
                          </m:den>
                        </m:f>
                        <m:ctrlPr>
                          <w:rPr>
                            <w:rFonts w:ascii="Cambria Math" w:hAnsi="Cambria Math"/>
                            <w:i/>
                            <w:sz w:val="28"/>
                            <w:szCs w:val="24"/>
                          </w:rPr>
                        </m:ctrlPr>
                      </m:e>
                    </m:rad>
                    <m:ctrlPr>
                      <w:rPr>
                        <w:rFonts w:ascii="Cambria Math" w:hAnsi="Cambria Math"/>
                        <w:i/>
                        <w:sz w:val="28"/>
                        <w:szCs w:val="24"/>
                      </w:rPr>
                    </m:ctrlPr>
                  </m:e>
                </m:d>
                <m:ctrlPr>
                  <w:rPr>
                    <w:rFonts w:ascii="Cambria Math" w:hAnsi="Cambria Math"/>
                    <w:i/>
                    <w:sz w:val="28"/>
                    <w:szCs w:val="24"/>
                  </w:rPr>
                </m:ctrlPr>
              </m:e>
              <m:sup>
                <m:r>
                  <m:rPr/>
                  <w:rPr>
                    <w:rFonts w:ascii="Cambria Math" w:hAnsi="Cambria Math"/>
                    <w:sz w:val="28"/>
                    <w:szCs w:val="24"/>
                  </w:rPr>
                  <m:t>2</m:t>
                </m:r>
                <m:ctrlPr>
                  <w:rPr>
                    <w:rFonts w:ascii="Cambria Math" w:hAnsi="Cambria Math"/>
                    <w:i/>
                    <w:sz w:val="28"/>
                    <w:szCs w:val="24"/>
                  </w:rPr>
                </m:ctrlPr>
              </m:sup>
            </m:sSup>
            <m:ctrlPr>
              <w:rPr>
                <w:rFonts w:ascii="Cambria Math" w:hAnsi="Cambria Math"/>
                <w:i/>
                <w:sz w:val="28"/>
                <w:szCs w:val="24"/>
              </w:rPr>
            </m:ctrlPr>
          </m:den>
        </m:f>
      </m:oMath>
      <w:r>
        <w:rPr>
          <w:sz w:val="28"/>
          <w:szCs w:val="24"/>
        </w:rPr>
        <w:t xml:space="preserve"> </w:t>
      </w:r>
      <w:r>
        <w:rPr>
          <w:sz w:val="24"/>
          <w:szCs w:val="24"/>
        </w:rPr>
        <w:t xml:space="preserve">     </w:t>
      </w:r>
      <w:r>
        <w:rPr>
          <w:rFonts w:hint="eastAsia"/>
          <w:sz w:val="24"/>
          <w:szCs w:val="24"/>
        </w:rPr>
        <w:t xml:space="preserve">  </w:t>
      </w:r>
      <w:r>
        <w:rPr>
          <w:sz w:val="24"/>
          <w:szCs w:val="24"/>
        </w:rPr>
        <w:t xml:space="preserve">  </w:t>
      </w:r>
      <w:r>
        <w:rPr>
          <w:sz w:val="20"/>
          <w:szCs w:val="20"/>
        </w:rPr>
        <w:t xml:space="preserve"> （9.2.1-2）</w:t>
      </w:r>
    </w:p>
    <w:p w14:paraId="0C349FDA">
      <w:pPr>
        <w:spacing w:line="480" w:lineRule="auto"/>
        <w:ind w:left="839" w:firstLine="420"/>
        <w:jc w:val="center"/>
        <w:rPr>
          <w:sz w:val="24"/>
          <w:szCs w:val="24"/>
        </w:rPr>
      </w:pPr>
      <m:oMath>
        <m:sSub>
          <m:sSubPr>
            <m:ctrlPr>
              <w:rPr>
                <w:rFonts w:ascii="Cambria Math" w:hAnsi="宋体"/>
                <w:i/>
                <w:sz w:val="24"/>
                <w:szCs w:val="24"/>
              </w:rPr>
            </m:ctrlPr>
          </m:sSubPr>
          <m:e>
            <m:r>
              <m:rPr/>
              <w:rPr>
                <w:rFonts w:ascii="Cambria Math" w:hAnsi="宋体"/>
                <w:sz w:val="24"/>
                <w:szCs w:val="24"/>
              </w:rPr>
              <m:t>p</m:t>
            </m:r>
            <m:ctrlPr>
              <w:rPr>
                <w:rFonts w:ascii="Cambria Math" w:hAnsi="宋体"/>
                <w:i/>
                <w:sz w:val="24"/>
                <w:szCs w:val="24"/>
              </w:rPr>
            </m:ctrlPr>
          </m:e>
          <m:sub>
            <m:r>
              <m:rPr>
                <m:nor/>
                <m:sty m:val="p"/>
              </m:rPr>
              <w:rPr>
                <w:rFonts w:hint="eastAsia" w:ascii="Cambria Math" w:hAnsi="宋体"/>
                <w:b w:val="0"/>
                <w:i w:val="0"/>
                <w:sz w:val="24"/>
                <w:szCs w:val="24"/>
              </w:rPr>
              <m:t>a</m:t>
            </m:r>
            <m:r>
              <m:rPr>
                <m:nor/>
                <m:sty m:val="p"/>
              </m:rPr>
              <w:rPr>
                <w:rFonts w:ascii="Cambria Math" w:hAnsi="宋体"/>
                <w:b w:val="0"/>
                <w:i w:val="0"/>
                <w:sz w:val="24"/>
                <w:szCs w:val="24"/>
              </w:rPr>
              <m:t>Ek</m:t>
            </m:r>
            <m:ctrlPr>
              <w:rPr>
                <w:rFonts w:ascii="Cambria Math" w:hAnsi="宋体"/>
                <w:sz w:val="24"/>
                <w:szCs w:val="24"/>
              </w:rPr>
            </m:ctrlPr>
          </m:sub>
        </m:sSub>
        <m:r>
          <m:rPr/>
          <w:rPr>
            <w:rFonts w:ascii="Cambria Math" w:hAnsi="宋体"/>
            <w:sz w:val="24"/>
            <w:szCs w:val="24"/>
          </w:rPr>
          <m:t>=</m:t>
        </m:r>
        <m:sSub>
          <m:sSubPr>
            <m:ctrlPr>
              <w:rPr>
                <w:rFonts w:ascii="Cambria Math" w:hAnsi="宋体"/>
                <w:i/>
                <w:sz w:val="24"/>
                <w:szCs w:val="24"/>
              </w:rPr>
            </m:ctrlPr>
          </m:sSubPr>
          <m:e>
            <m:r>
              <m:rPr/>
              <w:rPr>
                <w:rFonts w:ascii="Cambria Math" w:hAnsi="宋体"/>
                <w:sz w:val="24"/>
                <w:szCs w:val="24"/>
              </w:rPr>
              <m:t>σ</m:t>
            </m:r>
            <m:ctrlPr>
              <w:rPr>
                <w:rFonts w:ascii="Cambria Math" w:hAnsi="宋体"/>
                <w:i/>
                <w:sz w:val="24"/>
                <w:szCs w:val="24"/>
              </w:rPr>
            </m:ctrlPr>
          </m:e>
          <m:sub>
            <m:r>
              <m:rPr>
                <m:nor/>
                <m:sty m:val="p"/>
              </m:rPr>
              <w:rPr>
                <w:rFonts w:ascii="Cambria Math" w:hAnsi="宋体"/>
                <w:b w:val="0"/>
                <w:i w:val="0"/>
                <w:sz w:val="24"/>
                <w:szCs w:val="24"/>
              </w:rPr>
              <m:t>ak</m:t>
            </m:r>
            <m:ctrlPr>
              <w:rPr>
                <w:rFonts w:ascii="Cambria Math" w:hAnsi="宋体"/>
                <w:sz w:val="24"/>
                <w:szCs w:val="24"/>
              </w:rPr>
            </m:ctrlPr>
          </m:sub>
        </m:sSub>
        <m:sSub>
          <m:sSubPr>
            <m:ctrlPr>
              <w:rPr>
                <w:rFonts w:ascii="Cambria Math" w:hAnsi="宋体"/>
                <w:i/>
                <w:sz w:val="24"/>
                <w:szCs w:val="24"/>
              </w:rPr>
            </m:ctrlPr>
          </m:sSubPr>
          <m:e>
            <m:r>
              <m:rPr/>
              <w:rPr>
                <w:rFonts w:ascii="Cambria Math" w:hAnsi="宋体"/>
                <w:sz w:val="24"/>
                <w:szCs w:val="24"/>
              </w:rPr>
              <m:t>K</m:t>
            </m:r>
            <m:ctrlPr>
              <w:rPr>
                <w:rFonts w:ascii="Cambria Math" w:hAnsi="宋体"/>
                <w:i/>
                <w:sz w:val="24"/>
                <w:szCs w:val="24"/>
              </w:rPr>
            </m:ctrlPr>
          </m:e>
          <m:sub>
            <m:r>
              <m:rPr>
                <m:nor/>
                <m:sty m:val="p"/>
              </m:rPr>
              <w:rPr>
                <w:rFonts w:ascii="Cambria Math" w:hAnsi="宋体"/>
                <w:b w:val="0"/>
                <w:i w:val="0"/>
                <w:sz w:val="24"/>
                <w:szCs w:val="24"/>
              </w:rPr>
              <m:t>aE,</m:t>
            </m:r>
            <m:r>
              <m:rPr/>
              <w:rPr>
                <w:rFonts w:ascii="Cambria Math" w:hAnsi="宋体"/>
                <w:sz w:val="24"/>
                <w:szCs w:val="24"/>
              </w:rPr>
              <m:t>i</m:t>
            </m:r>
            <m:ctrlPr>
              <w:rPr>
                <w:rFonts w:ascii="Cambria Math" w:hAnsi="宋体"/>
                <w:sz w:val="24"/>
                <w:szCs w:val="24"/>
              </w:rPr>
            </m:ctrlPr>
          </m:sub>
        </m:sSub>
        <m:r>
          <m:rPr/>
          <w:rPr>
            <w:rFonts w:hint="eastAsia" w:ascii="微软雅黑" w:hAnsi="微软雅黑" w:eastAsia="微软雅黑" w:cs="微软雅黑"/>
            <w:sz w:val="24"/>
            <w:szCs w:val="24"/>
          </w:rPr>
          <m:t>−</m:t>
        </m:r>
        <m:r>
          <m:rPr/>
          <w:rPr>
            <w:rFonts w:ascii="Cambria Math" w:hAnsi="宋体"/>
            <w:sz w:val="24"/>
            <w:szCs w:val="24"/>
          </w:rPr>
          <m:t>2</m:t>
        </m:r>
        <m:sSub>
          <m:sSubPr>
            <m:ctrlPr>
              <w:rPr>
                <w:rFonts w:ascii="Cambria Math" w:hAnsi="宋体"/>
                <w:i/>
                <w:sz w:val="24"/>
                <w:szCs w:val="24"/>
              </w:rPr>
            </m:ctrlPr>
          </m:sSubPr>
          <m:e>
            <m:r>
              <m:rPr/>
              <w:rPr>
                <w:rFonts w:ascii="Cambria Math" w:hAnsi="宋体"/>
                <w:sz w:val="24"/>
                <w:szCs w:val="24"/>
              </w:rPr>
              <m:t>c</m:t>
            </m:r>
            <m:ctrlPr>
              <w:rPr>
                <w:rFonts w:ascii="Cambria Math" w:hAnsi="宋体"/>
                <w:i/>
                <w:sz w:val="24"/>
                <w:szCs w:val="24"/>
              </w:rPr>
            </m:ctrlPr>
          </m:e>
          <m:sub>
            <m:r>
              <m:rPr/>
              <w:rPr>
                <w:rFonts w:ascii="Cambria Math" w:hAnsi="宋体"/>
                <w:sz w:val="24"/>
                <w:szCs w:val="24"/>
              </w:rPr>
              <m:t>i</m:t>
            </m:r>
            <m:ctrlPr>
              <w:rPr>
                <w:rFonts w:ascii="Cambria Math" w:hAnsi="宋体"/>
                <w:i/>
                <w:sz w:val="24"/>
                <w:szCs w:val="24"/>
              </w:rPr>
            </m:ctrlPr>
          </m:sub>
        </m:sSub>
        <m:rad>
          <m:radPr>
            <m:degHide m:val="1"/>
            <m:ctrlPr>
              <w:rPr>
                <w:rFonts w:ascii="Cambria Math" w:hAnsi="宋体"/>
                <w:i/>
                <w:sz w:val="24"/>
                <w:szCs w:val="24"/>
              </w:rPr>
            </m:ctrlPr>
          </m:radPr>
          <m:deg>
            <m:ctrlPr>
              <w:rPr>
                <w:rFonts w:ascii="Cambria Math" w:hAnsi="宋体"/>
                <w:i/>
                <w:sz w:val="24"/>
                <w:szCs w:val="24"/>
              </w:rPr>
            </m:ctrlPr>
          </m:deg>
          <m:e>
            <m:sSub>
              <m:sSubPr>
                <m:ctrlPr>
                  <w:rPr>
                    <w:rFonts w:ascii="Cambria Math" w:hAnsi="宋体"/>
                    <w:i/>
                    <w:sz w:val="24"/>
                    <w:szCs w:val="24"/>
                  </w:rPr>
                </m:ctrlPr>
              </m:sSubPr>
              <m:e>
                <m:r>
                  <m:rPr/>
                  <w:rPr>
                    <w:rFonts w:ascii="Cambria Math" w:hAnsi="宋体"/>
                    <w:sz w:val="24"/>
                    <w:szCs w:val="24"/>
                  </w:rPr>
                  <m:t>K</m:t>
                </m:r>
                <m:ctrlPr>
                  <w:rPr>
                    <w:rFonts w:ascii="Cambria Math" w:hAnsi="宋体"/>
                    <w:i/>
                    <w:sz w:val="24"/>
                    <w:szCs w:val="24"/>
                  </w:rPr>
                </m:ctrlPr>
              </m:e>
              <m:sub>
                <m:r>
                  <m:rPr>
                    <m:nor/>
                    <m:sty m:val="p"/>
                  </m:rPr>
                  <w:rPr>
                    <w:rFonts w:ascii="Cambria Math" w:hAnsi="宋体"/>
                    <w:b w:val="0"/>
                    <w:i w:val="0"/>
                    <w:sz w:val="24"/>
                    <w:szCs w:val="24"/>
                  </w:rPr>
                  <m:t>aE,</m:t>
                </m:r>
                <m:r>
                  <m:rPr/>
                  <w:rPr>
                    <w:rFonts w:ascii="Cambria Math" w:hAnsi="宋体"/>
                    <w:sz w:val="24"/>
                    <w:szCs w:val="24"/>
                  </w:rPr>
                  <m:t>i</m:t>
                </m:r>
                <m:ctrlPr>
                  <w:rPr>
                    <w:rFonts w:ascii="Cambria Math" w:hAnsi="宋体"/>
                    <w:sz w:val="24"/>
                    <w:szCs w:val="24"/>
                  </w:rPr>
                </m:ctrlPr>
              </m:sub>
            </m:sSub>
            <m:ctrlPr>
              <w:rPr>
                <w:rFonts w:ascii="Cambria Math" w:hAnsi="Cambria Math"/>
                <w:i/>
                <w:sz w:val="24"/>
                <w:szCs w:val="24"/>
              </w:rPr>
            </m:ctrlPr>
          </m:e>
        </m:rad>
      </m:oMath>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sz w:val="20"/>
          <w:szCs w:val="20"/>
        </w:rPr>
        <w:t>（9.2.1-3）</w:t>
      </w:r>
    </w:p>
    <w:p w14:paraId="4163ED46">
      <w:pPr>
        <w:spacing w:line="480" w:lineRule="auto"/>
        <w:ind w:left="839" w:firstLine="420"/>
        <w:jc w:val="center"/>
        <w:rPr>
          <w:sz w:val="20"/>
          <w:szCs w:val="20"/>
        </w:rPr>
      </w:pPr>
      <m:oMath>
        <m:sSub>
          <m:sSubPr>
            <m:ctrlPr>
              <w:rPr>
                <w:rFonts w:ascii="Cambria Math" w:hAnsi="Cambria Math"/>
                <w:i/>
                <w:sz w:val="24"/>
                <w:szCs w:val="24"/>
              </w:rPr>
            </m:ctrlPr>
          </m:sSubPr>
          <m:e>
            <m:r>
              <m:rPr/>
              <w:rPr>
                <w:rFonts w:ascii="Cambria Math"/>
                <w:sz w:val="24"/>
                <w:szCs w:val="24"/>
              </w:rPr>
              <m:t>K</m:t>
            </m:r>
            <m:ctrlPr>
              <w:rPr>
                <w:rFonts w:ascii="Cambria Math" w:hAnsi="Cambria Math"/>
                <w:i/>
                <w:sz w:val="24"/>
                <w:szCs w:val="24"/>
              </w:rPr>
            </m:ctrlPr>
          </m:e>
          <m:sub>
            <m:r>
              <m:rPr/>
              <w:rPr>
                <w:rFonts w:ascii="Cambria Math"/>
                <w:sz w:val="24"/>
                <w:szCs w:val="24"/>
              </w:rPr>
              <m:t>aE,i</m:t>
            </m:r>
            <m:ctrlPr>
              <w:rPr>
                <w:rFonts w:ascii="Cambria Math" w:hAnsi="Cambria Math"/>
                <w:i/>
                <w:sz w:val="24"/>
                <w:szCs w:val="24"/>
              </w:rPr>
            </m:ctrlPr>
          </m:sub>
        </m:sSub>
        <m:r>
          <m:rPr/>
          <w:rPr>
            <w:rFonts w:ascii="Cambria Math"/>
            <w:sz w:val="24"/>
            <w:szCs w:val="24"/>
          </w:rPr>
          <m:t>=</m:t>
        </m:r>
        <m:func>
          <m:funcPr>
            <m:ctrlPr>
              <w:rPr>
                <w:rFonts w:ascii="Cambria Math" w:hAnsi="Cambria Math"/>
                <w:i/>
                <w:sz w:val="24"/>
                <w:szCs w:val="24"/>
              </w:rPr>
            </m:ctrlPr>
          </m:funcPr>
          <m:fName>
            <m:sSup>
              <m:sSupPr>
                <m:ctrlPr>
                  <w:rPr>
                    <w:rFonts w:ascii="Cambria Math" w:hAnsi="Cambria Math"/>
                    <w:i/>
                    <w:sz w:val="24"/>
                    <w:szCs w:val="24"/>
                  </w:rPr>
                </m:ctrlPr>
              </m:sSupPr>
              <m:e>
                <m:r>
                  <m:rPr/>
                  <w:rPr>
                    <w:rFonts w:ascii="Cambria Math"/>
                    <w:sz w:val="24"/>
                    <w:szCs w:val="24"/>
                  </w:rPr>
                  <m:t>tan</m:t>
                </m:r>
                <m:ctrlPr>
                  <w:rPr>
                    <w:rFonts w:ascii="Cambria Math" w:hAnsi="Cambria Math"/>
                    <w:i/>
                    <w:sz w:val="24"/>
                    <w:szCs w:val="24"/>
                  </w:rPr>
                </m:ctrlPr>
              </m:e>
              <m:sup>
                <m:r>
                  <m:rPr/>
                  <w:rPr>
                    <w:rFonts w:ascii="Cambria Math"/>
                    <w:sz w:val="24"/>
                    <w:szCs w:val="24"/>
                  </w:rPr>
                  <m:t>2</m:t>
                </m:r>
                <m:ctrlPr>
                  <w:rPr>
                    <w:rFonts w:ascii="Cambria Math" w:hAnsi="Cambria Math"/>
                    <w:i/>
                    <w:sz w:val="24"/>
                    <w:szCs w:val="24"/>
                  </w:rPr>
                </m:ctrlPr>
              </m:sup>
            </m:sSup>
            <m:ctrlPr>
              <w:rPr>
                <w:rFonts w:ascii="Cambria Math" w:hAnsi="Cambria Math"/>
                <w:i/>
                <w:sz w:val="24"/>
                <w:szCs w:val="24"/>
              </w:rPr>
            </m:ctrlPr>
          </m:fName>
          <m:e>
            <m:r>
              <m:rPr/>
              <w:rPr>
                <w:rFonts w:ascii="Cambria Math"/>
                <w:sz w:val="24"/>
                <w:szCs w:val="24"/>
              </w:rPr>
              <m:t>(</m:t>
            </m:r>
            <m:ctrlPr>
              <w:rPr>
                <w:rFonts w:ascii="Cambria Math" w:hAnsi="Cambria Math"/>
                <w:i/>
                <w:sz w:val="24"/>
                <w:szCs w:val="24"/>
              </w:rPr>
            </m:ctrlPr>
          </m:e>
        </m:func>
        <m:r>
          <m:rPr/>
          <w:rPr>
            <w:rFonts w:ascii="Cambria Math"/>
            <w:sz w:val="24"/>
            <w:szCs w:val="24"/>
          </w:rPr>
          <m:t>45°−</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sz w:val="24"/>
                    <w:szCs w:val="24"/>
                  </w:rPr>
                  <m:t>ϕ</m:t>
                </m:r>
                <m:ctrlPr>
                  <w:rPr>
                    <w:rFonts w:ascii="Cambria Math" w:hAnsi="Cambria Math"/>
                    <w:i/>
                    <w:sz w:val="24"/>
                    <w:szCs w:val="24"/>
                  </w:rPr>
                </m:ctrlPr>
              </m:e>
              <m:sub>
                <m:r>
                  <m:rPr/>
                  <w:rPr>
                    <w:rFonts w:ascii="Cambria Math"/>
                    <w:sz w:val="24"/>
                    <w:szCs w:val="24"/>
                  </w:rPr>
                  <m:t>i</m:t>
                </m:r>
                <m:ctrlPr>
                  <w:rPr>
                    <w:rFonts w:ascii="Cambria Math" w:hAnsi="Cambria Math"/>
                    <w:i/>
                    <w:sz w:val="24"/>
                    <w:szCs w:val="24"/>
                  </w:rPr>
                </m:ctrlPr>
              </m:sub>
            </m:sSub>
            <m:r>
              <m:rPr/>
              <w:rPr>
                <w:rFonts w:ascii="Cambria Math"/>
                <w:sz w:val="24"/>
                <w:szCs w:val="24"/>
              </w:rPr>
              <m:t>−θ</m:t>
            </m:r>
            <m:ctrlPr>
              <w:rPr>
                <w:rFonts w:ascii="Cambria Math" w:hAnsi="Cambria Math"/>
                <w:i/>
                <w:sz w:val="24"/>
                <w:szCs w:val="24"/>
              </w:rPr>
            </m:ctrlPr>
          </m:num>
          <m:den>
            <m:r>
              <m:rPr/>
              <w:rPr>
                <w:rFonts w:ascii="Cambria Math"/>
                <w:sz w:val="24"/>
                <w:szCs w:val="24"/>
              </w:rPr>
              <m:t>2</m:t>
            </m:r>
            <m:ctrlPr>
              <w:rPr>
                <w:rFonts w:ascii="Cambria Math" w:hAnsi="Cambria Math"/>
                <w:i/>
                <w:sz w:val="24"/>
                <w:szCs w:val="24"/>
              </w:rPr>
            </m:ctrlPr>
          </m:den>
        </m:f>
        <m:r>
          <m:rPr/>
          <w:rPr>
            <w:rFonts w:ascii="Cambria Math"/>
            <w:sz w:val="24"/>
            <w:szCs w:val="24"/>
          </w:rPr>
          <m:t>)</m:t>
        </m:r>
      </m:oMath>
      <w:r>
        <w:rPr>
          <w:sz w:val="36"/>
          <w:szCs w:val="36"/>
        </w:rPr>
        <w:t xml:space="preserve">    </w:t>
      </w:r>
      <w:r>
        <w:rPr>
          <w:sz w:val="24"/>
          <w:szCs w:val="24"/>
        </w:rPr>
        <w:t xml:space="preserve">            </w:t>
      </w:r>
      <w:r>
        <w:rPr>
          <w:sz w:val="20"/>
          <w:szCs w:val="20"/>
        </w:rPr>
        <w:t xml:space="preserve">   （9.2.1-4）</w:t>
      </w:r>
    </w:p>
    <w:p w14:paraId="73B63A57">
      <w:pPr>
        <w:spacing w:line="360" w:lineRule="auto"/>
        <w:ind w:left="1300" w:hanging="1300" w:hangingChars="650"/>
        <w:jc w:val="left"/>
        <w:rPr>
          <w:sz w:val="20"/>
          <w:szCs w:val="20"/>
        </w:rPr>
      </w:pPr>
      <w:r>
        <w:rPr>
          <w:sz w:val="20"/>
          <w:szCs w:val="20"/>
        </w:rPr>
        <w:t>式中：</w:t>
      </w:r>
      <w:r>
        <w:rPr>
          <w:i/>
          <w:sz w:val="20"/>
          <w:szCs w:val="20"/>
        </w:rPr>
        <w:t>p</w:t>
      </w:r>
      <w:r>
        <w:rPr>
          <w:rFonts w:hint="eastAsia"/>
          <w:sz w:val="20"/>
          <w:szCs w:val="20"/>
          <w:vertAlign w:val="subscript"/>
        </w:rPr>
        <w:t>a</w:t>
      </w:r>
      <w:r>
        <w:rPr>
          <w:sz w:val="20"/>
          <w:szCs w:val="20"/>
          <w:vertAlign w:val="subscript"/>
        </w:rPr>
        <w:t>Ek</w:t>
      </w:r>
      <w:r>
        <w:rPr>
          <w:sz w:val="20"/>
          <w:szCs w:val="20"/>
        </w:rPr>
        <w:t>——支护结构外侧，第</w:t>
      </w:r>
      <w:r>
        <w:rPr>
          <w:i/>
          <w:sz w:val="20"/>
          <w:szCs w:val="20"/>
        </w:rPr>
        <w:t>i</w:t>
      </w:r>
      <w:r>
        <w:rPr>
          <w:sz w:val="20"/>
          <w:szCs w:val="20"/>
        </w:rPr>
        <w:t>层土中计算点的地震主动土压力强度标准值（kPa）；当</w:t>
      </w:r>
      <m:oMath>
        <m:sSub>
          <m:sSubPr>
            <m:ctrlPr>
              <w:rPr>
                <w:rFonts w:ascii="Cambria Math" w:hAnsi="Cambria Math"/>
                <w:i/>
                <w:sz w:val="20"/>
                <w:szCs w:val="20"/>
              </w:rPr>
            </m:ctrlPr>
          </m:sSubPr>
          <m:e>
            <m:r>
              <m:rPr/>
              <w:rPr>
                <w:rFonts w:ascii="Cambria Math" w:hAnsi="Cambria Math"/>
                <w:sz w:val="20"/>
                <w:szCs w:val="20"/>
              </w:rPr>
              <m:t>p</m:t>
            </m:r>
            <m:ctrlPr>
              <w:rPr>
                <w:rFonts w:ascii="Cambria Math" w:hAnsi="Cambria Math"/>
                <w:i/>
                <w:sz w:val="20"/>
                <w:szCs w:val="20"/>
              </w:rPr>
            </m:ctrlPr>
          </m:e>
          <m:sub>
            <m:r>
              <m:rPr/>
              <w:rPr>
                <w:rFonts w:ascii="Cambria Math" w:hAnsi="Cambria Math"/>
                <w:sz w:val="20"/>
                <w:szCs w:val="20"/>
              </w:rPr>
              <m:t>aEk</m:t>
            </m:r>
            <m:ctrlPr>
              <w:rPr>
                <w:rFonts w:ascii="Cambria Math" w:hAnsi="Cambria Math"/>
                <w:i/>
                <w:sz w:val="20"/>
                <w:szCs w:val="20"/>
              </w:rPr>
            </m:ctrlPr>
          </m:sub>
        </m:sSub>
        <m:r>
          <m:rPr/>
          <w:rPr>
            <w:rFonts w:ascii="Cambria Math" w:hAnsi="Cambria Math"/>
            <w:sz w:val="20"/>
            <w:szCs w:val="20"/>
          </w:rPr>
          <m:t>&lt;</m:t>
        </m:r>
        <m:r>
          <m:rPr>
            <m:sty m:val="p"/>
          </m:rPr>
          <w:rPr>
            <w:rFonts w:ascii="Cambria Math" w:hAnsi="Cambria Math"/>
            <w:sz w:val="20"/>
            <w:szCs w:val="20"/>
          </w:rPr>
          <m:t>0</m:t>
        </m:r>
      </m:oMath>
      <w:r>
        <w:rPr>
          <w:sz w:val="20"/>
          <w:szCs w:val="20"/>
        </w:rPr>
        <w:t>时，应取</w:t>
      </w:r>
      <m:oMath>
        <m:sSub>
          <m:sSubPr>
            <m:ctrlPr>
              <w:rPr>
                <w:rFonts w:ascii="Cambria Math" w:hAnsi="Cambria Math"/>
                <w:i/>
                <w:sz w:val="20"/>
                <w:szCs w:val="20"/>
              </w:rPr>
            </m:ctrlPr>
          </m:sSubPr>
          <m:e>
            <m:r>
              <m:rPr/>
              <w:rPr>
                <w:rFonts w:ascii="Cambria Math" w:hAnsi="Cambria Math"/>
                <w:sz w:val="20"/>
                <w:szCs w:val="20"/>
              </w:rPr>
              <m:t>p</m:t>
            </m:r>
            <m:ctrlPr>
              <w:rPr>
                <w:rFonts w:ascii="Cambria Math" w:hAnsi="Cambria Math"/>
                <w:i/>
                <w:sz w:val="20"/>
                <w:szCs w:val="20"/>
              </w:rPr>
            </m:ctrlPr>
          </m:e>
          <m:sub>
            <m:r>
              <m:rPr/>
              <w:rPr>
                <w:rFonts w:ascii="Cambria Math" w:hAnsi="Cambria Math"/>
                <w:sz w:val="20"/>
                <w:szCs w:val="20"/>
              </w:rPr>
              <m:t>aEk</m:t>
            </m:r>
            <m:ctrlPr>
              <w:rPr>
                <w:rFonts w:ascii="Cambria Math" w:hAnsi="Cambria Math"/>
                <w:i/>
                <w:sz w:val="20"/>
                <w:szCs w:val="20"/>
              </w:rPr>
            </m:ctrlPr>
          </m:sub>
        </m:sSub>
        <m:r>
          <m:rPr/>
          <w:rPr>
            <w:rFonts w:ascii="Cambria Math" w:hAnsi="Cambria Math"/>
            <w:sz w:val="20"/>
            <w:szCs w:val="20"/>
          </w:rPr>
          <m:t>=</m:t>
        </m:r>
        <m:r>
          <m:rPr>
            <m:sty m:val="p"/>
          </m:rPr>
          <w:rPr>
            <w:rFonts w:ascii="Cambria Math" w:hAnsi="Cambria Math"/>
            <w:sz w:val="20"/>
            <w:szCs w:val="20"/>
          </w:rPr>
          <m:t>0</m:t>
        </m:r>
      </m:oMath>
      <w:r>
        <w:rPr>
          <w:sz w:val="20"/>
          <w:szCs w:val="20"/>
        </w:rPr>
        <w:t>；</w:t>
      </w:r>
    </w:p>
    <w:p w14:paraId="47319911">
      <w:pPr>
        <w:spacing w:line="360" w:lineRule="auto"/>
        <w:ind w:left="1393" w:leftChars="270" w:hanging="826" w:hangingChars="413"/>
        <w:jc w:val="left"/>
        <w:rPr>
          <w:sz w:val="20"/>
          <w:szCs w:val="20"/>
        </w:rPr>
      </w:pPr>
      <w:r>
        <w:rPr>
          <w:i/>
          <w:sz w:val="20"/>
          <w:szCs w:val="20"/>
        </w:rPr>
        <w:t>σ</w:t>
      </w:r>
      <w:r>
        <w:rPr>
          <w:sz w:val="20"/>
          <w:szCs w:val="20"/>
          <w:vertAlign w:val="subscript"/>
        </w:rPr>
        <w:t>ak</w:t>
      </w:r>
      <w:r>
        <w:rPr>
          <w:iCs/>
          <w:sz w:val="20"/>
          <w:szCs w:val="20"/>
        </w:rPr>
        <w:t>——</w:t>
      </w:r>
      <w:r>
        <w:rPr>
          <w:sz w:val="20"/>
          <w:szCs w:val="20"/>
        </w:rPr>
        <w:t>支护结构外侧计算点的土中竖向应力标准值（kPa），按本规程第3.3.5条的规定计算；</w:t>
      </w:r>
    </w:p>
    <w:p w14:paraId="24D6A666">
      <w:pPr>
        <w:spacing w:line="360" w:lineRule="auto"/>
        <w:ind w:left="1393" w:leftChars="270" w:hanging="826" w:hangingChars="413"/>
        <w:jc w:val="left"/>
        <w:rPr>
          <w:sz w:val="20"/>
          <w:szCs w:val="20"/>
        </w:rPr>
      </w:pPr>
      <w:r>
        <w:rPr>
          <w:i/>
          <w:iCs/>
          <w:sz w:val="20"/>
          <w:szCs w:val="20"/>
        </w:rPr>
        <w:t>K</w:t>
      </w:r>
      <w:r>
        <w:rPr>
          <w:iCs/>
          <w:sz w:val="20"/>
          <w:szCs w:val="20"/>
          <w:vertAlign w:val="subscript"/>
        </w:rPr>
        <w:t>aE,</w:t>
      </w:r>
      <w:r>
        <w:rPr>
          <w:i/>
          <w:iCs/>
          <w:sz w:val="20"/>
          <w:szCs w:val="20"/>
          <w:vertAlign w:val="subscript"/>
        </w:rPr>
        <w:t>i</w:t>
      </w:r>
      <w:r>
        <w:rPr>
          <w:iCs/>
          <w:sz w:val="20"/>
          <w:szCs w:val="20"/>
        </w:rPr>
        <w:t>——</w:t>
      </w:r>
      <w:r>
        <w:rPr>
          <w:sz w:val="20"/>
          <w:szCs w:val="20"/>
        </w:rPr>
        <w:t>第</w:t>
      </w:r>
      <w:r>
        <w:rPr>
          <w:i/>
          <w:sz w:val="20"/>
          <w:szCs w:val="20"/>
        </w:rPr>
        <w:t>i</w:t>
      </w:r>
      <w:r>
        <w:rPr>
          <w:sz w:val="20"/>
          <w:szCs w:val="20"/>
        </w:rPr>
        <w:t>层土的地震主动土压力系数；</w:t>
      </w:r>
    </w:p>
    <w:p w14:paraId="2F0550CE">
      <w:pPr>
        <w:spacing w:line="360" w:lineRule="auto"/>
        <w:ind w:left="1393" w:leftChars="270" w:hanging="826" w:hangingChars="413"/>
        <w:jc w:val="left"/>
        <w:rPr>
          <w:sz w:val="20"/>
          <w:szCs w:val="20"/>
        </w:rPr>
      </w:pPr>
      <w:r>
        <w:rPr>
          <w:i/>
          <w:iCs/>
          <w:sz w:val="20"/>
          <w:szCs w:val="20"/>
        </w:rPr>
        <w:t>c</w:t>
      </w:r>
      <w:r>
        <w:rPr>
          <w:i/>
          <w:sz w:val="20"/>
          <w:szCs w:val="20"/>
          <w:vertAlign w:val="subscript"/>
        </w:rPr>
        <w:t>i</w:t>
      </w:r>
      <w:r>
        <w:rPr>
          <w:iCs/>
          <w:sz w:val="20"/>
          <w:szCs w:val="20"/>
        </w:rPr>
        <w:t>、</w:t>
      </w:r>
      <w:r>
        <w:rPr>
          <w:i/>
          <w:sz w:val="20"/>
          <w:szCs w:val="20"/>
        </w:rPr>
        <w:sym w:font="Symbol" w:char="F06A"/>
      </w:r>
      <w:r>
        <w:rPr>
          <w:i/>
          <w:sz w:val="20"/>
          <w:szCs w:val="20"/>
          <w:vertAlign w:val="subscript"/>
        </w:rPr>
        <w:t>i</w:t>
      </w:r>
      <w:r>
        <w:rPr>
          <w:iCs/>
          <w:sz w:val="20"/>
          <w:szCs w:val="20"/>
        </w:rPr>
        <w:t>——分别为</w:t>
      </w:r>
      <w:r>
        <w:rPr>
          <w:sz w:val="20"/>
          <w:szCs w:val="20"/>
        </w:rPr>
        <w:t>第</w:t>
      </w:r>
      <w:r>
        <w:rPr>
          <w:i/>
          <w:sz w:val="20"/>
          <w:szCs w:val="20"/>
        </w:rPr>
        <w:t>i</w:t>
      </w:r>
      <w:r>
        <w:rPr>
          <w:sz w:val="20"/>
          <w:szCs w:val="20"/>
        </w:rPr>
        <w:t>层土的粘聚力（kPa）、内摩擦角（º）；按本规程第3.1.13条的规定取值；</w:t>
      </w:r>
    </w:p>
    <w:p w14:paraId="71B5EC54">
      <w:pPr>
        <w:spacing w:line="360" w:lineRule="auto"/>
        <w:ind w:left="1393" w:leftChars="270" w:hanging="826" w:hangingChars="413"/>
        <w:jc w:val="left"/>
        <w:rPr>
          <w:i/>
          <w:sz w:val="20"/>
          <w:szCs w:val="20"/>
        </w:rPr>
      </w:pPr>
      <w:r>
        <w:rPr>
          <w:i/>
          <w:iCs/>
          <w:sz w:val="20"/>
          <w:szCs w:val="20"/>
        </w:rPr>
        <w:t>ξ</w:t>
      </w:r>
      <w:r>
        <w:rPr>
          <w:sz w:val="20"/>
          <w:szCs w:val="20"/>
        </w:rPr>
        <w:t>——高度增大系数，</w:t>
      </w:r>
      <w:r>
        <w:rPr>
          <w:i/>
          <w:iCs/>
          <w:sz w:val="20"/>
          <w:szCs w:val="20"/>
          <w:u w:val="single"/>
        </w:rPr>
        <w:t>可取1.1</w:t>
      </w:r>
      <w:r>
        <w:rPr>
          <w:sz w:val="20"/>
          <w:szCs w:val="20"/>
          <w:u w:val="single"/>
        </w:rPr>
        <w:t>～</w:t>
      </w:r>
      <w:r>
        <w:rPr>
          <w:i/>
          <w:iCs/>
          <w:sz w:val="20"/>
          <w:szCs w:val="20"/>
          <w:u w:val="single"/>
        </w:rPr>
        <w:t>1.6</w:t>
      </w:r>
      <w:r>
        <w:rPr>
          <w:sz w:val="20"/>
          <w:szCs w:val="20"/>
        </w:rPr>
        <w:t>；</w:t>
      </w:r>
      <w:r>
        <w:rPr>
          <w:i/>
          <w:sz w:val="20"/>
          <w:szCs w:val="20"/>
        </w:rPr>
        <w:t xml:space="preserve"> </w:t>
      </w:r>
    </w:p>
    <w:p w14:paraId="40910362">
      <w:pPr>
        <w:spacing w:line="360" w:lineRule="auto"/>
        <w:ind w:left="1393" w:leftChars="270" w:hanging="826" w:hangingChars="413"/>
        <w:jc w:val="left"/>
        <w:rPr>
          <w:sz w:val="20"/>
          <w:szCs w:val="20"/>
        </w:rPr>
      </w:pPr>
      <m:oMath>
        <m:r>
          <m:rPr/>
          <w:rPr>
            <w:rFonts w:ascii="Cambria Math" w:hAnsi="Cambria Math"/>
            <w:sz w:val="20"/>
            <w:szCs w:val="20"/>
          </w:rPr>
          <m:t>θ</m:t>
        </m:r>
      </m:oMath>
      <w:r>
        <w:rPr>
          <w:iCs/>
          <w:sz w:val="20"/>
          <w:szCs w:val="20"/>
        </w:rPr>
        <w:t>——</w:t>
      </w:r>
      <w:r>
        <w:rPr>
          <w:sz w:val="20"/>
          <w:szCs w:val="20"/>
        </w:rPr>
        <w:t>地震角（º），可按表9.2.1取值。</w:t>
      </w:r>
    </w:p>
    <w:p w14:paraId="61017D0C">
      <w:pPr>
        <w:tabs>
          <w:tab w:val="left" w:pos="720"/>
          <w:tab w:val="left" w:pos="854"/>
          <w:tab w:val="left" w:pos="1620"/>
          <w:tab w:val="left" w:pos="2160"/>
          <w:tab w:val="left" w:pos="3060"/>
          <w:tab w:val="left" w:pos="7020"/>
        </w:tabs>
        <w:adjustRightInd w:val="0"/>
        <w:snapToGrid w:val="0"/>
        <w:spacing w:before="156" w:beforeLines="50" w:after="156" w:afterLines="50" w:line="288" w:lineRule="auto"/>
        <w:jc w:val="center"/>
        <w:rPr>
          <w:rFonts w:ascii="宋体" w:hAnsi="宋体"/>
          <w:b/>
          <w:bCs/>
          <w:sz w:val="18"/>
          <w:szCs w:val="18"/>
        </w:rPr>
      </w:pPr>
      <w:r>
        <w:rPr>
          <w:rFonts w:hint="eastAsia" w:ascii="宋体" w:hAnsi="宋体"/>
          <w:b/>
          <w:bCs/>
          <w:sz w:val="18"/>
          <w:szCs w:val="18"/>
        </w:rPr>
        <w:t>表</w:t>
      </w:r>
      <w:r>
        <w:rPr>
          <w:rFonts w:ascii="宋体" w:hAnsi="宋体"/>
          <w:b/>
          <w:bCs/>
          <w:sz w:val="18"/>
          <w:szCs w:val="18"/>
        </w:rPr>
        <w:t>9.2.1</w:t>
      </w:r>
      <w:r>
        <w:rPr>
          <w:rFonts w:hint="eastAsia" w:ascii="宋体" w:hAnsi="宋体"/>
          <w:b/>
          <w:bCs/>
          <w:sz w:val="18"/>
          <w:szCs w:val="18"/>
        </w:rPr>
        <w:t xml:space="preserve">  地震角</w:t>
      </w:r>
      <m:oMath>
        <m:r>
          <m:rPr>
            <m:sty m:val="bi"/>
          </m:rPr>
          <w:rPr>
            <w:rFonts w:ascii="Cambria Math" w:hAnsi="Cambria Math"/>
            <w:sz w:val="18"/>
            <w:szCs w:val="18"/>
          </w:rPr>
          <m:t>θ</m:t>
        </m:r>
      </m:oMath>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150"/>
        <w:gridCol w:w="1107"/>
        <w:gridCol w:w="1109"/>
        <w:gridCol w:w="1103"/>
        <w:gridCol w:w="1113"/>
        <w:gridCol w:w="1108"/>
      </w:tblGrid>
      <w:tr w14:paraId="1183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532" w:type="dxa"/>
            <w:gridSpan w:val="2"/>
            <w:vAlign w:val="center"/>
          </w:tcPr>
          <w:p w14:paraId="27EA8C54">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计算采用的地震烈度</w:t>
            </w:r>
          </w:p>
        </w:tc>
        <w:tc>
          <w:tcPr>
            <w:tcW w:w="2216" w:type="dxa"/>
            <w:gridSpan w:val="2"/>
            <w:vAlign w:val="center"/>
          </w:tcPr>
          <w:p w14:paraId="7881BCBA">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7度</w:t>
            </w:r>
          </w:p>
        </w:tc>
        <w:tc>
          <w:tcPr>
            <w:tcW w:w="2216" w:type="dxa"/>
            <w:gridSpan w:val="2"/>
            <w:vAlign w:val="center"/>
          </w:tcPr>
          <w:p w14:paraId="49C78B4B">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8度</w:t>
            </w:r>
          </w:p>
        </w:tc>
        <w:tc>
          <w:tcPr>
            <w:tcW w:w="1108" w:type="dxa"/>
            <w:vAlign w:val="center"/>
          </w:tcPr>
          <w:p w14:paraId="3B8992C2">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9度</w:t>
            </w:r>
          </w:p>
        </w:tc>
      </w:tr>
      <w:tr w14:paraId="7FD1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532" w:type="dxa"/>
            <w:gridSpan w:val="2"/>
            <w:vAlign w:val="center"/>
          </w:tcPr>
          <w:p w14:paraId="02449E31">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计算采用的地震加速度</w:t>
            </w:r>
          </w:p>
        </w:tc>
        <w:tc>
          <w:tcPr>
            <w:tcW w:w="1107" w:type="dxa"/>
            <w:vAlign w:val="center"/>
          </w:tcPr>
          <w:p w14:paraId="5D9AA895">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0.10g</w:t>
            </w:r>
          </w:p>
        </w:tc>
        <w:tc>
          <w:tcPr>
            <w:tcW w:w="1109" w:type="dxa"/>
            <w:vAlign w:val="center"/>
          </w:tcPr>
          <w:p w14:paraId="4C65BD20">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0.15g</w:t>
            </w:r>
          </w:p>
        </w:tc>
        <w:tc>
          <w:tcPr>
            <w:tcW w:w="1103" w:type="dxa"/>
            <w:vAlign w:val="center"/>
          </w:tcPr>
          <w:p w14:paraId="6D923665">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0.20g</w:t>
            </w:r>
          </w:p>
        </w:tc>
        <w:tc>
          <w:tcPr>
            <w:tcW w:w="1113" w:type="dxa"/>
            <w:vAlign w:val="center"/>
          </w:tcPr>
          <w:p w14:paraId="1786329A">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0.30g</w:t>
            </w:r>
          </w:p>
        </w:tc>
        <w:tc>
          <w:tcPr>
            <w:tcW w:w="1108" w:type="dxa"/>
            <w:vAlign w:val="center"/>
          </w:tcPr>
          <w:p w14:paraId="173075AE">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0.40g</w:t>
            </w:r>
          </w:p>
        </w:tc>
      </w:tr>
      <w:tr w14:paraId="7B1C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82" w:type="dxa"/>
            <w:vMerge w:val="restart"/>
            <w:vAlign w:val="center"/>
          </w:tcPr>
          <w:p w14:paraId="35D52621">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地震角</w:t>
            </w:r>
            <w:r>
              <w:rPr>
                <w:rFonts w:hint="eastAsia" w:hAnsi="宋体"/>
                <w:i/>
                <w:iCs/>
                <w:sz w:val="18"/>
                <w:szCs w:val="15"/>
              </w:rPr>
              <w:t>θ</w:t>
            </w:r>
            <w:r>
              <w:rPr>
                <w:rFonts w:hint="eastAsia" w:hAnsi="宋体"/>
                <w:sz w:val="18"/>
                <w:szCs w:val="15"/>
              </w:rPr>
              <w:t>(°)</w:t>
            </w:r>
          </w:p>
        </w:tc>
        <w:tc>
          <w:tcPr>
            <w:tcW w:w="1150" w:type="dxa"/>
            <w:vAlign w:val="center"/>
          </w:tcPr>
          <w:p w14:paraId="3477194A">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水上</w:t>
            </w:r>
          </w:p>
        </w:tc>
        <w:tc>
          <w:tcPr>
            <w:tcW w:w="1107" w:type="dxa"/>
            <w:vAlign w:val="center"/>
          </w:tcPr>
          <w:p w14:paraId="49B6EB03">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1.5</w:t>
            </w:r>
          </w:p>
        </w:tc>
        <w:tc>
          <w:tcPr>
            <w:tcW w:w="1109" w:type="dxa"/>
            <w:vAlign w:val="center"/>
          </w:tcPr>
          <w:p w14:paraId="749B547D">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2.3</w:t>
            </w:r>
          </w:p>
        </w:tc>
        <w:tc>
          <w:tcPr>
            <w:tcW w:w="1103" w:type="dxa"/>
            <w:vAlign w:val="center"/>
          </w:tcPr>
          <w:p w14:paraId="3383D11D">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3.0</w:t>
            </w:r>
          </w:p>
        </w:tc>
        <w:tc>
          <w:tcPr>
            <w:tcW w:w="1113" w:type="dxa"/>
            <w:vAlign w:val="center"/>
          </w:tcPr>
          <w:p w14:paraId="6787EC1B">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4.5</w:t>
            </w:r>
          </w:p>
        </w:tc>
        <w:tc>
          <w:tcPr>
            <w:tcW w:w="1108" w:type="dxa"/>
            <w:vAlign w:val="center"/>
          </w:tcPr>
          <w:p w14:paraId="0396D678">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6.0</w:t>
            </w:r>
          </w:p>
        </w:tc>
      </w:tr>
      <w:tr w14:paraId="16C8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82" w:type="dxa"/>
            <w:vMerge w:val="continue"/>
            <w:vAlign w:val="center"/>
          </w:tcPr>
          <w:p w14:paraId="69B8BC6A">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p>
        </w:tc>
        <w:tc>
          <w:tcPr>
            <w:tcW w:w="1150" w:type="dxa"/>
            <w:vAlign w:val="center"/>
          </w:tcPr>
          <w:p w14:paraId="640FC6FF">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水下</w:t>
            </w:r>
          </w:p>
        </w:tc>
        <w:tc>
          <w:tcPr>
            <w:tcW w:w="1107" w:type="dxa"/>
            <w:vAlign w:val="center"/>
          </w:tcPr>
          <w:p w14:paraId="35B2D500">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3.0</w:t>
            </w:r>
          </w:p>
        </w:tc>
        <w:tc>
          <w:tcPr>
            <w:tcW w:w="1109" w:type="dxa"/>
            <w:vAlign w:val="center"/>
          </w:tcPr>
          <w:p w14:paraId="08ACD80F">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4.5</w:t>
            </w:r>
          </w:p>
        </w:tc>
        <w:tc>
          <w:tcPr>
            <w:tcW w:w="1103" w:type="dxa"/>
            <w:vAlign w:val="center"/>
          </w:tcPr>
          <w:p w14:paraId="24D8F113">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6.0</w:t>
            </w:r>
          </w:p>
        </w:tc>
        <w:tc>
          <w:tcPr>
            <w:tcW w:w="1113" w:type="dxa"/>
            <w:vAlign w:val="center"/>
          </w:tcPr>
          <w:p w14:paraId="4E522A8C">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9.0</w:t>
            </w:r>
          </w:p>
        </w:tc>
        <w:tc>
          <w:tcPr>
            <w:tcW w:w="1108" w:type="dxa"/>
            <w:vAlign w:val="center"/>
          </w:tcPr>
          <w:p w14:paraId="7B014489">
            <w:pPr>
              <w:tabs>
                <w:tab w:val="left" w:pos="720"/>
                <w:tab w:val="left" w:pos="854"/>
                <w:tab w:val="left" w:pos="1620"/>
                <w:tab w:val="left" w:pos="2160"/>
                <w:tab w:val="left" w:pos="3060"/>
                <w:tab w:val="left" w:pos="7020"/>
              </w:tabs>
              <w:adjustRightInd w:val="0"/>
              <w:snapToGrid w:val="0"/>
              <w:spacing w:line="264" w:lineRule="auto"/>
              <w:jc w:val="center"/>
              <w:rPr>
                <w:rFonts w:hAnsi="宋体"/>
                <w:sz w:val="18"/>
                <w:szCs w:val="15"/>
              </w:rPr>
            </w:pPr>
            <w:r>
              <w:rPr>
                <w:rFonts w:hint="eastAsia" w:hAnsi="宋体"/>
                <w:sz w:val="18"/>
                <w:szCs w:val="15"/>
              </w:rPr>
              <w:t>1</w:t>
            </w:r>
            <w:r>
              <w:rPr>
                <w:rFonts w:hAnsi="宋体"/>
                <w:sz w:val="18"/>
                <w:szCs w:val="15"/>
              </w:rPr>
              <w:t>0</w:t>
            </w:r>
            <w:r>
              <w:rPr>
                <w:rFonts w:hint="eastAsia" w:hAnsi="宋体"/>
                <w:sz w:val="18"/>
                <w:szCs w:val="15"/>
              </w:rPr>
              <w:t>.0</w:t>
            </w:r>
          </w:p>
        </w:tc>
      </w:tr>
    </w:tbl>
    <w:p w14:paraId="5AC987B7">
      <w:pPr>
        <w:tabs>
          <w:tab w:val="left" w:pos="720"/>
          <w:tab w:val="left" w:pos="854"/>
          <w:tab w:val="left" w:pos="1620"/>
          <w:tab w:val="left" w:pos="2160"/>
          <w:tab w:val="left" w:pos="3060"/>
          <w:tab w:val="left" w:pos="7020"/>
        </w:tabs>
        <w:adjustRightInd w:val="0"/>
        <w:snapToGrid w:val="0"/>
        <w:spacing w:before="156" w:beforeLines="50" w:after="156" w:afterLines="50" w:line="288" w:lineRule="auto"/>
        <w:jc w:val="center"/>
        <w:rPr>
          <w:rFonts w:ascii="宋体" w:hAnsi="宋体"/>
          <w:b/>
          <w:bCs/>
          <w:sz w:val="18"/>
          <w:szCs w:val="18"/>
        </w:rPr>
      </w:pPr>
      <w:r>
        <w:rPr>
          <w:rFonts w:hint="eastAsia" w:ascii="宋体" w:hAnsi="宋体"/>
          <w:b/>
          <w:bCs/>
          <w:sz w:val="18"/>
          <w:szCs w:val="18"/>
        </w:rPr>
        <w:object>
          <v:shape id="_x0000_i1118" o:spt="75" type="#_x0000_t75" style="height:227.5pt;width:301.8pt;" o:ole="t" filled="f" o:preferrelative="t" stroked="f" coordsize="21600,21600">
            <v:path/>
            <v:fill on="f" focussize="0,0"/>
            <v:stroke on="f" joinstyle="miter"/>
            <v:imagedata r:id="rId206" cropleft="19580f" croptop="5990f" cropright="19098f" cropbottom="5848f" o:title=""/>
            <o:lock v:ext="edit" aspectratio="f"/>
            <w10:wrap type="none"/>
            <w10:anchorlock/>
          </v:shape>
          <o:OLEObject Type="Embed" ProgID="AutoCAD.Drawing.19" ShapeID="_x0000_i1118" DrawAspect="Content" ObjectID="_1468075822" r:id="rId205">
            <o:LockedField>false</o:LockedField>
          </o:OLEObject>
        </w:object>
      </w:r>
    </w:p>
    <w:p w14:paraId="078E32B2">
      <w:pPr>
        <w:tabs>
          <w:tab w:val="left" w:pos="720"/>
          <w:tab w:val="left" w:pos="854"/>
          <w:tab w:val="left" w:pos="1620"/>
          <w:tab w:val="left" w:pos="2160"/>
          <w:tab w:val="left" w:pos="3060"/>
          <w:tab w:val="left" w:pos="7020"/>
        </w:tabs>
        <w:adjustRightInd w:val="0"/>
        <w:snapToGrid w:val="0"/>
        <w:spacing w:before="156" w:beforeLines="50" w:after="156" w:afterLines="50" w:line="288" w:lineRule="auto"/>
        <w:jc w:val="center"/>
        <w:rPr>
          <w:b/>
          <w:bCs/>
          <w:sz w:val="18"/>
          <w:szCs w:val="18"/>
        </w:rPr>
      </w:pPr>
      <w:r>
        <w:rPr>
          <w:b/>
          <w:bCs/>
          <w:sz w:val="18"/>
          <w:szCs w:val="18"/>
        </w:rPr>
        <w:t>图9.2.1  地震土压力计算</w:t>
      </w:r>
    </w:p>
    <w:p w14:paraId="7D986341">
      <w:pPr>
        <w:spacing w:line="360" w:lineRule="auto"/>
        <w:ind w:firstLine="480"/>
        <w:jc w:val="left"/>
        <w:rPr>
          <w:sz w:val="20"/>
          <w:szCs w:val="20"/>
        </w:rPr>
      </w:pPr>
      <w:r>
        <w:rPr>
          <w:sz w:val="20"/>
          <w:szCs w:val="20"/>
        </w:rPr>
        <w:t>支护结构的</w:t>
      </w:r>
      <w:bookmarkStart w:id="104" w:name="_Hlk136299422"/>
      <w:r>
        <w:rPr>
          <w:sz w:val="20"/>
          <w:szCs w:val="20"/>
        </w:rPr>
        <w:t>地震</w:t>
      </w:r>
      <w:r>
        <w:rPr>
          <w:rFonts w:hint="eastAsia"/>
          <w:sz w:val="20"/>
          <w:szCs w:val="20"/>
        </w:rPr>
        <w:t>被动土压力强度</w:t>
      </w:r>
      <w:r>
        <w:rPr>
          <w:sz w:val="20"/>
          <w:szCs w:val="20"/>
        </w:rPr>
        <w:t>标准值</w:t>
      </w:r>
      <w:bookmarkEnd w:id="104"/>
      <w:r>
        <w:rPr>
          <w:sz w:val="20"/>
          <w:szCs w:val="20"/>
        </w:rPr>
        <w:t>可按公式</w:t>
      </w:r>
      <w:r>
        <w:rPr>
          <w:rFonts w:hint="eastAsia"/>
          <w:sz w:val="20"/>
          <w:szCs w:val="20"/>
        </w:rPr>
        <w:t>（9.2.1-5）或（9.2.1-7）</w:t>
      </w:r>
      <w:r>
        <w:rPr>
          <w:sz w:val="20"/>
          <w:szCs w:val="20"/>
        </w:rPr>
        <w:t>确定：</w:t>
      </w:r>
    </w:p>
    <w:p w14:paraId="784D9F3F">
      <w:pPr>
        <w:pStyle w:val="2"/>
        <w:ind w:firstLine="480"/>
        <w:jc w:val="center"/>
        <w:rPr>
          <w:sz w:val="20"/>
          <w:szCs w:val="20"/>
        </w:rPr>
      </w:pPr>
      <m:oMath>
        <m:sSub>
          <m:sSubPr>
            <m:ctrlPr>
              <w:rPr>
                <w:rFonts w:ascii="Cambria Math" w:hAnsi="Cambria Math"/>
                <w:i/>
                <w:sz w:val="24"/>
              </w:rPr>
            </m:ctrlPr>
          </m:sSubPr>
          <m:e>
            <m:r>
              <m:rPr/>
              <w:rPr>
                <w:rFonts w:ascii="Cambria Math" w:hAnsi="Cambria Math"/>
                <w:sz w:val="24"/>
              </w:rPr>
              <m:t>p</m:t>
            </m:r>
            <m:ctrlPr>
              <w:rPr>
                <w:rFonts w:ascii="Cambria Math" w:hAnsi="Cambria Math"/>
                <w:i/>
                <w:sz w:val="24"/>
              </w:rPr>
            </m:ctrlPr>
          </m:e>
          <m:sub>
            <m:r>
              <m:rPr/>
              <w:rPr>
                <w:rFonts w:hint="eastAsia" w:ascii="Cambria Math" w:hAnsi="Cambria Math"/>
                <w:sz w:val="24"/>
              </w:rPr>
              <m:t>p</m:t>
            </m:r>
            <m:r>
              <m:rPr/>
              <w:rPr>
                <w:rFonts w:ascii="Cambria Math" w:hAnsi="Cambria Math"/>
                <w:sz w:val="24"/>
              </w:rPr>
              <m:t>Ek</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σ</m:t>
            </m:r>
            <m:ctrlPr>
              <w:rPr>
                <w:rFonts w:ascii="Cambria Math" w:hAnsi="Cambria Math"/>
                <w:i/>
                <w:sz w:val="24"/>
              </w:rPr>
            </m:ctrlPr>
          </m:e>
          <m:sub>
            <m:r>
              <m:rPr/>
              <w:rPr>
                <w:rFonts w:ascii="Cambria Math" w:hAnsi="Cambria Math"/>
                <w:sz w:val="24"/>
              </w:rPr>
              <m:t>pk</m:t>
            </m:r>
            <m:ctrlPr>
              <w:rPr>
                <w:rFonts w:ascii="Cambria Math" w:hAnsi="Cambria Math"/>
                <w:i/>
                <w:sz w:val="24"/>
              </w:rPr>
            </m:ctrlPr>
          </m:sub>
        </m:sSub>
        <m:sSub>
          <m:sSubPr>
            <m:ctrlPr>
              <w:rPr>
                <w:rFonts w:ascii="Cambria Math" w:hAnsi="Cambria Math"/>
                <w:i/>
                <w:sz w:val="24"/>
              </w:rPr>
            </m:ctrlPr>
          </m:sSubPr>
          <m:e>
            <m:r>
              <m:rPr/>
              <w:rPr>
                <w:rFonts w:ascii="Cambria Math" w:hAnsi="Cambria Math"/>
                <w:sz w:val="24"/>
              </w:rPr>
              <m:t>K</m:t>
            </m:r>
            <m:ctrlPr>
              <w:rPr>
                <w:rFonts w:ascii="Cambria Math" w:hAnsi="Cambria Math"/>
                <w:i/>
                <w:sz w:val="24"/>
              </w:rPr>
            </m:ctrlPr>
          </m:e>
          <m:sub>
            <m:r>
              <m:rPr/>
              <w:rPr>
                <w:rFonts w:ascii="Cambria Math" w:hAnsi="Cambria Math"/>
                <w:sz w:val="24"/>
              </w:rPr>
              <m:t>pE,i</m:t>
            </m:r>
            <m:ctrlPr>
              <w:rPr>
                <w:rFonts w:ascii="Cambria Math" w:hAnsi="Cambria Math"/>
                <w:i/>
                <w:sz w:val="24"/>
              </w:rPr>
            </m:ctrlPr>
          </m:sub>
        </m:sSub>
        <m:r>
          <m:rPr/>
          <w:rPr>
            <w:rFonts w:ascii="Cambria Math" w:hAnsi="Cambria Math"/>
            <w:sz w:val="24"/>
          </w:rPr>
          <m:t>+2</m:t>
        </m:r>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f>
          <m:fPr>
            <m:ctrlPr>
              <w:rPr>
                <w:rFonts w:ascii="Cambria Math" w:hAnsi="Cambria Math"/>
                <w:i/>
                <w:sz w:val="24"/>
              </w:rPr>
            </m:ctrlPr>
          </m:fPr>
          <m:num>
            <m:func>
              <m:funcPr>
                <m:ctrlPr>
                  <w:rPr>
                    <w:rFonts w:ascii="Cambria Math" w:hAnsi="Cambria Math"/>
                    <w:i/>
                    <w:sz w:val="24"/>
                  </w:rPr>
                </m:ctrlPr>
              </m:funcPr>
              <m:fName>
                <m:r>
                  <m:rPr/>
                  <w:rPr>
                    <w:rFonts w:ascii="Cambria Math" w:hAnsi="Cambria Math"/>
                    <w:sz w:val="24"/>
                  </w:rPr>
                  <m:t>cos</m:t>
                </m:r>
                <m:ctrlPr>
                  <w:rPr>
                    <w:rFonts w:ascii="Cambria Math" w:hAnsi="Cambria Math"/>
                    <w:i/>
                    <w:sz w:val="24"/>
                  </w:rPr>
                </m:ctrlPr>
              </m:fName>
              <m:e>
                <m:sSub>
                  <m:sSubPr>
                    <m:ctrlPr>
                      <w:rPr>
                        <w:rFonts w:ascii="Cambria Math" w:hAnsi="Cambria Math"/>
                        <w:i/>
                        <w:sz w:val="24"/>
                      </w:rPr>
                    </m:ctrlPr>
                  </m:sSubPr>
                  <m:e>
                    <m:r>
                      <m:rPr/>
                      <w:rPr>
                        <w:rFonts w:ascii="Cambria Math" w:hAnsi="Cambria Math"/>
                        <w:sz w:val="24"/>
                      </w:rPr>
                      <m:t>φ</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ctrlPr>
                  <w:rPr>
                    <w:rFonts w:ascii="Cambria Math" w:hAnsi="Cambria Math"/>
                    <w:i/>
                    <w:sz w:val="24"/>
                  </w:rPr>
                </m:ctrlPr>
              </m:e>
            </m:func>
            <m:ctrlPr>
              <w:rPr>
                <w:rFonts w:ascii="Cambria Math" w:hAnsi="Cambria Math"/>
                <w:i/>
                <w:sz w:val="24"/>
              </w:rPr>
            </m:ctrlPr>
          </m:num>
          <m:den>
            <m:func>
              <m:funcPr>
                <m:ctrlPr>
                  <w:rPr>
                    <w:rFonts w:ascii="Cambria Math" w:hAnsi="Cambria Math"/>
                    <w:i/>
                    <w:sz w:val="24"/>
                  </w:rPr>
                </m:ctrlPr>
              </m:funcPr>
              <m:fName>
                <m:r>
                  <m:rPr/>
                  <w:rPr>
                    <w:rFonts w:ascii="Cambria Math" w:hAnsi="Cambria Math"/>
                    <w:sz w:val="24"/>
                  </w:rPr>
                  <m:t>cos</m:t>
                </m:r>
                <m:ctrlPr>
                  <w:rPr>
                    <w:rFonts w:ascii="Cambria Math" w:hAnsi="Cambria Math"/>
                    <w:i/>
                    <w:sz w:val="24"/>
                  </w:rPr>
                </m:ctrlPr>
              </m:fName>
              <m:e>
                <m:r>
                  <m:rPr/>
                  <w:rPr>
                    <w:rFonts w:ascii="Cambria Math" w:hAnsi="Cambria Math"/>
                    <w:sz w:val="24"/>
                  </w:rPr>
                  <m:t>θ</m:t>
                </m:r>
                <m:d>
                  <m:dPr>
                    <m:ctrlPr>
                      <w:rPr>
                        <w:rFonts w:ascii="Cambria Math" w:hAnsi="Cambria Math"/>
                        <w:i/>
                        <w:sz w:val="24"/>
                      </w:rPr>
                    </m:ctrlPr>
                  </m:dPr>
                  <m:e>
                    <m:r>
                      <m:rPr/>
                      <w:rPr>
                        <w:rFonts w:ascii="Cambria Math" w:hAnsi="Cambria Math"/>
                        <w:sz w:val="24"/>
                      </w:rPr>
                      <m:t>1−</m:t>
                    </m:r>
                    <m:func>
                      <m:funcPr>
                        <m:ctrlPr>
                          <w:rPr>
                            <w:rFonts w:ascii="Cambria Math" w:hAnsi="Cambria Math"/>
                            <w:i/>
                            <w:sz w:val="24"/>
                          </w:rPr>
                        </m:ctrlPr>
                      </m:funcPr>
                      <m:fName>
                        <m:r>
                          <m:rPr/>
                          <w:rPr>
                            <w:rFonts w:ascii="Cambria Math" w:hAnsi="Cambria Math"/>
                            <w:sz w:val="24"/>
                          </w:rPr>
                          <m:t>sin</m:t>
                        </m:r>
                        <m:ctrlPr>
                          <w:rPr>
                            <w:rFonts w:ascii="Cambria Math" w:hAnsi="Cambria Math"/>
                            <w:i/>
                            <w:sz w:val="24"/>
                          </w:rPr>
                        </m:ctrlPr>
                      </m:fName>
                      <m:e>
                        <m:sSub>
                          <m:sSubPr>
                            <m:ctrlPr>
                              <w:rPr>
                                <w:rFonts w:ascii="Cambria Math" w:hAnsi="Cambria Math"/>
                                <w:i/>
                                <w:sz w:val="24"/>
                              </w:rPr>
                            </m:ctrlPr>
                          </m:sSubPr>
                          <m:e>
                            <m:r>
                              <m:rPr/>
                              <w:rPr>
                                <w:rFonts w:ascii="Cambria Math" w:hAnsi="Cambria Math"/>
                                <w:sz w:val="24"/>
                              </w:rPr>
                              <m:t>φ</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ctrlPr>
                          <w:rPr>
                            <w:rFonts w:ascii="Cambria Math" w:hAnsi="Cambria Math"/>
                            <w:i/>
                            <w:sz w:val="24"/>
                          </w:rPr>
                        </m:ctrlPr>
                      </m:e>
                    </m:func>
                    <m:ctrlPr>
                      <w:rPr>
                        <w:rFonts w:ascii="Cambria Math" w:hAnsi="Cambria Math"/>
                        <w:i/>
                        <w:sz w:val="24"/>
                      </w:rPr>
                    </m:ctrlPr>
                  </m:e>
                </m:d>
                <m:ctrlPr>
                  <w:rPr>
                    <w:rFonts w:ascii="Cambria Math" w:hAnsi="Cambria Math"/>
                    <w:i/>
                    <w:sz w:val="24"/>
                  </w:rPr>
                </m:ctrlPr>
              </m:e>
            </m:func>
            <m:ctrlPr>
              <w:rPr>
                <w:rFonts w:ascii="Cambria Math" w:hAnsi="Cambria Math"/>
                <w:i/>
                <w:sz w:val="24"/>
              </w:rPr>
            </m:ctrlPr>
          </m:den>
        </m:f>
      </m:oMath>
      <w:r>
        <w:rPr>
          <w:rFonts w:hint="eastAsia"/>
        </w:rPr>
        <w:t xml:space="preserve"> </w:t>
      </w:r>
      <w:r>
        <w:t xml:space="preserve">       </w:t>
      </w:r>
      <w:r>
        <w:rPr>
          <w:sz w:val="20"/>
          <w:szCs w:val="20"/>
        </w:rPr>
        <w:t>（9.2.1-5）</w:t>
      </w:r>
    </w:p>
    <w:p w14:paraId="2232B1B6">
      <w:pPr>
        <w:pStyle w:val="2"/>
        <w:ind w:firstLine="560"/>
        <w:jc w:val="center"/>
        <w:rPr>
          <w:sz w:val="20"/>
          <w:szCs w:val="20"/>
        </w:rPr>
      </w:pPr>
      <m:oMath>
        <m:sSub>
          <m:sSubPr>
            <m:ctrlPr>
              <w:rPr>
                <w:rFonts w:ascii="Cambria Math" w:hAnsi="Cambria Math"/>
                <w:i/>
                <w:sz w:val="28"/>
              </w:rPr>
            </m:ctrlPr>
          </m:sSubPr>
          <m:e>
            <m:r>
              <m:rPr/>
              <w:rPr>
                <w:rFonts w:ascii="Cambria Math" w:hAnsi="Cambria Math"/>
                <w:sz w:val="28"/>
              </w:rPr>
              <m:t>K</m:t>
            </m:r>
            <m:ctrlPr>
              <w:rPr>
                <w:rFonts w:ascii="Cambria Math" w:hAnsi="Cambria Math"/>
                <w:i/>
                <w:sz w:val="28"/>
              </w:rPr>
            </m:ctrlPr>
          </m:e>
          <m:sub>
            <m:r>
              <m:rPr/>
              <w:rPr>
                <w:rFonts w:ascii="Cambria Math" w:hAnsi="Cambria Math"/>
                <w:sz w:val="28"/>
              </w:rPr>
              <m:t>pE,i</m:t>
            </m:r>
            <m:ctrlPr>
              <w:rPr>
                <w:rFonts w:ascii="Cambria Math" w:hAnsi="Cambria Math"/>
                <w:i/>
                <w:sz w:val="28"/>
              </w:rPr>
            </m:ctrlPr>
          </m:sub>
        </m:sSub>
        <m:r>
          <m:rPr/>
          <w:rPr>
            <w:rFonts w:ascii="Cambria Math" w:hAnsi="Cambria Math"/>
            <w:sz w:val="28"/>
          </w:rPr>
          <m:t>=</m:t>
        </m:r>
        <m:f>
          <m:fPr>
            <m:ctrlPr>
              <w:rPr>
                <w:rFonts w:ascii="Cambria Math" w:hAnsi="Cambria Math"/>
                <w:i/>
                <w:sz w:val="28"/>
              </w:rPr>
            </m:ctrlPr>
          </m:fPr>
          <m:num>
            <m:sSup>
              <m:sSupPr>
                <m:ctrlPr>
                  <w:rPr>
                    <w:rFonts w:ascii="Cambria Math" w:hAnsi="Cambria Math"/>
                    <w:i/>
                    <w:sz w:val="28"/>
                  </w:rPr>
                </m:ctrlPr>
              </m:sSupPr>
              <m:e>
                <m:r>
                  <m:rPr/>
                  <w:rPr>
                    <w:rFonts w:ascii="Cambria Math" w:hAnsi="Cambria Math"/>
                    <w:sz w:val="28"/>
                  </w:rPr>
                  <m:t>cos</m:t>
                </m:r>
                <m:ctrlPr>
                  <w:rPr>
                    <w:rFonts w:ascii="Cambria Math" w:hAnsi="Cambria Math"/>
                    <w:i/>
                    <w:sz w:val="28"/>
                  </w:rPr>
                </m:ctrlPr>
              </m:e>
              <m:sup>
                <m:r>
                  <m:rPr/>
                  <w:rPr>
                    <w:rFonts w:ascii="Cambria Math" w:hAnsi="Cambria Math"/>
                    <w:sz w:val="28"/>
                  </w:rPr>
                  <m:t>2</m:t>
                </m:r>
                <m:ctrlPr>
                  <w:rPr>
                    <w:rFonts w:ascii="Cambria Math" w:hAnsi="Cambria Math"/>
                    <w:i/>
                    <w:sz w:val="28"/>
                  </w:rPr>
                </m:ctrlPr>
              </m:sup>
            </m:sSup>
            <m:r>
              <m:rPr/>
              <w:rPr>
                <w:rFonts w:ascii="Cambria Math" w:hAnsi="Cambria Math"/>
                <w:sz w:val="28"/>
              </w:rPr>
              <m:t>（</m:t>
            </m:r>
            <m:sSub>
              <m:sSubPr>
                <m:ctrlPr>
                  <w:rPr>
                    <w:rFonts w:ascii="Cambria Math" w:hAnsi="Cambria Math"/>
                    <w:i/>
                    <w:sz w:val="28"/>
                  </w:rPr>
                </m:ctrlPr>
              </m:sSubPr>
              <m:e>
                <m:r>
                  <m:rPr/>
                  <w:rPr>
                    <w:rFonts w:ascii="Cambria Math" w:hAnsi="Cambria Math"/>
                    <w:sz w:val="28"/>
                  </w:rPr>
                  <m:t>φ</m:t>
                </m:r>
                <m:ctrlPr>
                  <w:rPr>
                    <w:rFonts w:ascii="Cambria Math" w:hAnsi="Cambria Math"/>
                    <w:i/>
                    <w:sz w:val="28"/>
                  </w:rPr>
                </m:ctrlPr>
              </m:e>
              <m:sub>
                <m:r>
                  <m:rPr/>
                  <w:rPr>
                    <w:rFonts w:ascii="Cambria Math" w:hAnsi="Cambria Math"/>
                    <w:sz w:val="28"/>
                  </w:rPr>
                  <m:t>i</m:t>
                </m:r>
                <m:ctrlPr>
                  <w:rPr>
                    <w:rFonts w:ascii="Cambria Math" w:hAnsi="Cambria Math"/>
                    <w:i/>
                    <w:sz w:val="28"/>
                  </w:rPr>
                </m:ctrlPr>
              </m:sub>
            </m:sSub>
            <m:r>
              <m:rPr/>
              <w:rPr>
                <w:rFonts w:ascii="Cambria Math" w:hAnsi="Cambria Math"/>
                <w:sz w:val="28"/>
              </w:rPr>
              <m:t>−θ）</m:t>
            </m:r>
            <m:ctrlPr>
              <w:rPr>
                <w:rFonts w:ascii="Cambria Math" w:hAnsi="Cambria Math"/>
                <w:i/>
                <w:sz w:val="28"/>
              </w:rPr>
            </m:ctrlPr>
          </m:num>
          <m:den>
            <m:func>
              <m:funcPr>
                <m:ctrlPr>
                  <w:rPr>
                    <w:rFonts w:ascii="Cambria Math" w:hAnsi="Cambria Math"/>
                    <w:i/>
                    <w:sz w:val="28"/>
                  </w:rPr>
                </m:ctrlPr>
              </m:funcPr>
              <m:fName>
                <m:sSup>
                  <m:sSupPr>
                    <m:ctrlPr>
                      <w:rPr>
                        <w:rFonts w:ascii="Cambria Math" w:hAnsi="Cambria Math"/>
                        <w:i/>
                        <w:sz w:val="28"/>
                      </w:rPr>
                    </m:ctrlPr>
                  </m:sSupPr>
                  <m:e>
                    <m:r>
                      <m:rPr/>
                      <w:rPr>
                        <w:rFonts w:ascii="Cambria Math" w:hAnsi="Cambria Math"/>
                        <w:sz w:val="28"/>
                      </w:rPr>
                      <m:t>cos</m:t>
                    </m:r>
                    <m:ctrlPr>
                      <w:rPr>
                        <w:rFonts w:ascii="Cambria Math" w:hAnsi="Cambria Math"/>
                        <w:i/>
                        <w:sz w:val="28"/>
                      </w:rPr>
                    </m:ctrlPr>
                  </m:e>
                  <m:sup>
                    <m:r>
                      <m:rPr/>
                      <w:rPr>
                        <w:rFonts w:ascii="Cambria Math" w:hAnsi="Cambria Math"/>
                        <w:sz w:val="28"/>
                      </w:rPr>
                      <m:t>2</m:t>
                    </m:r>
                    <m:ctrlPr>
                      <w:rPr>
                        <w:rFonts w:ascii="Cambria Math" w:hAnsi="Cambria Math"/>
                        <w:i/>
                        <w:sz w:val="28"/>
                      </w:rPr>
                    </m:ctrlPr>
                  </m:sup>
                </m:sSup>
                <m:ctrlPr>
                  <w:rPr>
                    <w:rFonts w:ascii="Cambria Math" w:hAnsi="Cambria Math"/>
                    <w:i/>
                    <w:sz w:val="28"/>
                  </w:rPr>
                </m:ctrlPr>
              </m:fName>
              <m:e>
                <m:r>
                  <m:rPr/>
                  <w:rPr>
                    <w:rFonts w:ascii="Cambria Math" w:hAnsi="Cambria Math"/>
                    <w:sz w:val="28"/>
                  </w:rPr>
                  <m:t>θ</m:t>
                </m:r>
                <m:ctrlPr>
                  <w:rPr>
                    <w:rFonts w:ascii="Cambria Math" w:hAnsi="Cambria Math"/>
                    <w:i/>
                    <w:sz w:val="28"/>
                  </w:rPr>
                </m:ctrlPr>
              </m:e>
            </m:func>
            <m:r>
              <m:rPr/>
              <w:rPr>
                <w:rFonts w:ascii="Cambria Math" w:hAnsi="Cambria Math"/>
                <w:sz w:val="28"/>
              </w:rPr>
              <m:t>∙</m:t>
            </m:r>
            <m:sSup>
              <m:sSupPr>
                <m:ctrlPr>
                  <w:rPr>
                    <w:rFonts w:ascii="Cambria Math" w:hAnsi="Cambria Math"/>
                    <w:i/>
                    <w:sz w:val="28"/>
                  </w:rPr>
                </m:ctrlPr>
              </m:sSupPr>
              <m:e>
                <m:d>
                  <m:dPr>
                    <m:begChr m:val="["/>
                    <m:endChr m:val="]"/>
                    <m:ctrlPr>
                      <w:rPr>
                        <w:rFonts w:ascii="Cambria Math" w:hAnsi="Cambria Math"/>
                        <w:i/>
                        <w:sz w:val="28"/>
                      </w:rPr>
                    </m:ctrlPr>
                  </m:dPr>
                  <m:e>
                    <m:r>
                      <m:rPr/>
                      <w:rPr>
                        <w:rFonts w:ascii="Cambria Math" w:hAnsi="Cambria Math"/>
                        <w:sz w:val="28"/>
                      </w:rPr>
                      <m:t>1−</m:t>
                    </m:r>
                    <m:rad>
                      <m:radPr>
                        <m:degHide m:val="1"/>
                        <m:ctrlPr>
                          <w:rPr>
                            <w:rFonts w:ascii="Cambria Math" w:hAnsi="Cambria Math"/>
                            <w:i/>
                            <w:sz w:val="28"/>
                          </w:rPr>
                        </m:ctrlPr>
                      </m:radPr>
                      <m:deg>
                        <m:ctrlPr>
                          <w:rPr>
                            <w:rFonts w:ascii="Cambria Math" w:hAnsi="Cambria Math"/>
                            <w:i/>
                            <w:sz w:val="28"/>
                          </w:rPr>
                        </m:ctrlPr>
                      </m:deg>
                      <m:e>
                        <m:f>
                          <m:fPr>
                            <m:ctrlPr>
                              <w:rPr>
                                <w:rFonts w:ascii="Cambria Math" w:hAnsi="Cambria Math"/>
                                <w:i/>
                                <w:sz w:val="28"/>
                              </w:rPr>
                            </m:ctrlPr>
                          </m:fPr>
                          <m:num>
                            <m:func>
                              <m:funcPr>
                                <m:ctrlPr>
                                  <w:rPr>
                                    <w:rFonts w:ascii="Cambria Math" w:hAnsi="Cambria Math"/>
                                    <w:i/>
                                    <w:sz w:val="28"/>
                                  </w:rPr>
                                </m:ctrlPr>
                              </m:funcPr>
                              <m:fName>
                                <m:r>
                                  <m:rPr/>
                                  <w:rPr>
                                    <w:rFonts w:ascii="Cambria Math" w:hAnsi="Cambria Math"/>
                                    <w:sz w:val="28"/>
                                  </w:rPr>
                                  <m:t>sin</m:t>
                                </m:r>
                                <m:ctrlPr>
                                  <w:rPr>
                                    <w:rFonts w:ascii="Cambria Math" w:hAnsi="Cambria Math"/>
                                    <w:i/>
                                    <w:sz w:val="28"/>
                                  </w:rPr>
                                </m:ctrlPr>
                              </m:fName>
                              <m:e>
                                <m:sSub>
                                  <m:sSubPr>
                                    <m:ctrlPr>
                                      <w:rPr>
                                        <w:rFonts w:ascii="Cambria Math" w:hAnsi="Cambria Math"/>
                                        <w:i/>
                                        <w:sz w:val="28"/>
                                      </w:rPr>
                                    </m:ctrlPr>
                                  </m:sSubPr>
                                  <m:e>
                                    <m:r>
                                      <m:rPr/>
                                      <w:rPr>
                                        <w:rFonts w:ascii="Cambria Math" w:hAnsi="Cambria Math"/>
                                        <w:sz w:val="28"/>
                                      </w:rPr>
                                      <m:t>φ</m:t>
                                    </m:r>
                                    <m:ctrlPr>
                                      <w:rPr>
                                        <w:rFonts w:ascii="Cambria Math" w:hAnsi="Cambria Math"/>
                                        <w:i/>
                                        <w:sz w:val="28"/>
                                      </w:rPr>
                                    </m:ctrlPr>
                                  </m:e>
                                  <m:sub>
                                    <m:r>
                                      <m:rPr/>
                                      <w:rPr>
                                        <w:rFonts w:ascii="Cambria Math" w:hAnsi="Cambria Math"/>
                                        <w:sz w:val="28"/>
                                      </w:rPr>
                                      <m:t>i</m:t>
                                    </m:r>
                                    <m:ctrlPr>
                                      <w:rPr>
                                        <w:rFonts w:ascii="Cambria Math" w:hAnsi="Cambria Math"/>
                                        <w:i/>
                                        <w:sz w:val="28"/>
                                      </w:rPr>
                                    </m:ctrlPr>
                                  </m:sub>
                                </m:sSub>
                                <m:ctrlPr>
                                  <w:rPr>
                                    <w:rFonts w:ascii="Cambria Math" w:hAnsi="Cambria Math"/>
                                    <w:i/>
                                    <w:sz w:val="28"/>
                                  </w:rPr>
                                </m:ctrlPr>
                              </m:e>
                            </m:func>
                            <m:r>
                              <m:rPr/>
                              <w:rPr>
                                <w:rFonts w:ascii="Cambria Math" w:hAnsi="Cambria Math"/>
                                <w:sz w:val="28"/>
                              </w:rPr>
                              <m:t>∙</m:t>
                            </m:r>
                            <m:func>
                              <m:funcPr>
                                <m:ctrlPr>
                                  <w:rPr>
                                    <w:rFonts w:ascii="Cambria Math" w:hAnsi="Cambria Math"/>
                                    <w:i/>
                                    <w:sz w:val="28"/>
                                  </w:rPr>
                                </m:ctrlPr>
                              </m:funcPr>
                              <m:fName>
                                <m:r>
                                  <m:rPr/>
                                  <w:rPr>
                                    <w:rFonts w:ascii="Cambria Math" w:hAnsi="Cambria Math"/>
                                    <w:sz w:val="28"/>
                                  </w:rPr>
                                  <m:t>sin</m:t>
                                </m:r>
                                <m:ctrlPr>
                                  <w:rPr>
                                    <w:rFonts w:ascii="Cambria Math" w:hAnsi="Cambria Math"/>
                                    <w:i/>
                                    <w:sz w:val="28"/>
                                  </w:rPr>
                                </m:ctrlPr>
                              </m:fName>
                              <m:e>
                                <m:r>
                                  <m:rPr/>
                                  <w:rPr>
                                    <w:rFonts w:ascii="Cambria Math" w:hAnsi="Cambria Math"/>
                                    <w:sz w:val="28"/>
                                  </w:rPr>
                                  <m:t>（</m:t>
                                </m:r>
                                <m:sSub>
                                  <m:sSubPr>
                                    <m:ctrlPr>
                                      <w:rPr>
                                        <w:rFonts w:ascii="Cambria Math" w:hAnsi="Cambria Math"/>
                                        <w:i/>
                                        <w:sz w:val="28"/>
                                      </w:rPr>
                                    </m:ctrlPr>
                                  </m:sSubPr>
                                  <m:e>
                                    <m:r>
                                      <m:rPr/>
                                      <w:rPr>
                                        <w:rFonts w:ascii="Cambria Math" w:hAnsi="Cambria Math"/>
                                        <w:sz w:val="28"/>
                                      </w:rPr>
                                      <m:t>φ</m:t>
                                    </m:r>
                                    <m:ctrlPr>
                                      <w:rPr>
                                        <w:rFonts w:ascii="Cambria Math" w:hAnsi="Cambria Math"/>
                                        <w:i/>
                                        <w:sz w:val="28"/>
                                      </w:rPr>
                                    </m:ctrlPr>
                                  </m:e>
                                  <m:sub>
                                    <m:r>
                                      <m:rPr/>
                                      <w:rPr>
                                        <w:rFonts w:ascii="Cambria Math" w:hAnsi="Cambria Math"/>
                                        <w:sz w:val="28"/>
                                      </w:rPr>
                                      <m:t>i</m:t>
                                    </m:r>
                                    <m:ctrlPr>
                                      <w:rPr>
                                        <w:rFonts w:ascii="Cambria Math" w:hAnsi="Cambria Math"/>
                                        <w:i/>
                                        <w:sz w:val="28"/>
                                      </w:rPr>
                                    </m:ctrlPr>
                                  </m:sub>
                                </m:sSub>
                                <m:r>
                                  <m:rPr/>
                                  <w:rPr>
                                    <w:rFonts w:ascii="Cambria Math" w:hAnsi="Cambria Math"/>
                                    <w:sz w:val="28"/>
                                  </w:rPr>
                                  <m:t>−θ）</m:t>
                                </m:r>
                                <m:ctrlPr>
                                  <w:rPr>
                                    <w:rFonts w:ascii="Cambria Math" w:hAnsi="Cambria Math"/>
                                    <w:i/>
                                    <w:sz w:val="28"/>
                                  </w:rPr>
                                </m:ctrlPr>
                              </m:e>
                            </m:func>
                            <m:ctrlPr>
                              <w:rPr>
                                <w:rFonts w:ascii="Cambria Math" w:hAnsi="Cambria Math"/>
                                <w:i/>
                                <w:sz w:val="28"/>
                              </w:rPr>
                            </m:ctrlPr>
                          </m:num>
                          <m:den>
                            <m:func>
                              <m:funcPr>
                                <m:ctrlPr>
                                  <w:rPr>
                                    <w:rFonts w:ascii="Cambria Math" w:hAnsi="Cambria Math"/>
                                    <w:i/>
                                    <w:sz w:val="28"/>
                                  </w:rPr>
                                </m:ctrlPr>
                              </m:funcPr>
                              <m:fName>
                                <m:r>
                                  <m:rPr/>
                                  <w:rPr>
                                    <w:rFonts w:ascii="Cambria Math" w:hAnsi="Cambria Math"/>
                                    <w:sz w:val="28"/>
                                  </w:rPr>
                                  <m:t>cos</m:t>
                                </m:r>
                                <m:ctrlPr>
                                  <w:rPr>
                                    <w:rFonts w:ascii="Cambria Math" w:hAnsi="Cambria Math"/>
                                    <w:i/>
                                    <w:sz w:val="28"/>
                                  </w:rPr>
                                </m:ctrlPr>
                              </m:fName>
                              <m:e>
                                <m:r>
                                  <m:rPr/>
                                  <w:rPr>
                                    <w:rFonts w:ascii="Cambria Math" w:hAnsi="Cambria Math"/>
                                    <w:sz w:val="28"/>
                                  </w:rPr>
                                  <m:t>θ</m:t>
                                </m:r>
                                <m:ctrlPr>
                                  <w:rPr>
                                    <w:rFonts w:ascii="Cambria Math" w:hAnsi="Cambria Math"/>
                                    <w:i/>
                                    <w:sz w:val="28"/>
                                  </w:rPr>
                                </m:ctrlPr>
                              </m:e>
                            </m:func>
                            <m:ctrlPr>
                              <w:rPr>
                                <w:rFonts w:ascii="Cambria Math" w:hAnsi="Cambria Math"/>
                                <w:i/>
                                <w:sz w:val="28"/>
                              </w:rPr>
                            </m:ctrlPr>
                          </m:den>
                        </m:f>
                        <m:ctrlPr>
                          <w:rPr>
                            <w:rFonts w:ascii="Cambria Math" w:hAnsi="Cambria Math"/>
                            <w:i/>
                            <w:sz w:val="28"/>
                          </w:rPr>
                        </m:ctrlPr>
                      </m:e>
                    </m:rad>
                    <m:ctrlPr>
                      <w:rPr>
                        <w:rFonts w:ascii="Cambria Math" w:hAnsi="Cambria Math"/>
                        <w:i/>
                        <w:sz w:val="28"/>
                      </w:rPr>
                    </m:ctrlPr>
                  </m:e>
                </m:d>
                <m:ctrlPr>
                  <w:rPr>
                    <w:rFonts w:ascii="Cambria Math" w:hAnsi="Cambria Math"/>
                    <w:i/>
                    <w:sz w:val="28"/>
                  </w:rPr>
                </m:ctrlPr>
              </m:e>
              <m:sup>
                <m:r>
                  <m:rPr/>
                  <w:rPr>
                    <w:rFonts w:ascii="Cambria Math" w:hAnsi="Cambria Math"/>
                    <w:sz w:val="28"/>
                  </w:rPr>
                  <m:t>2</m:t>
                </m:r>
                <m:ctrlPr>
                  <w:rPr>
                    <w:rFonts w:ascii="Cambria Math" w:hAnsi="Cambria Math"/>
                    <w:i/>
                    <w:sz w:val="28"/>
                  </w:rPr>
                </m:ctrlPr>
              </m:sup>
            </m:sSup>
            <m:ctrlPr>
              <w:rPr>
                <w:rFonts w:ascii="Cambria Math" w:hAnsi="Cambria Math"/>
                <w:i/>
                <w:sz w:val="28"/>
              </w:rPr>
            </m:ctrlPr>
          </m:den>
        </m:f>
      </m:oMath>
      <w:r>
        <w:rPr>
          <w:rFonts w:hint="eastAsia"/>
        </w:rPr>
        <w:t xml:space="preserve"> </w:t>
      </w:r>
      <w:r>
        <w:t xml:space="preserve">    </w:t>
      </w:r>
      <w:r>
        <w:rPr>
          <w:sz w:val="20"/>
          <w:szCs w:val="20"/>
        </w:rPr>
        <w:t>（9.2.1-6）</w:t>
      </w:r>
    </w:p>
    <w:p w14:paraId="1D3630F7">
      <w:pPr>
        <w:spacing w:line="480" w:lineRule="auto"/>
        <w:ind w:left="839" w:firstLine="1920" w:firstLineChars="800"/>
        <w:jc w:val="left"/>
        <w:rPr>
          <w:sz w:val="24"/>
          <w:szCs w:val="24"/>
        </w:rPr>
      </w:pPr>
      <m:oMath>
        <m:sSub>
          <m:sSubPr>
            <m:ctrlPr>
              <w:rPr>
                <w:rFonts w:ascii="Cambria Math" w:hAnsi="宋体"/>
                <w:i/>
                <w:sz w:val="24"/>
                <w:szCs w:val="24"/>
              </w:rPr>
            </m:ctrlPr>
          </m:sSubPr>
          <m:e>
            <m:r>
              <m:rPr/>
              <w:rPr>
                <w:rFonts w:ascii="Cambria Math" w:hAnsi="宋体"/>
                <w:sz w:val="24"/>
                <w:szCs w:val="24"/>
              </w:rPr>
              <m:t>p</m:t>
            </m:r>
            <m:ctrlPr>
              <w:rPr>
                <w:rFonts w:ascii="Cambria Math" w:hAnsi="宋体"/>
                <w:i/>
                <w:sz w:val="24"/>
                <w:szCs w:val="24"/>
              </w:rPr>
            </m:ctrlPr>
          </m:e>
          <m:sub>
            <m:r>
              <m:rPr>
                <m:nor/>
                <m:sty m:val="p"/>
              </m:rPr>
              <w:rPr>
                <w:rFonts w:hint="eastAsia" w:ascii="Cambria Math" w:hAnsi="宋体"/>
                <w:b w:val="0"/>
                <w:i w:val="0"/>
                <w:sz w:val="24"/>
                <w:szCs w:val="24"/>
              </w:rPr>
              <m:t>p</m:t>
            </m:r>
            <m:r>
              <m:rPr>
                <m:nor/>
                <m:sty m:val="p"/>
              </m:rPr>
              <w:rPr>
                <w:rFonts w:ascii="Cambria Math" w:hAnsi="宋体"/>
                <w:b w:val="0"/>
                <w:i w:val="0"/>
                <w:sz w:val="24"/>
                <w:szCs w:val="24"/>
              </w:rPr>
              <m:t>Ek</m:t>
            </m:r>
            <m:ctrlPr>
              <w:rPr>
                <w:rFonts w:ascii="Cambria Math" w:hAnsi="宋体"/>
                <w:sz w:val="24"/>
                <w:szCs w:val="24"/>
              </w:rPr>
            </m:ctrlPr>
          </m:sub>
        </m:sSub>
        <m:r>
          <m:rPr/>
          <w:rPr>
            <w:rFonts w:ascii="Cambria Math" w:hAnsi="宋体"/>
            <w:sz w:val="24"/>
            <w:szCs w:val="24"/>
          </w:rPr>
          <m:t>=</m:t>
        </m:r>
        <m:sSub>
          <m:sSubPr>
            <m:ctrlPr>
              <w:rPr>
                <w:rFonts w:ascii="Cambria Math" w:hAnsi="宋体"/>
                <w:i/>
                <w:sz w:val="24"/>
                <w:szCs w:val="24"/>
              </w:rPr>
            </m:ctrlPr>
          </m:sSubPr>
          <m:e>
            <m:r>
              <m:rPr/>
              <w:rPr>
                <w:rFonts w:ascii="Cambria Math" w:hAnsi="宋体"/>
                <w:sz w:val="24"/>
                <w:szCs w:val="24"/>
              </w:rPr>
              <m:t>σ</m:t>
            </m:r>
            <m:ctrlPr>
              <w:rPr>
                <w:rFonts w:ascii="Cambria Math" w:hAnsi="宋体"/>
                <w:i/>
                <w:sz w:val="24"/>
                <w:szCs w:val="24"/>
              </w:rPr>
            </m:ctrlPr>
          </m:e>
          <m:sub>
            <m:r>
              <m:rPr>
                <m:nor/>
                <m:sty m:val="p"/>
              </m:rPr>
              <w:rPr>
                <w:rFonts w:hint="eastAsia" w:ascii="Cambria Math" w:hAnsi="宋体"/>
                <w:b w:val="0"/>
                <w:i w:val="0"/>
                <w:sz w:val="24"/>
                <w:szCs w:val="24"/>
              </w:rPr>
              <m:t>p</m:t>
            </m:r>
            <m:r>
              <m:rPr>
                <m:nor/>
                <m:sty m:val="p"/>
              </m:rPr>
              <w:rPr>
                <w:rFonts w:ascii="Cambria Math" w:hAnsi="宋体"/>
                <w:b w:val="0"/>
                <w:i w:val="0"/>
                <w:sz w:val="24"/>
                <w:szCs w:val="24"/>
              </w:rPr>
              <m:t>k</m:t>
            </m:r>
            <m:ctrlPr>
              <w:rPr>
                <w:rFonts w:ascii="Cambria Math" w:hAnsi="宋体"/>
                <w:sz w:val="24"/>
                <w:szCs w:val="24"/>
              </w:rPr>
            </m:ctrlPr>
          </m:sub>
        </m:sSub>
        <m:sSub>
          <m:sSubPr>
            <m:ctrlPr>
              <w:rPr>
                <w:rFonts w:ascii="Cambria Math" w:hAnsi="宋体"/>
                <w:i/>
                <w:sz w:val="24"/>
                <w:szCs w:val="24"/>
              </w:rPr>
            </m:ctrlPr>
          </m:sSubPr>
          <m:e>
            <m:r>
              <m:rPr/>
              <w:rPr>
                <w:rFonts w:ascii="Cambria Math" w:hAnsi="宋体"/>
                <w:sz w:val="24"/>
                <w:szCs w:val="24"/>
              </w:rPr>
              <m:t>K</m:t>
            </m:r>
            <m:ctrlPr>
              <w:rPr>
                <w:rFonts w:ascii="Cambria Math" w:hAnsi="宋体"/>
                <w:i/>
                <w:sz w:val="24"/>
                <w:szCs w:val="24"/>
              </w:rPr>
            </m:ctrlPr>
          </m:e>
          <m:sub>
            <m:r>
              <m:rPr>
                <m:nor/>
                <m:sty m:val="p"/>
              </m:rPr>
              <w:rPr>
                <w:rFonts w:hint="eastAsia" w:ascii="Cambria Math" w:hAnsi="宋体"/>
                <w:b w:val="0"/>
                <w:i w:val="0"/>
                <w:sz w:val="24"/>
                <w:szCs w:val="24"/>
              </w:rPr>
              <m:t>p</m:t>
            </m:r>
            <m:r>
              <m:rPr>
                <m:nor/>
                <m:sty m:val="p"/>
              </m:rPr>
              <w:rPr>
                <w:rFonts w:ascii="Cambria Math" w:hAnsi="宋体"/>
                <w:b w:val="0"/>
                <w:i w:val="0"/>
                <w:sz w:val="24"/>
                <w:szCs w:val="24"/>
              </w:rPr>
              <m:t>E,</m:t>
            </m:r>
            <m:r>
              <m:rPr/>
              <w:rPr>
                <w:rFonts w:ascii="Cambria Math" w:hAnsi="宋体"/>
                <w:sz w:val="24"/>
                <w:szCs w:val="24"/>
              </w:rPr>
              <m:t>i</m:t>
            </m:r>
            <m:ctrlPr>
              <w:rPr>
                <w:rFonts w:ascii="Cambria Math" w:hAnsi="宋体"/>
                <w:sz w:val="24"/>
                <w:szCs w:val="24"/>
              </w:rPr>
            </m:ctrlPr>
          </m:sub>
        </m:sSub>
        <m:r>
          <m:rPr/>
          <w:rPr>
            <w:rFonts w:ascii="Cambria Math" w:hAnsi="Cambria Math" w:eastAsia="微软雅黑" w:cs="微软雅黑"/>
            <w:sz w:val="24"/>
            <w:szCs w:val="24"/>
          </w:rPr>
          <m:t>+</m:t>
        </m:r>
        <m:r>
          <m:rPr/>
          <w:rPr>
            <w:rFonts w:ascii="Cambria Math" w:hAnsi="宋体"/>
            <w:sz w:val="24"/>
            <w:szCs w:val="24"/>
          </w:rPr>
          <m:t>2</m:t>
        </m:r>
        <m:sSub>
          <m:sSubPr>
            <m:ctrlPr>
              <w:rPr>
                <w:rFonts w:ascii="Cambria Math" w:hAnsi="宋体"/>
                <w:i/>
                <w:sz w:val="24"/>
                <w:szCs w:val="24"/>
              </w:rPr>
            </m:ctrlPr>
          </m:sSubPr>
          <m:e>
            <m:r>
              <m:rPr/>
              <w:rPr>
                <w:rFonts w:ascii="Cambria Math" w:hAnsi="宋体"/>
                <w:sz w:val="24"/>
                <w:szCs w:val="24"/>
              </w:rPr>
              <m:t>c</m:t>
            </m:r>
            <m:ctrlPr>
              <w:rPr>
                <w:rFonts w:ascii="Cambria Math" w:hAnsi="宋体"/>
                <w:i/>
                <w:sz w:val="24"/>
                <w:szCs w:val="24"/>
              </w:rPr>
            </m:ctrlPr>
          </m:e>
          <m:sub>
            <m:r>
              <m:rPr/>
              <w:rPr>
                <w:rFonts w:ascii="Cambria Math" w:hAnsi="宋体"/>
                <w:sz w:val="24"/>
                <w:szCs w:val="24"/>
              </w:rPr>
              <m:t>i</m:t>
            </m:r>
            <m:ctrlPr>
              <w:rPr>
                <w:rFonts w:ascii="Cambria Math" w:hAnsi="宋体"/>
                <w:i/>
                <w:sz w:val="24"/>
                <w:szCs w:val="24"/>
              </w:rPr>
            </m:ctrlPr>
          </m:sub>
        </m:sSub>
        <m:rad>
          <m:radPr>
            <m:degHide m:val="1"/>
            <m:ctrlPr>
              <w:rPr>
                <w:rFonts w:ascii="Cambria Math" w:hAnsi="宋体"/>
                <w:i/>
                <w:sz w:val="24"/>
                <w:szCs w:val="24"/>
              </w:rPr>
            </m:ctrlPr>
          </m:radPr>
          <m:deg>
            <m:ctrlPr>
              <w:rPr>
                <w:rFonts w:ascii="Cambria Math" w:hAnsi="宋体"/>
                <w:i/>
                <w:sz w:val="24"/>
                <w:szCs w:val="24"/>
              </w:rPr>
            </m:ctrlPr>
          </m:deg>
          <m:e>
            <m:sSub>
              <m:sSubPr>
                <m:ctrlPr>
                  <w:rPr>
                    <w:rFonts w:ascii="Cambria Math" w:hAnsi="宋体"/>
                    <w:i/>
                    <w:sz w:val="24"/>
                    <w:szCs w:val="24"/>
                  </w:rPr>
                </m:ctrlPr>
              </m:sSubPr>
              <m:e>
                <m:r>
                  <m:rPr/>
                  <w:rPr>
                    <w:rFonts w:ascii="Cambria Math" w:hAnsi="宋体"/>
                    <w:sz w:val="24"/>
                    <w:szCs w:val="24"/>
                  </w:rPr>
                  <m:t>K</m:t>
                </m:r>
                <m:ctrlPr>
                  <w:rPr>
                    <w:rFonts w:ascii="Cambria Math" w:hAnsi="宋体"/>
                    <w:i/>
                    <w:sz w:val="24"/>
                    <w:szCs w:val="24"/>
                  </w:rPr>
                </m:ctrlPr>
              </m:e>
              <m:sub>
                <m:r>
                  <m:rPr>
                    <m:nor/>
                    <m:sty m:val="p"/>
                  </m:rPr>
                  <w:rPr>
                    <w:rFonts w:hint="eastAsia" w:ascii="Cambria Math" w:hAnsi="宋体"/>
                    <w:b w:val="0"/>
                    <w:i w:val="0"/>
                    <w:sz w:val="24"/>
                    <w:szCs w:val="24"/>
                  </w:rPr>
                  <m:t>p</m:t>
                </m:r>
                <m:r>
                  <m:rPr>
                    <m:nor/>
                    <m:sty m:val="p"/>
                  </m:rPr>
                  <w:rPr>
                    <w:rFonts w:ascii="Cambria Math" w:hAnsi="宋体"/>
                    <w:b w:val="0"/>
                    <w:i w:val="0"/>
                    <w:sz w:val="24"/>
                    <w:szCs w:val="24"/>
                  </w:rPr>
                  <m:t>E,</m:t>
                </m:r>
                <m:r>
                  <m:rPr/>
                  <w:rPr>
                    <w:rFonts w:ascii="Cambria Math" w:hAnsi="宋体"/>
                    <w:sz w:val="24"/>
                    <w:szCs w:val="24"/>
                  </w:rPr>
                  <m:t>i</m:t>
                </m:r>
                <m:ctrlPr>
                  <w:rPr>
                    <w:rFonts w:ascii="Cambria Math" w:hAnsi="宋体"/>
                    <w:sz w:val="24"/>
                    <w:szCs w:val="24"/>
                  </w:rPr>
                </m:ctrlPr>
              </m:sub>
            </m:sSub>
            <m:ctrlPr>
              <w:rPr>
                <w:rFonts w:ascii="Cambria Math" w:hAnsi="Cambria Math"/>
                <w:i/>
                <w:sz w:val="24"/>
                <w:szCs w:val="24"/>
              </w:rPr>
            </m:ctrlPr>
          </m:e>
        </m:rad>
      </m:oMath>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sz w:val="20"/>
          <w:szCs w:val="20"/>
        </w:rPr>
        <w:t>（9.2.1-</w:t>
      </w:r>
      <w:r>
        <w:rPr>
          <w:rFonts w:hint="eastAsia"/>
          <w:sz w:val="20"/>
          <w:szCs w:val="20"/>
        </w:rPr>
        <w:t>7</w:t>
      </w:r>
      <w:r>
        <w:rPr>
          <w:sz w:val="20"/>
          <w:szCs w:val="20"/>
        </w:rPr>
        <w:t>）</w:t>
      </w:r>
    </w:p>
    <w:p w14:paraId="1FDFB35D">
      <w:pPr>
        <w:spacing w:line="480" w:lineRule="auto"/>
        <w:ind w:left="839" w:firstLine="1920" w:firstLineChars="800"/>
        <w:jc w:val="left"/>
        <w:rPr>
          <w:sz w:val="20"/>
          <w:szCs w:val="20"/>
        </w:rPr>
      </w:pPr>
      <m:oMath>
        <m:sSub>
          <m:sSubPr>
            <m:ctrlPr>
              <w:rPr>
                <w:rFonts w:ascii="Cambria Math" w:hAnsi="Cambria Math"/>
                <w:i/>
                <w:sz w:val="24"/>
                <w:szCs w:val="24"/>
              </w:rPr>
            </m:ctrlPr>
          </m:sSubPr>
          <m:e>
            <m:r>
              <m:rPr/>
              <w:rPr>
                <w:rFonts w:ascii="Cambria Math"/>
                <w:sz w:val="24"/>
                <w:szCs w:val="24"/>
              </w:rPr>
              <m:t>K</m:t>
            </m:r>
            <m:ctrlPr>
              <w:rPr>
                <w:rFonts w:ascii="Cambria Math" w:hAnsi="Cambria Math"/>
                <w:i/>
                <w:sz w:val="24"/>
                <w:szCs w:val="24"/>
              </w:rPr>
            </m:ctrlPr>
          </m:e>
          <m:sub>
            <m:r>
              <m:rPr/>
              <w:rPr>
                <w:rFonts w:ascii="Cambria Math"/>
                <w:sz w:val="24"/>
                <w:szCs w:val="24"/>
              </w:rPr>
              <m:t>pE,i</m:t>
            </m:r>
            <m:ctrlPr>
              <w:rPr>
                <w:rFonts w:ascii="Cambria Math" w:hAnsi="Cambria Math"/>
                <w:i/>
                <w:sz w:val="24"/>
                <w:szCs w:val="24"/>
              </w:rPr>
            </m:ctrlPr>
          </m:sub>
        </m:sSub>
        <m:r>
          <m:rPr/>
          <w:rPr>
            <w:rFonts w:ascii="Cambria Math"/>
            <w:sz w:val="24"/>
            <w:szCs w:val="24"/>
          </w:rPr>
          <m:t>=</m:t>
        </m:r>
        <m:func>
          <m:funcPr>
            <m:ctrlPr>
              <w:rPr>
                <w:rFonts w:ascii="Cambria Math" w:hAnsi="Cambria Math"/>
                <w:i/>
                <w:sz w:val="24"/>
                <w:szCs w:val="24"/>
              </w:rPr>
            </m:ctrlPr>
          </m:funcPr>
          <m:fName>
            <m:sSup>
              <m:sSupPr>
                <m:ctrlPr>
                  <w:rPr>
                    <w:rFonts w:ascii="Cambria Math" w:hAnsi="Cambria Math"/>
                    <w:i/>
                    <w:sz w:val="24"/>
                    <w:szCs w:val="24"/>
                  </w:rPr>
                </m:ctrlPr>
              </m:sSupPr>
              <m:e>
                <m:r>
                  <m:rPr/>
                  <w:rPr>
                    <w:rFonts w:ascii="Cambria Math"/>
                    <w:sz w:val="24"/>
                    <w:szCs w:val="24"/>
                  </w:rPr>
                  <m:t>tan</m:t>
                </m:r>
                <m:ctrlPr>
                  <w:rPr>
                    <w:rFonts w:ascii="Cambria Math" w:hAnsi="Cambria Math"/>
                    <w:i/>
                    <w:sz w:val="24"/>
                    <w:szCs w:val="24"/>
                  </w:rPr>
                </m:ctrlPr>
              </m:e>
              <m:sup>
                <m:r>
                  <m:rPr/>
                  <w:rPr>
                    <w:rFonts w:ascii="Cambria Math"/>
                    <w:sz w:val="24"/>
                    <w:szCs w:val="24"/>
                  </w:rPr>
                  <m:t>2</m:t>
                </m:r>
                <m:ctrlPr>
                  <w:rPr>
                    <w:rFonts w:ascii="Cambria Math" w:hAnsi="Cambria Math"/>
                    <w:i/>
                    <w:sz w:val="24"/>
                    <w:szCs w:val="24"/>
                  </w:rPr>
                </m:ctrlPr>
              </m:sup>
            </m:sSup>
            <m:ctrlPr>
              <w:rPr>
                <w:rFonts w:ascii="Cambria Math" w:hAnsi="Cambria Math"/>
                <w:i/>
                <w:sz w:val="24"/>
                <w:szCs w:val="24"/>
              </w:rPr>
            </m:ctrlPr>
          </m:fName>
          <m:e>
            <m:r>
              <m:rPr/>
              <w:rPr>
                <w:rFonts w:ascii="Cambria Math"/>
                <w:sz w:val="24"/>
                <w:szCs w:val="24"/>
              </w:rPr>
              <m:t>(</m:t>
            </m:r>
            <m:ctrlPr>
              <w:rPr>
                <w:rFonts w:ascii="Cambria Math" w:hAnsi="Cambria Math"/>
                <w:i/>
                <w:sz w:val="24"/>
                <w:szCs w:val="24"/>
              </w:rPr>
            </m:ctrlPr>
          </m:e>
        </m:func>
        <m:r>
          <m:rPr/>
          <w:rPr>
            <w:rFonts w:ascii="Cambria Math"/>
            <w:sz w:val="24"/>
            <w:szCs w:val="24"/>
          </w:rPr>
          <m:t>45°+</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sz w:val="24"/>
                    <w:szCs w:val="24"/>
                  </w:rPr>
                  <m:t>ϕ</m:t>
                </m:r>
                <m:ctrlPr>
                  <w:rPr>
                    <w:rFonts w:ascii="Cambria Math" w:hAnsi="Cambria Math"/>
                    <w:i/>
                    <w:sz w:val="24"/>
                    <w:szCs w:val="24"/>
                  </w:rPr>
                </m:ctrlPr>
              </m:e>
              <m:sub>
                <m:r>
                  <m:rPr/>
                  <w:rPr>
                    <w:rFonts w:ascii="Cambria Math"/>
                    <w:sz w:val="24"/>
                    <w:szCs w:val="24"/>
                  </w:rPr>
                  <m:t>i</m:t>
                </m:r>
                <m:ctrlPr>
                  <w:rPr>
                    <w:rFonts w:ascii="Cambria Math" w:hAnsi="Cambria Math"/>
                    <w:i/>
                    <w:sz w:val="24"/>
                    <w:szCs w:val="24"/>
                  </w:rPr>
                </m:ctrlPr>
              </m:sub>
            </m:sSub>
            <m:r>
              <m:rPr/>
              <w:rPr>
                <w:rFonts w:ascii="Cambria Math"/>
                <w:sz w:val="24"/>
                <w:szCs w:val="24"/>
              </w:rPr>
              <m:t>−θ</m:t>
            </m:r>
            <m:ctrlPr>
              <w:rPr>
                <w:rFonts w:ascii="Cambria Math" w:hAnsi="Cambria Math"/>
                <w:i/>
                <w:sz w:val="24"/>
                <w:szCs w:val="24"/>
              </w:rPr>
            </m:ctrlPr>
          </m:num>
          <m:den>
            <m:r>
              <m:rPr/>
              <w:rPr>
                <w:rFonts w:ascii="Cambria Math"/>
                <w:sz w:val="24"/>
                <w:szCs w:val="24"/>
              </w:rPr>
              <m:t>2</m:t>
            </m:r>
            <m:ctrlPr>
              <w:rPr>
                <w:rFonts w:ascii="Cambria Math" w:hAnsi="Cambria Math"/>
                <w:i/>
                <w:sz w:val="24"/>
                <w:szCs w:val="24"/>
              </w:rPr>
            </m:ctrlPr>
          </m:den>
        </m:f>
        <m:r>
          <m:rPr/>
          <w:rPr>
            <w:rFonts w:ascii="Cambria Math"/>
            <w:sz w:val="24"/>
            <w:szCs w:val="24"/>
          </w:rPr>
          <m:t>)</m:t>
        </m:r>
      </m:oMath>
      <w:r>
        <w:rPr>
          <w:sz w:val="36"/>
          <w:szCs w:val="36"/>
        </w:rPr>
        <w:t xml:space="preserve"> </w:t>
      </w:r>
      <w:r>
        <w:rPr>
          <w:sz w:val="24"/>
          <w:szCs w:val="24"/>
        </w:rPr>
        <w:t xml:space="preserve">          </w:t>
      </w:r>
      <w:r>
        <w:rPr>
          <w:sz w:val="20"/>
          <w:szCs w:val="20"/>
        </w:rPr>
        <w:t xml:space="preserve">   （9.2.1-</w:t>
      </w:r>
      <w:r>
        <w:rPr>
          <w:rFonts w:hint="eastAsia"/>
          <w:sz w:val="20"/>
          <w:szCs w:val="20"/>
        </w:rPr>
        <w:t>8</w:t>
      </w:r>
      <w:r>
        <w:rPr>
          <w:sz w:val="20"/>
          <w:szCs w:val="20"/>
        </w:rPr>
        <w:t>）</w:t>
      </w:r>
    </w:p>
    <w:p w14:paraId="2B373C16">
      <w:pPr>
        <w:spacing w:line="360" w:lineRule="auto"/>
        <w:ind w:left="1300" w:hanging="1300" w:hangingChars="650"/>
        <w:jc w:val="left"/>
        <w:rPr>
          <w:sz w:val="20"/>
          <w:szCs w:val="20"/>
        </w:rPr>
      </w:pPr>
      <w:r>
        <w:rPr>
          <w:rFonts w:hint="eastAsia"/>
          <w:sz w:val="20"/>
          <w:szCs w:val="20"/>
        </w:rPr>
        <w:t>式中：</w:t>
      </w:r>
      <w:r>
        <w:rPr>
          <w:i/>
          <w:sz w:val="20"/>
          <w:szCs w:val="20"/>
        </w:rPr>
        <w:t>p</w:t>
      </w:r>
      <w:r>
        <w:rPr>
          <w:rFonts w:hint="eastAsia"/>
          <w:i/>
          <w:sz w:val="20"/>
          <w:szCs w:val="20"/>
          <w:vertAlign w:val="subscript"/>
        </w:rPr>
        <w:t>p</w:t>
      </w:r>
      <w:r>
        <w:rPr>
          <w:i/>
          <w:sz w:val="20"/>
          <w:szCs w:val="20"/>
          <w:vertAlign w:val="subscript"/>
        </w:rPr>
        <w:t>Ek</w:t>
      </w:r>
      <w:r>
        <w:rPr>
          <w:sz w:val="20"/>
          <w:szCs w:val="20"/>
          <w:vertAlign w:val="subscript"/>
        </w:rPr>
        <w:t xml:space="preserve">  </w:t>
      </w:r>
      <w:r>
        <w:rPr>
          <w:sz w:val="20"/>
          <w:szCs w:val="20"/>
        </w:rPr>
        <w:t>——支护结构内侧，第</w:t>
      </w:r>
      <w:r>
        <w:rPr>
          <w:i/>
          <w:sz w:val="20"/>
          <w:szCs w:val="20"/>
        </w:rPr>
        <w:t>i</w:t>
      </w:r>
      <w:r>
        <w:rPr>
          <w:sz w:val="20"/>
          <w:szCs w:val="20"/>
        </w:rPr>
        <w:t>层土中计算点的地震被动土压力强度标准值（kPa）；</w:t>
      </w:r>
    </w:p>
    <w:p w14:paraId="36DEA0FC">
      <w:pPr>
        <w:spacing w:line="360" w:lineRule="auto"/>
        <w:ind w:left="1393" w:leftChars="270" w:hanging="826" w:hangingChars="413"/>
        <w:jc w:val="left"/>
        <w:rPr>
          <w:sz w:val="20"/>
          <w:szCs w:val="20"/>
        </w:rPr>
      </w:pPr>
      <w:r>
        <w:rPr>
          <w:i/>
          <w:sz w:val="20"/>
          <w:szCs w:val="20"/>
        </w:rPr>
        <w:t>σ</w:t>
      </w:r>
      <w:r>
        <w:rPr>
          <w:i/>
          <w:sz w:val="20"/>
          <w:szCs w:val="20"/>
          <w:vertAlign w:val="subscript"/>
        </w:rPr>
        <w:t>pk</w:t>
      </w:r>
      <w:r>
        <w:rPr>
          <w:iCs/>
          <w:sz w:val="20"/>
          <w:szCs w:val="20"/>
        </w:rPr>
        <w:t>——</w:t>
      </w:r>
      <w:r>
        <w:rPr>
          <w:sz w:val="20"/>
          <w:szCs w:val="20"/>
        </w:rPr>
        <w:t>支护结构内侧计算点的土中竖向应力标准值（kPa），按本规程第3.3.5条的规定计算；</w:t>
      </w:r>
    </w:p>
    <w:p w14:paraId="622C3800">
      <w:pPr>
        <w:spacing w:line="360" w:lineRule="auto"/>
        <w:ind w:left="1393" w:leftChars="270" w:hanging="826" w:hangingChars="413"/>
        <w:jc w:val="left"/>
        <w:rPr>
          <w:sz w:val="20"/>
          <w:szCs w:val="20"/>
        </w:rPr>
      </w:pPr>
      <w:r>
        <w:rPr>
          <w:i/>
          <w:iCs/>
          <w:sz w:val="20"/>
          <w:szCs w:val="20"/>
        </w:rPr>
        <w:t>K</w:t>
      </w:r>
      <w:r>
        <w:rPr>
          <w:i/>
          <w:iCs/>
          <w:sz w:val="20"/>
          <w:szCs w:val="20"/>
          <w:vertAlign w:val="subscript"/>
        </w:rPr>
        <w:t>pE,i</w:t>
      </w:r>
      <w:r>
        <w:rPr>
          <w:iCs/>
          <w:sz w:val="20"/>
          <w:szCs w:val="20"/>
        </w:rPr>
        <w:t>——</w:t>
      </w:r>
      <w:r>
        <w:rPr>
          <w:sz w:val="20"/>
          <w:szCs w:val="20"/>
        </w:rPr>
        <w:t>第</w:t>
      </w:r>
      <w:r>
        <w:rPr>
          <w:i/>
          <w:sz w:val="20"/>
          <w:szCs w:val="20"/>
        </w:rPr>
        <w:t>i</w:t>
      </w:r>
      <w:r>
        <w:rPr>
          <w:sz w:val="20"/>
          <w:szCs w:val="20"/>
        </w:rPr>
        <w:t>层土的地震被动土压力系数。</w:t>
      </w:r>
    </w:p>
    <w:p w14:paraId="607FD678">
      <w:pPr>
        <w:spacing w:line="360" w:lineRule="auto"/>
        <w:ind w:firstLine="480"/>
        <w:jc w:val="left"/>
        <w:rPr>
          <w:rFonts w:ascii="宋体" w:hAnsi="宋体"/>
          <w:sz w:val="20"/>
          <w:szCs w:val="20"/>
        </w:rPr>
      </w:pPr>
      <w:r>
        <w:rPr>
          <w:rFonts w:hint="eastAsia" w:ascii="宋体" w:hAnsi="宋体"/>
          <w:sz w:val="20"/>
          <w:szCs w:val="20"/>
        </w:rPr>
        <w:t>存在强烈、中等全新活动断裂的场地，地震角应根据场地情况、地质条件等因素适当提高。</w:t>
      </w:r>
    </w:p>
    <w:p w14:paraId="15046A09">
      <w:pPr>
        <w:spacing w:line="360" w:lineRule="auto"/>
        <w:ind w:left="-2" w:leftChars="-1" w:firstLine="2"/>
        <w:jc w:val="left"/>
        <w:rPr>
          <w:sz w:val="20"/>
          <w:szCs w:val="20"/>
        </w:rPr>
      </w:pPr>
      <w:r>
        <w:rPr>
          <w:b/>
          <w:bCs/>
          <w:sz w:val="20"/>
          <w:szCs w:val="20"/>
        </w:rPr>
        <w:t>9.2.2</w:t>
      </w:r>
      <w:r>
        <w:rPr>
          <w:rFonts w:ascii="宋体" w:hAnsi="宋体"/>
          <w:sz w:val="20"/>
          <w:szCs w:val="20"/>
        </w:rPr>
        <w:t xml:space="preserve">  </w:t>
      </w:r>
      <w:r>
        <w:rPr>
          <w:rFonts w:hint="eastAsia" w:ascii="宋体" w:hAnsi="宋体"/>
          <w:sz w:val="20"/>
          <w:szCs w:val="20"/>
        </w:rPr>
        <w:t>按地</w:t>
      </w:r>
      <w:r>
        <w:rPr>
          <w:sz w:val="20"/>
          <w:szCs w:val="20"/>
        </w:rPr>
        <w:t>震设计状况设计时，支护结构构件在水平、竖向地震作用下的弯矩、剪力和轴向力标准值，应按本规程第7.2节的规定计算，但土压力荷载应按本规程第9.2.1条的水平地震荷载公式计算。计算多遇地震作用下支护结构构件的弯矩、剪力和轴向力标准值时，设计基本地震加速度值为0.20g的多遇地震加速度可取0.10g；计算罕遇地震作用下支护结构构件的弯矩、剪力和轴向力标准值时，设计基本地震加速度值为0.20g的罕遇地震加速度可取0.40g。公式（9.2.1-1）、公式（9.2.1-2）、公式（9.2.1-4）</w:t>
      </w:r>
      <w:r>
        <w:rPr>
          <w:rFonts w:hint="eastAsia"/>
          <w:sz w:val="20"/>
          <w:szCs w:val="20"/>
        </w:rPr>
        <w:t>、</w:t>
      </w:r>
      <w:r>
        <w:rPr>
          <w:sz w:val="20"/>
          <w:szCs w:val="20"/>
        </w:rPr>
        <w:t>公式（9.2.1-5）、公式（9.2.1-6）、公式（9.2.1-8）中的地震角</w:t>
      </w:r>
      <w:r>
        <w:rPr>
          <w:i/>
          <w:iCs/>
          <w:sz w:val="20"/>
          <w:szCs w:val="20"/>
        </w:rPr>
        <w:t>θ</w:t>
      </w:r>
      <w:r>
        <w:rPr>
          <w:sz w:val="20"/>
          <w:szCs w:val="20"/>
        </w:rPr>
        <w:t>应根据本地区抗震设防烈度相应的多遇地震和罕遇地震加速度按表9.2.1取值。</w:t>
      </w:r>
    </w:p>
    <w:p w14:paraId="5B637664">
      <w:pPr>
        <w:spacing w:line="360" w:lineRule="auto"/>
        <w:ind w:firstLine="480"/>
        <w:jc w:val="left"/>
        <w:rPr>
          <w:sz w:val="20"/>
          <w:szCs w:val="20"/>
        </w:rPr>
      </w:pPr>
      <w:r>
        <w:rPr>
          <w:sz w:val="20"/>
          <w:szCs w:val="20"/>
        </w:rPr>
        <w:t>有经验时，宜采用时程分析法进行地震设计状况的补充计算。支护结构弯矩、剪力和轴向力计算结果宜取本规程第7.2节的弹性支点法与时程分析法的较大值。</w:t>
      </w:r>
    </w:p>
    <w:p w14:paraId="09C1200B">
      <w:pPr>
        <w:spacing w:line="360" w:lineRule="auto"/>
        <w:ind w:left="-1" w:leftChars="-1" w:hanging="1"/>
        <w:jc w:val="left"/>
        <w:rPr>
          <w:sz w:val="20"/>
          <w:szCs w:val="20"/>
        </w:rPr>
      </w:pPr>
      <w:r>
        <w:rPr>
          <w:b/>
          <w:bCs/>
          <w:sz w:val="20"/>
          <w:szCs w:val="20"/>
        </w:rPr>
        <w:t xml:space="preserve">9.2.3 </w:t>
      </w:r>
      <w:r>
        <w:rPr>
          <w:sz w:val="20"/>
          <w:szCs w:val="20"/>
        </w:rPr>
        <w:t xml:space="preserve"> 多遇地震作用下，支护结构构件的弯矩、剪力和轴向力设计值应按下列公式确定：</w:t>
      </w:r>
    </w:p>
    <w:p w14:paraId="6AFC4D2C">
      <w:pPr>
        <w:spacing w:line="360" w:lineRule="auto"/>
        <w:ind w:left="-1" w:leftChars="-1" w:hanging="1"/>
        <w:jc w:val="center"/>
        <w:rPr>
          <w:sz w:val="24"/>
          <w:szCs w:val="24"/>
        </w:rPr>
      </w:pPr>
      <w:r>
        <w:rPr>
          <w:i/>
          <w:iCs/>
          <w:sz w:val="24"/>
          <w:szCs w:val="24"/>
        </w:rPr>
        <w:t>S</w:t>
      </w:r>
      <w:r>
        <w:rPr>
          <w:sz w:val="24"/>
          <w:szCs w:val="24"/>
        </w:rPr>
        <w:t xml:space="preserve"> = </w:t>
      </w:r>
      <w:r>
        <w:rPr>
          <w:i/>
          <w:iCs/>
          <w:sz w:val="24"/>
          <w:szCs w:val="24"/>
        </w:rPr>
        <w:t>γ</w:t>
      </w:r>
      <w:r>
        <w:rPr>
          <w:sz w:val="24"/>
          <w:szCs w:val="24"/>
          <w:vertAlign w:val="subscript"/>
        </w:rPr>
        <w:t>Eh</w:t>
      </w:r>
      <w:r>
        <w:rPr>
          <w:i/>
          <w:iCs/>
          <w:sz w:val="24"/>
          <w:szCs w:val="24"/>
        </w:rPr>
        <w:t>S</w:t>
      </w:r>
      <w:r>
        <w:rPr>
          <w:sz w:val="24"/>
          <w:szCs w:val="24"/>
          <w:vertAlign w:val="subscript"/>
        </w:rPr>
        <w:t>Ehk</w:t>
      </w:r>
      <w:r>
        <w:rPr>
          <w:sz w:val="24"/>
          <w:szCs w:val="24"/>
        </w:rPr>
        <w:t xml:space="preserve"> +</w:t>
      </w:r>
      <w:r>
        <w:rPr>
          <w:i/>
          <w:iCs/>
          <w:sz w:val="24"/>
          <w:szCs w:val="24"/>
        </w:rPr>
        <w:t>γ</w:t>
      </w:r>
      <w:r>
        <w:rPr>
          <w:sz w:val="24"/>
          <w:szCs w:val="24"/>
          <w:vertAlign w:val="subscript"/>
        </w:rPr>
        <w:t>Ev</w:t>
      </w:r>
      <w:r>
        <w:rPr>
          <w:i/>
          <w:iCs/>
          <w:sz w:val="24"/>
          <w:szCs w:val="24"/>
        </w:rPr>
        <w:t>S</w:t>
      </w:r>
      <w:r>
        <w:rPr>
          <w:sz w:val="24"/>
          <w:szCs w:val="24"/>
          <w:vertAlign w:val="subscript"/>
        </w:rPr>
        <w:t>Evk</w:t>
      </w:r>
      <w:r>
        <w:rPr>
          <w:sz w:val="24"/>
          <w:szCs w:val="24"/>
        </w:rPr>
        <w:t xml:space="preserve"> + </w:t>
      </w:r>
      <w:r>
        <w:rPr>
          <w:i/>
          <w:iCs/>
          <w:sz w:val="24"/>
          <w:szCs w:val="24"/>
        </w:rPr>
        <w:t>γ</w:t>
      </w:r>
      <w:r>
        <w:rPr>
          <w:sz w:val="24"/>
          <w:szCs w:val="24"/>
          <w:vertAlign w:val="subscript"/>
        </w:rPr>
        <w:t>G</w:t>
      </w:r>
      <w:r>
        <w:rPr>
          <w:i/>
          <w:iCs/>
          <w:sz w:val="24"/>
          <w:szCs w:val="24"/>
        </w:rPr>
        <w:t>S</w:t>
      </w:r>
      <w:r>
        <w:rPr>
          <w:sz w:val="24"/>
          <w:szCs w:val="24"/>
          <w:vertAlign w:val="subscript"/>
        </w:rPr>
        <w:t>GEk</w:t>
      </w:r>
      <w:r>
        <w:rPr>
          <w:sz w:val="24"/>
          <w:szCs w:val="24"/>
        </w:rPr>
        <w:t xml:space="preserve">             </w:t>
      </w:r>
      <w:r>
        <w:rPr>
          <w:sz w:val="20"/>
          <w:szCs w:val="20"/>
        </w:rPr>
        <w:t>（9.2.3）</w:t>
      </w:r>
    </w:p>
    <w:p w14:paraId="783EF391">
      <w:pPr>
        <w:adjustRightInd w:val="0"/>
        <w:snapToGrid w:val="0"/>
        <w:spacing w:line="360" w:lineRule="auto"/>
        <w:rPr>
          <w:sz w:val="20"/>
          <w:szCs w:val="20"/>
        </w:rPr>
      </w:pPr>
      <w:r>
        <w:rPr>
          <w:sz w:val="20"/>
          <w:szCs w:val="20"/>
        </w:rPr>
        <w:t>式中：</w:t>
      </w:r>
      <w:r>
        <w:rPr>
          <w:i/>
          <w:iCs/>
          <w:sz w:val="20"/>
          <w:szCs w:val="20"/>
        </w:rPr>
        <w:t>S</w:t>
      </w:r>
      <w:r>
        <w:rPr>
          <w:iCs/>
          <w:sz w:val="20"/>
          <w:szCs w:val="20"/>
        </w:rPr>
        <w:t>——</w:t>
      </w:r>
      <w:r>
        <w:rPr>
          <w:sz w:val="20"/>
          <w:szCs w:val="20"/>
        </w:rPr>
        <w:t>多遇地震作用下，支护结构构件的弯矩、剪力和轴向力设计值；</w:t>
      </w:r>
    </w:p>
    <w:p w14:paraId="757856A1">
      <w:pPr>
        <w:adjustRightInd w:val="0"/>
        <w:snapToGrid w:val="0"/>
        <w:spacing w:line="360" w:lineRule="auto"/>
        <w:ind w:left="1174" w:leftChars="299" w:hanging="546" w:hangingChars="273"/>
        <w:rPr>
          <w:sz w:val="20"/>
          <w:szCs w:val="20"/>
        </w:rPr>
      </w:pPr>
      <w:r>
        <w:rPr>
          <w:i/>
          <w:iCs/>
          <w:sz w:val="20"/>
          <w:szCs w:val="20"/>
        </w:rPr>
        <w:t>γ</w:t>
      </w:r>
      <w:r>
        <w:rPr>
          <w:sz w:val="20"/>
          <w:szCs w:val="20"/>
          <w:vertAlign w:val="subscript"/>
        </w:rPr>
        <w:t>Eh</w:t>
      </w:r>
      <w:r>
        <w:rPr>
          <w:sz w:val="20"/>
          <w:szCs w:val="20"/>
        </w:rPr>
        <w:t>、</w:t>
      </w:r>
      <w:r>
        <w:rPr>
          <w:i/>
          <w:iCs/>
          <w:sz w:val="20"/>
          <w:szCs w:val="20"/>
        </w:rPr>
        <w:t>γ</w:t>
      </w:r>
      <w:r>
        <w:rPr>
          <w:sz w:val="20"/>
          <w:szCs w:val="20"/>
          <w:vertAlign w:val="subscript"/>
        </w:rPr>
        <w:t>Ev</w:t>
      </w:r>
      <w:r>
        <w:rPr>
          <w:sz w:val="20"/>
          <w:szCs w:val="20"/>
        </w:rPr>
        <w:t>——分别为水平、竖向地震作用分项系数；取</w:t>
      </w:r>
      <w:r>
        <w:rPr>
          <w:i/>
          <w:iCs/>
          <w:sz w:val="20"/>
          <w:szCs w:val="20"/>
        </w:rPr>
        <w:t>γ</w:t>
      </w:r>
      <w:r>
        <w:rPr>
          <w:sz w:val="20"/>
          <w:szCs w:val="20"/>
          <w:vertAlign w:val="subscript"/>
        </w:rPr>
        <w:t>Eh</w:t>
      </w:r>
      <w:r>
        <w:rPr>
          <w:sz w:val="20"/>
          <w:szCs w:val="20"/>
        </w:rPr>
        <w:t xml:space="preserve"> = 1.3；采用内</w:t>
      </w:r>
      <w:r>
        <w:rPr>
          <w:rFonts w:hint="eastAsia"/>
          <w:sz w:val="20"/>
          <w:szCs w:val="20"/>
        </w:rPr>
        <w:t>支撑</w:t>
      </w:r>
      <w:r>
        <w:rPr>
          <w:sz w:val="20"/>
          <w:szCs w:val="20"/>
        </w:rPr>
        <w:t>结构时，对无立柱且长度大于</w:t>
      </w:r>
      <w:r>
        <w:rPr>
          <w:i/>
          <w:iCs/>
          <w:sz w:val="20"/>
          <w:szCs w:val="20"/>
          <w:u w:val="single"/>
        </w:rPr>
        <w:t>20m</w:t>
      </w:r>
      <w:r>
        <w:rPr>
          <w:sz w:val="20"/>
          <w:szCs w:val="20"/>
        </w:rPr>
        <w:t>或立柱间距大于</w:t>
      </w:r>
      <w:r>
        <w:rPr>
          <w:i/>
          <w:iCs/>
          <w:sz w:val="20"/>
          <w:szCs w:val="20"/>
          <w:u w:val="single"/>
        </w:rPr>
        <w:t>20m</w:t>
      </w:r>
      <w:r>
        <w:rPr>
          <w:sz w:val="20"/>
          <w:szCs w:val="20"/>
        </w:rPr>
        <w:t>的支撑构件，取</w:t>
      </w:r>
      <w:r>
        <w:rPr>
          <w:i/>
          <w:iCs/>
          <w:sz w:val="20"/>
          <w:szCs w:val="20"/>
        </w:rPr>
        <w:t>γ</w:t>
      </w:r>
      <w:r>
        <w:rPr>
          <w:sz w:val="20"/>
          <w:szCs w:val="20"/>
          <w:vertAlign w:val="subscript"/>
        </w:rPr>
        <w:t>Ev</w:t>
      </w:r>
      <w:r>
        <w:rPr>
          <w:sz w:val="20"/>
          <w:szCs w:val="20"/>
        </w:rPr>
        <w:t xml:space="preserve"> = 0.5，否则，取</w:t>
      </w:r>
      <w:r>
        <w:rPr>
          <w:i/>
          <w:iCs/>
          <w:sz w:val="20"/>
          <w:szCs w:val="20"/>
        </w:rPr>
        <w:t>γ</w:t>
      </w:r>
      <w:r>
        <w:rPr>
          <w:sz w:val="20"/>
          <w:szCs w:val="20"/>
          <w:vertAlign w:val="subscript"/>
        </w:rPr>
        <w:t>Ev</w:t>
      </w:r>
      <w:r>
        <w:rPr>
          <w:sz w:val="20"/>
          <w:szCs w:val="20"/>
        </w:rPr>
        <w:t xml:space="preserve"> = 0；</w:t>
      </w:r>
    </w:p>
    <w:p w14:paraId="62F9BB82">
      <w:pPr>
        <w:adjustRightInd w:val="0"/>
        <w:snapToGrid w:val="0"/>
        <w:spacing w:line="360" w:lineRule="auto"/>
        <w:ind w:left="1174" w:leftChars="299" w:hanging="546" w:hangingChars="273"/>
        <w:rPr>
          <w:sz w:val="20"/>
          <w:szCs w:val="20"/>
        </w:rPr>
      </w:pPr>
      <w:r>
        <w:rPr>
          <w:i/>
          <w:iCs/>
          <w:sz w:val="20"/>
          <w:szCs w:val="20"/>
        </w:rPr>
        <w:t>S</w:t>
      </w:r>
      <w:r>
        <w:rPr>
          <w:sz w:val="20"/>
          <w:szCs w:val="20"/>
          <w:vertAlign w:val="subscript"/>
        </w:rPr>
        <w:t>Ehk</w:t>
      </w:r>
      <w:r>
        <w:rPr>
          <w:sz w:val="20"/>
          <w:szCs w:val="20"/>
        </w:rPr>
        <w:t>、</w:t>
      </w:r>
      <w:r>
        <w:rPr>
          <w:i/>
          <w:iCs/>
          <w:sz w:val="20"/>
          <w:szCs w:val="20"/>
        </w:rPr>
        <w:t>S</w:t>
      </w:r>
      <w:r>
        <w:rPr>
          <w:sz w:val="20"/>
          <w:szCs w:val="20"/>
          <w:vertAlign w:val="subscript"/>
        </w:rPr>
        <w:t>Evk</w:t>
      </w:r>
      <w:r>
        <w:rPr>
          <w:sz w:val="20"/>
          <w:szCs w:val="20"/>
        </w:rPr>
        <w:t>——分别为支护结构构件在水平、竖向多遇地震作用下的弯矩、剪力和轴向力标准值；</w:t>
      </w:r>
    </w:p>
    <w:p w14:paraId="6DEA5217">
      <w:pPr>
        <w:adjustRightInd w:val="0"/>
        <w:snapToGrid w:val="0"/>
        <w:spacing w:line="360" w:lineRule="auto"/>
        <w:ind w:left="1174" w:leftChars="299" w:hanging="546" w:hangingChars="273"/>
        <w:rPr>
          <w:sz w:val="20"/>
          <w:szCs w:val="20"/>
        </w:rPr>
      </w:pPr>
      <w:r>
        <w:rPr>
          <w:i/>
          <w:iCs/>
          <w:sz w:val="20"/>
          <w:szCs w:val="20"/>
        </w:rPr>
        <w:t>γ</w:t>
      </w:r>
      <w:r>
        <w:rPr>
          <w:sz w:val="20"/>
          <w:szCs w:val="20"/>
          <w:vertAlign w:val="subscript"/>
        </w:rPr>
        <w:t>G</w:t>
      </w:r>
      <w:r>
        <w:rPr>
          <w:sz w:val="20"/>
          <w:szCs w:val="20"/>
        </w:rPr>
        <w:t>——对支撑结构，其自重产生的竖向荷载的分项系数，取</w:t>
      </w:r>
      <w:r>
        <w:rPr>
          <w:i/>
          <w:iCs/>
          <w:sz w:val="20"/>
          <w:szCs w:val="20"/>
        </w:rPr>
        <w:t>γ</w:t>
      </w:r>
      <w:r>
        <w:rPr>
          <w:sz w:val="20"/>
          <w:szCs w:val="20"/>
          <w:vertAlign w:val="subscript"/>
        </w:rPr>
        <w:t>G</w:t>
      </w:r>
      <w:r>
        <w:rPr>
          <w:sz w:val="20"/>
          <w:szCs w:val="20"/>
        </w:rPr>
        <w:t xml:space="preserve"> = 1.2；对锚拉结构，取</w:t>
      </w:r>
      <w:r>
        <w:rPr>
          <w:i/>
          <w:iCs/>
          <w:sz w:val="20"/>
          <w:szCs w:val="20"/>
        </w:rPr>
        <w:t>γ</w:t>
      </w:r>
      <w:r>
        <w:rPr>
          <w:sz w:val="20"/>
          <w:szCs w:val="20"/>
          <w:vertAlign w:val="subscript"/>
        </w:rPr>
        <w:t>G</w:t>
      </w:r>
      <w:r>
        <w:rPr>
          <w:sz w:val="20"/>
          <w:szCs w:val="20"/>
        </w:rPr>
        <w:t xml:space="preserve"> = 0</w:t>
      </w:r>
      <w:r>
        <w:rPr>
          <w:rFonts w:hint="eastAsia"/>
          <w:sz w:val="20"/>
          <w:szCs w:val="20"/>
        </w:rPr>
        <w:t>；</w:t>
      </w:r>
    </w:p>
    <w:p w14:paraId="3933A528">
      <w:pPr>
        <w:adjustRightInd w:val="0"/>
        <w:snapToGrid w:val="0"/>
        <w:spacing w:line="288" w:lineRule="auto"/>
        <w:ind w:left="1174" w:leftChars="299" w:hanging="546" w:hangingChars="273"/>
        <w:rPr>
          <w:sz w:val="20"/>
          <w:szCs w:val="20"/>
        </w:rPr>
      </w:pPr>
      <w:r>
        <w:rPr>
          <w:i/>
          <w:iCs/>
          <w:sz w:val="20"/>
          <w:szCs w:val="20"/>
        </w:rPr>
        <w:t>S</w:t>
      </w:r>
      <w:r>
        <w:rPr>
          <w:sz w:val="20"/>
          <w:szCs w:val="20"/>
          <w:vertAlign w:val="subscript"/>
        </w:rPr>
        <w:t>GEk</w:t>
      </w:r>
      <w:r>
        <w:rPr>
          <w:sz w:val="20"/>
          <w:szCs w:val="20"/>
        </w:rPr>
        <w:t>——支撑结构在重力荷载作用下的弯矩、剪力和轴向力标准值。</w:t>
      </w:r>
    </w:p>
    <w:p w14:paraId="4D560C48">
      <w:pPr>
        <w:spacing w:line="360" w:lineRule="auto"/>
        <w:ind w:left="-2" w:leftChars="-1" w:firstLine="2"/>
        <w:jc w:val="left"/>
        <w:rPr>
          <w:sz w:val="20"/>
          <w:szCs w:val="20"/>
        </w:rPr>
      </w:pPr>
      <w:r>
        <w:rPr>
          <w:b/>
          <w:bCs/>
          <w:sz w:val="20"/>
          <w:szCs w:val="20"/>
        </w:rPr>
        <w:t>9.2.4</w:t>
      </w:r>
      <w:r>
        <w:rPr>
          <w:sz w:val="20"/>
          <w:szCs w:val="20"/>
        </w:rPr>
        <w:t xml:space="preserve">  多遇地震作用下，支护结构构件的截面抗震验算应符合下式规定：</w:t>
      </w:r>
    </w:p>
    <w:p w14:paraId="10C84AD7">
      <w:pPr>
        <w:spacing w:line="360" w:lineRule="auto"/>
        <w:ind w:left="-2" w:leftChars="-1" w:firstLine="2"/>
        <w:jc w:val="center"/>
        <w:rPr>
          <w:sz w:val="24"/>
          <w:szCs w:val="24"/>
        </w:rPr>
      </w:pPr>
      <w:r>
        <w:rPr>
          <w:i/>
          <w:iCs/>
          <w:sz w:val="24"/>
          <w:szCs w:val="24"/>
        </w:rPr>
        <w:t>S</w:t>
      </w:r>
      <w:r>
        <w:rPr>
          <w:sz w:val="24"/>
          <w:szCs w:val="24"/>
        </w:rPr>
        <w:t xml:space="preserve"> ≤ </w:t>
      </w:r>
      <w:r>
        <w:rPr>
          <w:i/>
          <w:iCs/>
          <w:sz w:val="24"/>
          <w:szCs w:val="24"/>
        </w:rPr>
        <w:t>R</w:t>
      </w:r>
      <w:r>
        <w:rPr>
          <w:sz w:val="24"/>
          <w:szCs w:val="24"/>
        </w:rPr>
        <w:t xml:space="preserve"> /</w:t>
      </w:r>
      <w:r>
        <w:rPr>
          <w:i/>
          <w:iCs/>
          <w:sz w:val="24"/>
          <w:szCs w:val="24"/>
        </w:rPr>
        <w:t>γ</w:t>
      </w:r>
      <w:r>
        <w:rPr>
          <w:sz w:val="24"/>
          <w:szCs w:val="24"/>
          <w:vertAlign w:val="subscript"/>
        </w:rPr>
        <w:t>RE</w:t>
      </w:r>
      <w:r>
        <w:rPr>
          <w:sz w:val="24"/>
          <w:szCs w:val="24"/>
        </w:rPr>
        <w:t xml:space="preserve">                    </w:t>
      </w:r>
      <w:r>
        <w:rPr>
          <w:sz w:val="20"/>
          <w:szCs w:val="20"/>
        </w:rPr>
        <w:t xml:space="preserve">  （9.2.4）</w:t>
      </w:r>
    </w:p>
    <w:p w14:paraId="5BFFA64D">
      <w:pPr>
        <w:spacing w:line="360" w:lineRule="auto"/>
        <w:ind w:left="-2" w:leftChars="-1" w:firstLine="2"/>
        <w:jc w:val="left"/>
        <w:rPr>
          <w:sz w:val="20"/>
          <w:szCs w:val="20"/>
        </w:rPr>
      </w:pPr>
      <w:r>
        <w:rPr>
          <w:sz w:val="20"/>
          <w:szCs w:val="20"/>
        </w:rPr>
        <w:t xml:space="preserve">式中： </w:t>
      </w:r>
      <w:r>
        <w:rPr>
          <w:i/>
          <w:iCs/>
          <w:sz w:val="20"/>
          <w:szCs w:val="20"/>
        </w:rPr>
        <w:t>S</w:t>
      </w:r>
      <w:r>
        <w:rPr>
          <w:sz w:val="20"/>
          <w:szCs w:val="20"/>
        </w:rPr>
        <w:t xml:space="preserve"> </w:t>
      </w:r>
      <w:r>
        <w:rPr>
          <w:iCs/>
          <w:sz w:val="20"/>
          <w:szCs w:val="20"/>
        </w:rPr>
        <w:t>——</w:t>
      </w:r>
      <w:r>
        <w:rPr>
          <w:sz w:val="20"/>
          <w:szCs w:val="20"/>
        </w:rPr>
        <w:t>多遇地震作用下，支护结构构件的弯矩、剪力或轴向力设计值；</w:t>
      </w:r>
    </w:p>
    <w:p w14:paraId="31F8BE5E">
      <w:pPr>
        <w:spacing w:line="360" w:lineRule="auto"/>
        <w:ind w:left="-2" w:leftChars="-1" w:firstLine="2"/>
        <w:jc w:val="left"/>
        <w:rPr>
          <w:sz w:val="20"/>
          <w:szCs w:val="20"/>
        </w:rPr>
      </w:pPr>
      <w:r>
        <w:rPr>
          <w:sz w:val="20"/>
          <w:szCs w:val="20"/>
        </w:rPr>
        <w:t xml:space="preserve">       </w:t>
      </w:r>
      <w:r>
        <w:rPr>
          <w:i/>
          <w:iCs/>
          <w:sz w:val="20"/>
          <w:szCs w:val="20"/>
        </w:rPr>
        <w:t>R</w:t>
      </w:r>
      <w:r>
        <w:rPr>
          <w:sz w:val="20"/>
          <w:szCs w:val="20"/>
        </w:rPr>
        <w:t xml:space="preserve"> </w:t>
      </w:r>
      <w:r>
        <w:rPr>
          <w:iCs/>
          <w:sz w:val="20"/>
          <w:szCs w:val="20"/>
        </w:rPr>
        <w:t>——支护结构构件的承载力设计值；</w:t>
      </w:r>
    </w:p>
    <w:p w14:paraId="43AC7BE4">
      <w:pPr>
        <w:spacing w:line="360" w:lineRule="auto"/>
        <w:ind w:left="1560" w:hanging="1562"/>
        <w:jc w:val="left"/>
        <w:rPr>
          <w:sz w:val="20"/>
          <w:szCs w:val="20"/>
        </w:rPr>
      </w:pPr>
      <w:r>
        <w:rPr>
          <w:sz w:val="20"/>
          <w:szCs w:val="20"/>
        </w:rPr>
        <w:t xml:space="preserve">      </w:t>
      </w:r>
      <w:r>
        <w:rPr>
          <w:i/>
          <w:iCs/>
          <w:sz w:val="20"/>
          <w:szCs w:val="20"/>
        </w:rPr>
        <w:t>γ</w:t>
      </w:r>
      <w:r>
        <w:rPr>
          <w:sz w:val="20"/>
          <w:szCs w:val="20"/>
          <w:vertAlign w:val="subscript"/>
        </w:rPr>
        <w:t>RE</w:t>
      </w:r>
      <w:r>
        <w:rPr>
          <w:sz w:val="20"/>
          <w:szCs w:val="20"/>
        </w:rPr>
        <w:t xml:space="preserve"> </w:t>
      </w:r>
      <w:r>
        <w:rPr>
          <w:iCs/>
          <w:sz w:val="20"/>
          <w:szCs w:val="20"/>
        </w:rPr>
        <w:t>——承载力抗震调整系数；对混凝土或型钢挡土结构、</w:t>
      </w:r>
      <w:r>
        <w:rPr>
          <w:sz w:val="20"/>
          <w:szCs w:val="20"/>
        </w:rPr>
        <w:t>混凝土支撑</w:t>
      </w:r>
      <w:r>
        <w:rPr>
          <w:iCs/>
          <w:sz w:val="20"/>
          <w:szCs w:val="20"/>
        </w:rPr>
        <w:t>取</w:t>
      </w:r>
      <w:r>
        <w:rPr>
          <w:i/>
          <w:iCs/>
          <w:sz w:val="20"/>
          <w:szCs w:val="20"/>
        </w:rPr>
        <w:t>γ</w:t>
      </w:r>
      <w:r>
        <w:rPr>
          <w:sz w:val="20"/>
          <w:szCs w:val="20"/>
          <w:vertAlign w:val="subscript"/>
        </w:rPr>
        <w:t>RE</w:t>
      </w:r>
      <w:r>
        <w:rPr>
          <w:sz w:val="20"/>
          <w:szCs w:val="20"/>
        </w:rPr>
        <w:t xml:space="preserve"> = 0.75；对钢支撑</w:t>
      </w:r>
      <w:r>
        <w:rPr>
          <w:iCs/>
          <w:sz w:val="20"/>
          <w:szCs w:val="20"/>
        </w:rPr>
        <w:t>取</w:t>
      </w:r>
      <w:r>
        <w:rPr>
          <w:i/>
          <w:iCs/>
          <w:sz w:val="20"/>
          <w:szCs w:val="20"/>
        </w:rPr>
        <w:t>γ</w:t>
      </w:r>
      <w:r>
        <w:rPr>
          <w:sz w:val="20"/>
          <w:szCs w:val="20"/>
          <w:vertAlign w:val="subscript"/>
        </w:rPr>
        <w:t>RE</w:t>
      </w:r>
      <w:r>
        <w:rPr>
          <w:sz w:val="20"/>
          <w:szCs w:val="20"/>
        </w:rPr>
        <w:t xml:space="preserve"> =0.80。</w:t>
      </w:r>
    </w:p>
    <w:p w14:paraId="35D15839">
      <w:pPr>
        <w:spacing w:line="360" w:lineRule="auto"/>
        <w:ind w:left="-2" w:leftChars="-1" w:firstLine="2"/>
        <w:jc w:val="left"/>
        <w:rPr>
          <w:sz w:val="20"/>
          <w:szCs w:val="20"/>
        </w:rPr>
      </w:pPr>
      <w:r>
        <w:rPr>
          <w:b/>
          <w:bCs/>
          <w:sz w:val="20"/>
          <w:szCs w:val="20"/>
        </w:rPr>
        <w:t>9.2.5</w:t>
      </w:r>
      <w:r>
        <w:rPr>
          <w:sz w:val="20"/>
          <w:szCs w:val="20"/>
        </w:rPr>
        <w:t xml:space="preserve">  罕遇地震作用下，内支撑、锚杆的截面抗震验算应符合下式要求：</w:t>
      </w:r>
    </w:p>
    <w:p w14:paraId="183C9991">
      <w:pPr>
        <w:spacing w:line="360" w:lineRule="auto"/>
        <w:ind w:left="-2" w:leftChars="-1" w:firstLine="2"/>
        <w:jc w:val="center"/>
        <w:rPr>
          <w:sz w:val="24"/>
          <w:szCs w:val="24"/>
        </w:rPr>
      </w:pPr>
      <w:r>
        <w:rPr>
          <w:i/>
          <w:iCs/>
          <w:sz w:val="24"/>
          <w:szCs w:val="24"/>
        </w:rPr>
        <w:t>S</w:t>
      </w:r>
      <w:r>
        <w:rPr>
          <w:sz w:val="24"/>
          <w:szCs w:val="24"/>
          <w:vertAlign w:val="subscript"/>
        </w:rPr>
        <w:t>Ehk</w:t>
      </w:r>
      <w:r>
        <w:rPr>
          <w:sz w:val="24"/>
          <w:szCs w:val="24"/>
        </w:rPr>
        <w:t xml:space="preserve"> ≤ </w:t>
      </w:r>
      <w:r>
        <w:rPr>
          <w:i/>
          <w:iCs/>
          <w:sz w:val="24"/>
          <w:szCs w:val="24"/>
        </w:rPr>
        <w:t>R</w:t>
      </w:r>
      <w:r>
        <w:rPr>
          <w:sz w:val="24"/>
          <w:szCs w:val="24"/>
        </w:rPr>
        <w:t xml:space="preserve">                      </w:t>
      </w:r>
      <w:r>
        <w:rPr>
          <w:sz w:val="20"/>
          <w:szCs w:val="20"/>
        </w:rPr>
        <w:t>（9.2.5）</w:t>
      </w:r>
    </w:p>
    <w:p w14:paraId="6B15D7AF">
      <w:pPr>
        <w:spacing w:line="360" w:lineRule="auto"/>
        <w:ind w:left="1560" w:hanging="1559"/>
        <w:jc w:val="left"/>
        <w:rPr>
          <w:rFonts w:ascii="宋体" w:hAnsi="宋体"/>
          <w:sz w:val="20"/>
          <w:szCs w:val="20"/>
        </w:rPr>
      </w:pPr>
      <w:r>
        <w:rPr>
          <w:rFonts w:hint="eastAsia" w:ascii="宋体" w:hAnsi="宋体"/>
          <w:sz w:val="20"/>
          <w:szCs w:val="20"/>
        </w:rPr>
        <w:t>式中：</w:t>
      </w:r>
      <w:r>
        <w:rPr>
          <w:rFonts w:hint="eastAsia" w:ascii="宋体" w:hAnsi="宋体"/>
          <w:i/>
          <w:iCs/>
          <w:sz w:val="20"/>
          <w:szCs w:val="20"/>
        </w:rPr>
        <w:t>S</w:t>
      </w:r>
      <w:r>
        <w:rPr>
          <w:rFonts w:hint="eastAsia" w:ascii="宋体" w:hAnsi="宋体"/>
          <w:sz w:val="20"/>
          <w:szCs w:val="20"/>
          <w:vertAlign w:val="subscript"/>
        </w:rPr>
        <w:t>Ehk</w:t>
      </w:r>
      <w:r>
        <w:rPr>
          <w:rFonts w:ascii="宋体" w:hAnsi="宋体"/>
          <w:i/>
          <w:iCs/>
          <w:sz w:val="20"/>
          <w:szCs w:val="20"/>
        </w:rPr>
        <w:t xml:space="preserve"> </w:t>
      </w:r>
      <w:r>
        <w:rPr>
          <w:rFonts w:ascii="宋体" w:hAnsi="宋体"/>
          <w:iCs/>
          <w:sz w:val="20"/>
          <w:szCs w:val="20"/>
        </w:rPr>
        <w:t>——</w:t>
      </w:r>
      <w:r>
        <w:rPr>
          <w:rFonts w:hint="eastAsia" w:ascii="宋体" w:hAnsi="宋体"/>
          <w:iCs/>
          <w:sz w:val="20"/>
          <w:szCs w:val="20"/>
        </w:rPr>
        <w:t>按</w:t>
      </w:r>
      <w:r>
        <w:rPr>
          <w:rFonts w:hint="eastAsia" w:ascii="宋体" w:hAnsi="宋体"/>
          <w:sz w:val="20"/>
          <w:szCs w:val="20"/>
        </w:rPr>
        <w:t>罕遇地震水平向荷载标准值计算的内支撑轴向力、弯矩、剪力值或锚杆拉力值；</w:t>
      </w:r>
    </w:p>
    <w:p w14:paraId="0504EA5B">
      <w:pPr>
        <w:spacing w:line="360" w:lineRule="auto"/>
        <w:ind w:left="1418" w:hanging="1418"/>
        <w:jc w:val="left"/>
        <w:rPr>
          <w:sz w:val="20"/>
          <w:szCs w:val="20"/>
        </w:rPr>
      </w:pPr>
      <w:r>
        <w:rPr>
          <w:rFonts w:hint="eastAsia" w:ascii="宋体" w:hAnsi="宋体"/>
          <w:sz w:val="20"/>
          <w:szCs w:val="20"/>
        </w:rPr>
        <w:t xml:space="preserve"> </w:t>
      </w:r>
      <w:r>
        <w:rPr>
          <w:rFonts w:ascii="宋体" w:hAnsi="宋体"/>
          <w:sz w:val="20"/>
          <w:szCs w:val="20"/>
        </w:rPr>
        <w:t xml:space="preserve">    </w:t>
      </w:r>
      <w:r>
        <w:rPr>
          <w:sz w:val="20"/>
          <w:szCs w:val="20"/>
        </w:rPr>
        <w:t xml:space="preserve"> </w:t>
      </w:r>
      <w:r>
        <w:rPr>
          <w:i/>
          <w:iCs/>
          <w:sz w:val="20"/>
          <w:szCs w:val="20"/>
        </w:rPr>
        <w:t xml:space="preserve">R </w:t>
      </w:r>
      <w:r>
        <w:rPr>
          <w:iCs/>
          <w:sz w:val="20"/>
          <w:szCs w:val="20"/>
        </w:rPr>
        <w:t>——按实际截面和材料强度标准值计算的内支撑受压、受弯、受剪承载力；其中，钢筋与型钢取材料的屈服强度标准值。</w:t>
      </w:r>
    </w:p>
    <w:p w14:paraId="0409B1E6">
      <w:pPr>
        <w:spacing w:line="360" w:lineRule="auto"/>
        <w:ind w:left="-2" w:leftChars="-1" w:firstLine="2"/>
        <w:jc w:val="left"/>
        <w:rPr>
          <w:sz w:val="20"/>
          <w:szCs w:val="20"/>
        </w:rPr>
      </w:pPr>
      <w:r>
        <w:rPr>
          <w:b/>
          <w:bCs/>
          <w:sz w:val="20"/>
          <w:szCs w:val="20"/>
        </w:rPr>
        <w:t xml:space="preserve">9.2.6 </w:t>
      </w:r>
      <w:r>
        <w:rPr>
          <w:sz w:val="20"/>
          <w:szCs w:val="20"/>
        </w:rPr>
        <w:t xml:space="preserve"> 罕遇地震作用下，悬臂结构与双排桩结构的截面抗震验算应符合下式要求：</w:t>
      </w:r>
    </w:p>
    <w:p w14:paraId="7D27CD37">
      <w:pPr>
        <w:spacing w:line="360" w:lineRule="auto"/>
        <w:ind w:left="-2" w:leftChars="-1" w:firstLine="2"/>
        <w:jc w:val="center"/>
        <w:rPr>
          <w:sz w:val="20"/>
          <w:szCs w:val="20"/>
        </w:rPr>
      </w:pPr>
      <w:r>
        <w:rPr>
          <w:i/>
          <w:iCs/>
          <w:sz w:val="24"/>
          <w:szCs w:val="24"/>
        </w:rPr>
        <w:t>S</w:t>
      </w:r>
      <w:r>
        <w:rPr>
          <w:sz w:val="24"/>
          <w:szCs w:val="24"/>
          <w:vertAlign w:val="subscript"/>
        </w:rPr>
        <w:t>Ehk</w:t>
      </w:r>
      <w:r>
        <w:rPr>
          <w:sz w:val="24"/>
          <w:szCs w:val="24"/>
        </w:rPr>
        <w:t xml:space="preserve"> ≤ </w:t>
      </w:r>
      <w:r>
        <w:rPr>
          <w:i/>
          <w:iCs/>
          <w:sz w:val="24"/>
          <w:szCs w:val="24"/>
        </w:rPr>
        <w:t>R</w:t>
      </w:r>
      <w:r>
        <w:rPr>
          <w:sz w:val="24"/>
          <w:szCs w:val="24"/>
        </w:rPr>
        <w:t xml:space="preserve">                      </w:t>
      </w:r>
      <w:r>
        <w:rPr>
          <w:sz w:val="20"/>
          <w:szCs w:val="20"/>
        </w:rPr>
        <w:t>（9.2.6）</w:t>
      </w:r>
    </w:p>
    <w:p w14:paraId="23370332">
      <w:pPr>
        <w:spacing w:line="360" w:lineRule="auto"/>
        <w:ind w:left="1560" w:hanging="1559"/>
        <w:jc w:val="left"/>
        <w:rPr>
          <w:sz w:val="20"/>
          <w:szCs w:val="20"/>
        </w:rPr>
      </w:pPr>
      <w:r>
        <w:rPr>
          <w:sz w:val="20"/>
          <w:szCs w:val="20"/>
        </w:rPr>
        <w:t>式中：</w:t>
      </w:r>
      <w:r>
        <w:rPr>
          <w:i/>
          <w:iCs/>
          <w:sz w:val="20"/>
          <w:szCs w:val="20"/>
        </w:rPr>
        <w:t>S</w:t>
      </w:r>
      <w:r>
        <w:rPr>
          <w:sz w:val="20"/>
          <w:szCs w:val="20"/>
          <w:vertAlign w:val="subscript"/>
        </w:rPr>
        <w:t>Ehk</w:t>
      </w:r>
      <w:r>
        <w:rPr>
          <w:i/>
          <w:iCs/>
          <w:sz w:val="20"/>
          <w:szCs w:val="20"/>
        </w:rPr>
        <w:t xml:space="preserve"> </w:t>
      </w:r>
      <w:r>
        <w:rPr>
          <w:iCs/>
          <w:sz w:val="20"/>
          <w:szCs w:val="20"/>
        </w:rPr>
        <w:t>——按</w:t>
      </w:r>
      <w:r>
        <w:rPr>
          <w:sz w:val="20"/>
          <w:szCs w:val="20"/>
        </w:rPr>
        <w:t>罕遇地震水平向荷载标准值计算的挡土结构的弯矩值；</w:t>
      </w:r>
    </w:p>
    <w:p w14:paraId="3B7AD94A">
      <w:pPr>
        <w:spacing w:line="360" w:lineRule="auto"/>
        <w:ind w:left="1418" w:hanging="1418"/>
        <w:jc w:val="left"/>
        <w:rPr>
          <w:iCs/>
          <w:sz w:val="20"/>
          <w:szCs w:val="20"/>
        </w:rPr>
      </w:pPr>
      <w:r>
        <w:rPr>
          <w:sz w:val="20"/>
          <w:szCs w:val="20"/>
        </w:rPr>
        <w:t xml:space="preserve">      </w:t>
      </w:r>
      <w:r>
        <w:rPr>
          <w:i/>
          <w:iCs/>
          <w:sz w:val="20"/>
          <w:szCs w:val="20"/>
        </w:rPr>
        <w:t xml:space="preserve">R </w:t>
      </w:r>
      <w:r>
        <w:rPr>
          <w:iCs/>
          <w:sz w:val="20"/>
          <w:szCs w:val="20"/>
        </w:rPr>
        <w:t>——按实际截面和材料强度标准值计算的挡土结构的受弯承载力；其中，钢筋与型钢取材料的屈服强度标准值。</w:t>
      </w:r>
    </w:p>
    <w:p w14:paraId="5A03F9EB">
      <w:pPr>
        <w:spacing w:line="360" w:lineRule="auto"/>
        <w:ind w:left="-1" w:leftChars="-1" w:hanging="1"/>
        <w:jc w:val="left"/>
        <w:rPr>
          <w:sz w:val="20"/>
          <w:szCs w:val="20"/>
        </w:rPr>
      </w:pPr>
      <w:r>
        <w:rPr>
          <w:b/>
          <w:bCs/>
          <w:sz w:val="20"/>
          <w:szCs w:val="20"/>
        </w:rPr>
        <w:t>9.2.7</w:t>
      </w:r>
      <w:r>
        <w:rPr>
          <w:sz w:val="20"/>
          <w:szCs w:val="20"/>
        </w:rPr>
        <w:t xml:space="preserve">  按地震设计状况设计时，锚拉式、悬臂式及双排桩结构应进行地震组合下的整体滑动稳定性验算。地震组合下的整体滑动稳定性安全系数可按下列公式确定（图9.2.7-1）：</w:t>
      </w:r>
    </w:p>
    <w:p w14:paraId="2BC512C6">
      <w:pPr>
        <w:spacing w:line="360" w:lineRule="auto"/>
        <w:ind w:left="-1" w:leftChars="-1" w:hanging="1"/>
        <w:jc w:val="center"/>
        <w:rPr>
          <w:sz w:val="24"/>
          <w:szCs w:val="24"/>
        </w:rPr>
      </w:pPr>
      <w:r>
        <w:rPr>
          <w:position w:val="-14"/>
          <w:sz w:val="20"/>
          <w:szCs w:val="20"/>
        </w:rPr>
        <w:object>
          <v:shape id="_x0000_i1119" o:spt="75" type="#_x0000_t75" style="height:21.9pt;width:180.85pt;" o:ole="t" filled="f" o:preferrelative="t" stroked="f" coordsize="21600,21600">
            <v:path/>
            <v:fill on="f" focussize="0,0"/>
            <v:stroke on="f" joinstyle="miter"/>
            <v:imagedata r:id="rId208" o:title=""/>
            <o:lock v:ext="edit" aspectratio="t"/>
            <w10:wrap type="none"/>
            <w10:anchorlock/>
          </v:shape>
          <o:OLEObject Type="Embed" ProgID="Equation.3" ShapeID="_x0000_i1119" DrawAspect="Content" ObjectID="_1468075823" r:id="rId207">
            <o:LockedField>false</o:LockedField>
          </o:OLEObject>
        </w:object>
      </w:r>
      <w:r>
        <w:rPr>
          <w:sz w:val="24"/>
          <w:szCs w:val="24"/>
        </w:rPr>
        <w:t xml:space="preserve">       </w:t>
      </w:r>
      <w:r>
        <w:rPr>
          <w:sz w:val="20"/>
          <w:szCs w:val="20"/>
        </w:rPr>
        <w:t>（9.2.7-1）</w:t>
      </w:r>
    </w:p>
    <w:p w14:paraId="6FFCED0F">
      <w:pPr>
        <w:spacing w:line="360" w:lineRule="auto"/>
        <w:ind w:left="-1" w:leftChars="-1" w:hanging="1"/>
        <w:jc w:val="right"/>
        <w:rPr>
          <w:sz w:val="24"/>
          <w:szCs w:val="24"/>
        </w:rPr>
      </w:pPr>
      <w:r>
        <w:rPr>
          <w:i/>
          <w:position w:val="-32"/>
          <w:sz w:val="24"/>
          <w:szCs w:val="24"/>
        </w:rPr>
        <w:object>
          <v:shape id="_x0000_i1120" o:spt="75" type="#_x0000_t75" style="height:36.85pt;width:423.35pt;" o:ole="t" filled="f" o:preferrelative="t" stroked="f" coordsize="21600,21600">
            <v:path/>
            <v:fill on="f" focussize="0,0"/>
            <v:stroke on="f" joinstyle="miter"/>
            <v:imagedata r:id="rId210" o:title=""/>
            <o:lock v:ext="edit" aspectratio="t"/>
            <w10:wrap type="none"/>
            <w10:anchorlock/>
          </v:shape>
          <o:OLEObject Type="Embed" ProgID="Equation.3" ShapeID="_x0000_i1120" DrawAspect="Content" ObjectID="_1468075824" r:id="rId209">
            <o:LockedField>false</o:LockedField>
          </o:OLEObject>
        </w:object>
      </w:r>
      <w:r>
        <w:rPr>
          <w:sz w:val="24"/>
          <w:szCs w:val="24"/>
        </w:rPr>
        <w:t xml:space="preserve">  </w:t>
      </w:r>
      <w:r>
        <w:rPr>
          <w:sz w:val="20"/>
          <w:szCs w:val="20"/>
        </w:rPr>
        <w:t>（9.2.7-2）</w:t>
      </w:r>
    </w:p>
    <w:p w14:paraId="4AB0585D">
      <w:pPr>
        <w:spacing w:line="360" w:lineRule="auto"/>
        <w:ind w:left="-1" w:leftChars="-1" w:hanging="1"/>
        <w:jc w:val="center"/>
        <w:rPr>
          <w:sz w:val="24"/>
          <w:szCs w:val="24"/>
        </w:rPr>
      </w:pPr>
      <m:oMath>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Eℎ,j</m:t>
            </m:r>
            <m:ctrlPr>
              <w:rPr>
                <w:rFonts w:ascii="Cambria Math" w:hAnsi="Cambria Math"/>
                <w:i/>
                <w:sz w:val="24"/>
                <w:szCs w:val="24"/>
              </w:rPr>
            </m:ctrlPr>
          </m:sub>
        </m:sSub>
        <m:r>
          <m:rPr/>
          <w:rPr>
            <w:rFonts w:ascii="Cambria Math" w:hAnsi="Cambria Math"/>
            <w:sz w:val="24"/>
            <w:szCs w:val="24"/>
          </w:rPr>
          <m:t>=η</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ℎ</m:t>
            </m:r>
            <m:ctrlPr>
              <w:rPr>
                <w:rFonts w:ascii="Cambria Math" w:hAnsi="Cambria Math"/>
                <w:i/>
                <w:sz w:val="24"/>
                <w:szCs w:val="24"/>
              </w:rPr>
            </m:ctrlPr>
          </m:sub>
        </m:sSub>
        <m:r>
          <m:rPr/>
          <w:rPr>
            <w:rFonts w:ascii="Cambria Math" w:hAnsi="Cambria Math"/>
            <w:sz w:val="24"/>
            <w:szCs w:val="24"/>
          </w:rPr>
          <m:t>ξΔ</m:t>
        </m:r>
        <m:sSub>
          <m:sSubPr>
            <m:ctrlPr>
              <w:rPr>
                <w:rFonts w:ascii="Cambria Math" w:hAnsi="Cambria Math"/>
                <w:i/>
                <w:sz w:val="24"/>
                <w:szCs w:val="24"/>
              </w:rPr>
            </m:ctrlPr>
          </m:sSubPr>
          <m:e>
            <m:r>
              <m:rPr/>
              <w:rPr>
                <w:rFonts w:ascii="Cambria Math" w:hAnsi="Cambria Math"/>
                <w:sz w:val="24"/>
                <w:szCs w:val="24"/>
              </w:rPr>
              <m:t>G</m:t>
            </m:r>
            <m:ctrlPr>
              <w:rPr>
                <w:rFonts w:ascii="Cambria Math" w:hAnsi="Cambria Math"/>
                <w:i/>
                <w:sz w:val="24"/>
                <w:szCs w:val="24"/>
              </w:rPr>
            </m:ctrlPr>
          </m:e>
          <m:sub>
            <m:r>
              <m:rPr/>
              <w:rPr>
                <w:rFonts w:ascii="Cambria Math" w:hAnsi="Cambria Math"/>
                <w:sz w:val="24"/>
                <w:szCs w:val="24"/>
              </w:rPr>
              <m:t>j</m:t>
            </m:r>
            <m:ctrlPr>
              <w:rPr>
                <w:rFonts w:ascii="Cambria Math" w:hAnsi="Cambria Math"/>
                <w:i/>
                <w:sz w:val="24"/>
                <w:szCs w:val="24"/>
              </w:rPr>
            </m:ctrlPr>
          </m:sub>
        </m:sSub>
        <m:r>
          <m:rPr/>
          <w:rPr>
            <w:rFonts w:ascii="Cambria Math" w:hAnsi="Cambria Math"/>
            <w:sz w:val="24"/>
            <w:szCs w:val="24"/>
          </w:rPr>
          <m:t>/g</m:t>
        </m:r>
      </m:oMath>
      <w:r>
        <w:rPr>
          <w:sz w:val="24"/>
          <w:szCs w:val="24"/>
        </w:rPr>
        <w:t xml:space="preserve">                </w:t>
      </w:r>
      <w:r>
        <w:rPr>
          <w:sz w:val="20"/>
          <w:szCs w:val="20"/>
        </w:rPr>
        <w:t>（9.2.7-3）</w:t>
      </w:r>
    </w:p>
    <w:p w14:paraId="4C447F18">
      <w:pPr>
        <w:spacing w:line="360" w:lineRule="auto"/>
        <w:ind w:left="-1" w:leftChars="-1" w:hanging="1"/>
        <w:jc w:val="left"/>
        <w:rPr>
          <w:sz w:val="20"/>
          <w:szCs w:val="20"/>
        </w:rPr>
      </w:pPr>
      <w:r>
        <w:rPr>
          <w:sz w:val="20"/>
          <w:szCs w:val="20"/>
        </w:rPr>
        <w:t>式中：</w:t>
      </w:r>
      <w:r>
        <w:rPr>
          <w:i/>
          <w:iCs/>
          <w:sz w:val="20"/>
          <w:szCs w:val="20"/>
        </w:rPr>
        <w:t>K</w:t>
      </w:r>
      <w:r>
        <w:rPr>
          <w:sz w:val="20"/>
          <w:szCs w:val="20"/>
          <w:vertAlign w:val="subscript"/>
        </w:rPr>
        <w:t>sE</w:t>
      </w:r>
      <w:r>
        <w:rPr>
          <w:sz w:val="20"/>
          <w:szCs w:val="20"/>
        </w:rPr>
        <w:t>——地震组合的整体滑动稳定安全系数，可取</w:t>
      </w:r>
      <w:r>
        <w:rPr>
          <w:i/>
          <w:iCs/>
          <w:sz w:val="20"/>
          <w:szCs w:val="20"/>
        </w:rPr>
        <w:t>K</w:t>
      </w:r>
      <w:r>
        <w:rPr>
          <w:sz w:val="20"/>
          <w:szCs w:val="20"/>
          <w:vertAlign w:val="subscript"/>
        </w:rPr>
        <w:t>sE</w:t>
      </w:r>
      <w:r>
        <w:rPr>
          <w:sz w:val="20"/>
          <w:szCs w:val="20"/>
        </w:rPr>
        <w:t xml:space="preserve"> = </w:t>
      </w:r>
      <w:r>
        <w:rPr>
          <w:i/>
          <w:iCs/>
          <w:sz w:val="20"/>
          <w:szCs w:val="20"/>
          <w:u w:val="single"/>
        </w:rPr>
        <w:t>1.15</w:t>
      </w:r>
      <w:r>
        <w:rPr>
          <w:sz w:val="20"/>
          <w:szCs w:val="20"/>
        </w:rPr>
        <w:t>；</w:t>
      </w:r>
    </w:p>
    <w:p w14:paraId="700CC92E">
      <w:pPr>
        <w:adjustRightInd w:val="0"/>
        <w:snapToGrid w:val="0"/>
        <w:spacing w:line="288" w:lineRule="auto"/>
        <w:ind w:left="1174" w:leftChars="299" w:hanging="546" w:hangingChars="273"/>
        <w:rPr>
          <w:sz w:val="20"/>
          <w:szCs w:val="20"/>
        </w:rPr>
      </w:pPr>
      <w:r>
        <w:rPr>
          <w:i/>
          <w:sz w:val="20"/>
          <w:szCs w:val="20"/>
        </w:rPr>
        <w:t>K</w:t>
      </w:r>
      <w:r>
        <w:rPr>
          <w:sz w:val="20"/>
          <w:szCs w:val="20"/>
          <w:vertAlign w:val="subscript"/>
        </w:rPr>
        <w:t>sE,</w:t>
      </w:r>
      <w:r>
        <w:rPr>
          <w:i/>
          <w:sz w:val="20"/>
          <w:szCs w:val="20"/>
          <w:vertAlign w:val="subscript"/>
        </w:rPr>
        <w:t>i</w:t>
      </w:r>
      <w:r>
        <w:rPr>
          <w:iCs/>
          <w:sz w:val="20"/>
          <w:szCs w:val="20"/>
        </w:rPr>
        <w:t>——地震组合的</w:t>
      </w:r>
      <w:r>
        <w:rPr>
          <w:sz w:val="20"/>
          <w:szCs w:val="20"/>
        </w:rPr>
        <w:t>第</w:t>
      </w:r>
      <w:r>
        <w:rPr>
          <w:i/>
          <w:iCs/>
          <w:sz w:val="20"/>
          <w:szCs w:val="20"/>
        </w:rPr>
        <w:t>i</w:t>
      </w:r>
      <w:r>
        <w:rPr>
          <w:sz w:val="20"/>
          <w:szCs w:val="20"/>
        </w:rPr>
        <w:t>个圆弧滑动体的抗滑力矩与滑动力矩的比值；抗滑力矩与滑动力矩之比的最小值宜通过搜索不同圆心及半径的所有潜在滑动圆弧确定；</w:t>
      </w:r>
    </w:p>
    <w:p w14:paraId="6901AF09">
      <w:pPr>
        <w:adjustRightInd w:val="0"/>
        <w:snapToGrid w:val="0"/>
        <w:spacing w:line="288" w:lineRule="auto"/>
        <w:ind w:left="1174" w:leftChars="299" w:hanging="546" w:hangingChars="273"/>
        <w:rPr>
          <w:sz w:val="20"/>
          <w:szCs w:val="20"/>
        </w:rPr>
      </w:pPr>
      <m:oMath>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Eℎ,j</m:t>
            </m:r>
            <m:ctrlPr>
              <w:rPr>
                <w:rFonts w:ascii="Cambria Math" w:hAnsi="Cambria Math"/>
                <w:i/>
                <w:sz w:val="20"/>
                <w:szCs w:val="20"/>
              </w:rPr>
            </m:ctrlPr>
          </m:sub>
        </m:sSub>
      </m:oMath>
      <w:r>
        <w:rPr>
          <w:sz w:val="20"/>
          <w:szCs w:val="20"/>
        </w:rPr>
        <w:t>——作用于第</w:t>
      </w:r>
      <w:r>
        <w:rPr>
          <w:i/>
          <w:sz w:val="20"/>
          <w:szCs w:val="20"/>
        </w:rPr>
        <w:t>j</w:t>
      </w:r>
      <w:r>
        <w:rPr>
          <w:sz w:val="20"/>
          <w:szCs w:val="20"/>
        </w:rPr>
        <w:t>土条质心的水平地震惯性力（kN）；</w:t>
      </w:r>
    </w:p>
    <w:p w14:paraId="63C3D953">
      <w:pPr>
        <w:adjustRightInd w:val="0"/>
        <w:snapToGrid w:val="0"/>
        <w:spacing w:line="288" w:lineRule="auto"/>
        <w:ind w:left="1174" w:leftChars="299" w:hanging="546" w:hangingChars="273"/>
        <w:jc w:val="left"/>
        <w:rPr>
          <w:sz w:val="20"/>
          <w:szCs w:val="20"/>
        </w:rPr>
      </w:pPr>
      <m:oMath>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Ev,j</m:t>
            </m:r>
            <m:ctrlPr>
              <w:rPr>
                <w:rFonts w:ascii="Cambria Math" w:hAnsi="Cambria Math"/>
                <w:i/>
                <w:sz w:val="20"/>
                <w:szCs w:val="20"/>
              </w:rPr>
            </m:ctrlPr>
          </m:sub>
        </m:sSub>
      </m:oMath>
      <w:r>
        <w:rPr>
          <w:sz w:val="20"/>
          <w:szCs w:val="20"/>
        </w:rPr>
        <w:t>——作用于第</w:t>
      </w:r>
      <w:r>
        <w:rPr>
          <w:i/>
          <w:sz w:val="20"/>
          <w:szCs w:val="20"/>
        </w:rPr>
        <w:t>j</w:t>
      </w:r>
      <w:r>
        <w:rPr>
          <w:sz w:val="20"/>
          <w:szCs w:val="20"/>
        </w:rPr>
        <w:t>土条质心的竖向地震惯性力（kN），可仅取作用方向向下的竖向地震惯性力，且</w:t>
      </w:r>
      <m:oMath>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Evj</m:t>
            </m:r>
            <m:ctrlPr>
              <w:rPr>
                <w:rFonts w:ascii="Cambria Math" w:hAnsi="Cambria Math"/>
                <w:i/>
                <w:sz w:val="20"/>
                <w:szCs w:val="20"/>
              </w:rPr>
            </m:ctrlPr>
          </m:sub>
        </m:sSub>
        <m:r>
          <m:rPr/>
          <w:rPr>
            <w:rFonts w:ascii="Cambria Math" w:hAnsi="Cambria Math"/>
            <w:sz w:val="20"/>
            <w:szCs w:val="20"/>
          </w:rPr>
          <m:t>=0.5</m:t>
        </m:r>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Eℎj</m:t>
            </m:r>
            <m:ctrlPr>
              <w:rPr>
                <w:rFonts w:ascii="Cambria Math" w:hAnsi="Cambria Math"/>
                <w:i/>
                <w:sz w:val="20"/>
                <w:szCs w:val="20"/>
              </w:rPr>
            </m:ctrlPr>
          </m:sub>
        </m:sSub>
      </m:oMath>
      <w:r>
        <w:rPr>
          <w:sz w:val="20"/>
          <w:szCs w:val="20"/>
        </w:rPr>
        <w:t>；</w:t>
      </w:r>
    </w:p>
    <w:p w14:paraId="263C6167">
      <w:pPr>
        <w:adjustRightInd w:val="0"/>
        <w:snapToGrid w:val="0"/>
        <w:spacing w:line="288" w:lineRule="auto"/>
        <w:ind w:left="1174" w:leftChars="299" w:hanging="546" w:hangingChars="273"/>
        <w:rPr>
          <w:sz w:val="20"/>
          <w:szCs w:val="20"/>
        </w:rPr>
      </w:pPr>
      <m:oMath>
        <m:sSub>
          <m:sSubPr>
            <m:ctrlPr>
              <w:rPr>
                <w:rFonts w:ascii="Cambria Math" w:hAnsi="Cambria Math"/>
                <w:i/>
                <w:sz w:val="20"/>
                <w:szCs w:val="20"/>
              </w:rPr>
            </m:ctrlPr>
          </m:sSubPr>
          <m:e>
            <m:r>
              <m:rPr/>
              <w:rPr>
                <w:rFonts w:ascii="Cambria Math" w:hAnsi="Cambria Math"/>
                <w:sz w:val="20"/>
                <w:szCs w:val="20"/>
              </w:rPr>
              <m:t>a</m:t>
            </m:r>
            <m:ctrlPr>
              <w:rPr>
                <w:rFonts w:ascii="Cambria Math" w:hAnsi="Cambria Math"/>
                <w:i/>
                <w:sz w:val="20"/>
                <w:szCs w:val="20"/>
              </w:rPr>
            </m:ctrlPr>
          </m:e>
          <m:sub>
            <m:r>
              <m:rPr/>
              <w:rPr>
                <w:rFonts w:ascii="Cambria Math" w:hAnsi="Cambria Math"/>
                <w:sz w:val="20"/>
                <w:szCs w:val="20"/>
              </w:rPr>
              <m:t>ℎ</m:t>
            </m:r>
            <m:ctrlPr>
              <w:rPr>
                <w:rFonts w:ascii="Cambria Math" w:hAnsi="Cambria Math"/>
                <w:i/>
                <w:sz w:val="20"/>
                <w:szCs w:val="20"/>
              </w:rPr>
            </m:ctrlPr>
          </m:sub>
        </m:sSub>
      </m:oMath>
      <w:r>
        <w:rPr>
          <w:sz w:val="20"/>
          <w:szCs w:val="20"/>
        </w:rPr>
        <w:t>——该地区抗震设防烈度对应的罕遇地震水平向加速度值；</w:t>
      </w:r>
    </w:p>
    <w:p w14:paraId="30740DA4">
      <w:pPr>
        <w:adjustRightInd w:val="0"/>
        <w:snapToGrid w:val="0"/>
        <w:spacing w:line="288" w:lineRule="auto"/>
        <w:ind w:left="1174" w:leftChars="299" w:hanging="546" w:hangingChars="273"/>
        <w:rPr>
          <w:sz w:val="20"/>
          <w:szCs w:val="20"/>
        </w:rPr>
      </w:pPr>
      <m:oMath>
        <m:r>
          <m:rPr/>
          <w:rPr>
            <w:rFonts w:ascii="Cambria Math" w:hAnsi="Cambria Math"/>
            <w:sz w:val="20"/>
            <w:szCs w:val="20"/>
          </w:rPr>
          <m:t>η</m:t>
        </m:r>
      </m:oMath>
      <w:r>
        <w:rPr>
          <w:sz w:val="20"/>
          <w:szCs w:val="20"/>
        </w:rPr>
        <w:t>——水平向地震系数，取0.25；</w:t>
      </w:r>
    </w:p>
    <w:p w14:paraId="1DD81E0E">
      <w:pPr>
        <w:adjustRightInd w:val="0"/>
        <w:snapToGrid w:val="0"/>
        <w:spacing w:line="288" w:lineRule="auto"/>
        <w:ind w:left="1174" w:leftChars="299" w:hanging="546" w:hangingChars="273"/>
        <w:rPr>
          <w:i/>
          <w:iCs/>
          <w:sz w:val="20"/>
          <w:szCs w:val="20"/>
        </w:rPr>
      </w:pPr>
      <w:r>
        <w:rPr>
          <w:i/>
          <w:iCs/>
          <w:sz w:val="20"/>
          <w:szCs w:val="20"/>
        </w:rPr>
        <w:t>ξ</w:t>
      </w:r>
      <w:r>
        <w:rPr>
          <w:sz w:val="20"/>
          <w:szCs w:val="20"/>
        </w:rPr>
        <w:t>——高度增大系数，按图9.2.7-2的规定取值；</w:t>
      </w:r>
    </w:p>
    <w:p w14:paraId="0D622839">
      <w:pPr>
        <w:adjustRightInd w:val="0"/>
        <w:snapToGrid w:val="0"/>
        <w:spacing w:line="288" w:lineRule="auto"/>
        <w:ind w:left="1174" w:leftChars="299" w:hanging="546" w:hangingChars="273"/>
        <w:rPr>
          <w:sz w:val="20"/>
          <w:szCs w:val="20"/>
          <w:vertAlign w:val="subscript"/>
        </w:rPr>
      </w:pPr>
      <m:oMath>
        <m:r>
          <m:rPr>
            <m:sty m:val="p"/>
          </m:rPr>
          <w:rPr>
            <w:rFonts w:ascii="Cambria Math" w:hAnsi="Cambria Math"/>
            <w:sz w:val="20"/>
            <w:szCs w:val="20"/>
          </w:rPr>
          <m:t>Δ</m:t>
        </m:r>
        <m:sSub>
          <m:sSubPr>
            <m:ctrlPr>
              <w:rPr>
                <w:rFonts w:ascii="Cambria Math" w:hAnsi="Cambria Math"/>
                <w:i/>
                <w:sz w:val="20"/>
                <w:szCs w:val="20"/>
              </w:rPr>
            </m:ctrlPr>
          </m:sSubPr>
          <m:e>
            <m:r>
              <m:rPr/>
              <w:rPr>
                <w:rFonts w:ascii="Cambria Math" w:hAnsi="Cambria Math"/>
                <w:sz w:val="20"/>
                <w:szCs w:val="20"/>
              </w:rPr>
              <m:t>M</m:t>
            </m:r>
            <m:ctrlPr>
              <w:rPr>
                <w:rFonts w:ascii="Cambria Math" w:hAnsi="Cambria Math"/>
                <w:i/>
                <w:sz w:val="20"/>
                <w:szCs w:val="20"/>
              </w:rPr>
            </m:ctrlPr>
          </m:e>
          <m:sub>
            <m:r>
              <m:rPr/>
              <w:rPr>
                <w:rFonts w:ascii="Cambria Math" w:hAnsi="Cambria Math"/>
                <w:sz w:val="20"/>
                <w:szCs w:val="20"/>
              </w:rPr>
              <m:t>ℎ,j</m:t>
            </m:r>
            <m:ctrlPr>
              <w:rPr>
                <w:rFonts w:ascii="Cambria Math" w:hAnsi="Cambria Math"/>
                <w:i/>
                <w:sz w:val="20"/>
                <w:szCs w:val="20"/>
              </w:rPr>
            </m:ctrlPr>
          </m:sub>
        </m:sSub>
      </m:oMath>
      <w:r>
        <w:rPr>
          <w:sz w:val="20"/>
          <w:szCs w:val="20"/>
        </w:rPr>
        <w:t>——水平地震惯性力</w:t>
      </w:r>
      <m:oMath>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Eℎ,j</m:t>
            </m:r>
            <m:ctrlPr>
              <w:rPr>
                <w:rFonts w:ascii="Cambria Math" w:hAnsi="Cambria Math"/>
                <w:i/>
                <w:sz w:val="20"/>
                <w:szCs w:val="20"/>
              </w:rPr>
            </m:ctrlPr>
          </m:sub>
        </m:sSub>
      </m:oMath>
      <w:r>
        <w:rPr>
          <w:sz w:val="20"/>
          <w:szCs w:val="20"/>
        </w:rPr>
        <w:t>对第</w:t>
      </w:r>
      <w:r>
        <w:rPr>
          <w:i/>
          <w:sz w:val="20"/>
          <w:szCs w:val="20"/>
        </w:rPr>
        <w:t>j</w:t>
      </w:r>
      <w:r>
        <w:rPr>
          <w:sz w:val="20"/>
          <w:szCs w:val="20"/>
        </w:rPr>
        <w:t>土条滑弧中心的力矩（kN</w:t>
      </w:r>
      <w:r>
        <w:rPr>
          <w:rFonts w:hint="eastAsia" w:ascii="宋体" w:hAnsi="宋体"/>
          <w:iCs/>
          <w:sz w:val="20"/>
          <w:szCs w:val="20"/>
        </w:rPr>
        <w:t>·</w:t>
      </w:r>
      <w:r>
        <w:rPr>
          <w:rFonts w:hint="eastAsia"/>
          <w:sz w:val="20"/>
          <w:szCs w:val="20"/>
        </w:rPr>
        <w:t>m</w:t>
      </w:r>
      <w:r>
        <w:rPr>
          <w:sz w:val="20"/>
          <w:szCs w:val="20"/>
        </w:rPr>
        <w:t>）</w:t>
      </w:r>
      <w:r>
        <w:rPr>
          <w:rFonts w:hint="eastAsia"/>
          <w:sz w:val="20"/>
          <w:szCs w:val="20"/>
        </w:rPr>
        <w:t>；</w:t>
      </w:r>
      <w:r>
        <w:rPr>
          <w:sz w:val="20"/>
          <w:szCs w:val="20"/>
        </w:rPr>
        <w:t>取</w:t>
      </w:r>
      <m:oMath>
        <m:r>
          <m:rPr>
            <m:sty m:val="p"/>
          </m:rPr>
          <w:rPr>
            <w:rFonts w:ascii="Cambria Math" w:hAnsi="Cambria Math"/>
            <w:sz w:val="20"/>
            <w:szCs w:val="20"/>
          </w:rPr>
          <m:t>Δ</m:t>
        </m:r>
        <m:sSub>
          <m:sSubPr>
            <m:ctrlPr>
              <w:rPr>
                <w:rFonts w:ascii="Cambria Math" w:hAnsi="Cambria Math"/>
                <w:i/>
                <w:sz w:val="20"/>
                <w:szCs w:val="20"/>
              </w:rPr>
            </m:ctrlPr>
          </m:sSubPr>
          <m:e>
            <m:r>
              <m:rPr/>
              <w:rPr>
                <w:rFonts w:ascii="Cambria Math" w:hAnsi="Cambria Math"/>
                <w:sz w:val="20"/>
                <w:szCs w:val="20"/>
              </w:rPr>
              <m:t>M</m:t>
            </m:r>
            <m:ctrlPr>
              <w:rPr>
                <w:rFonts w:ascii="Cambria Math" w:hAnsi="Cambria Math"/>
                <w:i/>
                <w:sz w:val="20"/>
                <w:szCs w:val="20"/>
              </w:rPr>
            </m:ctrlPr>
          </m:e>
          <m:sub>
            <m:r>
              <m:rPr/>
              <w:rPr>
                <w:rFonts w:ascii="Cambria Math" w:hAnsi="Cambria Math"/>
                <w:sz w:val="20"/>
                <w:szCs w:val="20"/>
              </w:rPr>
              <m:t>ℎ,j</m:t>
            </m:r>
            <m:ctrlPr>
              <w:rPr>
                <w:rFonts w:ascii="Cambria Math" w:hAnsi="Cambria Math"/>
                <w:i/>
                <w:sz w:val="20"/>
                <w:szCs w:val="20"/>
              </w:rPr>
            </m:ctrlPr>
          </m:sub>
        </m:sSub>
      </m:oMath>
      <w:r>
        <w:rPr>
          <w:sz w:val="20"/>
          <w:szCs w:val="20"/>
        </w:rPr>
        <w:t xml:space="preserve"> = </w:t>
      </w:r>
      <m:oMath>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Eℎ,j</m:t>
            </m:r>
            <m:ctrlPr>
              <w:rPr>
                <w:rFonts w:ascii="Cambria Math" w:hAnsi="Cambria Math"/>
                <w:i/>
                <w:sz w:val="20"/>
                <w:szCs w:val="20"/>
              </w:rPr>
            </m:ctrlPr>
          </m:sub>
        </m:sSub>
      </m:oMath>
      <w:r>
        <w:rPr>
          <w:sz w:val="20"/>
          <w:szCs w:val="20"/>
        </w:rPr>
        <w:t xml:space="preserve"> </w:t>
      </w:r>
      <w:r>
        <w:rPr>
          <w:i/>
          <w:iCs/>
          <w:sz w:val="20"/>
          <w:szCs w:val="20"/>
        </w:rPr>
        <w:t>h</w:t>
      </w:r>
      <w:r>
        <w:rPr>
          <w:sz w:val="20"/>
          <w:szCs w:val="20"/>
          <w:vertAlign w:val="subscript"/>
        </w:rPr>
        <w:t>Eh</w:t>
      </w:r>
      <w:r>
        <w:rPr>
          <w:sz w:val="20"/>
          <w:szCs w:val="20"/>
        </w:rPr>
        <w:t>；</w:t>
      </w:r>
    </w:p>
    <w:p w14:paraId="1B5073F4">
      <w:pPr>
        <w:adjustRightInd w:val="0"/>
        <w:snapToGrid w:val="0"/>
        <w:spacing w:line="288" w:lineRule="auto"/>
        <w:ind w:left="1174" w:leftChars="299" w:hanging="546" w:hangingChars="273"/>
        <w:rPr>
          <w:sz w:val="20"/>
          <w:szCs w:val="20"/>
        </w:rPr>
      </w:pPr>
      <w:r>
        <w:rPr>
          <w:i/>
          <w:iCs/>
          <w:sz w:val="20"/>
          <w:szCs w:val="20"/>
        </w:rPr>
        <w:t>h</w:t>
      </w:r>
      <w:r>
        <w:rPr>
          <w:sz w:val="20"/>
          <w:szCs w:val="20"/>
          <w:vertAlign w:val="subscript"/>
        </w:rPr>
        <w:t>Eh</w:t>
      </w:r>
      <w:r>
        <w:rPr>
          <w:sz w:val="20"/>
          <w:szCs w:val="20"/>
        </w:rPr>
        <w:t xml:space="preserve"> —— 第</w:t>
      </w:r>
      <w:r>
        <w:rPr>
          <w:i/>
          <w:sz w:val="20"/>
          <w:szCs w:val="20"/>
        </w:rPr>
        <w:t>j</w:t>
      </w:r>
      <w:r>
        <w:rPr>
          <w:sz w:val="20"/>
          <w:szCs w:val="20"/>
        </w:rPr>
        <w:t>土条质心至滑动圆弧圆心的垂直距离（m）；</w:t>
      </w:r>
    </w:p>
    <w:p w14:paraId="144E2D8A">
      <w:pPr>
        <w:adjustRightInd w:val="0"/>
        <w:snapToGrid w:val="0"/>
        <w:spacing w:line="288" w:lineRule="auto"/>
        <w:ind w:left="1174" w:leftChars="299" w:hanging="546" w:hangingChars="273"/>
        <w:rPr>
          <w:sz w:val="20"/>
          <w:szCs w:val="20"/>
        </w:rPr>
      </w:pPr>
      <m:oMath>
        <m:sSub>
          <m:sSubPr>
            <m:ctrlPr>
              <w:rPr>
                <w:rFonts w:ascii="Cambria Math" w:hAnsi="Cambria Math"/>
                <w:i/>
                <w:sz w:val="20"/>
                <w:szCs w:val="20"/>
              </w:rPr>
            </m:ctrlPr>
          </m:sSubPr>
          <m:e>
            <m:r>
              <m:rPr/>
              <w:rPr>
                <w:rFonts w:ascii="Cambria Math" w:hAnsi="Cambria Math"/>
                <w:sz w:val="20"/>
                <w:szCs w:val="20"/>
              </w:rPr>
              <m:t>R</m:t>
            </m:r>
            <m:ctrlPr>
              <w:rPr>
                <w:rFonts w:ascii="Cambria Math" w:hAnsi="Cambria Math"/>
                <w:i/>
                <w:sz w:val="20"/>
                <w:szCs w:val="20"/>
              </w:rPr>
            </m:ctrlPr>
          </m:e>
          <m:sub>
            <m:r>
              <m:rPr/>
              <w:rPr>
                <w:rFonts w:ascii="Cambria Math" w:hAnsi="Cambria Math"/>
                <w:sz w:val="20"/>
                <w:szCs w:val="20"/>
              </w:rPr>
              <m:t>j</m:t>
            </m:r>
            <m:ctrlPr>
              <w:rPr>
                <w:rFonts w:ascii="Cambria Math" w:hAnsi="Cambria Math"/>
                <w:i/>
                <w:sz w:val="20"/>
                <w:szCs w:val="20"/>
              </w:rPr>
            </m:ctrlPr>
          </m:sub>
        </m:sSub>
      </m:oMath>
      <w:r>
        <w:rPr>
          <w:sz w:val="20"/>
          <w:szCs w:val="20"/>
        </w:rPr>
        <w:t>——第</w:t>
      </w:r>
      <w:r>
        <w:rPr>
          <w:i/>
          <w:sz w:val="20"/>
          <w:szCs w:val="20"/>
        </w:rPr>
        <w:t>j</w:t>
      </w:r>
      <w:r>
        <w:rPr>
          <w:sz w:val="20"/>
          <w:szCs w:val="20"/>
        </w:rPr>
        <w:t>土条滑动圆弧半径。</w:t>
      </w:r>
    </w:p>
    <w:p w14:paraId="37D03817">
      <w:pPr>
        <w:adjustRightInd w:val="0"/>
        <w:snapToGrid w:val="0"/>
        <w:spacing w:line="288" w:lineRule="auto"/>
        <w:jc w:val="center"/>
        <w:rPr>
          <w:sz w:val="20"/>
          <w:szCs w:val="20"/>
        </w:rPr>
      </w:pPr>
      <w:r>
        <w:rPr>
          <w:sz w:val="20"/>
          <w:szCs w:val="20"/>
        </w:rPr>
        <w:object>
          <v:shape id="_x0000_i1121" o:spt="75" type="#_x0000_t75" style="height:179.15pt;width:339.85pt;" o:ole="t" filled="f" o:preferrelative="t" stroked="f" coordsize="21600,21600">
            <v:path/>
            <v:fill on="f" focussize="0,0"/>
            <v:stroke on="f" joinstyle="miter"/>
            <v:imagedata r:id="rId212" cropleft="16899f" croptop="10031f" cropright="14063f" cropbottom="14262f" o:title=""/>
            <o:lock v:ext="edit" aspectratio="t"/>
            <w10:wrap type="none"/>
            <w10:anchorlock/>
          </v:shape>
          <o:OLEObject Type="Embed" ProgID="AutoCAD.Drawing.19" ShapeID="_x0000_i1121" DrawAspect="Content" ObjectID="_1468075825" r:id="rId211">
            <o:LockedField>false</o:LockedField>
          </o:OLEObject>
        </w:object>
      </w:r>
    </w:p>
    <w:p w14:paraId="750E79AD">
      <w:pPr>
        <w:tabs>
          <w:tab w:val="left" w:pos="720"/>
          <w:tab w:val="left" w:pos="854"/>
          <w:tab w:val="left" w:pos="1620"/>
          <w:tab w:val="left" w:pos="2160"/>
          <w:tab w:val="left" w:pos="3060"/>
          <w:tab w:val="left" w:pos="7020"/>
        </w:tabs>
        <w:adjustRightInd w:val="0"/>
        <w:snapToGrid w:val="0"/>
        <w:spacing w:before="156" w:beforeLines="50" w:after="156" w:afterLines="50" w:line="288" w:lineRule="auto"/>
        <w:jc w:val="center"/>
        <w:rPr>
          <w:b/>
          <w:bCs/>
          <w:sz w:val="18"/>
          <w:szCs w:val="18"/>
        </w:rPr>
      </w:pPr>
      <w:r>
        <w:rPr>
          <w:b/>
          <w:bCs/>
          <w:sz w:val="18"/>
          <w:szCs w:val="18"/>
        </w:rPr>
        <w:t>图9.2.7-1  地震工况下圆弧滑动条分法整体稳定性验算</w:t>
      </w:r>
    </w:p>
    <w:p w14:paraId="67C578A4">
      <w:pPr>
        <w:tabs>
          <w:tab w:val="left" w:pos="720"/>
          <w:tab w:val="left" w:pos="854"/>
          <w:tab w:val="left" w:pos="1620"/>
          <w:tab w:val="left" w:pos="2160"/>
          <w:tab w:val="left" w:pos="3060"/>
          <w:tab w:val="left" w:pos="7020"/>
        </w:tabs>
        <w:adjustRightInd w:val="0"/>
        <w:snapToGrid w:val="0"/>
        <w:spacing w:before="156" w:beforeLines="50" w:after="156" w:afterLines="50" w:line="288" w:lineRule="auto"/>
        <w:jc w:val="center"/>
        <w:rPr>
          <w:rFonts w:ascii="宋体" w:hAnsi="宋体"/>
          <w:b/>
          <w:bCs/>
          <w:sz w:val="18"/>
          <w:szCs w:val="18"/>
        </w:rPr>
      </w:pPr>
      <w:r>
        <w:rPr>
          <w:rFonts w:hint="eastAsia" w:ascii="宋体" w:hAnsi="宋体"/>
          <w:b/>
          <w:bCs/>
          <w:sz w:val="18"/>
          <w:szCs w:val="18"/>
        </w:rPr>
        <w:object>
          <v:shape id="_x0000_i1122" o:spt="75" type="#_x0000_t75" style="height:227.5pt;width:284.55pt;" o:ole="t" filled="f" o:preferrelative="t" stroked="f" coordsize="21600,21600">
            <v:path/>
            <v:fill on="f" focussize="0,0"/>
            <v:stroke on="f" joinstyle="miter"/>
            <v:imagedata r:id="rId214" cropleft="19580f" croptop="5990f" cropright="20641f" cropbottom="5848f" o:title=""/>
            <o:lock v:ext="edit" aspectratio="f"/>
            <w10:wrap type="none"/>
            <w10:anchorlock/>
          </v:shape>
          <o:OLEObject Type="Embed" ProgID="AutoCAD.Drawing.19" ShapeID="_x0000_i1122" DrawAspect="Content" ObjectID="_1468075826" r:id="rId213">
            <o:LockedField>false</o:LockedField>
          </o:OLEObject>
        </w:object>
      </w:r>
    </w:p>
    <w:p w14:paraId="346D64B9">
      <w:pPr>
        <w:tabs>
          <w:tab w:val="left" w:pos="720"/>
          <w:tab w:val="left" w:pos="854"/>
          <w:tab w:val="left" w:pos="1620"/>
          <w:tab w:val="left" w:pos="2160"/>
          <w:tab w:val="left" w:pos="3060"/>
          <w:tab w:val="left" w:pos="7020"/>
        </w:tabs>
        <w:adjustRightInd w:val="0"/>
        <w:snapToGrid w:val="0"/>
        <w:spacing w:before="156" w:beforeLines="50" w:after="156" w:afterLines="50" w:line="288" w:lineRule="auto"/>
        <w:jc w:val="center"/>
        <w:rPr>
          <w:sz w:val="24"/>
          <w:szCs w:val="24"/>
        </w:rPr>
      </w:pPr>
      <w:r>
        <w:rPr>
          <w:b/>
          <w:bCs/>
          <w:sz w:val="18"/>
          <w:szCs w:val="18"/>
        </w:rPr>
        <w:t>图9.2.7-2  高度增大系数取值</w:t>
      </w:r>
    </w:p>
    <w:p w14:paraId="5E8A57B9">
      <w:pPr>
        <w:spacing w:line="360" w:lineRule="auto"/>
        <w:ind w:firstLine="480"/>
        <w:jc w:val="left"/>
        <w:rPr>
          <w:sz w:val="20"/>
          <w:szCs w:val="20"/>
        </w:rPr>
      </w:pPr>
      <w:r>
        <w:rPr>
          <w:sz w:val="20"/>
          <w:szCs w:val="20"/>
        </w:rPr>
        <w:t>有经验时，宜采用时程分析法进行整体滑动稳定性的补充计算，地震组合的整体滑动稳定安全系数宜取公式（9.2.7-1）与时程分析法的较小值。</w:t>
      </w:r>
    </w:p>
    <w:p w14:paraId="3E449C5B">
      <w:pPr>
        <w:spacing w:line="360" w:lineRule="auto"/>
        <w:ind w:firstLine="480"/>
        <w:jc w:val="left"/>
        <w:rPr>
          <w:sz w:val="20"/>
          <w:szCs w:val="20"/>
        </w:rPr>
      </w:pPr>
      <w:r>
        <w:rPr>
          <w:sz w:val="20"/>
          <w:szCs w:val="20"/>
        </w:rPr>
        <w:t>存在强烈、中等全新活动断裂的场地，竖向地震惯性力</w:t>
      </w:r>
      <w:r>
        <w:rPr>
          <w:i/>
          <w:iCs/>
          <w:sz w:val="20"/>
          <w:szCs w:val="20"/>
        </w:rPr>
        <w:t>F</w:t>
      </w:r>
      <w:r>
        <w:rPr>
          <w:i/>
          <w:iCs/>
          <w:sz w:val="20"/>
          <w:szCs w:val="20"/>
          <w:vertAlign w:val="subscript"/>
        </w:rPr>
        <w:t>E</w:t>
      </w:r>
      <w:r>
        <w:rPr>
          <w:sz w:val="20"/>
          <w:szCs w:val="20"/>
          <w:vertAlign w:val="subscript"/>
        </w:rPr>
        <w:t>v,j</w:t>
      </w:r>
      <w:r>
        <w:rPr>
          <w:sz w:val="20"/>
          <w:szCs w:val="20"/>
        </w:rPr>
        <w:t>应根据场地情况、地质条件等因素适当提高。</w:t>
      </w:r>
    </w:p>
    <w:p w14:paraId="338E9E42">
      <w:pPr>
        <w:spacing w:line="360" w:lineRule="auto"/>
        <w:ind w:firstLine="480"/>
        <w:jc w:val="left"/>
        <w:rPr>
          <w:sz w:val="20"/>
          <w:szCs w:val="20"/>
        </w:rPr>
      </w:pPr>
      <w:r>
        <w:rPr>
          <w:sz w:val="20"/>
          <w:szCs w:val="20"/>
        </w:rPr>
        <w:t>当挡土结构底端以下存在相对软弱的土层时，整体稳定性验算的滑动面中尚应包括由圆弧与软弱土层面组成的复合滑动面。</w:t>
      </w:r>
    </w:p>
    <w:p w14:paraId="2B8499A3">
      <w:pPr>
        <w:pStyle w:val="2"/>
        <w:spacing w:line="360" w:lineRule="auto"/>
        <w:ind w:left="0" w:leftChars="0" w:firstLine="0" w:firstLineChars="0"/>
      </w:pPr>
      <w:r>
        <w:rPr>
          <w:b/>
          <w:bCs/>
          <w:sz w:val="20"/>
          <w:szCs w:val="20"/>
        </w:rPr>
        <w:t>9.2.8</w:t>
      </w:r>
      <w:r>
        <w:rPr>
          <w:sz w:val="20"/>
          <w:szCs w:val="20"/>
        </w:rPr>
        <w:t xml:space="preserve">  按地震设计状况设计时，</w:t>
      </w:r>
      <w:r>
        <w:rPr>
          <w:rFonts w:hint="eastAsia"/>
          <w:sz w:val="20"/>
          <w:szCs w:val="20"/>
        </w:rPr>
        <w:t>悬臂式支挡结构、单层支点支挡结构、双排桩结构的嵌固深度尚应分别符合按本规程公式（</w:t>
      </w:r>
      <w:r>
        <w:rPr>
          <w:sz w:val="20"/>
          <w:szCs w:val="20"/>
        </w:rPr>
        <w:t>7</w:t>
      </w:r>
      <w:r>
        <w:rPr>
          <w:rFonts w:hint="eastAsia"/>
          <w:sz w:val="20"/>
          <w:szCs w:val="20"/>
        </w:rPr>
        <w:t>.</w:t>
      </w:r>
      <w:r>
        <w:rPr>
          <w:sz w:val="20"/>
          <w:szCs w:val="20"/>
        </w:rPr>
        <w:t>3</w:t>
      </w:r>
      <w:r>
        <w:rPr>
          <w:rFonts w:hint="eastAsia"/>
          <w:sz w:val="20"/>
          <w:szCs w:val="20"/>
        </w:rPr>
        <w:t>.</w:t>
      </w:r>
      <w:r>
        <w:rPr>
          <w:sz w:val="20"/>
          <w:szCs w:val="20"/>
        </w:rPr>
        <w:t>1</w:t>
      </w:r>
      <w:r>
        <w:rPr>
          <w:rFonts w:hint="eastAsia"/>
          <w:sz w:val="20"/>
          <w:szCs w:val="20"/>
        </w:rPr>
        <w:t>）、公式（</w:t>
      </w:r>
      <w:r>
        <w:rPr>
          <w:sz w:val="20"/>
          <w:szCs w:val="20"/>
        </w:rPr>
        <w:t>7</w:t>
      </w:r>
      <w:r>
        <w:rPr>
          <w:rFonts w:hint="eastAsia"/>
          <w:sz w:val="20"/>
          <w:szCs w:val="20"/>
        </w:rPr>
        <w:t>.</w:t>
      </w:r>
      <w:r>
        <w:rPr>
          <w:sz w:val="20"/>
          <w:szCs w:val="20"/>
        </w:rPr>
        <w:t>3</w:t>
      </w:r>
      <w:r>
        <w:rPr>
          <w:rFonts w:hint="eastAsia"/>
          <w:sz w:val="20"/>
          <w:szCs w:val="20"/>
        </w:rPr>
        <w:t>.</w:t>
      </w:r>
      <w:r>
        <w:rPr>
          <w:sz w:val="20"/>
          <w:szCs w:val="20"/>
        </w:rPr>
        <w:t>2</w:t>
      </w:r>
      <w:r>
        <w:rPr>
          <w:rFonts w:hint="eastAsia"/>
          <w:sz w:val="20"/>
          <w:szCs w:val="20"/>
        </w:rPr>
        <w:t>）和公式（</w:t>
      </w:r>
      <w:r>
        <w:rPr>
          <w:sz w:val="20"/>
          <w:szCs w:val="20"/>
        </w:rPr>
        <w:t>7</w:t>
      </w:r>
      <w:r>
        <w:rPr>
          <w:rFonts w:hint="eastAsia"/>
          <w:sz w:val="20"/>
          <w:szCs w:val="20"/>
        </w:rPr>
        <w:t>.</w:t>
      </w:r>
      <w:r>
        <w:rPr>
          <w:sz w:val="20"/>
          <w:szCs w:val="20"/>
        </w:rPr>
        <w:t>4</w:t>
      </w:r>
      <w:r>
        <w:rPr>
          <w:rFonts w:hint="eastAsia"/>
          <w:sz w:val="20"/>
          <w:szCs w:val="20"/>
        </w:rPr>
        <w:t>.</w:t>
      </w:r>
      <w:r>
        <w:rPr>
          <w:sz w:val="20"/>
          <w:szCs w:val="20"/>
        </w:rPr>
        <w:t>3</w:t>
      </w:r>
      <w:r>
        <w:rPr>
          <w:rFonts w:hint="eastAsia"/>
          <w:sz w:val="20"/>
          <w:szCs w:val="20"/>
        </w:rPr>
        <w:t>）计算的嵌固稳定性要求，但公式中的</w:t>
      </w:r>
      <w:r>
        <w:rPr>
          <w:rFonts w:ascii="宋体" w:hAnsi="宋体"/>
          <w:sz w:val="20"/>
          <w:szCs w:val="20"/>
        </w:rPr>
        <w:t>主动土压力标准值</w:t>
      </w:r>
      <w:r>
        <w:rPr>
          <w:i/>
          <w:sz w:val="20"/>
          <w:szCs w:val="20"/>
        </w:rPr>
        <w:t>E</w:t>
      </w:r>
      <w:r>
        <w:rPr>
          <w:sz w:val="20"/>
          <w:szCs w:val="20"/>
          <w:vertAlign w:val="subscript"/>
        </w:rPr>
        <w:t>ak</w:t>
      </w:r>
      <w:r>
        <w:rPr>
          <w:rFonts w:hAnsi="宋体"/>
          <w:sz w:val="20"/>
          <w:szCs w:val="20"/>
        </w:rPr>
        <w:t>、</w:t>
      </w:r>
      <w:r>
        <w:rPr>
          <w:rFonts w:ascii="宋体" w:hAnsi="宋体"/>
          <w:sz w:val="20"/>
          <w:szCs w:val="20"/>
        </w:rPr>
        <w:t>被动土压力标准值</w:t>
      </w:r>
      <w:r>
        <w:rPr>
          <w:i/>
          <w:sz w:val="20"/>
          <w:szCs w:val="20"/>
        </w:rPr>
        <w:t>E</w:t>
      </w:r>
      <w:r>
        <w:rPr>
          <w:sz w:val="20"/>
          <w:szCs w:val="20"/>
          <w:vertAlign w:val="subscript"/>
        </w:rPr>
        <w:t>pk</w:t>
      </w:r>
      <w:r>
        <w:rPr>
          <w:rFonts w:hint="eastAsia"/>
          <w:sz w:val="20"/>
          <w:szCs w:val="20"/>
          <w:vertAlign w:val="subscript"/>
        </w:rPr>
        <w:t xml:space="preserve"> </w:t>
      </w:r>
      <w:r>
        <w:rPr>
          <w:rFonts w:hint="eastAsia"/>
          <w:iCs/>
        </w:rPr>
        <w:t>相应的合力作用点应按</w:t>
      </w:r>
      <w:r>
        <w:rPr>
          <w:rFonts w:hint="eastAsia"/>
        </w:rPr>
        <w:t>公式</w:t>
      </w:r>
      <w:r>
        <w:rPr>
          <w:sz w:val="20"/>
          <w:szCs w:val="20"/>
        </w:rPr>
        <w:t>（9.2.1-1）</w:t>
      </w:r>
      <w:r>
        <w:rPr>
          <w:rFonts w:hint="eastAsia"/>
          <w:sz w:val="20"/>
          <w:szCs w:val="20"/>
        </w:rPr>
        <w:t>或</w:t>
      </w:r>
      <w:r>
        <w:rPr>
          <w:sz w:val="20"/>
          <w:szCs w:val="20"/>
        </w:rPr>
        <w:t>（9.2.1-3）</w:t>
      </w:r>
      <w:r>
        <w:rPr>
          <w:rFonts w:hint="eastAsia"/>
          <w:sz w:val="20"/>
          <w:szCs w:val="20"/>
        </w:rPr>
        <w:t>、</w:t>
      </w:r>
      <w:r>
        <w:rPr>
          <w:rFonts w:hint="eastAsia"/>
        </w:rPr>
        <w:t>公式</w:t>
      </w:r>
      <w:r>
        <w:rPr>
          <w:sz w:val="20"/>
          <w:szCs w:val="20"/>
        </w:rPr>
        <w:t>（9.2.1-5）</w:t>
      </w:r>
      <w:r>
        <w:rPr>
          <w:rFonts w:hint="eastAsia"/>
          <w:sz w:val="20"/>
          <w:szCs w:val="20"/>
        </w:rPr>
        <w:t>或</w:t>
      </w:r>
      <w:r>
        <w:rPr>
          <w:sz w:val="20"/>
          <w:szCs w:val="20"/>
        </w:rPr>
        <w:t>（9.2.1-7）</w:t>
      </w:r>
      <w:r>
        <w:rPr>
          <w:rFonts w:hint="eastAsia"/>
          <w:sz w:val="20"/>
          <w:szCs w:val="20"/>
        </w:rPr>
        <w:t>计算的</w:t>
      </w:r>
      <w:r>
        <w:rPr>
          <w:sz w:val="20"/>
          <w:szCs w:val="20"/>
        </w:rPr>
        <w:t>地震</w:t>
      </w:r>
      <w:r>
        <w:rPr>
          <w:rFonts w:hint="eastAsia"/>
          <w:sz w:val="20"/>
          <w:szCs w:val="20"/>
        </w:rPr>
        <w:t>主动土压力强度</w:t>
      </w:r>
      <w:r>
        <w:rPr>
          <w:sz w:val="20"/>
          <w:szCs w:val="20"/>
        </w:rPr>
        <w:t>标准值</w:t>
      </w:r>
      <w:r>
        <w:rPr>
          <w:rFonts w:hint="eastAsia"/>
          <w:sz w:val="20"/>
          <w:szCs w:val="20"/>
        </w:rPr>
        <w:t>、</w:t>
      </w:r>
      <w:r>
        <w:rPr>
          <w:sz w:val="20"/>
          <w:szCs w:val="20"/>
        </w:rPr>
        <w:t>地震</w:t>
      </w:r>
      <w:r>
        <w:rPr>
          <w:rFonts w:hint="eastAsia"/>
          <w:sz w:val="20"/>
          <w:szCs w:val="20"/>
        </w:rPr>
        <w:t>被动土压力强度</w:t>
      </w:r>
      <w:r>
        <w:rPr>
          <w:sz w:val="20"/>
          <w:szCs w:val="20"/>
        </w:rPr>
        <w:t>标准值</w:t>
      </w:r>
      <w:r>
        <w:rPr>
          <w:rFonts w:hint="eastAsia"/>
          <w:sz w:val="20"/>
          <w:szCs w:val="20"/>
        </w:rPr>
        <w:t>确定，相应的</w:t>
      </w:r>
      <w:r>
        <w:rPr>
          <w:rFonts w:hint="eastAsia" w:ascii="宋体" w:hAnsi="宋体"/>
          <w:sz w:val="20"/>
          <w:szCs w:val="20"/>
        </w:rPr>
        <w:t>嵌固稳定安全系数</w:t>
      </w:r>
      <w:r>
        <w:rPr>
          <w:i/>
          <w:sz w:val="20"/>
          <w:szCs w:val="20"/>
        </w:rPr>
        <w:t>K</w:t>
      </w:r>
      <w:r>
        <w:rPr>
          <w:sz w:val="20"/>
          <w:szCs w:val="20"/>
          <w:vertAlign w:val="subscript"/>
        </w:rPr>
        <w:t>e</w:t>
      </w:r>
      <w:r>
        <w:rPr>
          <w:rFonts w:hint="eastAsia"/>
          <w:sz w:val="20"/>
          <w:szCs w:val="20"/>
        </w:rPr>
        <w:t>可取</w:t>
      </w:r>
      <w:r>
        <w:rPr>
          <w:rFonts w:hint="eastAsia"/>
          <w:sz w:val="20"/>
          <w:szCs w:val="20"/>
          <w:u w:val="single"/>
        </w:rPr>
        <w:t>1.</w:t>
      </w:r>
      <w:r>
        <w:rPr>
          <w:sz w:val="20"/>
          <w:szCs w:val="20"/>
          <w:u w:val="single"/>
        </w:rPr>
        <w:t>15</w:t>
      </w:r>
      <w:r>
        <w:rPr>
          <w:rFonts w:hint="eastAsia"/>
          <w:sz w:val="20"/>
          <w:szCs w:val="20"/>
        </w:rPr>
        <w:t>。</w:t>
      </w:r>
    </w:p>
    <w:p w14:paraId="3F23652B">
      <w:pPr>
        <w:spacing w:line="360" w:lineRule="auto"/>
        <w:ind w:left="-2" w:leftChars="-1" w:firstLine="2"/>
        <w:jc w:val="left"/>
        <w:rPr>
          <w:sz w:val="20"/>
          <w:szCs w:val="20"/>
        </w:rPr>
      </w:pPr>
      <w:r>
        <w:rPr>
          <w:b/>
          <w:bCs/>
          <w:sz w:val="20"/>
          <w:szCs w:val="20"/>
        </w:rPr>
        <w:t>9.2.9</w:t>
      </w:r>
      <w:r>
        <w:rPr>
          <w:sz w:val="20"/>
          <w:szCs w:val="20"/>
        </w:rPr>
        <w:t xml:space="preserve">  </w:t>
      </w:r>
      <w:r>
        <w:rPr>
          <w:rFonts w:hint="eastAsia"/>
          <w:sz w:val="20"/>
          <w:szCs w:val="20"/>
        </w:rPr>
        <w:t>当基坑周边或基底下存在严重、中等液化土层时，公式（</w:t>
      </w:r>
      <w:r>
        <w:rPr>
          <w:sz w:val="20"/>
          <w:szCs w:val="20"/>
        </w:rPr>
        <w:t>9.2.</w:t>
      </w:r>
      <w:r>
        <w:rPr>
          <w:rFonts w:hint="eastAsia"/>
          <w:sz w:val="20"/>
          <w:szCs w:val="20"/>
        </w:rPr>
        <w:t>1-1）~</w:t>
      </w:r>
      <w:r>
        <w:rPr>
          <w:sz w:val="20"/>
          <w:szCs w:val="20"/>
        </w:rPr>
        <w:t xml:space="preserve"> </w:t>
      </w:r>
      <w:r>
        <w:rPr>
          <w:rFonts w:hint="eastAsia"/>
          <w:sz w:val="20"/>
          <w:szCs w:val="20"/>
        </w:rPr>
        <w:t>公式（</w:t>
      </w:r>
      <w:r>
        <w:rPr>
          <w:sz w:val="20"/>
          <w:szCs w:val="20"/>
        </w:rPr>
        <w:t>9.2.</w:t>
      </w:r>
      <w:r>
        <w:rPr>
          <w:rFonts w:hint="eastAsia"/>
          <w:sz w:val="20"/>
          <w:szCs w:val="20"/>
        </w:rPr>
        <w:t>1-</w:t>
      </w:r>
      <w:r>
        <w:rPr>
          <w:sz w:val="20"/>
          <w:szCs w:val="20"/>
        </w:rPr>
        <w:t>8</w:t>
      </w:r>
      <w:r>
        <w:rPr>
          <w:rFonts w:hint="eastAsia"/>
          <w:sz w:val="20"/>
          <w:szCs w:val="20"/>
        </w:rPr>
        <w:t>）和公式（</w:t>
      </w:r>
      <w:r>
        <w:rPr>
          <w:sz w:val="20"/>
          <w:szCs w:val="20"/>
        </w:rPr>
        <w:t>9.2.</w:t>
      </w:r>
      <w:r>
        <w:rPr>
          <w:rFonts w:hint="eastAsia"/>
          <w:sz w:val="20"/>
          <w:szCs w:val="20"/>
        </w:rPr>
        <w:t>7-2）中相应土层的抗剪强度指标应根据场地情况、液化土层分布和液化程度等因素调整。</w:t>
      </w:r>
    </w:p>
    <w:p w14:paraId="1C9DADD8">
      <w:pPr>
        <w:pStyle w:val="7"/>
        <w:keepNext w:val="0"/>
        <w:keepLines w:val="0"/>
        <w:adjustRightInd w:val="0"/>
        <w:snapToGrid w:val="0"/>
        <w:spacing w:before="312" w:beforeLines="100" w:after="312" w:afterLines="100" w:line="288" w:lineRule="auto"/>
        <w:jc w:val="center"/>
        <w:rPr>
          <w:rFonts w:eastAsia="黑体"/>
          <w:b w:val="0"/>
          <w:bCs w:val="0"/>
          <w:sz w:val="20"/>
          <w:szCs w:val="20"/>
        </w:rPr>
      </w:pPr>
      <w:bookmarkStart w:id="105" w:name="_Toc139613742"/>
      <w:bookmarkStart w:id="106" w:name="_Toc468104725"/>
      <w:r>
        <w:rPr>
          <w:rFonts w:eastAsia="黑体"/>
          <w:sz w:val="20"/>
          <w:szCs w:val="20"/>
        </w:rPr>
        <w:t>9</w:t>
      </w:r>
      <w:r>
        <w:rPr>
          <w:rFonts w:hint="eastAsia" w:eastAsia="黑体"/>
          <w:sz w:val="20"/>
          <w:szCs w:val="20"/>
        </w:rPr>
        <w:t>.</w:t>
      </w:r>
      <w:r>
        <w:rPr>
          <w:rFonts w:eastAsia="黑体"/>
          <w:sz w:val="20"/>
          <w:szCs w:val="20"/>
        </w:rPr>
        <w:t>3</w:t>
      </w:r>
      <w:r>
        <w:rPr>
          <w:rFonts w:eastAsia="黑体"/>
          <w:b w:val="0"/>
          <w:bCs w:val="0"/>
          <w:sz w:val="20"/>
          <w:szCs w:val="20"/>
        </w:rPr>
        <w:t xml:space="preserve">  </w:t>
      </w:r>
      <w:r>
        <w:rPr>
          <w:rFonts w:hint="eastAsia" w:eastAsia="黑体"/>
          <w:b w:val="0"/>
          <w:bCs w:val="0"/>
          <w:sz w:val="20"/>
          <w:szCs w:val="20"/>
        </w:rPr>
        <w:t>抗震构造措施</w:t>
      </w:r>
      <w:bookmarkEnd w:id="105"/>
    </w:p>
    <w:p w14:paraId="2A74C337">
      <w:pPr>
        <w:spacing w:line="360" w:lineRule="auto"/>
        <w:rPr>
          <w:sz w:val="20"/>
          <w:szCs w:val="20"/>
        </w:rPr>
      </w:pPr>
      <w:r>
        <w:rPr>
          <w:b/>
          <w:bCs/>
          <w:kern w:val="0"/>
          <w:sz w:val="20"/>
          <w:szCs w:val="20"/>
        </w:rPr>
        <w:t xml:space="preserve">9.3.1 </w:t>
      </w:r>
      <w:r>
        <w:rPr>
          <w:sz w:val="20"/>
          <w:szCs w:val="20"/>
        </w:rPr>
        <w:t xml:space="preserve"> 钢筋混凝土冠梁及腰梁应符合下列规定：</w:t>
      </w:r>
    </w:p>
    <w:p w14:paraId="6971D8F4">
      <w:pPr>
        <w:spacing w:line="360" w:lineRule="auto"/>
        <w:ind w:firstLine="355" w:firstLineChars="177"/>
        <w:rPr>
          <w:sz w:val="20"/>
          <w:szCs w:val="20"/>
        </w:rPr>
      </w:pPr>
      <w:r>
        <w:rPr>
          <w:b/>
          <w:bCs/>
          <w:sz w:val="20"/>
          <w:szCs w:val="20"/>
        </w:rPr>
        <w:t xml:space="preserve">1  </w:t>
      </w:r>
      <w:r>
        <w:rPr>
          <w:sz w:val="20"/>
          <w:szCs w:val="20"/>
        </w:rPr>
        <w:t>混凝土强度等级不应低于C30；</w:t>
      </w:r>
    </w:p>
    <w:p w14:paraId="1DF96008">
      <w:pPr>
        <w:spacing w:line="360" w:lineRule="auto"/>
        <w:ind w:firstLine="355" w:firstLineChars="177"/>
        <w:rPr>
          <w:sz w:val="20"/>
          <w:szCs w:val="20"/>
        </w:rPr>
      </w:pPr>
      <w:r>
        <w:rPr>
          <w:b/>
          <w:bCs/>
          <w:sz w:val="20"/>
          <w:szCs w:val="20"/>
        </w:rPr>
        <w:t>2</w:t>
      </w:r>
      <w:r>
        <w:rPr>
          <w:sz w:val="20"/>
          <w:szCs w:val="20"/>
        </w:rPr>
        <w:t xml:space="preserve">  腰梁钢筋应锚入挡土结构，锚固直径及数量根据计算确定，锚固长度不小于35d。</w:t>
      </w:r>
    </w:p>
    <w:p w14:paraId="0265B8A7">
      <w:pPr>
        <w:spacing w:line="360" w:lineRule="auto"/>
        <w:rPr>
          <w:sz w:val="20"/>
          <w:szCs w:val="20"/>
        </w:rPr>
      </w:pPr>
      <w:r>
        <w:rPr>
          <w:b/>
          <w:bCs/>
          <w:kern w:val="0"/>
          <w:sz w:val="20"/>
          <w:szCs w:val="20"/>
        </w:rPr>
        <w:t xml:space="preserve">9.3.2 </w:t>
      </w:r>
      <w:r>
        <w:rPr>
          <w:sz w:val="20"/>
          <w:szCs w:val="20"/>
        </w:rPr>
        <w:t xml:space="preserve"> 钢筋混凝土挡土构件应符合下列规定：</w:t>
      </w:r>
    </w:p>
    <w:p w14:paraId="7959AB4E">
      <w:pPr>
        <w:spacing w:line="360" w:lineRule="auto"/>
        <w:ind w:firstLine="355" w:firstLineChars="177"/>
        <w:rPr>
          <w:sz w:val="20"/>
          <w:szCs w:val="20"/>
        </w:rPr>
      </w:pPr>
      <w:r>
        <w:rPr>
          <w:b/>
          <w:bCs/>
          <w:sz w:val="20"/>
          <w:szCs w:val="20"/>
        </w:rPr>
        <w:t xml:space="preserve">1 </w:t>
      </w:r>
      <w:r>
        <w:rPr>
          <w:sz w:val="20"/>
          <w:szCs w:val="20"/>
        </w:rPr>
        <w:t xml:space="preserve"> 混凝土的强度等级不应低于C30；</w:t>
      </w:r>
    </w:p>
    <w:p w14:paraId="428D2A65">
      <w:pPr>
        <w:spacing w:line="360" w:lineRule="auto"/>
        <w:ind w:firstLine="355" w:firstLineChars="177"/>
        <w:rPr>
          <w:sz w:val="20"/>
          <w:szCs w:val="20"/>
        </w:rPr>
      </w:pPr>
      <w:r>
        <w:rPr>
          <w:b/>
          <w:bCs/>
          <w:sz w:val="20"/>
          <w:szCs w:val="20"/>
        </w:rPr>
        <w:t xml:space="preserve">2 </w:t>
      </w:r>
      <w:r>
        <w:rPr>
          <w:sz w:val="20"/>
          <w:szCs w:val="20"/>
        </w:rPr>
        <w:t xml:space="preserve"> 受力主筋宜沿构件通长配置；</w:t>
      </w:r>
    </w:p>
    <w:p w14:paraId="723E06FD">
      <w:pPr>
        <w:spacing w:line="360" w:lineRule="auto"/>
        <w:ind w:firstLine="355" w:firstLineChars="177"/>
        <w:rPr>
          <w:sz w:val="20"/>
          <w:szCs w:val="20"/>
        </w:rPr>
      </w:pPr>
      <w:r>
        <w:rPr>
          <w:b/>
          <w:bCs/>
          <w:sz w:val="20"/>
          <w:szCs w:val="20"/>
        </w:rPr>
        <w:t>3</w:t>
      </w:r>
      <w:r>
        <w:rPr>
          <w:sz w:val="20"/>
          <w:szCs w:val="20"/>
        </w:rPr>
        <w:t xml:space="preserve">  挡土构件的嵌固深度应满足抗震计算要求；</w:t>
      </w:r>
    </w:p>
    <w:p w14:paraId="7049CFD1">
      <w:pPr>
        <w:spacing w:line="360" w:lineRule="auto"/>
        <w:ind w:firstLine="355" w:firstLineChars="177"/>
        <w:rPr>
          <w:sz w:val="20"/>
          <w:szCs w:val="20"/>
        </w:rPr>
      </w:pPr>
      <w:r>
        <w:rPr>
          <w:b/>
          <w:bCs/>
          <w:sz w:val="20"/>
          <w:szCs w:val="20"/>
        </w:rPr>
        <w:t>4</w:t>
      </w:r>
      <w:r>
        <w:rPr>
          <w:sz w:val="20"/>
          <w:szCs w:val="20"/>
        </w:rPr>
        <w:t xml:space="preserve">  内支撑或锚索等水平支护构件作用处，箍筋加密区长度、箍筋的最大间距和箍筋最小直径应符合现行国家标准《混凝土结构设计规范》GB 50010中梁的有关规定。</w:t>
      </w:r>
    </w:p>
    <w:p w14:paraId="0BCBF272">
      <w:pPr>
        <w:spacing w:line="360" w:lineRule="auto"/>
        <w:rPr>
          <w:sz w:val="20"/>
          <w:szCs w:val="20"/>
        </w:rPr>
      </w:pPr>
      <w:r>
        <w:rPr>
          <w:b/>
          <w:bCs/>
          <w:kern w:val="0"/>
          <w:sz w:val="20"/>
          <w:szCs w:val="20"/>
        </w:rPr>
        <w:t xml:space="preserve">9.3.3 </w:t>
      </w:r>
      <w:r>
        <w:rPr>
          <w:sz w:val="20"/>
          <w:szCs w:val="20"/>
        </w:rPr>
        <w:t xml:space="preserve"> 考虑地震作用的预埋件，应满足下列规定：</w:t>
      </w:r>
    </w:p>
    <w:p w14:paraId="20443022">
      <w:pPr>
        <w:pStyle w:val="67"/>
        <w:spacing w:line="360" w:lineRule="auto"/>
        <w:ind w:firstLine="402"/>
        <w:rPr>
          <w:sz w:val="20"/>
          <w:szCs w:val="16"/>
        </w:rPr>
      </w:pPr>
      <w:r>
        <w:rPr>
          <w:b/>
          <w:bCs/>
          <w:sz w:val="20"/>
          <w:szCs w:val="20"/>
        </w:rPr>
        <w:t xml:space="preserve">1 </w:t>
      </w:r>
      <w:r>
        <w:rPr>
          <w:sz w:val="20"/>
          <w:szCs w:val="16"/>
        </w:rPr>
        <w:t xml:space="preserve"> 直锚钢筋截面面积可按《</w:t>
      </w:r>
      <w:bookmarkStart w:id="107" w:name="_Hlk126480367"/>
      <w:r>
        <w:rPr>
          <w:sz w:val="20"/>
          <w:szCs w:val="16"/>
        </w:rPr>
        <w:t>混凝土结构设计规范</w:t>
      </w:r>
      <w:bookmarkEnd w:id="107"/>
      <w:r>
        <w:rPr>
          <w:sz w:val="20"/>
          <w:szCs w:val="16"/>
        </w:rPr>
        <w:t>》GB 50010中的有关规定计算并增加25%；且应适当增加锚板厚度；</w:t>
      </w:r>
    </w:p>
    <w:p w14:paraId="25AE3B99">
      <w:pPr>
        <w:pStyle w:val="67"/>
        <w:spacing w:line="360" w:lineRule="auto"/>
        <w:ind w:firstLine="402"/>
        <w:rPr>
          <w:sz w:val="20"/>
          <w:szCs w:val="16"/>
        </w:rPr>
      </w:pPr>
      <w:r>
        <w:rPr>
          <w:b/>
          <w:bCs/>
          <w:sz w:val="20"/>
          <w:szCs w:val="20"/>
        </w:rPr>
        <w:t>2</w:t>
      </w:r>
      <w:r>
        <w:rPr>
          <w:sz w:val="20"/>
          <w:szCs w:val="16"/>
        </w:rPr>
        <w:t xml:space="preserve">  钢筋的锚固长度应符合《混凝土结构设计规范》GB 50010中的有关规定并增加10%；当不能满足时，应采取有效措施。在靠近锚板处，宜设置一根直径不小于10mm的封闭箍筋；</w:t>
      </w:r>
    </w:p>
    <w:p w14:paraId="3E327A5C">
      <w:pPr>
        <w:pStyle w:val="67"/>
        <w:spacing w:line="360" w:lineRule="auto"/>
        <w:ind w:firstLine="402"/>
        <w:rPr>
          <w:sz w:val="20"/>
          <w:szCs w:val="16"/>
        </w:rPr>
      </w:pPr>
      <w:r>
        <w:rPr>
          <w:b/>
          <w:bCs/>
          <w:sz w:val="20"/>
          <w:szCs w:val="20"/>
        </w:rPr>
        <w:t xml:space="preserve">3  </w:t>
      </w:r>
      <w:r>
        <w:rPr>
          <w:sz w:val="20"/>
          <w:szCs w:val="16"/>
        </w:rPr>
        <w:t>预埋件不宜设置在塑性铰区；当不能避免时应采取有效措施。</w:t>
      </w:r>
    </w:p>
    <w:p w14:paraId="0437EBFA">
      <w:pPr>
        <w:spacing w:line="360" w:lineRule="auto"/>
        <w:ind w:left="-2" w:leftChars="-1" w:firstLine="2"/>
        <w:jc w:val="left"/>
        <w:rPr>
          <w:b/>
          <w:bCs/>
          <w:kern w:val="0"/>
          <w:sz w:val="20"/>
          <w:szCs w:val="20"/>
        </w:rPr>
      </w:pPr>
      <w:r>
        <w:rPr>
          <w:b/>
          <w:bCs/>
          <w:kern w:val="0"/>
          <w:sz w:val="20"/>
          <w:szCs w:val="20"/>
        </w:rPr>
        <w:t xml:space="preserve">9.3.4  </w:t>
      </w:r>
      <w:r>
        <w:rPr>
          <w:bCs/>
          <w:sz w:val="20"/>
          <w:szCs w:val="20"/>
        </w:rPr>
        <w:t>基坑支护采用内支撑式结构时，内</w:t>
      </w:r>
      <w:r>
        <w:rPr>
          <w:sz w:val="20"/>
          <w:szCs w:val="20"/>
        </w:rPr>
        <w:t>支撑结构的抗震构造措施应符合现行地方标准《基坑工程内支撑技术规程》DB 11/940的规定。</w:t>
      </w:r>
    </w:p>
    <w:p w14:paraId="420451B4">
      <w:pPr>
        <w:pStyle w:val="2"/>
      </w:pPr>
    </w:p>
    <w:p w14:paraId="40EE31AF">
      <w:pPr>
        <w:pStyle w:val="2"/>
      </w:pPr>
    </w:p>
    <w:p w14:paraId="378826F3">
      <w:pPr>
        <w:pStyle w:val="2"/>
      </w:pPr>
    </w:p>
    <w:p w14:paraId="0590DE3E">
      <w:pPr>
        <w:pStyle w:val="2"/>
      </w:pPr>
    </w:p>
    <w:p w14:paraId="626C1486">
      <w:pPr>
        <w:pStyle w:val="2"/>
      </w:pPr>
    </w:p>
    <w:p w14:paraId="23B81A62">
      <w:pPr>
        <w:pStyle w:val="2"/>
      </w:pPr>
    </w:p>
    <w:p w14:paraId="62648AF7">
      <w:pPr>
        <w:pStyle w:val="2"/>
      </w:pPr>
    </w:p>
    <w:p w14:paraId="628137B0">
      <w:pPr>
        <w:pStyle w:val="2"/>
      </w:pPr>
    </w:p>
    <w:p w14:paraId="6B6E167C">
      <w:pPr>
        <w:pStyle w:val="2"/>
      </w:pPr>
    </w:p>
    <w:p w14:paraId="6A3EE0FE">
      <w:pPr>
        <w:pStyle w:val="2"/>
      </w:pPr>
    </w:p>
    <w:p w14:paraId="5EB8C1E8">
      <w:pPr>
        <w:pStyle w:val="2"/>
      </w:pPr>
    </w:p>
    <w:p w14:paraId="6B3A135A">
      <w:pPr>
        <w:pStyle w:val="2"/>
      </w:pPr>
    </w:p>
    <w:p w14:paraId="07B09E60">
      <w:pPr>
        <w:widowControl/>
        <w:jc w:val="left"/>
        <w:rPr>
          <w:szCs w:val="24"/>
        </w:rPr>
      </w:pPr>
      <w:r>
        <w:br w:type="page"/>
      </w:r>
    </w:p>
    <w:bookmarkEnd w:id="106"/>
    <w:p w14:paraId="678BDBF1">
      <w:pPr>
        <w:pStyle w:val="5"/>
        <w:keepNext w:val="0"/>
        <w:keepLines w:val="0"/>
        <w:adjustRightInd w:val="0"/>
        <w:snapToGrid w:val="0"/>
        <w:spacing w:before="156" w:beforeLines="50" w:after="312" w:afterLines="100" w:line="288" w:lineRule="auto"/>
        <w:jc w:val="center"/>
        <w:rPr>
          <w:rFonts w:ascii="宋体" w:hAnsi="宋体"/>
          <w:b w:val="0"/>
          <w:sz w:val="20"/>
          <w:szCs w:val="20"/>
        </w:rPr>
      </w:pPr>
      <w:bookmarkStart w:id="108" w:name="_Toc139613743"/>
      <w:bookmarkStart w:id="109" w:name="_Toc409425832"/>
      <w:bookmarkStart w:id="110" w:name="_Toc468104738"/>
      <w:r>
        <w:rPr>
          <w:rFonts w:ascii="Times New Roman" w:hAnsi="Times New Roman"/>
          <w:sz w:val="26"/>
          <w:szCs w:val="26"/>
        </w:rPr>
        <w:t>10</w:t>
      </w:r>
      <w:r>
        <w:rPr>
          <w:rFonts w:hint="eastAsia" w:ascii="黑体" w:hAnsi="黑体"/>
          <w:b w:val="0"/>
          <w:sz w:val="26"/>
          <w:szCs w:val="26"/>
        </w:rPr>
        <w:t xml:space="preserve">  基坑开挖与回填</w:t>
      </w:r>
      <w:bookmarkEnd w:id="108"/>
      <w:r>
        <w:rPr>
          <w:rFonts w:ascii="黑体" w:hAnsi="黑体"/>
          <w:b w:val="0"/>
          <w:sz w:val="26"/>
          <w:szCs w:val="26"/>
        </w:rPr>
        <w:t xml:space="preserve"> </w:t>
      </w:r>
    </w:p>
    <w:p w14:paraId="18869092">
      <w:pPr>
        <w:pStyle w:val="7"/>
        <w:keepNext w:val="0"/>
        <w:keepLines w:val="0"/>
        <w:adjustRightInd w:val="0"/>
        <w:snapToGrid w:val="0"/>
        <w:spacing w:before="312" w:beforeLines="100" w:after="312" w:afterLines="100" w:line="288" w:lineRule="auto"/>
        <w:jc w:val="center"/>
        <w:rPr>
          <w:rFonts w:ascii="黑体" w:hAnsi="黑体" w:eastAsia="黑体"/>
          <w:b w:val="0"/>
          <w:bCs w:val="0"/>
          <w:sz w:val="20"/>
          <w:szCs w:val="20"/>
        </w:rPr>
      </w:pPr>
      <w:bookmarkStart w:id="111" w:name="_Toc139613744"/>
      <w:r>
        <w:rPr>
          <w:rFonts w:eastAsia="黑体"/>
          <w:sz w:val="20"/>
          <w:szCs w:val="20"/>
        </w:rPr>
        <w:t>10.1</w:t>
      </w:r>
      <w:r>
        <w:rPr>
          <w:rFonts w:ascii="黑体" w:hAnsi="黑体" w:eastAsia="黑体"/>
          <w:b w:val="0"/>
          <w:sz w:val="20"/>
          <w:szCs w:val="20"/>
        </w:rPr>
        <w:t xml:space="preserve">  </w:t>
      </w:r>
      <w:r>
        <w:rPr>
          <w:rFonts w:hint="eastAsia" w:ascii="黑体" w:hAnsi="黑体" w:eastAsia="黑体"/>
          <w:b w:val="0"/>
          <w:sz w:val="20"/>
          <w:szCs w:val="20"/>
        </w:rPr>
        <w:t>一般规定</w:t>
      </w:r>
      <w:bookmarkEnd w:id="111"/>
    </w:p>
    <w:p w14:paraId="7990D34D">
      <w:pPr>
        <w:adjustRightInd w:val="0"/>
        <w:snapToGrid w:val="0"/>
        <w:spacing w:line="288" w:lineRule="auto"/>
        <w:rPr>
          <w:rFonts w:ascii="宋体" w:hAnsi="宋体"/>
          <w:sz w:val="20"/>
          <w:szCs w:val="20"/>
        </w:rPr>
      </w:pPr>
      <w:r>
        <w:rPr>
          <w:rFonts w:eastAsia="黑体"/>
          <w:b/>
          <w:bCs/>
          <w:kern w:val="0"/>
          <w:sz w:val="20"/>
          <w:szCs w:val="20"/>
        </w:rPr>
        <w:t>10.1.1</w:t>
      </w:r>
      <w:r>
        <w:rPr>
          <w:rFonts w:hint="eastAsia" w:ascii="宋体" w:hAnsi="宋体"/>
          <w:bCs/>
          <w:sz w:val="20"/>
          <w:szCs w:val="20"/>
        </w:rPr>
        <w:t xml:space="preserve">  </w:t>
      </w:r>
      <w:r>
        <w:rPr>
          <w:rFonts w:hint="eastAsia" w:ascii="宋体" w:hAnsi="宋体"/>
          <w:sz w:val="20"/>
          <w:szCs w:val="20"/>
        </w:rPr>
        <w:t>应根据基坑支护结构设计要求、地下水控制方法及周边环境条件，确定基坑开挖方案。</w:t>
      </w:r>
    </w:p>
    <w:p w14:paraId="7F5FE938">
      <w:pPr>
        <w:adjustRightInd w:val="0"/>
        <w:snapToGrid w:val="0"/>
        <w:spacing w:line="288" w:lineRule="auto"/>
        <w:rPr>
          <w:sz w:val="20"/>
          <w:szCs w:val="20"/>
        </w:rPr>
      </w:pPr>
      <w:r>
        <w:rPr>
          <w:b/>
          <w:bCs/>
          <w:sz w:val="20"/>
          <w:szCs w:val="20"/>
        </w:rPr>
        <w:t xml:space="preserve">10.1.2  </w:t>
      </w:r>
      <w:r>
        <w:rPr>
          <w:sz w:val="20"/>
          <w:szCs w:val="20"/>
        </w:rPr>
        <w:t>基坑土方开挖应严格按设计要求进行，不得超挖。</w:t>
      </w:r>
      <w:r>
        <w:rPr>
          <w:rFonts w:hint="eastAsia"/>
          <w:sz w:val="20"/>
          <w:szCs w:val="20"/>
        </w:rPr>
        <w:t>基坑周边堆载不得超过设计规定。土方开挖完成后应减少暴露坑底时间和防止浸泡，并应按基坑施工组织设计方案进行垫层与地下结构施工</w:t>
      </w:r>
      <w:r>
        <w:rPr>
          <w:sz w:val="20"/>
          <w:szCs w:val="20"/>
        </w:rPr>
        <w:t>。</w:t>
      </w:r>
    </w:p>
    <w:p w14:paraId="12BBDAA7">
      <w:pPr>
        <w:pStyle w:val="7"/>
        <w:keepNext w:val="0"/>
        <w:keepLines w:val="0"/>
        <w:adjustRightInd w:val="0"/>
        <w:snapToGrid w:val="0"/>
        <w:spacing w:before="312" w:beforeLines="100" w:after="312" w:afterLines="100" w:line="288" w:lineRule="auto"/>
        <w:jc w:val="center"/>
        <w:rPr>
          <w:rFonts w:ascii="宋体" w:hAnsi="宋体"/>
          <w:b w:val="0"/>
          <w:bCs w:val="0"/>
          <w:sz w:val="20"/>
          <w:szCs w:val="20"/>
        </w:rPr>
      </w:pPr>
      <w:bookmarkStart w:id="112" w:name="_Toc139613745"/>
      <w:bookmarkStart w:id="113" w:name="_Toc468104727"/>
      <w:r>
        <w:rPr>
          <w:rFonts w:eastAsia="黑体"/>
          <w:sz w:val="20"/>
          <w:szCs w:val="20"/>
        </w:rPr>
        <w:t>10</w:t>
      </w:r>
      <w:r>
        <w:rPr>
          <w:rFonts w:hint="eastAsia" w:eastAsia="黑体"/>
          <w:sz w:val="20"/>
          <w:szCs w:val="20"/>
        </w:rPr>
        <w:t>.2</w:t>
      </w:r>
      <w:r>
        <w:rPr>
          <w:rFonts w:eastAsia="黑体"/>
          <w:sz w:val="20"/>
          <w:szCs w:val="20"/>
        </w:rPr>
        <w:t xml:space="preserve">  </w:t>
      </w:r>
      <w:r>
        <w:rPr>
          <w:rFonts w:hint="eastAsia" w:ascii="黑体" w:hAnsi="黑体" w:eastAsia="黑体"/>
          <w:b w:val="0"/>
          <w:sz w:val="20"/>
          <w:szCs w:val="20"/>
        </w:rPr>
        <w:t>开    挖</w:t>
      </w:r>
      <w:bookmarkEnd w:id="112"/>
      <w:bookmarkEnd w:id="113"/>
    </w:p>
    <w:p w14:paraId="38BDB5E8">
      <w:pPr>
        <w:adjustRightInd w:val="0"/>
        <w:snapToGrid w:val="0"/>
        <w:spacing w:line="288" w:lineRule="auto"/>
        <w:rPr>
          <w:rFonts w:ascii="宋体" w:hAnsi="宋体"/>
          <w:sz w:val="20"/>
          <w:szCs w:val="20"/>
        </w:rPr>
      </w:pPr>
      <w:r>
        <w:rPr>
          <w:rFonts w:eastAsia="黑体"/>
          <w:b/>
          <w:bCs/>
          <w:kern w:val="0"/>
          <w:sz w:val="20"/>
          <w:szCs w:val="20"/>
        </w:rPr>
        <w:t>10.2.1</w:t>
      </w:r>
      <w:r>
        <w:rPr>
          <w:rFonts w:hint="eastAsia" w:ascii="宋体" w:hAnsi="宋体"/>
          <w:bCs/>
          <w:sz w:val="20"/>
          <w:szCs w:val="20"/>
        </w:rPr>
        <w:t xml:space="preserve">  </w:t>
      </w:r>
      <w:r>
        <w:rPr>
          <w:rFonts w:hint="eastAsia" w:ascii="宋体" w:hAnsi="宋体"/>
          <w:sz w:val="20"/>
          <w:szCs w:val="20"/>
        </w:rPr>
        <w:t>基坑开挖前，应根据工程的结构型式、基础设计深度、地质条件、气候条件、周围环境、设计工况、施工方法、施工工期和地面附加荷载等有关资料，进行基坑开挖方案设计。</w:t>
      </w:r>
    </w:p>
    <w:p w14:paraId="062F27AD">
      <w:pPr>
        <w:adjustRightInd w:val="0"/>
        <w:snapToGrid w:val="0"/>
        <w:spacing w:line="288" w:lineRule="auto"/>
        <w:rPr>
          <w:rFonts w:ascii="宋体" w:hAnsi="宋体"/>
          <w:sz w:val="20"/>
          <w:szCs w:val="20"/>
        </w:rPr>
      </w:pPr>
      <w:r>
        <w:rPr>
          <w:rFonts w:eastAsia="黑体"/>
          <w:b/>
          <w:bCs/>
          <w:kern w:val="0"/>
          <w:sz w:val="20"/>
          <w:szCs w:val="20"/>
        </w:rPr>
        <w:t>10.2.2</w:t>
      </w:r>
      <w:r>
        <w:rPr>
          <w:rFonts w:hint="eastAsia" w:ascii="宋体" w:hAnsi="宋体"/>
          <w:bCs/>
          <w:sz w:val="20"/>
          <w:szCs w:val="20"/>
        </w:rPr>
        <w:t xml:space="preserve">  </w:t>
      </w:r>
      <w:r>
        <w:rPr>
          <w:rFonts w:hint="eastAsia" w:ascii="宋体" w:hAnsi="宋体"/>
          <w:sz w:val="20"/>
          <w:szCs w:val="20"/>
        </w:rPr>
        <w:t>基坑开挖方案内容应包括：基坑工程概况及编制依据、开挖方法、土方开挖平面布置、机械选择、开挖工期、土方开挖顺序和流程、坡道位置设定、运输车辆行走路线、开挖监测方案、绿色文明施工方案，以及对支护结构及周边环境需采取的保护措施、应急处置措施、相关计算书及施工图纸等。</w:t>
      </w:r>
    </w:p>
    <w:p w14:paraId="43975A0C">
      <w:pPr>
        <w:adjustRightInd w:val="0"/>
        <w:snapToGrid w:val="0"/>
        <w:spacing w:line="288" w:lineRule="auto"/>
        <w:rPr>
          <w:rFonts w:ascii="宋体" w:hAnsi="宋体"/>
          <w:sz w:val="20"/>
          <w:szCs w:val="20"/>
        </w:rPr>
      </w:pPr>
      <w:r>
        <w:rPr>
          <w:rFonts w:eastAsia="黑体"/>
          <w:b/>
          <w:bCs/>
          <w:kern w:val="0"/>
          <w:sz w:val="20"/>
          <w:szCs w:val="20"/>
        </w:rPr>
        <w:t>10.2.3</w:t>
      </w:r>
      <w:r>
        <w:rPr>
          <w:rFonts w:hint="eastAsia" w:ascii="宋体" w:hAnsi="宋体"/>
          <w:bCs/>
          <w:sz w:val="20"/>
          <w:szCs w:val="20"/>
        </w:rPr>
        <w:t xml:space="preserve">  </w:t>
      </w:r>
      <w:r>
        <w:rPr>
          <w:rFonts w:hint="eastAsia" w:ascii="宋体" w:hAnsi="宋体"/>
          <w:sz w:val="20"/>
          <w:szCs w:val="20"/>
        </w:rPr>
        <w:t>基坑开挖前应保证相应部位的支护结构施工完毕，且强度达到设计要求，同时应完成排水系统的设置。</w:t>
      </w:r>
    </w:p>
    <w:p w14:paraId="5A4EFEC2">
      <w:pPr>
        <w:adjustRightInd w:val="0"/>
        <w:snapToGrid w:val="0"/>
        <w:spacing w:line="288" w:lineRule="auto"/>
        <w:rPr>
          <w:rFonts w:ascii="宋体" w:hAnsi="宋体"/>
          <w:sz w:val="20"/>
          <w:szCs w:val="20"/>
        </w:rPr>
      </w:pPr>
      <w:r>
        <w:rPr>
          <w:rFonts w:eastAsia="黑体"/>
          <w:b/>
          <w:bCs/>
          <w:kern w:val="0"/>
          <w:sz w:val="20"/>
          <w:szCs w:val="20"/>
        </w:rPr>
        <w:t>10.2.4</w:t>
      </w:r>
      <w:r>
        <w:rPr>
          <w:rFonts w:hint="eastAsia" w:ascii="宋体" w:hAnsi="宋体"/>
          <w:bCs/>
          <w:sz w:val="20"/>
          <w:szCs w:val="20"/>
        </w:rPr>
        <w:t xml:space="preserve">  </w:t>
      </w:r>
      <w:r>
        <w:rPr>
          <w:rFonts w:hint="eastAsia" w:ascii="宋体" w:hAnsi="宋体"/>
          <w:sz w:val="20"/>
          <w:szCs w:val="20"/>
        </w:rPr>
        <w:t>土方开挖过程中，特别是在冬季、雨季施工时，应根据开挖阶段实际天气情况，采取针对性的安全、环境防护措施。</w:t>
      </w:r>
    </w:p>
    <w:p w14:paraId="6AE2C61F">
      <w:pPr>
        <w:adjustRightInd w:val="0"/>
        <w:snapToGrid w:val="0"/>
        <w:spacing w:line="288" w:lineRule="auto"/>
        <w:rPr>
          <w:rFonts w:ascii="宋体" w:hAnsi="宋体"/>
          <w:sz w:val="20"/>
          <w:szCs w:val="20"/>
        </w:rPr>
      </w:pPr>
      <w:r>
        <w:rPr>
          <w:b/>
          <w:bCs/>
          <w:sz w:val="20"/>
          <w:szCs w:val="20"/>
        </w:rPr>
        <w:t xml:space="preserve">10.2.5 </w:t>
      </w:r>
      <w:r>
        <w:rPr>
          <w:rFonts w:hint="eastAsia" w:ascii="宋体" w:hAnsi="宋体"/>
          <w:b/>
          <w:bCs/>
          <w:sz w:val="20"/>
          <w:szCs w:val="20"/>
        </w:rPr>
        <w:t xml:space="preserve"> </w:t>
      </w:r>
      <w:r>
        <w:rPr>
          <w:rFonts w:hint="eastAsia" w:ascii="宋体" w:hAnsi="宋体"/>
          <w:sz w:val="20"/>
          <w:szCs w:val="20"/>
        </w:rPr>
        <w:t>支护结构、周边建（构</w:t>
      </w:r>
      <w:r>
        <w:rPr>
          <w:rFonts w:ascii="宋体" w:hAnsi="宋体"/>
          <w:sz w:val="20"/>
          <w:szCs w:val="20"/>
        </w:rPr>
        <w:t>）</w:t>
      </w:r>
      <w:r>
        <w:rPr>
          <w:rFonts w:hint="eastAsia" w:ascii="宋体" w:hAnsi="宋体"/>
          <w:sz w:val="20"/>
          <w:szCs w:val="20"/>
        </w:rPr>
        <w:t>筑</w:t>
      </w:r>
      <w:r>
        <w:rPr>
          <w:rFonts w:ascii="宋体" w:hAnsi="宋体"/>
          <w:sz w:val="20"/>
          <w:szCs w:val="20"/>
        </w:rPr>
        <w:t>物、</w:t>
      </w:r>
      <w:r>
        <w:rPr>
          <w:rFonts w:hint="eastAsia" w:ascii="宋体" w:hAnsi="宋体"/>
          <w:sz w:val="20"/>
          <w:szCs w:val="20"/>
        </w:rPr>
        <w:t>地下</w:t>
      </w:r>
      <w:r>
        <w:rPr>
          <w:rFonts w:ascii="宋体" w:hAnsi="宋体"/>
          <w:sz w:val="20"/>
          <w:szCs w:val="20"/>
        </w:rPr>
        <w:t>管线</w:t>
      </w:r>
      <w:r>
        <w:rPr>
          <w:rFonts w:hint="eastAsia" w:ascii="宋体" w:hAnsi="宋体"/>
          <w:sz w:val="20"/>
          <w:szCs w:val="20"/>
        </w:rPr>
        <w:t>、</w:t>
      </w:r>
      <w:r>
        <w:rPr>
          <w:rFonts w:ascii="宋体" w:hAnsi="宋体"/>
          <w:sz w:val="20"/>
          <w:szCs w:val="20"/>
        </w:rPr>
        <w:t>道路、</w:t>
      </w:r>
      <w:r>
        <w:rPr>
          <w:rFonts w:hint="eastAsia" w:ascii="宋体" w:hAnsi="宋体"/>
          <w:sz w:val="20"/>
          <w:szCs w:val="20"/>
        </w:rPr>
        <w:t>地面变形和</w:t>
      </w:r>
      <w:r>
        <w:rPr>
          <w:rFonts w:ascii="宋体" w:hAnsi="宋体"/>
          <w:sz w:val="20"/>
          <w:szCs w:val="20"/>
        </w:rPr>
        <w:t>位移</w:t>
      </w:r>
      <w:r>
        <w:rPr>
          <w:rFonts w:hint="eastAsia" w:ascii="宋体" w:hAnsi="宋体"/>
          <w:sz w:val="20"/>
          <w:szCs w:val="20"/>
        </w:rPr>
        <w:t>超过控制值或发生异常情况，以及基坑侧壁或坑底发生涌水涌砂，应立即停止土方开挖，并采取相应措施。</w:t>
      </w:r>
    </w:p>
    <w:p w14:paraId="4F027C04">
      <w:pPr>
        <w:adjustRightInd w:val="0"/>
        <w:snapToGrid w:val="0"/>
        <w:spacing w:line="288" w:lineRule="auto"/>
        <w:rPr>
          <w:rFonts w:ascii="宋体" w:hAnsi="宋体"/>
          <w:bCs/>
          <w:sz w:val="20"/>
          <w:szCs w:val="20"/>
        </w:rPr>
      </w:pPr>
      <w:r>
        <w:rPr>
          <w:rFonts w:eastAsia="黑体"/>
          <w:b/>
          <w:bCs/>
          <w:kern w:val="0"/>
          <w:sz w:val="20"/>
          <w:szCs w:val="20"/>
        </w:rPr>
        <w:t>10.2.6</w:t>
      </w:r>
      <w:r>
        <w:rPr>
          <w:rFonts w:hint="eastAsia" w:ascii="宋体" w:hAnsi="宋体"/>
          <w:bCs/>
          <w:sz w:val="20"/>
          <w:szCs w:val="20"/>
        </w:rPr>
        <w:t xml:space="preserve">  </w:t>
      </w:r>
      <w:r>
        <w:rPr>
          <w:rFonts w:hint="eastAsia" w:ascii="宋体" w:hAnsi="宋体"/>
          <w:sz w:val="20"/>
          <w:szCs w:val="20"/>
        </w:rPr>
        <w:t>当坑内地下水位降低至开挖标高</w:t>
      </w:r>
      <w:r>
        <w:rPr>
          <w:sz w:val="20"/>
          <w:szCs w:val="20"/>
        </w:rPr>
        <w:t>0.5m</w:t>
      </w:r>
      <w:r>
        <w:rPr>
          <w:rFonts w:hint="eastAsia" w:ascii="宋体" w:hAnsi="宋体"/>
          <w:sz w:val="20"/>
          <w:szCs w:val="20"/>
        </w:rPr>
        <w:t>以上时，方可进行土方开挖。</w:t>
      </w:r>
    </w:p>
    <w:p w14:paraId="1C8318B1">
      <w:pPr>
        <w:adjustRightInd w:val="0"/>
        <w:snapToGrid w:val="0"/>
        <w:spacing w:line="288" w:lineRule="auto"/>
        <w:rPr>
          <w:rFonts w:ascii="宋体" w:hAnsi="宋体"/>
          <w:sz w:val="20"/>
          <w:szCs w:val="20"/>
        </w:rPr>
      </w:pPr>
      <w:r>
        <w:rPr>
          <w:rFonts w:eastAsia="黑体"/>
          <w:b/>
          <w:bCs/>
          <w:kern w:val="0"/>
          <w:sz w:val="20"/>
          <w:szCs w:val="20"/>
        </w:rPr>
        <w:t>10.2.7</w:t>
      </w:r>
      <w:r>
        <w:rPr>
          <w:rFonts w:hint="eastAsia" w:ascii="宋体" w:hAnsi="宋体"/>
          <w:bCs/>
          <w:sz w:val="20"/>
          <w:szCs w:val="20"/>
        </w:rPr>
        <w:t xml:space="preserve">  </w:t>
      </w:r>
      <w:r>
        <w:rPr>
          <w:rFonts w:hint="eastAsia" w:ascii="宋体" w:hAnsi="宋体"/>
          <w:sz w:val="20"/>
          <w:szCs w:val="20"/>
        </w:rPr>
        <w:t>基坑土方开挖时，应对平面控制桩、水准点、基坑平面位置、开挖面标高、边坡坡度等进行经常性复测检查。</w:t>
      </w:r>
    </w:p>
    <w:p w14:paraId="19C1A06F">
      <w:pPr>
        <w:adjustRightInd w:val="0"/>
        <w:snapToGrid w:val="0"/>
        <w:spacing w:line="288" w:lineRule="auto"/>
        <w:rPr>
          <w:rFonts w:ascii="宋体" w:hAnsi="宋体"/>
          <w:sz w:val="20"/>
          <w:szCs w:val="20"/>
        </w:rPr>
      </w:pPr>
      <w:r>
        <w:rPr>
          <w:rFonts w:eastAsia="黑体"/>
          <w:b/>
          <w:bCs/>
          <w:kern w:val="0"/>
          <w:sz w:val="20"/>
          <w:szCs w:val="20"/>
        </w:rPr>
        <w:t>10.2.8</w:t>
      </w:r>
      <w:r>
        <w:rPr>
          <w:rFonts w:hint="eastAsia" w:ascii="宋体" w:hAnsi="宋体"/>
          <w:bCs/>
          <w:sz w:val="20"/>
          <w:szCs w:val="20"/>
        </w:rPr>
        <w:t xml:space="preserve">  </w:t>
      </w:r>
      <w:r>
        <w:rPr>
          <w:rFonts w:hint="eastAsia" w:ascii="宋体" w:hAnsi="宋体"/>
          <w:sz w:val="20"/>
          <w:szCs w:val="20"/>
        </w:rPr>
        <w:t>开挖过程中，不得碰撞或损害测量定位桩、监测点、降水井、工程桩、支护结构等设施，禁止扰动基底原状土。当采用机械开挖土方时，应在基坑底预留</w:t>
      </w:r>
      <w:r>
        <w:rPr>
          <w:rFonts w:hint="eastAsia"/>
          <w:sz w:val="20"/>
          <w:szCs w:val="20"/>
        </w:rPr>
        <w:t>200mm</w:t>
      </w:r>
      <w:r>
        <w:rPr>
          <w:rFonts w:hint="eastAsia" w:ascii="宋体" w:hAnsi="宋体"/>
          <w:sz w:val="20"/>
          <w:szCs w:val="20"/>
        </w:rPr>
        <w:t>～</w:t>
      </w:r>
      <w:r>
        <w:rPr>
          <w:rFonts w:hint="eastAsia"/>
          <w:sz w:val="20"/>
          <w:szCs w:val="20"/>
        </w:rPr>
        <w:t>300mm</w:t>
      </w:r>
      <w:r>
        <w:rPr>
          <w:rFonts w:hint="eastAsia" w:ascii="宋体" w:hAnsi="宋体"/>
          <w:sz w:val="20"/>
          <w:szCs w:val="20"/>
        </w:rPr>
        <w:t>厚的土层，由人工挖掘修整至设计标高。</w:t>
      </w:r>
    </w:p>
    <w:p w14:paraId="5B08F0D7">
      <w:pPr>
        <w:adjustRightInd w:val="0"/>
        <w:snapToGrid w:val="0"/>
        <w:spacing w:line="288" w:lineRule="auto"/>
      </w:pPr>
      <w:r>
        <w:rPr>
          <w:rFonts w:eastAsia="黑体"/>
          <w:b/>
          <w:bCs/>
          <w:kern w:val="0"/>
          <w:sz w:val="20"/>
          <w:szCs w:val="20"/>
        </w:rPr>
        <w:t xml:space="preserve">10.2.9  </w:t>
      </w:r>
      <w:r>
        <w:rPr>
          <w:rFonts w:hint="eastAsia" w:ascii="宋体" w:hAnsi="宋体"/>
          <w:sz w:val="20"/>
          <w:szCs w:val="20"/>
        </w:rPr>
        <w:t>当基坑支护结构未达到设计强度要求时，严禁向下超挖土方。</w:t>
      </w:r>
    </w:p>
    <w:p w14:paraId="5B97DA9F">
      <w:pPr>
        <w:adjustRightInd w:val="0"/>
        <w:snapToGrid w:val="0"/>
        <w:spacing w:line="288" w:lineRule="auto"/>
        <w:rPr>
          <w:rFonts w:ascii="宋体" w:hAnsi="宋体" w:cs="宋体"/>
          <w:sz w:val="20"/>
          <w:szCs w:val="20"/>
        </w:rPr>
      </w:pPr>
      <w:r>
        <w:rPr>
          <w:b/>
          <w:bCs/>
          <w:sz w:val="20"/>
          <w:szCs w:val="20"/>
        </w:rPr>
        <w:t>10.2.10</w:t>
      </w:r>
      <w:r>
        <w:rPr>
          <w:rFonts w:hint="eastAsia" w:ascii="宋体" w:hAnsi="宋体" w:cs="宋体"/>
          <w:sz w:val="20"/>
          <w:szCs w:val="20"/>
        </w:rPr>
        <w:t xml:space="preserve"> 基坑开挖宜采取信息化施工方法，监测信息应及时进行反馈，对出现的异常情况及时处理。</w:t>
      </w:r>
    </w:p>
    <w:p w14:paraId="38A1F275">
      <w:pPr>
        <w:adjustRightInd w:val="0"/>
        <w:snapToGrid w:val="0"/>
        <w:spacing w:line="288" w:lineRule="auto"/>
        <w:rPr>
          <w:rFonts w:ascii="宋体" w:hAnsi="宋体" w:cs="宋体"/>
          <w:sz w:val="20"/>
          <w:szCs w:val="20"/>
        </w:rPr>
      </w:pPr>
      <w:r>
        <w:rPr>
          <w:rFonts w:hint="eastAsia"/>
          <w:b/>
          <w:bCs/>
          <w:sz w:val="20"/>
          <w:szCs w:val="20"/>
        </w:rPr>
        <w:t>10.2.11</w:t>
      </w:r>
      <w:r>
        <w:rPr>
          <w:rFonts w:hint="eastAsia" w:ascii="宋体" w:hAnsi="宋体" w:cs="宋体"/>
          <w:sz w:val="20"/>
          <w:szCs w:val="20"/>
        </w:rPr>
        <w:t xml:space="preserve"> 土方开挖应与支护结构施工相协调，按照设计工况要求分层开挖，严禁超挖。对于采用内支撑的基坑，应按照先撑后挖的原则进行施工。 </w:t>
      </w:r>
    </w:p>
    <w:p w14:paraId="571F77BD">
      <w:pPr>
        <w:pStyle w:val="7"/>
        <w:keepNext w:val="0"/>
        <w:keepLines w:val="0"/>
        <w:adjustRightInd w:val="0"/>
        <w:snapToGrid w:val="0"/>
        <w:spacing w:before="312" w:beforeLines="100" w:after="312" w:afterLines="100" w:line="288" w:lineRule="auto"/>
        <w:jc w:val="center"/>
        <w:rPr>
          <w:rFonts w:ascii="宋体" w:hAnsi="宋体" w:eastAsia="黑体"/>
          <w:b w:val="0"/>
          <w:sz w:val="20"/>
          <w:szCs w:val="20"/>
        </w:rPr>
      </w:pPr>
      <w:bookmarkStart w:id="114" w:name="_Toc139613746"/>
      <w:r>
        <w:rPr>
          <w:rFonts w:eastAsia="黑体"/>
          <w:sz w:val="20"/>
          <w:szCs w:val="20"/>
        </w:rPr>
        <w:t>10</w:t>
      </w:r>
      <w:r>
        <w:rPr>
          <w:rFonts w:hint="eastAsia" w:eastAsia="黑体"/>
          <w:sz w:val="20"/>
          <w:szCs w:val="20"/>
        </w:rPr>
        <w:t>.3</w:t>
      </w:r>
      <w:r>
        <w:rPr>
          <w:rFonts w:eastAsia="黑体"/>
          <w:sz w:val="20"/>
          <w:szCs w:val="20"/>
        </w:rPr>
        <w:t xml:space="preserve">  </w:t>
      </w:r>
      <w:r>
        <w:rPr>
          <w:rFonts w:hint="eastAsia" w:ascii="黑体" w:hAnsi="黑体" w:eastAsia="黑体"/>
          <w:b w:val="0"/>
          <w:sz w:val="20"/>
          <w:szCs w:val="20"/>
        </w:rPr>
        <w:t>基坑防排水</w:t>
      </w:r>
      <w:bookmarkEnd w:id="114"/>
    </w:p>
    <w:p w14:paraId="7652D025">
      <w:pPr>
        <w:adjustRightInd w:val="0"/>
        <w:snapToGrid w:val="0"/>
        <w:spacing w:line="288" w:lineRule="auto"/>
        <w:rPr>
          <w:rFonts w:ascii="宋体" w:hAnsi="宋体"/>
          <w:sz w:val="20"/>
          <w:szCs w:val="20"/>
        </w:rPr>
      </w:pPr>
      <w:r>
        <w:rPr>
          <w:rFonts w:eastAsia="黑体"/>
          <w:b/>
          <w:bCs/>
          <w:kern w:val="0"/>
          <w:sz w:val="20"/>
          <w:szCs w:val="20"/>
        </w:rPr>
        <w:t>10.3.1</w:t>
      </w:r>
      <w:r>
        <w:rPr>
          <w:rFonts w:hint="eastAsia" w:ascii="宋体" w:hAnsi="宋体"/>
          <w:sz w:val="20"/>
          <w:szCs w:val="20"/>
        </w:rPr>
        <w:t xml:space="preserve">  对基坑边界周围地面、槽底应采取截排水措施，基坑内不应积水。放坡开挖时，应对坡顶、坡面、坡脚采取保护措施，防止冲刷和浸泡。</w:t>
      </w:r>
    </w:p>
    <w:p w14:paraId="1E3A69DF">
      <w:pPr>
        <w:adjustRightInd w:val="0"/>
        <w:snapToGrid w:val="0"/>
        <w:spacing w:line="288" w:lineRule="auto"/>
        <w:rPr>
          <w:rFonts w:ascii="宋体" w:hAnsi="宋体"/>
          <w:sz w:val="20"/>
          <w:szCs w:val="20"/>
        </w:rPr>
      </w:pPr>
      <w:r>
        <w:rPr>
          <w:rFonts w:eastAsia="黑体"/>
          <w:b/>
          <w:bCs/>
          <w:kern w:val="0"/>
          <w:sz w:val="20"/>
          <w:szCs w:val="20"/>
        </w:rPr>
        <w:t xml:space="preserve">10.3.2  </w:t>
      </w:r>
      <w:r>
        <w:rPr>
          <w:rFonts w:hint="eastAsia" w:ascii="宋体" w:hAnsi="宋体"/>
          <w:sz w:val="20"/>
          <w:szCs w:val="20"/>
        </w:rPr>
        <w:t>土方开挖过程中发现基坑侧壁出现渗水或漏水时，应立即停止开挖，查明原因，采取封堵、疏排等措施。</w:t>
      </w:r>
    </w:p>
    <w:p w14:paraId="0A86D2A1">
      <w:pPr>
        <w:adjustRightInd w:val="0"/>
        <w:snapToGrid w:val="0"/>
        <w:spacing w:line="288" w:lineRule="auto"/>
        <w:rPr>
          <w:rFonts w:eastAsia="黑体"/>
          <w:sz w:val="20"/>
          <w:szCs w:val="20"/>
        </w:rPr>
      </w:pPr>
      <w:r>
        <w:rPr>
          <w:rFonts w:eastAsia="黑体"/>
          <w:b/>
          <w:bCs/>
          <w:kern w:val="0"/>
          <w:sz w:val="20"/>
          <w:szCs w:val="20"/>
        </w:rPr>
        <w:t>10.3.3</w:t>
      </w:r>
      <w:r>
        <w:rPr>
          <w:rFonts w:hint="eastAsia" w:ascii="宋体" w:hAnsi="宋体"/>
          <w:sz w:val="20"/>
          <w:szCs w:val="20"/>
        </w:rPr>
        <w:t xml:space="preserve">  当基坑内有疏干井、减压井时，应按照设计要求做好封井施工</w:t>
      </w:r>
      <w:r>
        <w:rPr>
          <w:rFonts w:ascii="宋体" w:hAnsi="宋体"/>
          <w:sz w:val="20"/>
          <w:szCs w:val="20"/>
        </w:rPr>
        <w:t>。</w:t>
      </w:r>
      <w:bookmarkStart w:id="115" w:name="_Toc468104729"/>
    </w:p>
    <w:p w14:paraId="0E16E961">
      <w:pPr>
        <w:pStyle w:val="7"/>
        <w:keepNext w:val="0"/>
        <w:keepLines w:val="0"/>
        <w:adjustRightInd w:val="0"/>
        <w:snapToGrid w:val="0"/>
        <w:spacing w:before="312" w:beforeLines="100" w:after="312" w:afterLines="100" w:line="288" w:lineRule="auto"/>
        <w:jc w:val="center"/>
        <w:rPr>
          <w:rFonts w:ascii="宋体" w:hAnsi="宋体"/>
          <w:b w:val="0"/>
          <w:sz w:val="20"/>
          <w:szCs w:val="20"/>
        </w:rPr>
      </w:pPr>
      <w:bookmarkStart w:id="116" w:name="_Toc139613747"/>
      <w:r>
        <w:rPr>
          <w:rFonts w:eastAsia="黑体"/>
          <w:sz w:val="20"/>
          <w:szCs w:val="20"/>
        </w:rPr>
        <w:t>10</w:t>
      </w:r>
      <w:r>
        <w:rPr>
          <w:rFonts w:hint="eastAsia" w:eastAsia="黑体"/>
          <w:sz w:val="20"/>
          <w:szCs w:val="20"/>
        </w:rPr>
        <w:t>.4</w:t>
      </w:r>
      <w:r>
        <w:rPr>
          <w:rFonts w:eastAsia="黑体"/>
          <w:sz w:val="20"/>
          <w:szCs w:val="20"/>
        </w:rPr>
        <w:t xml:space="preserve">  </w:t>
      </w:r>
      <w:r>
        <w:rPr>
          <w:rFonts w:hint="eastAsia" w:ascii="黑体" w:hAnsi="黑体" w:eastAsia="黑体"/>
          <w:b w:val="0"/>
          <w:sz w:val="20"/>
          <w:szCs w:val="20"/>
        </w:rPr>
        <w:t>封底及回填</w:t>
      </w:r>
      <w:bookmarkEnd w:id="115"/>
      <w:bookmarkEnd w:id="116"/>
    </w:p>
    <w:p w14:paraId="59974A6D">
      <w:pPr>
        <w:adjustRightInd w:val="0"/>
        <w:snapToGrid w:val="0"/>
        <w:spacing w:line="288" w:lineRule="auto"/>
        <w:rPr>
          <w:rFonts w:ascii="宋体" w:hAnsi="宋体"/>
          <w:sz w:val="20"/>
          <w:szCs w:val="20"/>
        </w:rPr>
      </w:pPr>
      <w:r>
        <w:rPr>
          <w:rFonts w:eastAsia="黑体"/>
          <w:b/>
          <w:bCs/>
          <w:kern w:val="0"/>
          <w:sz w:val="20"/>
          <w:szCs w:val="20"/>
        </w:rPr>
        <w:t>10.4.1</w:t>
      </w:r>
      <w:r>
        <w:rPr>
          <w:rFonts w:hint="eastAsia" w:ascii="宋体" w:hAnsi="宋体"/>
          <w:bCs/>
          <w:sz w:val="20"/>
          <w:szCs w:val="20"/>
        </w:rPr>
        <w:t xml:space="preserve">  </w:t>
      </w:r>
      <w:r>
        <w:rPr>
          <w:rFonts w:hint="eastAsia" w:ascii="宋体" w:hAnsi="宋体"/>
          <w:sz w:val="20"/>
          <w:szCs w:val="20"/>
        </w:rPr>
        <w:t>基坑开挖完成后，应组织清底验槽，减少地基土暴露时间，地基土不应长期暴露或积水浸泡。</w:t>
      </w:r>
    </w:p>
    <w:p w14:paraId="27DC07AA">
      <w:pPr>
        <w:adjustRightInd w:val="0"/>
        <w:snapToGrid w:val="0"/>
        <w:spacing w:line="288" w:lineRule="auto"/>
        <w:rPr>
          <w:rFonts w:ascii="宋体" w:hAnsi="宋体"/>
          <w:sz w:val="20"/>
          <w:szCs w:val="20"/>
        </w:rPr>
      </w:pPr>
      <w:r>
        <w:rPr>
          <w:rFonts w:eastAsia="黑体"/>
          <w:b/>
          <w:bCs/>
          <w:kern w:val="0"/>
          <w:sz w:val="20"/>
          <w:szCs w:val="20"/>
        </w:rPr>
        <w:t>10.4.2</w:t>
      </w:r>
      <w:r>
        <w:rPr>
          <w:rFonts w:hint="eastAsia" w:eastAsia="黑体"/>
          <w:b/>
          <w:bCs/>
          <w:sz w:val="20"/>
          <w:szCs w:val="20"/>
        </w:rPr>
        <w:t xml:space="preserve"> </w:t>
      </w:r>
      <w:r>
        <w:rPr>
          <w:rFonts w:hint="eastAsia" w:ascii="宋体" w:hAnsi="宋体"/>
          <w:bCs/>
          <w:sz w:val="20"/>
          <w:szCs w:val="20"/>
        </w:rPr>
        <w:t xml:space="preserve"> </w:t>
      </w:r>
      <w:r>
        <w:rPr>
          <w:rFonts w:hint="eastAsia" w:ascii="宋体" w:hAnsi="宋体"/>
          <w:sz w:val="20"/>
          <w:szCs w:val="20"/>
        </w:rPr>
        <w:t>基坑验槽后，应及时浇注垫层封闭基坑，并进行基础工程施工。</w:t>
      </w:r>
    </w:p>
    <w:p w14:paraId="502DB18F">
      <w:pPr>
        <w:adjustRightInd w:val="0"/>
        <w:snapToGrid w:val="0"/>
        <w:spacing w:line="288" w:lineRule="auto"/>
        <w:rPr>
          <w:rFonts w:ascii="宋体" w:hAnsi="宋体"/>
          <w:sz w:val="20"/>
          <w:szCs w:val="20"/>
        </w:rPr>
      </w:pPr>
      <w:r>
        <w:rPr>
          <w:rFonts w:eastAsia="黑体"/>
          <w:b/>
          <w:bCs/>
          <w:kern w:val="0"/>
          <w:sz w:val="20"/>
          <w:szCs w:val="20"/>
        </w:rPr>
        <w:t>10.4.3</w:t>
      </w:r>
      <w:r>
        <w:rPr>
          <w:rFonts w:hint="eastAsia" w:ascii="宋体" w:hAnsi="宋体"/>
          <w:bCs/>
          <w:sz w:val="20"/>
          <w:szCs w:val="20"/>
        </w:rPr>
        <w:t xml:space="preserve"> </w:t>
      </w:r>
      <w:r>
        <w:rPr>
          <w:rFonts w:hint="eastAsia" w:ascii="宋体" w:hAnsi="宋体"/>
          <w:sz w:val="20"/>
          <w:szCs w:val="20"/>
        </w:rPr>
        <w:t xml:space="preserve"> 地下结构完成后，应对施工肥槽和结构顶板进行回填，回填材料及施工方法应满足工程设计要求。</w:t>
      </w:r>
    </w:p>
    <w:p w14:paraId="589AA975">
      <w:pPr>
        <w:widowControl/>
        <w:jc w:val="left"/>
        <w:rPr>
          <w:rFonts w:ascii="宋体" w:hAnsi="宋体"/>
          <w:sz w:val="20"/>
          <w:szCs w:val="20"/>
        </w:rPr>
      </w:pPr>
      <w:r>
        <w:rPr>
          <w:rFonts w:ascii="宋体" w:hAnsi="宋体"/>
          <w:sz w:val="20"/>
          <w:szCs w:val="20"/>
        </w:rPr>
        <w:tab/>
      </w:r>
      <w:r>
        <w:rPr>
          <w:rFonts w:ascii="宋体" w:hAnsi="宋体"/>
          <w:sz w:val="20"/>
          <w:szCs w:val="20"/>
        </w:rPr>
        <w:br w:type="page"/>
      </w:r>
    </w:p>
    <w:p w14:paraId="19D245A7">
      <w:pPr>
        <w:pStyle w:val="5"/>
        <w:keepNext w:val="0"/>
        <w:keepLines w:val="0"/>
        <w:adjustRightInd w:val="0"/>
        <w:snapToGrid w:val="0"/>
        <w:spacing w:before="156" w:beforeLines="50" w:after="312" w:afterLines="100" w:line="288" w:lineRule="auto"/>
        <w:jc w:val="center"/>
        <w:rPr>
          <w:rFonts w:ascii="Times New Roman" w:hAnsi="Times New Roman"/>
          <w:sz w:val="26"/>
          <w:szCs w:val="26"/>
        </w:rPr>
      </w:pPr>
      <w:bookmarkStart w:id="117" w:name="_Toc139613748"/>
      <w:r>
        <w:rPr>
          <w:rFonts w:ascii="Times New Roman" w:hAnsi="Times New Roman"/>
          <w:sz w:val="26"/>
          <w:szCs w:val="26"/>
        </w:rPr>
        <w:t>11</w:t>
      </w:r>
      <w:r>
        <w:rPr>
          <w:rFonts w:hint="eastAsia" w:ascii="Times New Roman" w:hAnsi="Times New Roman"/>
          <w:sz w:val="26"/>
          <w:szCs w:val="26"/>
        </w:rPr>
        <w:t xml:space="preserve">  </w:t>
      </w:r>
      <w:r>
        <w:rPr>
          <w:rFonts w:hint="eastAsia" w:ascii="Times New Roman" w:hAnsi="Times New Roman"/>
          <w:b w:val="0"/>
          <w:bCs w:val="0"/>
          <w:sz w:val="26"/>
          <w:szCs w:val="26"/>
        </w:rPr>
        <w:t>监    测</w:t>
      </w:r>
      <w:bookmarkEnd w:id="117"/>
      <w:r>
        <w:rPr>
          <w:rFonts w:hint="eastAsia" w:ascii="Times New Roman" w:hAnsi="Times New Roman"/>
          <w:sz w:val="26"/>
          <w:szCs w:val="26"/>
        </w:rPr>
        <w:t xml:space="preserve"> </w:t>
      </w:r>
    </w:p>
    <w:p w14:paraId="62F2C84F">
      <w:pPr>
        <w:pStyle w:val="7"/>
        <w:keepNext w:val="0"/>
        <w:keepLines w:val="0"/>
        <w:adjustRightInd w:val="0"/>
        <w:snapToGrid w:val="0"/>
        <w:spacing w:before="312" w:beforeLines="100" w:after="312" w:afterLines="100" w:line="288" w:lineRule="auto"/>
        <w:jc w:val="center"/>
        <w:rPr>
          <w:rFonts w:eastAsia="黑体"/>
          <w:sz w:val="20"/>
          <w:szCs w:val="20"/>
        </w:rPr>
      </w:pPr>
      <w:bookmarkStart w:id="118" w:name="_Toc139613749"/>
      <w:r>
        <w:rPr>
          <w:rFonts w:eastAsia="黑体"/>
          <w:sz w:val="20"/>
          <w:szCs w:val="20"/>
        </w:rPr>
        <w:t xml:space="preserve">11.1  </w:t>
      </w:r>
      <w:r>
        <w:rPr>
          <w:rFonts w:hint="eastAsia" w:eastAsia="黑体"/>
          <w:b w:val="0"/>
          <w:bCs w:val="0"/>
          <w:sz w:val="20"/>
          <w:szCs w:val="20"/>
        </w:rPr>
        <w:t>一般规定</w:t>
      </w:r>
      <w:bookmarkEnd w:id="118"/>
    </w:p>
    <w:p w14:paraId="1E396D77">
      <w:pPr>
        <w:adjustRightInd w:val="0"/>
        <w:snapToGrid w:val="0"/>
        <w:spacing w:line="288" w:lineRule="auto"/>
        <w:rPr>
          <w:rFonts w:ascii="宋体" w:hAnsi="宋体"/>
          <w:sz w:val="20"/>
          <w:szCs w:val="20"/>
        </w:rPr>
      </w:pPr>
      <w:r>
        <w:rPr>
          <w:rFonts w:eastAsia="黑体"/>
          <w:b/>
          <w:bCs/>
          <w:kern w:val="0"/>
          <w:sz w:val="20"/>
          <w:szCs w:val="20"/>
        </w:rPr>
        <w:t>11.1.1</w:t>
      </w:r>
      <w:r>
        <w:rPr>
          <w:rFonts w:hint="eastAsia" w:ascii="宋体" w:hAnsi="宋体"/>
          <w:bCs/>
          <w:sz w:val="20"/>
          <w:szCs w:val="20"/>
        </w:rPr>
        <w:t xml:space="preserve">  </w:t>
      </w:r>
      <w:r>
        <w:rPr>
          <w:rFonts w:hint="eastAsia" w:ascii="宋体" w:hAnsi="宋体"/>
          <w:sz w:val="20"/>
          <w:szCs w:val="20"/>
        </w:rPr>
        <w:t>基坑工程施工前，施工单位及第三方监测单位应依据设计及相关规范要求编制监测方案。</w:t>
      </w:r>
    </w:p>
    <w:p w14:paraId="5F0AAF38">
      <w:pPr>
        <w:adjustRightInd w:val="0"/>
        <w:snapToGrid w:val="0"/>
        <w:spacing w:line="288" w:lineRule="auto"/>
        <w:rPr>
          <w:rFonts w:ascii="宋体" w:hAnsi="宋体"/>
          <w:sz w:val="20"/>
          <w:szCs w:val="20"/>
        </w:rPr>
      </w:pPr>
      <w:r>
        <w:rPr>
          <w:rFonts w:eastAsia="黑体"/>
          <w:b/>
          <w:bCs/>
          <w:kern w:val="0"/>
          <w:sz w:val="20"/>
          <w:szCs w:val="20"/>
        </w:rPr>
        <w:t>11.1.2</w:t>
      </w:r>
      <w:r>
        <w:rPr>
          <w:rFonts w:hint="eastAsia" w:ascii="宋体" w:hAnsi="宋体"/>
          <w:sz w:val="20"/>
          <w:szCs w:val="20"/>
        </w:rPr>
        <w:t xml:space="preserve">  基坑各监测项目采用的监测仪器的精度、分辨率及测量精度应能反映监测对象的实际状况，并应符合现行国家标准《建筑基坑工程监测技术标准》</w:t>
      </w:r>
      <w:r>
        <w:rPr>
          <w:sz w:val="20"/>
          <w:szCs w:val="20"/>
        </w:rPr>
        <w:t>GB 50497</w:t>
      </w:r>
      <w:r>
        <w:rPr>
          <w:rFonts w:hint="eastAsia" w:ascii="宋体" w:hAnsi="宋体"/>
          <w:sz w:val="20"/>
          <w:szCs w:val="20"/>
        </w:rPr>
        <w:t>的有关规定。</w:t>
      </w:r>
      <w:r>
        <w:rPr>
          <w:rFonts w:ascii="宋体" w:hAnsi="宋体"/>
          <w:sz w:val="20"/>
          <w:szCs w:val="20"/>
        </w:rPr>
        <w:t>条件</w:t>
      </w:r>
      <w:r>
        <w:rPr>
          <w:rFonts w:hint="eastAsia" w:ascii="宋体" w:hAnsi="宋体"/>
          <w:sz w:val="20"/>
          <w:szCs w:val="20"/>
        </w:rPr>
        <w:t>允许时，宜采用自动化实时监测手段。</w:t>
      </w:r>
    </w:p>
    <w:p w14:paraId="7F0E4351">
      <w:pPr>
        <w:adjustRightInd w:val="0"/>
        <w:snapToGrid w:val="0"/>
        <w:spacing w:line="288" w:lineRule="auto"/>
        <w:rPr>
          <w:rFonts w:ascii="宋体" w:hAnsi="宋体"/>
          <w:sz w:val="20"/>
          <w:szCs w:val="20"/>
        </w:rPr>
      </w:pPr>
      <w:r>
        <w:rPr>
          <w:rFonts w:eastAsia="黑体"/>
          <w:b/>
          <w:bCs/>
          <w:kern w:val="0"/>
          <w:sz w:val="20"/>
          <w:szCs w:val="20"/>
        </w:rPr>
        <w:t>11.1.3</w:t>
      </w:r>
      <w:r>
        <w:rPr>
          <w:rFonts w:hint="eastAsia" w:ascii="宋体" w:hAnsi="宋体"/>
          <w:bCs/>
          <w:sz w:val="20"/>
          <w:szCs w:val="20"/>
        </w:rPr>
        <w:t xml:space="preserve">  </w:t>
      </w:r>
      <w:r>
        <w:rPr>
          <w:rFonts w:hint="eastAsia" w:ascii="宋体" w:hAnsi="宋体"/>
          <w:sz w:val="20"/>
          <w:szCs w:val="20"/>
        </w:rPr>
        <w:t xml:space="preserve">对基坑监测有特殊要求时，各监测项目的测点布置、量测精度、监测频率等应根据实际要求确定。 </w:t>
      </w:r>
    </w:p>
    <w:p w14:paraId="019C1F37">
      <w:pPr>
        <w:adjustRightInd w:val="0"/>
        <w:snapToGrid w:val="0"/>
        <w:spacing w:line="288" w:lineRule="auto"/>
        <w:rPr>
          <w:rFonts w:ascii="宋体" w:hAnsi="宋体"/>
          <w:sz w:val="20"/>
          <w:szCs w:val="20"/>
        </w:rPr>
      </w:pPr>
      <w:r>
        <w:rPr>
          <w:rFonts w:eastAsia="黑体"/>
          <w:b/>
          <w:bCs/>
          <w:kern w:val="0"/>
          <w:sz w:val="20"/>
          <w:szCs w:val="20"/>
        </w:rPr>
        <w:t>11.1.4</w:t>
      </w:r>
      <w:r>
        <w:rPr>
          <w:rFonts w:hint="eastAsia" w:ascii="宋体" w:hAnsi="宋体"/>
          <w:bCs/>
          <w:sz w:val="20"/>
          <w:szCs w:val="20"/>
        </w:rPr>
        <w:t xml:space="preserve">  </w:t>
      </w:r>
      <w:r>
        <w:rPr>
          <w:rFonts w:hint="eastAsia" w:ascii="宋体" w:hAnsi="宋体"/>
          <w:sz w:val="20"/>
          <w:szCs w:val="20"/>
        </w:rPr>
        <w:t xml:space="preserve">监测单位应严格实施监测方案。当基坑工程设计或施工有实质变更时，施工单位及第三方监测单位应根据设计文件要求及时调整监测方案。 </w:t>
      </w:r>
    </w:p>
    <w:p w14:paraId="556B18B7">
      <w:pPr>
        <w:adjustRightInd w:val="0"/>
        <w:snapToGrid w:val="0"/>
        <w:spacing w:line="288" w:lineRule="auto"/>
        <w:rPr>
          <w:rFonts w:ascii="宋体" w:hAnsi="宋体"/>
          <w:sz w:val="20"/>
          <w:szCs w:val="20"/>
        </w:rPr>
      </w:pPr>
      <w:r>
        <w:rPr>
          <w:rFonts w:eastAsia="黑体"/>
          <w:b/>
          <w:bCs/>
          <w:kern w:val="0"/>
          <w:sz w:val="20"/>
          <w:szCs w:val="20"/>
        </w:rPr>
        <w:t>11.1.5</w:t>
      </w:r>
      <w:r>
        <w:rPr>
          <w:rFonts w:hint="eastAsia" w:ascii="宋体" w:hAnsi="宋体"/>
          <w:bCs/>
          <w:sz w:val="20"/>
          <w:szCs w:val="20"/>
        </w:rPr>
        <w:t xml:space="preserve">  </w:t>
      </w:r>
      <w:r>
        <w:rPr>
          <w:rFonts w:hint="eastAsia" w:ascii="宋体" w:hAnsi="宋体"/>
          <w:sz w:val="20"/>
          <w:szCs w:val="20"/>
        </w:rPr>
        <w:t xml:space="preserve">监测单位应及时处理、分析监测数据，并将监测结果和评价及时反馈建设单位及相关单位，当监测数据达到监测预警值时必须立即通报建设单位及相关单位。 </w:t>
      </w:r>
    </w:p>
    <w:p w14:paraId="0B4BF857">
      <w:pPr>
        <w:adjustRightInd w:val="0"/>
        <w:snapToGrid w:val="0"/>
        <w:spacing w:line="288" w:lineRule="auto"/>
        <w:rPr>
          <w:rFonts w:ascii="宋体" w:hAnsi="宋体"/>
          <w:sz w:val="20"/>
          <w:szCs w:val="20"/>
        </w:rPr>
      </w:pPr>
      <w:r>
        <w:rPr>
          <w:rFonts w:eastAsia="黑体"/>
          <w:b/>
          <w:bCs/>
          <w:kern w:val="0"/>
          <w:sz w:val="20"/>
          <w:szCs w:val="20"/>
        </w:rPr>
        <w:t>11.1.6</w:t>
      </w:r>
      <w:r>
        <w:rPr>
          <w:rFonts w:hint="eastAsia" w:ascii="宋体" w:hAnsi="宋体"/>
          <w:bCs/>
          <w:sz w:val="20"/>
          <w:szCs w:val="20"/>
        </w:rPr>
        <w:t xml:space="preserve">  </w:t>
      </w:r>
      <w:r>
        <w:rPr>
          <w:rFonts w:ascii="宋体" w:hAnsi="宋体"/>
          <w:sz w:val="20"/>
          <w:szCs w:val="20"/>
        </w:rPr>
        <w:t>基坑工程的现场监测应</w:t>
      </w:r>
      <w:r>
        <w:rPr>
          <w:rFonts w:hint="eastAsia" w:ascii="宋体" w:hAnsi="宋体"/>
          <w:sz w:val="20"/>
          <w:szCs w:val="20"/>
        </w:rPr>
        <w:t>采用</w:t>
      </w:r>
      <w:r>
        <w:rPr>
          <w:rFonts w:ascii="宋体" w:hAnsi="宋体"/>
          <w:sz w:val="20"/>
          <w:szCs w:val="20"/>
        </w:rPr>
        <w:t>仪器监测</w:t>
      </w:r>
      <w:r>
        <w:rPr>
          <w:rFonts w:hint="eastAsia" w:ascii="宋体" w:hAnsi="宋体"/>
          <w:sz w:val="20"/>
          <w:szCs w:val="20"/>
        </w:rPr>
        <w:t>与</w:t>
      </w:r>
      <w:r>
        <w:rPr>
          <w:rFonts w:ascii="宋体" w:hAnsi="宋体"/>
          <w:sz w:val="20"/>
          <w:szCs w:val="20"/>
        </w:rPr>
        <w:t>巡视检查</w:t>
      </w:r>
      <w:r>
        <w:rPr>
          <w:rFonts w:hint="eastAsia" w:ascii="宋体" w:hAnsi="宋体"/>
          <w:sz w:val="20"/>
          <w:szCs w:val="20"/>
        </w:rPr>
        <w:t xml:space="preserve">相结合的方法。 </w:t>
      </w:r>
    </w:p>
    <w:p w14:paraId="364F535C">
      <w:pPr>
        <w:adjustRightInd w:val="0"/>
        <w:snapToGrid w:val="0"/>
        <w:spacing w:line="288" w:lineRule="auto"/>
        <w:rPr>
          <w:rFonts w:ascii="宋体" w:hAnsi="宋体"/>
          <w:sz w:val="20"/>
          <w:szCs w:val="20"/>
        </w:rPr>
      </w:pPr>
      <w:r>
        <w:rPr>
          <w:b/>
          <w:bCs/>
          <w:sz w:val="20"/>
          <w:szCs w:val="20"/>
        </w:rPr>
        <w:t xml:space="preserve">11.1.7  </w:t>
      </w:r>
      <w:r>
        <w:rPr>
          <w:rFonts w:hint="eastAsia" w:ascii="宋体" w:hAnsi="宋体"/>
          <w:sz w:val="20"/>
          <w:szCs w:val="20"/>
        </w:rPr>
        <w:t xml:space="preserve">基坑开挖至基底，各项变形监测项目数据正常且基坑已移交总承包单位时，由第三方监测单位实施监测，施工总承包单位按规定实施监测及巡视。 </w:t>
      </w:r>
    </w:p>
    <w:p w14:paraId="43821328">
      <w:pPr>
        <w:pStyle w:val="2"/>
        <w:ind w:left="710" w:leftChars="0" w:hanging="710" w:hangingChars="337"/>
      </w:pPr>
      <w:r>
        <w:rPr>
          <w:rFonts w:hint="eastAsia"/>
          <w:b/>
          <w:bCs/>
        </w:rPr>
        <w:t>11.1.</w:t>
      </w:r>
      <w:r>
        <w:rPr>
          <w:b/>
          <w:bCs/>
        </w:rPr>
        <w:t>8</w:t>
      </w:r>
      <w:r>
        <w:t xml:space="preserve">  </w:t>
      </w:r>
      <w:r>
        <w:rPr>
          <w:rFonts w:hint="eastAsia"/>
        </w:rPr>
        <w:t>基准点应定期复测，不宜低于6个月复测一次，当使用工作基点时应与基准点进行联测。</w:t>
      </w:r>
    </w:p>
    <w:p w14:paraId="1BFC2181">
      <w:pPr>
        <w:pStyle w:val="7"/>
        <w:keepNext w:val="0"/>
        <w:keepLines w:val="0"/>
        <w:adjustRightInd w:val="0"/>
        <w:snapToGrid w:val="0"/>
        <w:spacing w:before="312" w:beforeLines="100" w:after="312" w:afterLines="100" w:line="288" w:lineRule="auto"/>
        <w:jc w:val="center"/>
        <w:rPr>
          <w:rFonts w:eastAsia="黑体"/>
          <w:sz w:val="20"/>
          <w:szCs w:val="20"/>
        </w:rPr>
      </w:pPr>
      <w:bookmarkStart w:id="119" w:name="_Toc139613750"/>
      <w:r>
        <w:rPr>
          <w:rFonts w:eastAsia="黑体"/>
          <w:sz w:val="20"/>
          <w:szCs w:val="20"/>
        </w:rPr>
        <w:t>11</w:t>
      </w:r>
      <w:r>
        <w:rPr>
          <w:rFonts w:hint="eastAsia" w:eastAsia="黑体"/>
          <w:sz w:val="20"/>
          <w:szCs w:val="20"/>
        </w:rPr>
        <w:t>.2</w:t>
      </w:r>
      <w:r>
        <w:rPr>
          <w:rFonts w:eastAsia="黑体"/>
          <w:sz w:val="20"/>
          <w:szCs w:val="20"/>
        </w:rPr>
        <w:t xml:space="preserve">  </w:t>
      </w:r>
      <w:r>
        <w:rPr>
          <w:rFonts w:hint="eastAsia" w:eastAsia="黑体"/>
          <w:b w:val="0"/>
          <w:bCs w:val="0"/>
          <w:sz w:val="20"/>
          <w:szCs w:val="20"/>
        </w:rPr>
        <w:t>监测项目</w:t>
      </w:r>
      <w:bookmarkEnd w:id="119"/>
    </w:p>
    <w:p w14:paraId="274C1224">
      <w:pPr>
        <w:adjustRightInd w:val="0"/>
        <w:snapToGrid w:val="0"/>
        <w:spacing w:line="288" w:lineRule="auto"/>
        <w:rPr>
          <w:sz w:val="20"/>
          <w:szCs w:val="20"/>
        </w:rPr>
      </w:pPr>
      <w:r>
        <w:rPr>
          <w:rFonts w:eastAsia="黑体"/>
          <w:b/>
          <w:bCs/>
          <w:kern w:val="0"/>
          <w:sz w:val="20"/>
          <w:szCs w:val="20"/>
        </w:rPr>
        <w:t>11.2.1</w:t>
      </w:r>
      <w:r>
        <w:rPr>
          <w:rFonts w:eastAsia="黑体"/>
          <w:b/>
          <w:bCs/>
          <w:sz w:val="20"/>
          <w:szCs w:val="20"/>
        </w:rPr>
        <w:t xml:space="preserve"> </w:t>
      </w:r>
      <w:r>
        <w:rPr>
          <w:bCs/>
          <w:sz w:val="20"/>
          <w:szCs w:val="20"/>
        </w:rPr>
        <w:t xml:space="preserve"> </w:t>
      </w:r>
      <w:r>
        <w:rPr>
          <w:sz w:val="20"/>
          <w:szCs w:val="20"/>
        </w:rPr>
        <w:t>基坑工程的监测项目应与基坑支护设计、施工方案、工程现场实际情况相匹配。</w:t>
      </w:r>
    </w:p>
    <w:p w14:paraId="25FC0C9F">
      <w:pPr>
        <w:adjustRightInd w:val="0"/>
        <w:snapToGrid w:val="0"/>
        <w:spacing w:line="288" w:lineRule="auto"/>
        <w:rPr>
          <w:sz w:val="20"/>
          <w:szCs w:val="20"/>
        </w:rPr>
      </w:pPr>
      <w:r>
        <w:rPr>
          <w:rFonts w:eastAsia="黑体"/>
          <w:b/>
          <w:bCs/>
          <w:kern w:val="0"/>
          <w:sz w:val="20"/>
          <w:szCs w:val="20"/>
        </w:rPr>
        <w:t>11.2.2</w:t>
      </w:r>
      <w:r>
        <w:rPr>
          <w:bCs/>
          <w:sz w:val="20"/>
          <w:szCs w:val="20"/>
        </w:rPr>
        <w:t xml:space="preserve">  </w:t>
      </w:r>
      <w:r>
        <w:rPr>
          <w:sz w:val="20"/>
          <w:szCs w:val="20"/>
        </w:rPr>
        <w:t xml:space="preserve">基坑支护设计应根据基坑侧壁安全等级，按表11.2.2选择基坑监测项目。 </w:t>
      </w:r>
    </w:p>
    <w:p w14:paraId="120BA207">
      <w:pPr>
        <w:adjustRightInd w:val="0"/>
        <w:snapToGrid w:val="0"/>
        <w:spacing w:before="156" w:beforeLines="50" w:after="156" w:afterLines="50" w:line="288" w:lineRule="auto"/>
        <w:jc w:val="center"/>
        <w:rPr>
          <w:b/>
          <w:sz w:val="18"/>
          <w:szCs w:val="18"/>
        </w:rPr>
      </w:pPr>
      <w:r>
        <w:rPr>
          <w:b/>
          <w:sz w:val="18"/>
          <w:szCs w:val="18"/>
        </w:rPr>
        <w:t>表11.2.2  基坑监测项目</w:t>
      </w:r>
    </w:p>
    <w:tbl>
      <w:tblPr>
        <w:tblStyle w:val="34"/>
        <w:tblW w:w="4999" w:type="pct"/>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45" w:type="dxa"/>
          <w:left w:w="28" w:type="dxa"/>
          <w:bottom w:w="45" w:type="dxa"/>
          <w:right w:w="28" w:type="dxa"/>
        </w:tblCellMar>
      </w:tblPr>
      <w:tblGrid>
        <w:gridCol w:w="3476"/>
        <w:gridCol w:w="1627"/>
        <w:gridCol w:w="1700"/>
        <w:gridCol w:w="3115"/>
      </w:tblGrid>
      <w:tr w14:paraId="44BB7F2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Merge w:val="restart"/>
            <w:vAlign w:val="center"/>
          </w:tcPr>
          <w:p w14:paraId="7FD3F8E2">
            <w:pPr>
              <w:adjustRightInd w:val="0"/>
              <w:snapToGrid w:val="0"/>
              <w:spacing w:line="264" w:lineRule="auto"/>
              <w:jc w:val="center"/>
              <w:rPr>
                <w:sz w:val="15"/>
                <w:szCs w:val="15"/>
              </w:rPr>
            </w:pPr>
            <w:r>
              <w:rPr>
                <w:sz w:val="15"/>
                <w:szCs w:val="15"/>
              </w:rPr>
              <w:t>监测项目</w:t>
            </w:r>
          </w:p>
        </w:tc>
        <w:tc>
          <w:tcPr>
            <w:tcW w:w="3247" w:type="pct"/>
            <w:gridSpan w:val="3"/>
            <w:vAlign w:val="center"/>
          </w:tcPr>
          <w:p w14:paraId="13F75C3F">
            <w:pPr>
              <w:adjustRightInd w:val="0"/>
              <w:snapToGrid w:val="0"/>
              <w:spacing w:line="264" w:lineRule="auto"/>
              <w:jc w:val="center"/>
              <w:rPr>
                <w:sz w:val="15"/>
                <w:szCs w:val="15"/>
              </w:rPr>
            </w:pPr>
            <w:r>
              <w:rPr>
                <w:sz w:val="15"/>
                <w:szCs w:val="15"/>
              </w:rPr>
              <w:t>基坑侧壁安全等级</w:t>
            </w:r>
          </w:p>
        </w:tc>
      </w:tr>
      <w:tr w14:paraId="76BBFE0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Merge w:val="continue"/>
            <w:vAlign w:val="center"/>
          </w:tcPr>
          <w:p w14:paraId="1212D2A4">
            <w:pPr>
              <w:adjustRightInd w:val="0"/>
              <w:snapToGrid w:val="0"/>
              <w:spacing w:line="264" w:lineRule="auto"/>
              <w:jc w:val="center"/>
              <w:rPr>
                <w:sz w:val="15"/>
                <w:szCs w:val="15"/>
              </w:rPr>
            </w:pPr>
          </w:p>
        </w:tc>
        <w:tc>
          <w:tcPr>
            <w:tcW w:w="820" w:type="pct"/>
            <w:vAlign w:val="center"/>
          </w:tcPr>
          <w:p w14:paraId="1C368193">
            <w:pPr>
              <w:adjustRightInd w:val="0"/>
              <w:snapToGrid w:val="0"/>
              <w:spacing w:line="264" w:lineRule="auto"/>
              <w:jc w:val="center"/>
              <w:rPr>
                <w:sz w:val="15"/>
                <w:szCs w:val="15"/>
              </w:rPr>
            </w:pPr>
            <w:r>
              <w:rPr>
                <w:sz w:val="15"/>
                <w:szCs w:val="15"/>
              </w:rPr>
              <w:t>一级</w:t>
            </w:r>
          </w:p>
        </w:tc>
        <w:tc>
          <w:tcPr>
            <w:tcW w:w="857" w:type="pct"/>
            <w:vAlign w:val="center"/>
          </w:tcPr>
          <w:p w14:paraId="30429332">
            <w:pPr>
              <w:adjustRightInd w:val="0"/>
              <w:snapToGrid w:val="0"/>
              <w:spacing w:line="264" w:lineRule="auto"/>
              <w:jc w:val="center"/>
              <w:rPr>
                <w:sz w:val="15"/>
                <w:szCs w:val="15"/>
              </w:rPr>
            </w:pPr>
            <w:r>
              <w:rPr>
                <w:sz w:val="15"/>
                <w:szCs w:val="15"/>
              </w:rPr>
              <w:t>二级</w:t>
            </w:r>
          </w:p>
        </w:tc>
        <w:tc>
          <w:tcPr>
            <w:tcW w:w="1568" w:type="pct"/>
            <w:vAlign w:val="center"/>
          </w:tcPr>
          <w:p w14:paraId="62BE7CF1">
            <w:pPr>
              <w:adjustRightInd w:val="0"/>
              <w:snapToGrid w:val="0"/>
              <w:spacing w:line="264" w:lineRule="auto"/>
              <w:jc w:val="center"/>
              <w:rPr>
                <w:sz w:val="15"/>
                <w:szCs w:val="15"/>
              </w:rPr>
            </w:pPr>
            <w:r>
              <w:rPr>
                <w:sz w:val="15"/>
                <w:szCs w:val="15"/>
              </w:rPr>
              <w:t>三级</w:t>
            </w:r>
          </w:p>
        </w:tc>
      </w:tr>
      <w:tr w14:paraId="027FC37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5816978E">
            <w:pPr>
              <w:adjustRightInd w:val="0"/>
              <w:snapToGrid w:val="0"/>
              <w:spacing w:line="264" w:lineRule="auto"/>
              <w:jc w:val="center"/>
              <w:rPr>
                <w:sz w:val="15"/>
                <w:szCs w:val="15"/>
              </w:rPr>
            </w:pPr>
            <w:r>
              <w:rPr>
                <w:sz w:val="15"/>
                <w:szCs w:val="15"/>
              </w:rPr>
              <w:t>支护结构顶部水平位移</w:t>
            </w:r>
          </w:p>
        </w:tc>
        <w:tc>
          <w:tcPr>
            <w:tcW w:w="820" w:type="pct"/>
            <w:vAlign w:val="center"/>
          </w:tcPr>
          <w:p w14:paraId="2B76C541">
            <w:pPr>
              <w:adjustRightInd w:val="0"/>
              <w:snapToGrid w:val="0"/>
              <w:spacing w:line="264" w:lineRule="auto"/>
              <w:jc w:val="center"/>
              <w:rPr>
                <w:sz w:val="15"/>
                <w:szCs w:val="15"/>
              </w:rPr>
            </w:pPr>
            <w:r>
              <w:rPr>
                <w:sz w:val="15"/>
                <w:szCs w:val="15"/>
              </w:rPr>
              <w:t>应测</w:t>
            </w:r>
          </w:p>
        </w:tc>
        <w:tc>
          <w:tcPr>
            <w:tcW w:w="857" w:type="pct"/>
            <w:vAlign w:val="center"/>
          </w:tcPr>
          <w:p w14:paraId="52CE7470">
            <w:pPr>
              <w:adjustRightInd w:val="0"/>
              <w:snapToGrid w:val="0"/>
              <w:spacing w:line="264" w:lineRule="auto"/>
              <w:jc w:val="center"/>
              <w:rPr>
                <w:sz w:val="15"/>
                <w:szCs w:val="15"/>
              </w:rPr>
            </w:pPr>
            <w:r>
              <w:rPr>
                <w:sz w:val="15"/>
                <w:szCs w:val="15"/>
              </w:rPr>
              <w:t>应测</w:t>
            </w:r>
          </w:p>
        </w:tc>
        <w:tc>
          <w:tcPr>
            <w:tcW w:w="1568" w:type="pct"/>
            <w:vAlign w:val="center"/>
          </w:tcPr>
          <w:p w14:paraId="5E42547D">
            <w:pPr>
              <w:adjustRightInd w:val="0"/>
              <w:snapToGrid w:val="0"/>
              <w:spacing w:line="264" w:lineRule="auto"/>
              <w:jc w:val="center"/>
              <w:rPr>
                <w:sz w:val="15"/>
                <w:szCs w:val="15"/>
              </w:rPr>
            </w:pPr>
            <w:r>
              <w:rPr>
                <w:sz w:val="15"/>
                <w:szCs w:val="15"/>
              </w:rPr>
              <w:t>应测</w:t>
            </w:r>
          </w:p>
        </w:tc>
      </w:tr>
      <w:tr w14:paraId="4C3042A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3415ACE3">
            <w:pPr>
              <w:adjustRightInd w:val="0"/>
              <w:snapToGrid w:val="0"/>
              <w:spacing w:line="264" w:lineRule="auto"/>
              <w:jc w:val="center"/>
              <w:rPr>
                <w:sz w:val="15"/>
                <w:szCs w:val="15"/>
              </w:rPr>
            </w:pPr>
            <w:r>
              <w:rPr>
                <w:sz w:val="15"/>
                <w:szCs w:val="15"/>
              </w:rPr>
              <w:t>基坑周边建（构）筑物、地下管线、道路沉降</w:t>
            </w:r>
          </w:p>
        </w:tc>
        <w:tc>
          <w:tcPr>
            <w:tcW w:w="820" w:type="pct"/>
            <w:vAlign w:val="center"/>
          </w:tcPr>
          <w:p w14:paraId="3B240910">
            <w:pPr>
              <w:adjustRightInd w:val="0"/>
              <w:snapToGrid w:val="0"/>
              <w:spacing w:line="264" w:lineRule="auto"/>
              <w:jc w:val="center"/>
              <w:rPr>
                <w:sz w:val="15"/>
                <w:szCs w:val="15"/>
              </w:rPr>
            </w:pPr>
            <w:r>
              <w:rPr>
                <w:sz w:val="15"/>
                <w:szCs w:val="15"/>
              </w:rPr>
              <w:t>应测</w:t>
            </w:r>
          </w:p>
        </w:tc>
        <w:tc>
          <w:tcPr>
            <w:tcW w:w="857" w:type="pct"/>
            <w:vAlign w:val="center"/>
          </w:tcPr>
          <w:p w14:paraId="1A42EA44">
            <w:pPr>
              <w:adjustRightInd w:val="0"/>
              <w:snapToGrid w:val="0"/>
              <w:spacing w:line="264" w:lineRule="auto"/>
              <w:jc w:val="center"/>
              <w:rPr>
                <w:sz w:val="15"/>
                <w:szCs w:val="15"/>
              </w:rPr>
            </w:pPr>
            <w:r>
              <w:rPr>
                <w:sz w:val="15"/>
                <w:szCs w:val="15"/>
              </w:rPr>
              <w:t>应测</w:t>
            </w:r>
          </w:p>
        </w:tc>
        <w:tc>
          <w:tcPr>
            <w:tcW w:w="1568" w:type="pct"/>
            <w:vAlign w:val="center"/>
          </w:tcPr>
          <w:p w14:paraId="0669081B">
            <w:pPr>
              <w:adjustRightInd w:val="0"/>
              <w:snapToGrid w:val="0"/>
              <w:spacing w:line="264" w:lineRule="auto"/>
              <w:jc w:val="center"/>
              <w:rPr>
                <w:sz w:val="15"/>
                <w:szCs w:val="15"/>
              </w:rPr>
            </w:pPr>
            <w:r>
              <w:rPr>
                <w:sz w:val="15"/>
                <w:szCs w:val="15"/>
              </w:rPr>
              <w:t>可测</w:t>
            </w:r>
          </w:p>
        </w:tc>
      </w:tr>
      <w:tr w14:paraId="48E12BE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3DF45F62">
            <w:pPr>
              <w:adjustRightInd w:val="0"/>
              <w:snapToGrid w:val="0"/>
              <w:spacing w:line="264" w:lineRule="auto"/>
              <w:jc w:val="center"/>
              <w:rPr>
                <w:sz w:val="15"/>
                <w:szCs w:val="15"/>
              </w:rPr>
            </w:pPr>
            <w:r>
              <w:rPr>
                <w:sz w:val="15"/>
                <w:szCs w:val="15"/>
              </w:rPr>
              <w:t>基坑周边地面沉降</w:t>
            </w:r>
          </w:p>
        </w:tc>
        <w:tc>
          <w:tcPr>
            <w:tcW w:w="820" w:type="pct"/>
            <w:vAlign w:val="center"/>
          </w:tcPr>
          <w:p w14:paraId="17305D0D">
            <w:pPr>
              <w:adjustRightInd w:val="0"/>
              <w:snapToGrid w:val="0"/>
              <w:spacing w:line="264" w:lineRule="auto"/>
              <w:jc w:val="center"/>
              <w:rPr>
                <w:sz w:val="15"/>
                <w:szCs w:val="15"/>
              </w:rPr>
            </w:pPr>
            <w:r>
              <w:rPr>
                <w:sz w:val="15"/>
                <w:szCs w:val="15"/>
              </w:rPr>
              <w:t>应测</w:t>
            </w:r>
          </w:p>
        </w:tc>
        <w:tc>
          <w:tcPr>
            <w:tcW w:w="857" w:type="pct"/>
            <w:vAlign w:val="center"/>
          </w:tcPr>
          <w:p w14:paraId="2CC4970B">
            <w:pPr>
              <w:adjustRightInd w:val="0"/>
              <w:snapToGrid w:val="0"/>
              <w:spacing w:line="264" w:lineRule="auto"/>
              <w:jc w:val="center"/>
              <w:rPr>
                <w:sz w:val="15"/>
                <w:szCs w:val="15"/>
              </w:rPr>
            </w:pPr>
            <w:r>
              <w:rPr>
                <w:sz w:val="15"/>
                <w:szCs w:val="15"/>
              </w:rPr>
              <w:t>应测</w:t>
            </w:r>
          </w:p>
        </w:tc>
        <w:tc>
          <w:tcPr>
            <w:tcW w:w="1568" w:type="pct"/>
            <w:vAlign w:val="center"/>
          </w:tcPr>
          <w:p w14:paraId="2CAB3855">
            <w:pPr>
              <w:adjustRightInd w:val="0"/>
              <w:snapToGrid w:val="0"/>
              <w:spacing w:line="264" w:lineRule="auto"/>
              <w:jc w:val="center"/>
              <w:rPr>
                <w:sz w:val="15"/>
                <w:szCs w:val="15"/>
              </w:rPr>
            </w:pPr>
            <w:r>
              <w:rPr>
                <w:sz w:val="15"/>
                <w:szCs w:val="15"/>
              </w:rPr>
              <w:t>可测</w:t>
            </w:r>
          </w:p>
        </w:tc>
      </w:tr>
      <w:tr w14:paraId="62491A1A">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3D884439">
            <w:pPr>
              <w:adjustRightInd w:val="0"/>
              <w:snapToGrid w:val="0"/>
              <w:spacing w:line="264" w:lineRule="auto"/>
              <w:jc w:val="center"/>
              <w:rPr>
                <w:sz w:val="15"/>
                <w:szCs w:val="15"/>
              </w:rPr>
            </w:pPr>
            <w:r>
              <w:rPr>
                <w:sz w:val="15"/>
                <w:szCs w:val="15"/>
              </w:rPr>
              <w:t>支护结构顶部竖向位移</w:t>
            </w:r>
          </w:p>
        </w:tc>
        <w:tc>
          <w:tcPr>
            <w:tcW w:w="820" w:type="pct"/>
            <w:vAlign w:val="center"/>
          </w:tcPr>
          <w:p w14:paraId="587BB092">
            <w:pPr>
              <w:adjustRightInd w:val="0"/>
              <w:snapToGrid w:val="0"/>
              <w:spacing w:line="264" w:lineRule="auto"/>
              <w:jc w:val="center"/>
              <w:rPr>
                <w:sz w:val="15"/>
                <w:szCs w:val="15"/>
              </w:rPr>
            </w:pPr>
            <w:r>
              <w:rPr>
                <w:sz w:val="15"/>
                <w:szCs w:val="15"/>
              </w:rPr>
              <w:t>应测</w:t>
            </w:r>
          </w:p>
        </w:tc>
        <w:tc>
          <w:tcPr>
            <w:tcW w:w="857" w:type="pct"/>
            <w:vAlign w:val="center"/>
          </w:tcPr>
          <w:p w14:paraId="617CA79E">
            <w:pPr>
              <w:adjustRightInd w:val="0"/>
              <w:snapToGrid w:val="0"/>
              <w:spacing w:line="264" w:lineRule="auto"/>
              <w:jc w:val="center"/>
              <w:rPr>
                <w:sz w:val="15"/>
                <w:szCs w:val="15"/>
              </w:rPr>
            </w:pPr>
            <w:r>
              <w:rPr>
                <w:sz w:val="15"/>
                <w:szCs w:val="15"/>
              </w:rPr>
              <w:t>应测（土钉墙及复合土钉墙）</w:t>
            </w:r>
          </w:p>
        </w:tc>
        <w:tc>
          <w:tcPr>
            <w:tcW w:w="1568" w:type="pct"/>
            <w:vAlign w:val="center"/>
          </w:tcPr>
          <w:p w14:paraId="4FE48ABD">
            <w:pPr>
              <w:adjustRightInd w:val="0"/>
              <w:snapToGrid w:val="0"/>
              <w:spacing w:line="264" w:lineRule="auto"/>
              <w:jc w:val="center"/>
              <w:rPr>
                <w:sz w:val="15"/>
                <w:szCs w:val="15"/>
              </w:rPr>
            </w:pPr>
            <w:r>
              <w:rPr>
                <w:sz w:val="15"/>
                <w:szCs w:val="15"/>
              </w:rPr>
              <w:t>应测（土钉墙及复合土钉墙</w:t>
            </w:r>
          </w:p>
        </w:tc>
      </w:tr>
      <w:tr w14:paraId="3044480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2801CF41">
            <w:pPr>
              <w:adjustRightInd w:val="0"/>
              <w:snapToGrid w:val="0"/>
              <w:spacing w:line="264" w:lineRule="auto"/>
              <w:jc w:val="center"/>
              <w:rPr>
                <w:sz w:val="15"/>
                <w:szCs w:val="15"/>
              </w:rPr>
            </w:pPr>
            <w:r>
              <w:rPr>
                <w:sz w:val="15"/>
                <w:szCs w:val="15"/>
              </w:rPr>
              <w:t>支护结构深部水平位移</w:t>
            </w:r>
          </w:p>
        </w:tc>
        <w:tc>
          <w:tcPr>
            <w:tcW w:w="820" w:type="pct"/>
            <w:vAlign w:val="center"/>
          </w:tcPr>
          <w:p w14:paraId="3E415C0A">
            <w:pPr>
              <w:adjustRightInd w:val="0"/>
              <w:snapToGrid w:val="0"/>
              <w:spacing w:line="264" w:lineRule="auto"/>
              <w:jc w:val="center"/>
              <w:rPr>
                <w:sz w:val="15"/>
                <w:szCs w:val="15"/>
              </w:rPr>
            </w:pPr>
            <w:r>
              <w:rPr>
                <w:sz w:val="15"/>
                <w:szCs w:val="15"/>
              </w:rPr>
              <w:t>应测</w:t>
            </w:r>
          </w:p>
        </w:tc>
        <w:tc>
          <w:tcPr>
            <w:tcW w:w="857" w:type="pct"/>
            <w:vAlign w:val="center"/>
          </w:tcPr>
          <w:p w14:paraId="405771E9">
            <w:pPr>
              <w:adjustRightInd w:val="0"/>
              <w:snapToGrid w:val="0"/>
              <w:spacing w:line="264" w:lineRule="auto"/>
              <w:jc w:val="center"/>
              <w:rPr>
                <w:sz w:val="15"/>
                <w:szCs w:val="15"/>
              </w:rPr>
            </w:pPr>
            <w:r>
              <w:rPr>
                <w:sz w:val="15"/>
                <w:szCs w:val="15"/>
              </w:rPr>
              <w:t>宜测</w:t>
            </w:r>
          </w:p>
        </w:tc>
        <w:tc>
          <w:tcPr>
            <w:tcW w:w="1568" w:type="pct"/>
            <w:vAlign w:val="center"/>
          </w:tcPr>
          <w:p w14:paraId="36F28090">
            <w:pPr>
              <w:adjustRightInd w:val="0"/>
              <w:snapToGrid w:val="0"/>
              <w:spacing w:line="264" w:lineRule="auto"/>
              <w:jc w:val="center"/>
              <w:rPr>
                <w:sz w:val="15"/>
                <w:szCs w:val="15"/>
              </w:rPr>
            </w:pPr>
            <w:r>
              <w:rPr>
                <w:sz w:val="15"/>
                <w:szCs w:val="15"/>
              </w:rPr>
              <w:t>可测</w:t>
            </w:r>
          </w:p>
        </w:tc>
      </w:tr>
      <w:tr w14:paraId="47CAE9CF">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1FDBF927">
            <w:pPr>
              <w:adjustRightInd w:val="0"/>
              <w:snapToGrid w:val="0"/>
              <w:spacing w:line="264" w:lineRule="auto"/>
              <w:jc w:val="center"/>
              <w:rPr>
                <w:sz w:val="15"/>
                <w:szCs w:val="15"/>
              </w:rPr>
            </w:pPr>
            <w:r>
              <w:rPr>
                <w:sz w:val="15"/>
                <w:szCs w:val="15"/>
              </w:rPr>
              <w:t>锚杆</w:t>
            </w:r>
            <w:r>
              <w:rPr>
                <w:rFonts w:hint="eastAsia"/>
                <w:sz w:val="15"/>
                <w:szCs w:val="15"/>
              </w:rPr>
              <w:t>轴</w:t>
            </w:r>
            <w:r>
              <w:rPr>
                <w:sz w:val="15"/>
                <w:szCs w:val="15"/>
              </w:rPr>
              <w:t>力</w:t>
            </w:r>
          </w:p>
        </w:tc>
        <w:tc>
          <w:tcPr>
            <w:tcW w:w="820" w:type="pct"/>
            <w:vAlign w:val="center"/>
          </w:tcPr>
          <w:p w14:paraId="5FFB0FF2">
            <w:pPr>
              <w:adjustRightInd w:val="0"/>
              <w:snapToGrid w:val="0"/>
              <w:spacing w:line="264" w:lineRule="auto"/>
              <w:jc w:val="center"/>
              <w:rPr>
                <w:sz w:val="15"/>
                <w:szCs w:val="15"/>
              </w:rPr>
            </w:pPr>
            <w:r>
              <w:rPr>
                <w:sz w:val="15"/>
                <w:szCs w:val="15"/>
              </w:rPr>
              <w:t>应测</w:t>
            </w:r>
          </w:p>
        </w:tc>
        <w:tc>
          <w:tcPr>
            <w:tcW w:w="857" w:type="pct"/>
            <w:vAlign w:val="center"/>
          </w:tcPr>
          <w:p w14:paraId="5DD5FFC5">
            <w:pPr>
              <w:adjustRightInd w:val="0"/>
              <w:snapToGrid w:val="0"/>
              <w:spacing w:line="264" w:lineRule="auto"/>
              <w:jc w:val="center"/>
              <w:rPr>
                <w:sz w:val="15"/>
                <w:szCs w:val="15"/>
              </w:rPr>
            </w:pPr>
            <w:r>
              <w:rPr>
                <w:sz w:val="15"/>
                <w:szCs w:val="15"/>
              </w:rPr>
              <w:t>应测（锚拉式）</w:t>
            </w:r>
          </w:p>
        </w:tc>
        <w:tc>
          <w:tcPr>
            <w:tcW w:w="1568" w:type="pct"/>
            <w:vAlign w:val="center"/>
          </w:tcPr>
          <w:p w14:paraId="3F199579">
            <w:pPr>
              <w:adjustRightInd w:val="0"/>
              <w:snapToGrid w:val="0"/>
              <w:spacing w:line="264" w:lineRule="auto"/>
              <w:jc w:val="center"/>
              <w:rPr>
                <w:sz w:val="15"/>
                <w:szCs w:val="15"/>
              </w:rPr>
            </w:pPr>
            <w:r>
              <w:rPr>
                <w:kern w:val="0"/>
                <w:sz w:val="15"/>
                <w:szCs w:val="15"/>
              </w:rPr>
              <w:t>—</w:t>
            </w:r>
          </w:p>
        </w:tc>
      </w:tr>
      <w:tr w14:paraId="4564F42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20BA2A47">
            <w:pPr>
              <w:adjustRightInd w:val="0"/>
              <w:snapToGrid w:val="0"/>
              <w:spacing w:line="264" w:lineRule="auto"/>
              <w:jc w:val="center"/>
              <w:rPr>
                <w:sz w:val="15"/>
                <w:szCs w:val="15"/>
              </w:rPr>
            </w:pPr>
            <w:r>
              <w:rPr>
                <w:sz w:val="15"/>
                <w:szCs w:val="15"/>
              </w:rPr>
              <w:t>支撑</w:t>
            </w:r>
            <w:r>
              <w:rPr>
                <w:rFonts w:hint="eastAsia"/>
                <w:sz w:val="15"/>
                <w:szCs w:val="15"/>
              </w:rPr>
              <w:t>轴</w:t>
            </w:r>
            <w:r>
              <w:rPr>
                <w:sz w:val="15"/>
                <w:szCs w:val="15"/>
              </w:rPr>
              <w:t>力</w:t>
            </w:r>
          </w:p>
        </w:tc>
        <w:tc>
          <w:tcPr>
            <w:tcW w:w="820" w:type="pct"/>
            <w:vAlign w:val="center"/>
          </w:tcPr>
          <w:p w14:paraId="7DC337ED">
            <w:pPr>
              <w:adjustRightInd w:val="0"/>
              <w:snapToGrid w:val="0"/>
              <w:spacing w:line="264" w:lineRule="auto"/>
              <w:jc w:val="center"/>
              <w:rPr>
                <w:sz w:val="15"/>
                <w:szCs w:val="15"/>
              </w:rPr>
            </w:pPr>
            <w:r>
              <w:rPr>
                <w:sz w:val="15"/>
                <w:szCs w:val="15"/>
              </w:rPr>
              <w:t>应测</w:t>
            </w:r>
          </w:p>
        </w:tc>
        <w:tc>
          <w:tcPr>
            <w:tcW w:w="857" w:type="pct"/>
            <w:vAlign w:val="center"/>
          </w:tcPr>
          <w:p w14:paraId="6548CA65">
            <w:pPr>
              <w:adjustRightInd w:val="0"/>
              <w:snapToGrid w:val="0"/>
              <w:spacing w:line="264" w:lineRule="auto"/>
              <w:jc w:val="center"/>
              <w:rPr>
                <w:sz w:val="15"/>
                <w:szCs w:val="15"/>
              </w:rPr>
            </w:pPr>
            <w:r>
              <w:rPr>
                <w:sz w:val="15"/>
                <w:szCs w:val="15"/>
              </w:rPr>
              <w:t>应测（支撑式）</w:t>
            </w:r>
          </w:p>
        </w:tc>
        <w:tc>
          <w:tcPr>
            <w:tcW w:w="1568" w:type="pct"/>
            <w:vAlign w:val="center"/>
          </w:tcPr>
          <w:p w14:paraId="6A291551">
            <w:pPr>
              <w:adjustRightInd w:val="0"/>
              <w:snapToGrid w:val="0"/>
              <w:spacing w:line="264" w:lineRule="auto"/>
              <w:jc w:val="center"/>
              <w:rPr>
                <w:sz w:val="15"/>
                <w:szCs w:val="15"/>
              </w:rPr>
            </w:pPr>
            <w:r>
              <w:rPr>
                <w:kern w:val="0"/>
                <w:sz w:val="15"/>
                <w:szCs w:val="15"/>
              </w:rPr>
              <w:t>—</w:t>
            </w:r>
          </w:p>
        </w:tc>
      </w:tr>
      <w:tr w14:paraId="083810C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45914D62">
            <w:pPr>
              <w:adjustRightInd w:val="0"/>
              <w:snapToGrid w:val="0"/>
              <w:spacing w:line="264" w:lineRule="auto"/>
              <w:jc w:val="center"/>
              <w:rPr>
                <w:sz w:val="15"/>
                <w:szCs w:val="15"/>
              </w:rPr>
            </w:pPr>
            <w:r>
              <w:rPr>
                <w:sz w:val="15"/>
                <w:szCs w:val="15"/>
              </w:rPr>
              <w:t>挡土构件内力</w:t>
            </w:r>
          </w:p>
        </w:tc>
        <w:tc>
          <w:tcPr>
            <w:tcW w:w="820" w:type="pct"/>
            <w:vAlign w:val="center"/>
          </w:tcPr>
          <w:p w14:paraId="5B2A9167">
            <w:pPr>
              <w:adjustRightInd w:val="0"/>
              <w:snapToGrid w:val="0"/>
              <w:spacing w:line="264" w:lineRule="auto"/>
              <w:jc w:val="center"/>
              <w:rPr>
                <w:sz w:val="15"/>
                <w:szCs w:val="15"/>
              </w:rPr>
            </w:pPr>
            <w:r>
              <w:rPr>
                <w:sz w:val="15"/>
                <w:szCs w:val="15"/>
              </w:rPr>
              <w:t>可测</w:t>
            </w:r>
          </w:p>
        </w:tc>
        <w:tc>
          <w:tcPr>
            <w:tcW w:w="857" w:type="pct"/>
            <w:vAlign w:val="center"/>
          </w:tcPr>
          <w:p w14:paraId="2F2C924E">
            <w:pPr>
              <w:adjustRightInd w:val="0"/>
              <w:snapToGrid w:val="0"/>
              <w:spacing w:line="264" w:lineRule="auto"/>
              <w:jc w:val="center"/>
              <w:rPr>
                <w:sz w:val="15"/>
                <w:szCs w:val="15"/>
              </w:rPr>
            </w:pPr>
            <w:r>
              <w:rPr>
                <w:sz w:val="15"/>
                <w:szCs w:val="15"/>
              </w:rPr>
              <w:t>可测</w:t>
            </w:r>
          </w:p>
        </w:tc>
        <w:tc>
          <w:tcPr>
            <w:tcW w:w="1568" w:type="pct"/>
            <w:vAlign w:val="center"/>
          </w:tcPr>
          <w:p w14:paraId="79DC90C4">
            <w:pPr>
              <w:adjustRightInd w:val="0"/>
              <w:snapToGrid w:val="0"/>
              <w:spacing w:line="264" w:lineRule="auto"/>
              <w:jc w:val="center"/>
              <w:rPr>
                <w:sz w:val="15"/>
                <w:szCs w:val="15"/>
              </w:rPr>
            </w:pPr>
            <w:r>
              <w:rPr>
                <w:sz w:val="15"/>
                <w:szCs w:val="15"/>
              </w:rPr>
              <w:t>可测</w:t>
            </w:r>
          </w:p>
        </w:tc>
      </w:tr>
      <w:tr w14:paraId="1A03CC28">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63C9A8E0">
            <w:pPr>
              <w:adjustRightInd w:val="0"/>
              <w:snapToGrid w:val="0"/>
              <w:spacing w:line="264" w:lineRule="auto"/>
              <w:jc w:val="center"/>
              <w:rPr>
                <w:sz w:val="15"/>
                <w:szCs w:val="15"/>
              </w:rPr>
            </w:pPr>
            <w:r>
              <w:rPr>
                <w:sz w:val="15"/>
                <w:szCs w:val="15"/>
              </w:rPr>
              <w:t>支撑立柱竖向位移</w:t>
            </w:r>
          </w:p>
        </w:tc>
        <w:tc>
          <w:tcPr>
            <w:tcW w:w="820" w:type="pct"/>
            <w:vAlign w:val="center"/>
          </w:tcPr>
          <w:p w14:paraId="46D1DE9C">
            <w:pPr>
              <w:adjustRightInd w:val="0"/>
              <w:snapToGrid w:val="0"/>
              <w:spacing w:line="264" w:lineRule="auto"/>
              <w:jc w:val="center"/>
              <w:rPr>
                <w:sz w:val="15"/>
                <w:szCs w:val="15"/>
              </w:rPr>
            </w:pPr>
            <w:r>
              <w:rPr>
                <w:sz w:val="15"/>
                <w:szCs w:val="15"/>
              </w:rPr>
              <w:t>应测</w:t>
            </w:r>
          </w:p>
        </w:tc>
        <w:tc>
          <w:tcPr>
            <w:tcW w:w="857" w:type="pct"/>
            <w:vAlign w:val="center"/>
          </w:tcPr>
          <w:p w14:paraId="3E3FDBFF">
            <w:pPr>
              <w:adjustRightInd w:val="0"/>
              <w:snapToGrid w:val="0"/>
              <w:spacing w:line="264" w:lineRule="auto"/>
              <w:jc w:val="center"/>
              <w:rPr>
                <w:sz w:val="15"/>
                <w:szCs w:val="15"/>
              </w:rPr>
            </w:pPr>
            <w:r>
              <w:rPr>
                <w:sz w:val="15"/>
                <w:szCs w:val="15"/>
              </w:rPr>
              <w:t>宜测</w:t>
            </w:r>
          </w:p>
        </w:tc>
        <w:tc>
          <w:tcPr>
            <w:tcW w:w="1568" w:type="pct"/>
            <w:vAlign w:val="center"/>
          </w:tcPr>
          <w:p w14:paraId="1F1E3177">
            <w:pPr>
              <w:adjustRightInd w:val="0"/>
              <w:snapToGrid w:val="0"/>
              <w:spacing w:line="264" w:lineRule="auto"/>
              <w:jc w:val="center"/>
              <w:rPr>
                <w:sz w:val="15"/>
                <w:szCs w:val="15"/>
              </w:rPr>
            </w:pPr>
            <w:r>
              <w:rPr>
                <w:kern w:val="0"/>
                <w:sz w:val="15"/>
                <w:szCs w:val="15"/>
              </w:rPr>
              <w:t>—</w:t>
            </w:r>
          </w:p>
        </w:tc>
      </w:tr>
      <w:tr w14:paraId="7A265AF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4D9390D3">
            <w:pPr>
              <w:adjustRightInd w:val="0"/>
              <w:snapToGrid w:val="0"/>
              <w:spacing w:line="264" w:lineRule="auto"/>
              <w:jc w:val="center"/>
              <w:rPr>
                <w:sz w:val="15"/>
                <w:szCs w:val="15"/>
              </w:rPr>
            </w:pPr>
            <w:r>
              <w:rPr>
                <w:sz w:val="15"/>
                <w:szCs w:val="15"/>
              </w:rPr>
              <w:t>地下水位</w:t>
            </w:r>
          </w:p>
        </w:tc>
        <w:tc>
          <w:tcPr>
            <w:tcW w:w="820" w:type="pct"/>
            <w:vAlign w:val="center"/>
          </w:tcPr>
          <w:p w14:paraId="50635F5D">
            <w:pPr>
              <w:adjustRightInd w:val="0"/>
              <w:snapToGrid w:val="0"/>
              <w:spacing w:line="264" w:lineRule="auto"/>
              <w:jc w:val="center"/>
              <w:rPr>
                <w:sz w:val="15"/>
                <w:szCs w:val="15"/>
              </w:rPr>
            </w:pPr>
            <w:r>
              <w:rPr>
                <w:sz w:val="15"/>
                <w:szCs w:val="15"/>
              </w:rPr>
              <w:t>应测</w:t>
            </w:r>
          </w:p>
        </w:tc>
        <w:tc>
          <w:tcPr>
            <w:tcW w:w="857" w:type="pct"/>
            <w:vAlign w:val="center"/>
          </w:tcPr>
          <w:p w14:paraId="3E1A374F">
            <w:pPr>
              <w:adjustRightInd w:val="0"/>
              <w:snapToGrid w:val="0"/>
              <w:spacing w:line="264" w:lineRule="auto"/>
              <w:jc w:val="center"/>
              <w:rPr>
                <w:sz w:val="15"/>
                <w:szCs w:val="15"/>
              </w:rPr>
            </w:pPr>
            <w:r>
              <w:rPr>
                <w:sz w:val="15"/>
                <w:szCs w:val="15"/>
              </w:rPr>
              <w:t>应测</w:t>
            </w:r>
          </w:p>
        </w:tc>
        <w:tc>
          <w:tcPr>
            <w:tcW w:w="1568" w:type="pct"/>
            <w:vAlign w:val="center"/>
          </w:tcPr>
          <w:p w14:paraId="501BF9B1">
            <w:pPr>
              <w:adjustRightInd w:val="0"/>
              <w:snapToGrid w:val="0"/>
              <w:spacing w:line="264" w:lineRule="auto"/>
              <w:jc w:val="center"/>
              <w:rPr>
                <w:sz w:val="15"/>
                <w:szCs w:val="15"/>
              </w:rPr>
            </w:pPr>
            <w:r>
              <w:rPr>
                <w:sz w:val="15"/>
                <w:szCs w:val="15"/>
              </w:rPr>
              <w:t>应测</w:t>
            </w:r>
          </w:p>
        </w:tc>
      </w:tr>
      <w:tr w14:paraId="0F21DE98">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258F6310">
            <w:pPr>
              <w:adjustRightInd w:val="0"/>
              <w:snapToGrid w:val="0"/>
              <w:spacing w:line="264" w:lineRule="auto"/>
              <w:jc w:val="center"/>
              <w:rPr>
                <w:sz w:val="15"/>
                <w:szCs w:val="15"/>
              </w:rPr>
            </w:pPr>
            <w:r>
              <w:rPr>
                <w:sz w:val="15"/>
                <w:szCs w:val="15"/>
              </w:rPr>
              <w:t>土压力</w:t>
            </w:r>
          </w:p>
        </w:tc>
        <w:tc>
          <w:tcPr>
            <w:tcW w:w="820" w:type="pct"/>
            <w:vAlign w:val="center"/>
          </w:tcPr>
          <w:p w14:paraId="20236485">
            <w:pPr>
              <w:adjustRightInd w:val="0"/>
              <w:snapToGrid w:val="0"/>
              <w:spacing w:line="264" w:lineRule="auto"/>
              <w:jc w:val="center"/>
              <w:rPr>
                <w:sz w:val="15"/>
                <w:szCs w:val="15"/>
              </w:rPr>
            </w:pPr>
            <w:r>
              <w:rPr>
                <w:sz w:val="15"/>
                <w:szCs w:val="15"/>
              </w:rPr>
              <w:t>可测</w:t>
            </w:r>
          </w:p>
        </w:tc>
        <w:tc>
          <w:tcPr>
            <w:tcW w:w="857" w:type="pct"/>
            <w:vAlign w:val="center"/>
          </w:tcPr>
          <w:p w14:paraId="33FAE8F3">
            <w:pPr>
              <w:adjustRightInd w:val="0"/>
              <w:snapToGrid w:val="0"/>
              <w:spacing w:line="264" w:lineRule="auto"/>
              <w:jc w:val="center"/>
              <w:rPr>
                <w:sz w:val="15"/>
                <w:szCs w:val="15"/>
              </w:rPr>
            </w:pPr>
            <w:r>
              <w:rPr>
                <w:sz w:val="15"/>
                <w:szCs w:val="15"/>
              </w:rPr>
              <w:t>可测</w:t>
            </w:r>
          </w:p>
        </w:tc>
        <w:tc>
          <w:tcPr>
            <w:tcW w:w="1568" w:type="pct"/>
            <w:vAlign w:val="center"/>
          </w:tcPr>
          <w:p w14:paraId="04A27E94">
            <w:pPr>
              <w:adjustRightInd w:val="0"/>
              <w:snapToGrid w:val="0"/>
              <w:spacing w:line="264" w:lineRule="auto"/>
              <w:jc w:val="center"/>
              <w:rPr>
                <w:sz w:val="15"/>
                <w:szCs w:val="15"/>
              </w:rPr>
            </w:pPr>
            <w:r>
              <w:rPr>
                <w:sz w:val="15"/>
                <w:szCs w:val="15"/>
              </w:rPr>
              <w:t>可测</w:t>
            </w:r>
          </w:p>
        </w:tc>
      </w:tr>
      <w:tr w14:paraId="578FCA95">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474B2AE4">
            <w:pPr>
              <w:adjustRightInd w:val="0"/>
              <w:snapToGrid w:val="0"/>
              <w:spacing w:line="264" w:lineRule="auto"/>
              <w:jc w:val="center"/>
              <w:rPr>
                <w:sz w:val="15"/>
                <w:szCs w:val="15"/>
              </w:rPr>
            </w:pPr>
            <w:r>
              <w:rPr>
                <w:sz w:val="15"/>
                <w:szCs w:val="15"/>
              </w:rPr>
              <w:t>孔隙水压力</w:t>
            </w:r>
          </w:p>
        </w:tc>
        <w:tc>
          <w:tcPr>
            <w:tcW w:w="820" w:type="pct"/>
            <w:vAlign w:val="center"/>
          </w:tcPr>
          <w:p w14:paraId="39F0DEE5">
            <w:pPr>
              <w:adjustRightInd w:val="0"/>
              <w:snapToGrid w:val="0"/>
              <w:spacing w:line="264" w:lineRule="auto"/>
              <w:jc w:val="center"/>
              <w:rPr>
                <w:sz w:val="15"/>
                <w:szCs w:val="15"/>
              </w:rPr>
            </w:pPr>
            <w:r>
              <w:rPr>
                <w:sz w:val="15"/>
                <w:szCs w:val="15"/>
              </w:rPr>
              <w:t>可测</w:t>
            </w:r>
          </w:p>
        </w:tc>
        <w:tc>
          <w:tcPr>
            <w:tcW w:w="857" w:type="pct"/>
            <w:vAlign w:val="center"/>
          </w:tcPr>
          <w:p w14:paraId="49B84472">
            <w:pPr>
              <w:adjustRightInd w:val="0"/>
              <w:snapToGrid w:val="0"/>
              <w:spacing w:line="264" w:lineRule="auto"/>
              <w:jc w:val="center"/>
              <w:rPr>
                <w:sz w:val="15"/>
                <w:szCs w:val="15"/>
              </w:rPr>
            </w:pPr>
            <w:r>
              <w:rPr>
                <w:kern w:val="0"/>
                <w:sz w:val="15"/>
                <w:szCs w:val="15"/>
              </w:rPr>
              <w:t>—</w:t>
            </w:r>
          </w:p>
        </w:tc>
        <w:tc>
          <w:tcPr>
            <w:tcW w:w="1568" w:type="pct"/>
            <w:vAlign w:val="center"/>
          </w:tcPr>
          <w:p w14:paraId="77B999D2">
            <w:pPr>
              <w:adjustRightInd w:val="0"/>
              <w:snapToGrid w:val="0"/>
              <w:spacing w:line="264" w:lineRule="auto"/>
              <w:jc w:val="center"/>
              <w:rPr>
                <w:sz w:val="15"/>
                <w:szCs w:val="15"/>
              </w:rPr>
            </w:pPr>
            <w:r>
              <w:rPr>
                <w:kern w:val="0"/>
                <w:sz w:val="15"/>
                <w:szCs w:val="15"/>
              </w:rPr>
              <w:t>—</w:t>
            </w:r>
          </w:p>
        </w:tc>
      </w:tr>
      <w:tr w14:paraId="1F0C95BA">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52" w:type="pct"/>
            <w:vAlign w:val="center"/>
          </w:tcPr>
          <w:p w14:paraId="38473A4A">
            <w:pPr>
              <w:adjustRightInd w:val="0"/>
              <w:snapToGrid w:val="0"/>
              <w:spacing w:line="264" w:lineRule="auto"/>
              <w:jc w:val="center"/>
              <w:rPr>
                <w:sz w:val="15"/>
                <w:szCs w:val="15"/>
              </w:rPr>
            </w:pPr>
            <w:r>
              <w:rPr>
                <w:sz w:val="15"/>
                <w:szCs w:val="15"/>
              </w:rPr>
              <w:t>立柱内力</w:t>
            </w:r>
          </w:p>
        </w:tc>
        <w:tc>
          <w:tcPr>
            <w:tcW w:w="820" w:type="pct"/>
            <w:vAlign w:val="center"/>
          </w:tcPr>
          <w:p w14:paraId="01863431">
            <w:pPr>
              <w:adjustRightInd w:val="0"/>
              <w:snapToGrid w:val="0"/>
              <w:spacing w:line="264" w:lineRule="auto"/>
              <w:jc w:val="center"/>
              <w:rPr>
                <w:sz w:val="15"/>
                <w:szCs w:val="15"/>
              </w:rPr>
            </w:pPr>
            <w:r>
              <w:rPr>
                <w:sz w:val="15"/>
                <w:szCs w:val="15"/>
              </w:rPr>
              <w:t>可测</w:t>
            </w:r>
          </w:p>
        </w:tc>
        <w:tc>
          <w:tcPr>
            <w:tcW w:w="857" w:type="pct"/>
            <w:vAlign w:val="center"/>
          </w:tcPr>
          <w:p w14:paraId="0D5262F7">
            <w:pPr>
              <w:adjustRightInd w:val="0"/>
              <w:snapToGrid w:val="0"/>
              <w:spacing w:line="264" w:lineRule="auto"/>
              <w:jc w:val="center"/>
              <w:rPr>
                <w:kern w:val="0"/>
                <w:sz w:val="15"/>
                <w:szCs w:val="15"/>
              </w:rPr>
            </w:pPr>
            <w:r>
              <w:rPr>
                <w:sz w:val="15"/>
                <w:szCs w:val="15"/>
              </w:rPr>
              <w:t>可测</w:t>
            </w:r>
          </w:p>
        </w:tc>
        <w:tc>
          <w:tcPr>
            <w:tcW w:w="1568" w:type="pct"/>
            <w:vAlign w:val="center"/>
          </w:tcPr>
          <w:p w14:paraId="4B3E08C0">
            <w:pPr>
              <w:adjustRightInd w:val="0"/>
              <w:snapToGrid w:val="0"/>
              <w:spacing w:line="264" w:lineRule="auto"/>
              <w:jc w:val="center"/>
              <w:rPr>
                <w:kern w:val="0"/>
                <w:sz w:val="15"/>
                <w:szCs w:val="15"/>
              </w:rPr>
            </w:pPr>
            <w:r>
              <w:rPr>
                <w:kern w:val="0"/>
                <w:sz w:val="15"/>
                <w:szCs w:val="15"/>
              </w:rPr>
              <w:t>—</w:t>
            </w:r>
          </w:p>
        </w:tc>
      </w:tr>
    </w:tbl>
    <w:p w14:paraId="1DC5D816">
      <w:pPr>
        <w:adjustRightInd w:val="0"/>
        <w:snapToGrid w:val="0"/>
        <w:spacing w:before="156" w:beforeLines="50" w:line="288" w:lineRule="auto"/>
        <w:rPr>
          <w:rFonts w:eastAsia="黑体"/>
          <w:b/>
          <w:bCs/>
          <w:spacing w:val="25"/>
          <w:kern w:val="0"/>
          <w:sz w:val="13"/>
          <w:szCs w:val="13"/>
        </w:rPr>
      </w:pPr>
      <w:r>
        <w:rPr>
          <w:sz w:val="13"/>
          <w:szCs w:val="13"/>
        </w:rPr>
        <w:t>注：基坑设计图纸中未对地下水位有监测要求时，可以不做地下水位监测。</w:t>
      </w:r>
    </w:p>
    <w:p w14:paraId="3DB4EA31">
      <w:pPr>
        <w:adjustRightInd w:val="0"/>
        <w:snapToGrid w:val="0"/>
        <w:spacing w:before="156" w:beforeLines="50" w:line="288" w:lineRule="auto"/>
        <w:rPr>
          <w:rFonts w:eastAsia="黑体"/>
          <w:sz w:val="24"/>
          <w:szCs w:val="24"/>
        </w:rPr>
      </w:pPr>
      <w:r>
        <w:rPr>
          <w:rFonts w:eastAsia="黑体"/>
          <w:b/>
          <w:bCs/>
          <w:kern w:val="0"/>
          <w:sz w:val="20"/>
          <w:szCs w:val="20"/>
        </w:rPr>
        <w:t>11.2.3</w:t>
      </w:r>
      <w:r>
        <w:rPr>
          <w:bCs/>
          <w:sz w:val="20"/>
          <w:szCs w:val="20"/>
        </w:rPr>
        <w:t xml:space="preserve">  </w:t>
      </w:r>
      <w:r>
        <w:rPr>
          <w:sz w:val="20"/>
          <w:szCs w:val="20"/>
        </w:rPr>
        <w:t>当基坑周围有地铁、隧道或其他对位移有特殊要求的建（构）筑物及设施时，监测项目应与有关管理部门或单位协商确定。</w:t>
      </w:r>
      <w:r>
        <w:rPr>
          <w:sz w:val="24"/>
          <w:szCs w:val="24"/>
        </w:rPr>
        <w:t xml:space="preserve"> </w:t>
      </w:r>
    </w:p>
    <w:p w14:paraId="5062FDC7">
      <w:pPr>
        <w:pStyle w:val="7"/>
        <w:keepNext w:val="0"/>
        <w:keepLines w:val="0"/>
        <w:adjustRightInd w:val="0"/>
        <w:snapToGrid w:val="0"/>
        <w:spacing w:before="312" w:beforeLines="100" w:after="312" w:afterLines="100" w:line="288" w:lineRule="auto"/>
        <w:jc w:val="center"/>
        <w:rPr>
          <w:rFonts w:eastAsia="黑体"/>
          <w:sz w:val="20"/>
          <w:szCs w:val="20"/>
        </w:rPr>
      </w:pPr>
      <w:bookmarkStart w:id="120" w:name="_Toc139613751"/>
      <w:r>
        <w:rPr>
          <w:rFonts w:eastAsia="黑体"/>
          <w:sz w:val="20"/>
          <w:szCs w:val="20"/>
        </w:rPr>
        <w:t>11</w:t>
      </w:r>
      <w:r>
        <w:rPr>
          <w:rFonts w:hint="eastAsia" w:eastAsia="黑体"/>
          <w:sz w:val="20"/>
          <w:szCs w:val="20"/>
        </w:rPr>
        <w:t xml:space="preserve">.3  </w:t>
      </w:r>
      <w:r>
        <w:rPr>
          <w:rFonts w:hint="eastAsia" w:eastAsia="黑体"/>
          <w:b w:val="0"/>
          <w:bCs w:val="0"/>
          <w:sz w:val="20"/>
          <w:szCs w:val="20"/>
        </w:rPr>
        <w:t>巡视检查</w:t>
      </w:r>
      <w:bookmarkEnd w:id="120"/>
    </w:p>
    <w:p w14:paraId="4098E703">
      <w:pPr>
        <w:adjustRightInd w:val="0"/>
        <w:snapToGrid w:val="0"/>
        <w:spacing w:line="288" w:lineRule="auto"/>
        <w:rPr>
          <w:rFonts w:ascii="宋体" w:hAnsi="宋体"/>
          <w:sz w:val="20"/>
          <w:szCs w:val="20"/>
        </w:rPr>
      </w:pPr>
      <w:r>
        <w:rPr>
          <w:rFonts w:eastAsia="黑体"/>
          <w:b/>
          <w:bCs/>
          <w:kern w:val="0"/>
          <w:sz w:val="20"/>
          <w:szCs w:val="20"/>
        </w:rPr>
        <w:t>11.3.1</w:t>
      </w:r>
      <w:r>
        <w:rPr>
          <w:rFonts w:hint="eastAsia" w:eastAsia="黑体"/>
          <w:b/>
          <w:bCs/>
          <w:sz w:val="20"/>
          <w:szCs w:val="20"/>
        </w:rPr>
        <w:t xml:space="preserve"> </w:t>
      </w:r>
      <w:r>
        <w:rPr>
          <w:rFonts w:hint="eastAsia" w:ascii="宋体" w:hAnsi="宋体"/>
          <w:bCs/>
          <w:sz w:val="20"/>
          <w:szCs w:val="20"/>
        </w:rPr>
        <w:t xml:space="preserve"> </w:t>
      </w:r>
      <w:r>
        <w:rPr>
          <w:rFonts w:ascii="宋体" w:hAnsi="宋体"/>
          <w:sz w:val="20"/>
          <w:szCs w:val="20"/>
        </w:rPr>
        <w:t>基坑工程</w:t>
      </w:r>
      <w:r>
        <w:rPr>
          <w:rFonts w:hint="eastAsia" w:ascii="宋体" w:hAnsi="宋体"/>
          <w:sz w:val="20"/>
          <w:szCs w:val="20"/>
        </w:rPr>
        <w:t>施工和使用期间</w:t>
      </w:r>
      <w:r>
        <w:rPr>
          <w:rFonts w:ascii="宋体" w:hAnsi="宋体"/>
          <w:sz w:val="20"/>
          <w:szCs w:val="20"/>
        </w:rPr>
        <w:t>，应有专人按要求进行巡视检查。</w:t>
      </w:r>
    </w:p>
    <w:p w14:paraId="744603A8">
      <w:pPr>
        <w:adjustRightInd w:val="0"/>
        <w:snapToGrid w:val="0"/>
        <w:spacing w:line="288" w:lineRule="auto"/>
        <w:rPr>
          <w:rFonts w:ascii="宋体" w:hAnsi="宋体"/>
          <w:bCs/>
          <w:sz w:val="20"/>
          <w:szCs w:val="20"/>
        </w:rPr>
      </w:pPr>
      <w:r>
        <w:rPr>
          <w:rFonts w:eastAsia="黑体"/>
          <w:b/>
          <w:bCs/>
          <w:kern w:val="0"/>
          <w:sz w:val="20"/>
          <w:szCs w:val="20"/>
        </w:rPr>
        <w:t>11.3.2</w:t>
      </w:r>
      <w:r>
        <w:rPr>
          <w:rFonts w:hint="eastAsia" w:ascii="宋体" w:hAnsi="宋体"/>
          <w:bCs/>
          <w:sz w:val="20"/>
          <w:szCs w:val="20"/>
        </w:rPr>
        <w:t xml:space="preserve">  </w:t>
      </w:r>
      <w:r>
        <w:rPr>
          <w:rFonts w:hint="eastAsia" w:ascii="宋体" w:hAnsi="宋体"/>
          <w:sz w:val="20"/>
          <w:szCs w:val="20"/>
        </w:rPr>
        <w:t>基坑工程巡视检查宜包括以下内容：</w:t>
      </w:r>
    </w:p>
    <w:p w14:paraId="6ED32D94">
      <w:pPr>
        <w:adjustRightInd w:val="0"/>
        <w:snapToGrid w:val="0"/>
        <w:spacing w:line="288" w:lineRule="auto"/>
        <w:ind w:firstLine="402" w:firstLineChars="200"/>
        <w:rPr>
          <w:sz w:val="20"/>
          <w:szCs w:val="20"/>
        </w:rPr>
      </w:pPr>
      <w:r>
        <w:rPr>
          <w:rFonts w:eastAsia="黑体"/>
          <w:b/>
          <w:bCs/>
          <w:sz w:val="20"/>
          <w:szCs w:val="20"/>
        </w:rPr>
        <w:t>1</w:t>
      </w:r>
      <w:r>
        <w:rPr>
          <w:sz w:val="20"/>
          <w:szCs w:val="20"/>
        </w:rPr>
        <w:t xml:space="preserve">  支护结构</w:t>
      </w:r>
    </w:p>
    <w:p w14:paraId="2929A792">
      <w:pPr>
        <w:adjustRightInd w:val="0"/>
        <w:snapToGrid w:val="0"/>
        <w:spacing w:line="288" w:lineRule="auto"/>
        <w:ind w:firstLine="600" w:firstLineChars="300"/>
        <w:rPr>
          <w:sz w:val="20"/>
          <w:szCs w:val="20"/>
        </w:rPr>
      </w:pPr>
      <w:r>
        <w:rPr>
          <w:sz w:val="20"/>
          <w:szCs w:val="20"/>
        </w:rPr>
        <w:t>1）支护结构成型质量；</w:t>
      </w:r>
    </w:p>
    <w:p w14:paraId="3953DD98">
      <w:pPr>
        <w:adjustRightInd w:val="0"/>
        <w:snapToGrid w:val="0"/>
        <w:spacing w:line="288" w:lineRule="auto"/>
        <w:ind w:firstLine="600" w:firstLineChars="300"/>
        <w:rPr>
          <w:sz w:val="20"/>
          <w:szCs w:val="20"/>
        </w:rPr>
      </w:pPr>
      <w:r>
        <w:rPr>
          <w:sz w:val="20"/>
          <w:szCs w:val="20"/>
        </w:rPr>
        <w:t>2）冠梁、支撑、腰梁裂缝</w:t>
      </w:r>
      <w:r>
        <w:rPr>
          <w:rFonts w:hint="eastAsia"/>
          <w:sz w:val="20"/>
          <w:szCs w:val="20"/>
        </w:rPr>
        <w:t>情况</w:t>
      </w:r>
      <w:r>
        <w:rPr>
          <w:sz w:val="20"/>
          <w:szCs w:val="20"/>
        </w:rPr>
        <w:t>；</w:t>
      </w:r>
    </w:p>
    <w:p w14:paraId="1D2D760A">
      <w:pPr>
        <w:adjustRightInd w:val="0"/>
        <w:snapToGrid w:val="0"/>
        <w:spacing w:line="288" w:lineRule="auto"/>
        <w:ind w:firstLine="600" w:firstLineChars="300"/>
        <w:rPr>
          <w:sz w:val="20"/>
          <w:szCs w:val="20"/>
        </w:rPr>
      </w:pPr>
      <w:r>
        <w:rPr>
          <w:sz w:val="20"/>
          <w:szCs w:val="20"/>
        </w:rPr>
        <w:t>3）挡土构件变形、开裂</w:t>
      </w:r>
      <w:r>
        <w:rPr>
          <w:rFonts w:hint="eastAsia"/>
          <w:sz w:val="20"/>
          <w:szCs w:val="20"/>
        </w:rPr>
        <w:t>情况</w:t>
      </w:r>
      <w:r>
        <w:rPr>
          <w:sz w:val="20"/>
          <w:szCs w:val="20"/>
        </w:rPr>
        <w:t>及其变化量；</w:t>
      </w:r>
    </w:p>
    <w:p w14:paraId="244E8BE4">
      <w:pPr>
        <w:adjustRightInd w:val="0"/>
        <w:snapToGrid w:val="0"/>
        <w:spacing w:line="288" w:lineRule="auto"/>
        <w:ind w:left="921" w:leftChars="286" w:hanging="320" w:hangingChars="160"/>
        <w:rPr>
          <w:sz w:val="20"/>
          <w:szCs w:val="20"/>
        </w:rPr>
      </w:pPr>
      <w:r>
        <w:rPr>
          <w:sz w:val="20"/>
          <w:szCs w:val="20"/>
        </w:rPr>
        <w:t>4）锚杆锚头松动</w:t>
      </w:r>
      <w:r>
        <w:rPr>
          <w:rFonts w:hint="eastAsia"/>
          <w:sz w:val="20"/>
          <w:szCs w:val="20"/>
        </w:rPr>
        <w:t>情况</w:t>
      </w:r>
      <w:r>
        <w:rPr>
          <w:sz w:val="20"/>
          <w:szCs w:val="20"/>
        </w:rPr>
        <w:t>，锚具夹片滑动</w:t>
      </w:r>
      <w:r>
        <w:rPr>
          <w:rFonts w:hint="eastAsia"/>
          <w:sz w:val="20"/>
          <w:szCs w:val="20"/>
        </w:rPr>
        <w:t>情况</w:t>
      </w:r>
      <w:r>
        <w:rPr>
          <w:sz w:val="20"/>
          <w:szCs w:val="20"/>
        </w:rPr>
        <w:t>，腰梁及支座变形</w:t>
      </w:r>
      <w:r>
        <w:rPr>
          <w:rFonts w:hint="eastAsia"/>
          <w:sz w:val="20"/>
          <w:szCs w:val="20"/>
        </w:rPr>
        <w:t>情况</w:t>
      </w:r>
      <w:r>
        <w:rPr>
          <w:sz w:val="20"/>
          <w:szCs w:val="20"/>
        </w:rPr>
        <w:t>，连接处破损</w:t>
      </w:r>
      <w:r>
        <w:rPr>
          <w:rFonts w:hint="eastAsia"/>
          <w:sz w:val="20"/>
          <w:szCs w:val="20"/>
        </w:rPr>
        <w:t>情况</w:t>
      </w:r>
      <w:r>
        <w:rPr>
          <w:sz w:val="20"/>
          <w:szCs w:val="20"/>
        </w:rPr>
        <w:t>；</w:t>
      </w:r>
    </w:p>
    <w:p w14:paraId="4A8BB0FA">
      <w:pPr>
        <w:adjustRightInd w:val="0"/>
        <w:snapToGrid w:val="0"/>
        <w:spacing w:line="288" w:lineRule="auto"/>
        <w:ind w:firstLine="600" w:firstLineChars="300"/>
        <w:rPr>
          <w:sz w:val="20"/>
          <w:szCs w:val="20"/>
        </w:rPr>
      </w:pPr>
      <w:r>
        <w:rPr>
          <w:sz w:val="20"/>
          <w:szCs w:val="20"/>
        </w:rPr>
        <w:t>5）土钉墙面层</w:t>
      </w:r>
      <w:r>
        <w:rPr>
          <w:rFonts w:hint="eastAsia"/>
          <w:sz w:val="20"/>
          <w:szCs w:val="20"/>
        </w:rPr>
        <w:t>及桩间土面层</w:t>
      </w:r>
      <w:r>
        <w:rPr>
          <w:sz w:val="20"/>
          <w:szCs w:val="20"/>
        </w:rPr>
        <w:t>开裂和错动</w:t>
      </w:r>
      <w:r>
        <w:rPr>
          <w:rFonts w:hint="eastAsia"/>
          <w:sz w:val="20"/>
          <w:szCs w:val="20"/>
        </w:rPr>
        <w:t>情况</w:t>
      </w:r>
      <w:r>
        <w:rPr>
          <w:sz w:val="20"/>
          <w:szCs w:val="20"/>
        </w:rPr>
        <w:t>；</w:t>
      </w:r>
    </w:p>
    <w:p w14:paraId="3B3E2694">
      <w:pPr>
        <w:adjustRightInd w:val="0"/>
        <w:snapToGrid w:val="0"/>
        <w:spacing w:line="288" w:lineRule="auto"/>
        <w:ind w:firstLine="600" w:firstLineChars="300"/>
        <w:rPr>
          <w:sz w:val="20"/>
          <w:szCs w:val="20"/>
        </w:rPr>
      </w:pPr>
      <w:r>
        <w:rPr>
          <w:sz w:val="20"/>
          <w:szCs w:val="20"/>
        </w:rPr>
        <w:t>6）基坑侧壁和截水帷幕渗水、漏水、流砂等</w:t>
      </w:r>
      <w:r>
        <w:rPr>
          <w:rFonts w:hint="eastAsia"/>
          <w:sz w:val="20"/>
          <w:szCs w:val="20"/>
        </w:rPr>
        <w:t>情况</w:t>
      </w:r>
      <w:r>
        <w:rPr>
          <w:sz w:val="20"/>
          <w:szCs w:val="20"/>
        </w:rPr>
        <w:t>。</w:t>
      </w:r>
    </w:p>
    <w:p w14:paraId="54BFA863">
      <w:pPr>
        <w:adjustRightInd w:val="0"/>
        <w:snapToGrid w:val="0"/>
        <w:spacing w:line="288" w:lineRule="auto"/>
        <w:ind w:firstLine="402" w:firstLineChars="200"/>
        <w:rPr>
          <w:sz w:val="20"/>
          <w:szCs w:val="20"/>
        </w:rPr>
      </w:pPr>
      <w:r>
        <w:rPr>
          <w:rFonts w:eastAsia="黑体"/>
          <w:b/>
          <w:bCs/>
          <w:sz w:val="20"/>
          <w:szCs w:val="20"/>
        </w:rPr>
        <w:t>2</w:t>
      </w:r>
      <w:r>
        <w:rPr>
          <w:sz w:val="20"/>
          <w:szCs w:val="20"/>
        </w:rPr>
        <w:t xml:space="preserve">  施工工况</w:t>
      </w:r>
    </w:p>
    <w:p w14:paraId="2C497548">
      <w:pPr>
        <w:adjustRightInd w:val="0"/>
        <w:snapToGrid w:val="0"/>
        <w:spacing w:line="288" w:lineRule="auto"/>
        <w:ind w:firstLine="600" w:firstLineChars="300"/>
        <w:rPr>
          <w:sz w:val="20"/>
          <w:szCs w:val="20"/>
        </w:rPr>
      </w:pPr>
      <w:r>
        <w:rPr>
          <w:sz w:val="20"/>
          <w:szCs w:val="20"/>
        </w:rPr>
        <w:t>1）开挖后暴露的土质与岩土勘察报告差异</w:t>
      </w:r>
      <w:r>
        <w:rPr>
          <w:rFonts w:hint="eastAsia"/>
          <w:sz w:val="20"/>
          <w:szCs w:val="20"/>
        </w:rPr>
        <w:t>情况</w:t>
      </w:r>
      <w:r>
        <w:rPr>
          <w:sz w:val="20"/>
          <w:szCs w:val="20"/>
        </w:rPr>
        <w:t>；</w:t>
      </w:r>
    </w:p>
    <w:p w14:paraId="732835C7">
      <w:pPr>
        <w:adjustRightInd w:val="0"/>
        <w:snapToGrid w:val="0"/>
        <w:spacing w:line="288" w:lineRule="auto"/>
        <w:ind w:firstLine="600" w:firstLineChars="300"/>
        <w:rPr>
          <w:sz w:val="20"/>
          <w:szCs w:val="20"/>
        </w:rPr>
      </w:pPr>
      <w:r>
        <w:rPr>
          <w:sz w:val="20"/>
          <w:szCs w:val="20"/>
        </w:rPr>
        <w:t>2）基坑开挖分段长度及分层厚度是否与设计要求一致；</w:t>
      </w:r>
    </w:p>
    <w:p w14:paraId="4A94FC81">
      <w:pPr>
        <w:adjustRightInd w:val="0"/>
        <w:snapToGrid w:val="0"/>
        <w:spacing w:line="288" w:lineRule="auto"/>
        <w:ind w:left="895" w:leftChars="286" w:hanging="294" w:hangingChars="147"/>
        <w:rPr>
          <w:sz w:val="20"/>
          <w:szCs w:val="20"/>
        </w:rPr>
      </w:pPr>
      <w:r>
        <w:rPr>
          <w:sz w:val="20"/>
          <w:szCs w:val="20"/>
        </w:rPr>
        <w:t>3）场地地表水、地下水排放状况是否正常，基坑降水、回灌设施是否运转正常；</w:t>
      </w:r>
    </w:p>
    <w:p w14:paraId="0B746AC2">
      <w:pPr>
        <w:adjustRightInd w:val="0"/>
        <w:snapToGrid w:val="0"/>
        <w:spacing w:line="288" w:lineRule="auto"/>
        <w:ind w:firstLine="600" w:firstLineChars="300"/>
        <w:rPr>
          <w:sz w:val="20"/>
          <w:szCs w:val="20"/>
        </w:rPr>
      </w:pPr>
      <w:r>
        <w:rPr>
          <w:sz w:val="20"/>
          <w:szCs w:val="20"/>
        </w:rPr>
        <w:t>4）基坑周围地面</w:t>
      </w:r>
      <w:r>
        <w:rPr>
          <w:rFonts w:hint="eastAsia"/>
          <w:sz w:val="20"/>
          <w:szCs w:val="20"/>
        </w:rPr>
        <w:t>堆</w:t>
      </w:r>
      <w:r>
        <w:rPr>
          <w:sz w:val="20"/>
          <w:szCs w:val="20"/>
        </w:rPr>
        <w:t>载</w:t>
      </w:r>
      <w:r>
        <w:rPr>
          <w:rFonts w:hint="eastAsia"/>
          <w:sz w:val="20"/>
          <w:szCs w:val="20"/>
        </w:rPr>
        <w:t>情况</w:t>
      </w:r>
      <w:r>
        <w:rPr>
          <w:sz w:val="20"/>
          <w:szCs w:val="20"/>
        </w:rPr>
        <w:t>。</w:t>
      </w:r>
    </w:p>
    <w:p w14:paraId="4DD52607">
      <w:pPr>
        <w:adjustRightInd w:val="0"/>
        <w:snapToGrid w:val="0"/>
        <w:spacing w:line="288" w:lineRule="auto"/>
        <w:ind w:firstLine="402" w:firstLineChars="200"/>
        <w:rPr>
          <w:sz w:val="20"/>
          <w:szCs w:val="20"/>
        </w:rPr>
      </w:pPr>
      <w:r>
        <w:rPr>
          <w:rFonts w:eastAsia="黑体"/>
          <w:b/>
          <w:bCs/>
          <w:sz w:val="20"/>
          <w:szCs w:val="20"/>
        </w:rPr>
        <w:t>3</w:t>
      </w:r>
      <w:r>
        <w:rPr>
          <w:sz w:val="20"/>
          <w:szCs w:val="20"/>
        </w:rPr>
        <w:t xml:space="preserve">  基坑周边环境</w:t>
      </w:r>
    </w:p>
    <w:p w14:paraId="1FE7403B">
      <w:pPr>
        <w:adjustRightInd w:val="0"/>
        <w:snapToGrid w:val="0"/>
        <w:spacing w:line="288" w:lineRule="auto"/>
        <w:ind w:firstLine="600" w:firstLineChars="300"/>
        <w:rPr>
          <w:sz w:val="20"/>
          <w:szCs w:val="20"/>
        </w:rPr>
      </w:pPr>
      <w:r>
        <w:rPr>
          <w:sz w:val="20"/>
          <w:szCs w:val="20"/>
        </w:rPr>
        <w:t>1）地下管道破损、泄漏情况；</w:t>
      </w:r>
    </w:p>
    <w:p w14:paraId="29009D6B">
      <w:pPr>
        <w:adjustRightInd w:val="0"/>
        <w:snapToGrid w:val="0"/>
        <w:spacing w:line="288" w:lineRule="auto"/>
        <w:ind w:firstLine="600" w:firstLineChars="300"/>
        <w:rPr>
          <w:sz w:val="20"/>
          <w:szCs w:val="20"/>
        </w:rPr>
      </w:pPr>
      <w:r>
        <w:rPr>
          <w:sz w:val="20"/>
          <w:szCs w:val="20"/>
        </w:rPr>
        <w:t>2）周边建（构）筑物变形、沉降或裂缝</w:t>
      </w:r>
      <w:r>
        <w:rPr>
          <w:rFonts w:hint="eastAsia"/>
          <w:sz w:val="20"/>
          <w:szCs w:val="20"/>
        </w:rPr>
        <w:t>情况</w:t>
      </w:r>
      <w:r>
        <w:rPr>
          <w:sz w:val="20"/>
          <w:szCs w:val="20"/>
        </w:rPr>
        <w:t>；</w:t>
      </w:r>
    </w:p>
    <w:p w14:paraId="4F7D0D9B">
      <w:pPr>
        <w:adjustRightInd w:val="0"/>
        <w:snapToGrid w:val="0"/>
        <w:spacing w:line="288" w:lineRule="auto"/>
        <w:ind w:firstLine="600" w:firstLineChars="300"/>
        <w:rPr>
          <w:sz w:val="20"/>
          <w:szCs w:val="20"/>
        </w:rPr>
      </w:pPr>
      <w:r>
        <w:rPr>
          <w:sz w:val="20"/>
          <w:szCs w:val="20"/>
        </w:rPr>
        <w:t>3）周边道路（地面）裂缝、沉陷</w:t>
      </w:r>
      <w:r>
        <w:rPr>
          <w:rFonts w:hint="eastAsia"/>
          <w:sz w:val="20"/>
          <w:szCs w:val="20"/>
        </w:rPr>
        <w:t>情况</w:t>
      </w:r>
      <w:r>
        <w:rPr>
          <w:sz w:val="20"/>
          <w:szCs w:val="20"/>
        </w:rPr>
        <w:t>；</w:t>
      </w:r>
    </w:p>
    <w:p w14:paraId="1F8F3DD8">
      <w:pPr>
        <w:adjustRightInd w:val="0"/>
        <w:snapToGrid w:val="0"/>
        <w:spacing w:line="288" w:lineRule="auto"/>
        <w:ind w:firstLine="600" w:firstLineChars="300"/>
        <w:rPr>
          <w:sz w:val="20"/>
          <w:szCs w:val="20"/>
        </w:rPr>
      </w:pPr>
      <w:r>
        <w:rPr>
          <w:sz w:val="20"/>
          <w:szCs w:val="20"/>
        </w:rPr>
        <w:t>4）邻近基坑及建（构）筑物的施工情况。</w:t>
      </w:r>
    </w:p>
    <w:p w14:paraId="22D21810">
      <w:pPr>
        <w:adjustRightInd w:val="0"/>
        <w:snapToGrid w:val="0"/>
        <w:spacing w:line="288" w:lineRule="auto"/>
        <w:ind w:firstLine="402" w:firstLineChars="200"/>
        <w:rPr>
          <w:sz w:val="20"/>
          <w:szCs w:val="20"/>
        </w:rPr>
      </w:pPr>
      <w:r>
        <w:rPr>
          <w:rFonts w:eastAsia="黑体"/>
          <w:b/>
          <w:bCs/>
          <w:sz w:val="20"/>
          <w:szCs w:val="20"/>
        </w:rPr>
        <w:t>4</w:t>
      </w:r>
      <w:r>
        <w:rPr>
          <w:sz w:val="20"/>
          <w:szCs w:val="20"/>
        </w:rPr>
        <w:t xml:space="preserve">  监测设施</w:t>
      </w:r>
    </w:p>
    <w:p w14:paraId="7B3EB7EF">
      <w:pPr>
        <w:adjustRightInd w:val="0"/>
        <w:snapToGrid w:val="0"/>
        <w:spacing w:line="288" w:lineRule="auto"/>
        <w:ind w:firstLine="600" w:firstLineChars="300"/>
        <w:rPr>
          <w:sz w:val="20"/>
          <w:szCs w:val="20"/>
        </w:rPr>
      </w:pPr>
      <w:r>
        <w:rPr>
          <w:sz w:val="20"/>
          <w:szCs w:val="20"/>
        </w:rPr>
        <w:t>1）基准点、测点完好状况；</w:t>
      </w:r>
    </w:p>
    <w:p w14:paraId="1B041F8C">
      <w:pPr>
        <w:adjustRightInd w:val="0"/>
        <w:snapToGrid w:val="0"/>
        <w:spacing w:line="288" w:lineRule="auto"/>
        <w:ind w:firstLine="600" w:firstLineChars="300"/>
        <w:rPr>
          <w:sz w:val="20"/>
          <w:szCs w:val="20"/>
        </w:rPr>
      </w:pPr>
      <w:r>
        <w:rPr>
          <w:sz w:val="20"/>
          <w:szCs w:val="20"/>
        </w:rPr>
        <w:t>2）</w:t>
      </w:r>
      <w:r>
        <w:rPr>
          <w:rFonts w:hint="eastAsia"/>
          <w:sz w:val="20"/>
          <w:szCs w:val="20"/>
        </w:rPr>
        <w:t>是否存在</w:t>
      </w:r>
      <w:r>
        <w:rPr>
          <w:sz w:val="20"/>
          <w:szCs w:val="20"/>
        </w:rPr>
        <w:t>影响监测工作的障碍物；</w:t>
      </w:r>
    </w:p>
    <w:p w14:paraId="5A0505F8">
      <w:pPr>
        <w:adjustRightInd w:val="0"/>
        <w:snapToGrid w:val="0"/>
        <w:spacing w:line="288" w:lineRule="auto"/>
        <w:ind w:firstLine="600" w:firstLineChars="300"/>
        <w:rPr>
          <w:sz w:val="20"/>
          <w:szCs w:val="20"/>
        </w:rPr>
      </w:pPr>
      <w:r>
        <w:rPr>
          <w:sz w:val="20"/>
          <w:szCs w:val="20"/>
        </w:rPr>
        <w:t>3）监测元件的完好及保护情况。</w:t>
      </w:r>
    </w:p>
    <w:p w14:paraId="518A6D3C">
      <w:pPr>
        <w:adjustRightInd w:val="0"/>
        <w:snapToGrid w:val="0"/>
        <w:spacing w:line="288" w:lineRule="auto"/>
        <w:ind w:firstLine="402" w:firstLineChars="200"/>
        <w:rPr>
          <w:sz w:val="20"/>
          <w:szCs w:val="20"/>
        </w:rPr>
      </w:pPr>
      <w:r>
        <w:rPr>
          <w:rFonts w:eastAsia="黑体"/>
          <w:b/>
          <w:bCs/>
          <w:sz w:val="20"/>
          <w:szCs w:val="20"/>
        </w:rPr>
        <w:t xml:space="preserve">5 </w:t>
      </w:r>
      <w:r>
        <w:rPr>
          <w:sz w:val="20"/>
          <w:szCs w:val="20"/>
        </w:rPr>
        <w:t xml:space="preserve"> 根据设计要求或经验确定的其他巡视检查内容。</w:t>
      </w:r>
    </w:p>
    <w:p w14:paraId="137C0279">
      <w:pPr>
        <w:adjustRightInd w:val="0"/>
        <w:snapToGrid w:val="0"/>
        <w:spacing w:line="288" w:lineRule="auto"/>
        <w:rPr>
          <w:rFonts w:ascii="宋体" w:hAnsi="宋体"/>
          <w:sz w:val="20"/>
          <w:szCs w:val="20"/>
        </w:rPr>
      </w:pPr>
      <w:r>
        <w:rPr>
          <w:rFonts w:eastAsia="黑体"/>
          <w:b/>
          <w:bCs/>
          <w:kern w:val="0"/>
          <w:sz w:val="20"/>
          <w:szCs w:val="20"/>
        </w:rPr>
        <w:t>11.3.3</w:t>
      </w:r>
      <w:r>
        <w:rPr>
          <w:rFonts w:hint="eastAsia" w:ascii="宋体" w:hAnsi="宋体"/>
          <w:bCs/>
          <w:sz w:val="20"/>
          <w:szCs w:val="20"/>
        </w:rPr>
        <w:t xml:space="preserve">  </w:t>
      </w:r>
      <w:r>
        <w:rPr>
          <w:rFonts w:ascii="宋体" w:hAnsi="宋体"/>
          <w:sz w:val="20"/>
          <w:szCs w:val="20"/>
        </w:rPr>
        <w:t>巡视检查应对自然</w:t>
      </w:r>
      <w:r>
        <w:rPr>
          <w:rFonts w:hint="eastAsia" w:ascii="宋体" w:hAnsi="宋体"/>
          <w:sz w:val="20"/>
          <w:szCs w:val="20"/>
        </w:rPr>
        <w:t>条件</w:t>
      </w:r>
      <w:r>
        <w:rPr>
          <w:rFonts w:ascii="宋体" w:hAnsi="宋体"/>
          <w:sz w:val="20"/>
          <w:szCs w:val="20"/>
        </w:rPr>
        <w:t>、</w:t>
      </w:r>
      <w:r>
        <w:rPr>
          <w:rFonts w:hint="eastAsia" w:ascii="宋体" w:hAnsi="宋体"/>
          <w:sz w:val="20"/>
          <w:szCs w:val="20"/>
        </w:rPr>
        <w:t>支护结构、施工工况、周边环境、监测设施等的</w:t>
      </w:r>
      <w:r>
        <w:rPr>
          <w:rFonts w:ascii="宋体" w:hAnsi="宋体"/>
          <w:sz w:val="20"/>
          <w:szCs w:val="20"/>
        </w:rPr>
        <w:t>检查情况进行详细记录</w:t>
      </w:r>
      <w:r>
        <w:rPr>
          <w:rFonts w:hint="eastAsia" w:ascii="宋体" w:hAnsi="宋体"/>
          <w:sz w:val="20"/>
          <w:szCs w:val="20"/>
        </w:rPr>
        <w:t>；</w:t>
      </w:r>
      <w:r>
        <w:rPr>
          <w:rFonts w:ascii="宋体" w:hAnsi="宋体"/>
          <w:sz w:val="20"/>
          <w:szCs w:val="20"/>
        </w:rPr>
        <w:t>如发现异常，应及时通知</w:t>
      </w:r>
      <w:r>
        <w:rPr>
          <w:rFonts w:hint="eastAsia" w:ascii="宋体" w:hAnsi="宋体"/>
          <w:sz w:val="20"/>
          <w:szCs w:val="20"/>
        </w:rPr>
        <w:t>建设方及相关单位</w:t>
      </w:r>
      <w:r>
        <w:rPr>
          <w:rFonts w:ascii="宋体" w:hAnsi="宋体"/>
          <w:sz w:val="20"/>
          <w:szCs w:val="20"/>
        </w:rPr>
        <w:t>。</w:t>
      </w:r>
    </w:p>
    <w:p w14:paraId="47C0AC4A">
      <w:pPr>
        <w:adjustRightInd w:val="0"/>
        <w:snapToGrid w:val="0"/>
        <w:spacing w:line="288" w:lineRule="auto"/>
        <w:rPr>
          <w:rFonts w:eastAsia="黑体"/>
          <w:sz w:val="20"/>
          <w:szCs w:val="20"/>
        </w:rPr>
      </w:pPr>
      <w:r>
        <w:rPr>
          <w:rFonts w:eastAsia="黑体"/>
          <w:b/>
          <w:bCs/>
          <w:kern w:val="0"/>
          <w:sz w:val="20"/>
          <w:szCs w:val="20"/>
        </w:rPr>
        <w:t>11.3.4</w:t>
      </w:r>
      <w:r>
        <w:rPr>
          <w:rFonts w:hint="eastAsia" w:ascii="宋体" w:hAnsi="宋体"/>
          <w:bCs/>
          <w:sz w:val="20"/>
          <w:szCs w:val="20"/>
        </w:rPr>
        <w:t xml:space="preserve">  </w:t>
      </w:r>
      <w:r>
        <w:rPr>
          <w:rFonts w:ascii="宋体" w:hAnsi="宋体"/>
          <w:bCs/>
          <w:sz w:val="20"/>
          <w:szCs w:val="20"/>
        </w:rPr>
        <w:t>巡视检查记录应及时整理，并与监测数据综合分析。</w:t>
      </w:r>
    </w:p>
    <w:p w14:paraId="7AC6566B">
      <w:pPr>
        <w:pStyle w:val="7"/>
        <w:keepNext w:val="0"/>
        <w:keepLines w:val="0"/>
        <w:adjustRightInd w:val="0"/>
        <w:snapToGrid w:val="0"/>
        <w:spacing w:before="312" w:beforeLines="100" w:after="312" w:afterLines="100" w:line="288" w:lineRule="auto"/>
        <w:jc w:val="center"/>
        <w:rPr>
          <w:rFonts w:eastAsia="黑体"/>
          <w:sz w:val="20"/>
          <w:szCs w:val="20"/>
        </w:rPr>
      </w:pPr>
      <w:bookmarkStart w:id="121" w:name="_Toc139613752"/>
      <w:r>
        <w:rPr>
          <w:rFonts w:eastAsia="黑体"/>
          <w:sz w:val="20"/>
          <w:szCs w:val="20"/>
        </w:rPr>
        <w:t>11</w:t>
      </w:r>
      <w:r>
        <w:rPr>
          <w:rFonts w:hint="eastAsia" w:eastAsia="黑体"/>
          <w:sz w:val="20"/>
          <w:szCs w:val="20"/>
        </w:rPr>
        <w:t xml:space="preserve">.4  </w:t>
      </w:r>
      <w:r>
        <w:rPr>
          <w:rFonts w:hint="eastAsia" w:eastAsia="黑体"/>
          <w:b w:val="0"/>
          <w:bCs w:val="0"/>
          <w:sz w:val="20"/>
          <w:szCs w:val="20"/>
        </w:rPr>
        <w:t>监测点布置</w:t>
      </w:r>
      <w:bookmarkEnd w:id="121"/>
    </w:p>
    <w:p w14:paraId="7817ECC1">
      <w:pPr>
        <w:adjustRightInd w:val="0"/>
        <w:snapToGrid w:val="0"/>
        <w:spacing w:line="288" w:lineRule="auto"/>
        <w:rPr>
          <w:sz w:val="20"/>
          <w:szCs w:val="20"/>
        </w:rPr>
      </w:pPr>
      <w:r>
        <w:rPr>
          <w:rFonts w:eastAsia="黑体"/>
          <w:b/>
          <w:bCs/>
          <w:kern w:val="0"/>
          <w:sz w:val="20"/>
          <w:szCs w:val="20"/>
        </w:rPr>
        <w:t>11.4.1</w:t>
      </w:r>
      <w:r>
        <w:rPr>
          <w:bCs/>
          <w:sz w:val="20"/>
          <w:szCs w:val="20"/>
        </w:rPr>
        <w:t xml:space="preserve">  </w:t>
      </w:r>
      <w:r>
        <w:rPr>
          <w:sz w:val="20"/>
          <w:szCs w:val="20"/>
        </w:rPr>
        <w:t xml:space="preserve">监测点的布置应能反映监测对象的实际状态及其变化趋势，监测点应布置在受力及变形关键部位或监测量变化敏感部位，并应满足安全控制要求。 </w:t>
      </w:r>
    </w:p>
    <w:p w14:paraId="79EBA627">
      <w:pPr>
        <w:adjustRightInd w:val="0"/>
        <w:snapToGrid w:val="0"/>
        <w:spacing w:line="288" w:lineRule="auto"/>
        <w:rPr>
          <w:sz w:val="20"/>
          <w:szCs w:val="20"/>
        </w:rPr>
      </w:pPr>
      <w:r>
        <w:rPr>
          <w:rFonts w:eastAsia="黑体"/>
          <w:b/>
          <w:bCs/>
          <w:kern w:val="0"/>
          <w:sz w:val="20"/>
          <w:szCs w:val="20"/>
        </w:rPr>
        <w:t>11.4.2</w:t>
      </w:r>
      <w:r>
        <w:rPr>
          <w:bCs/>
          <w:sz w:val="20"/>
          <w:szCs w:val="20"/>
        </w:rPr>
        <w:t xml:space="preserve">  </w:t>
      </w:r>
      <w:r>
        <w:rPr>
          <w:sz w:val="20"/>
          <w:szCs w:val="20"/>
        </w:rPr>
        <w:t>各类水平位移监测、沉降监测的基准点数量不应少于3点，且应设在影响范围以外。</w:t>
      </w:r>
    </w:p>
    <w:p w14:paraId="5660D05C">
      <w:pPr>
        <w:adjustRightInd w:val="0"/>
        <w:snapToGrid w:val="0"/>
        <w:spacing w:line="288" w:lineRule="auto"/>
        <w:rPr>
          <w:sz w:val="20"/>
          <w:szCs w:val="20"/>
        </w:rPr>
      </w:pPr>
      <w:r>
        <w:rPr>
          <w:rFonts w:eastAsia="黑体"/>
          <w:b/>
          <w:bCs/>
          <w:kern w:val="0"/>
          <w:sz w:val="20"/>
          <w:szCs w:val="20"/>
        </w:rPr>
        <w:t>11.4.3</w:t>
      </w:r>
      <w:r>
        <w:rPr>
          <w:bCs/>
          <w:sz w:val="20"/>
          <w:szCs w:val="20"/>
        </w:rPr>
        <w:t xml:space="preserve">  </w:t>
      </w:r>
      <w:r>
        <w:rPr>
          <w:sz w:val="20"/>
          <w:szCs w:val="20"/>
        </w:rPr>
        <w:t>支护结构顶部水平位移监测点的间距不宜大于20m，土钉墙顶部水平位移监测点的间距不宜大于15m，且基坑各边的监测点不应少于3个。水平和竖向监测点宜同点同测。</w:t>
      </w:r>
    </w:p>
    <w:p w14:paraId="06F2838F">
      <w:pPr>
        <w:adjustRightInd w:val="0"/>
        <w:snapToGrid w:val="0"/>
        <w:spacing w:line="288" w:lineRule="auto"/>
        <w:rPr>
          <w:sz w:val="20"/>
          <w:szCs w:val="20"/>
        </w:rPr>
      </w:pPr>
      <w:r>
        <w:rPr>
          <w:rFonts w:eastAsia="黑体"/>
          <w:b/>
          <w:bCs/>
          <w:kern w:val="0"/>
          <w:sz w:val="20"/>
          <w:szCs w:val="20"/>
        </w:rPr>
        <w:t>11.4.4</w:t>
      </w:r>
      <w:r>
        <w:rPr>
          <w:bCs/>
          <w:sz w:val="20"/>
          <w:szCs w:val="20"/>
        </w:rPr>
        <w:t xml:space="preserve">  </w:t>
      </w:r>
      <w:r>
        <w:rPr>
          <w:spacing w:val="-2"/>
          <w:sz w:val="20"/>
          <w:szCs w:val="20"/>
        </w:rPr>
        <w:t>基坑周边建（构）筑物沉降监测点应设置在建筑物的结构墙、柱上，并应分别沿平行、垂直于坑边的方向上布设。在建筑物邻基坑一侧，平行于坑边方向上的测点间距不宜大于15m。垂直于坑边方向上的测点，宜设置在柱、隔墙与结构缝部位。垂直于坑边方向上的布点范围应能反映建筑物基础的沉降差，可在建筑物内部布设测点。</w:t>
      </w:r>
    </w:p>
    <w:p w14:paraId="4BF7D2D5">
      <w:pPr>
        <w:adjustRightInd w:val="0"/>
        <w:snapToGrid w:val="0"/>
        <w:spacing w:line="288" w:lineRule="auto"/>
        <w:rPr>
          <w:sz w:val="20"/>
          <w:szCs w:val="20"/>
        </w:rPr>
      </w:pPr>
      <w:r>
        <w:rPr>
          <w:rFonts w:eastAsia="黑体"/>
          <w:b/>
          <w:bCs/>
          <w:kern w:val="0"/>
          <w:sz w:val="20"/>
          <w:szCs w:val="20"/>
        </w:rPr>
        <w:t>11.4.5</w:t>
      </w:r>
      <w:r>
        <w:rPr>
          <w:rFonts w:eastAsia="黑体"/>
          <w:b/>
          <w:bCs/>
          <w:sz w:val="20"/>
          <w:szCs w:val="20"/>
        </w:rPr>
        <w:t xml:space="preserve"> </w:t>
      </w:r>
      <w:r>
        <w:rPr>
          <w:bCs/>
          <w:sz w:val="20"/>
          <w:szCs w:val="20"/>
        </w:rPr>
        <w:t xml:space="preserve"> </w:t>
      </w:r>
      <w:r>
        <w:rPr>
          <w:sz w:val="20"/>
          <w:szCs w:val="20"/>
        </w:rPr>
        <w:t>地下管线沉降监测，当采用测量地面沉降的间接方法时，其测点应布设在管线正上方。当管线上方为刚性路面时，宜将测点设置于刚性路面下。对直埋的刚性管线，应在管线节点、</w:t>
      </w:r>
      <w:r>
        <w:rPr>
          <w:rFonts w:hint="eastAsia"/>
          <w:sz w:val="20"/>
          <w:szCs w:val="20"/>
        </w:rPr>
        <w:t>检查</w:t>
      </w:r>
      <w:r>
        <w:rPr>
          <w:sz w:val="20"/>
          <w:szCs w:val="20"/>
        </w:rPr>
        <w:t>井及其两侧等易破裂处设置测点。测点水平间距不宜大于20m。</w:t>
      </w:r>
    </w:p>
    <w:p w14:paraId="0103145A">
      <w:pPr>
        <w:adjustRightInd w:val="0"/>
        <w:snapToGrid w:val="0"/>
        <w:spacing w:line="288" w:lineRule="auto"/>
        <w:rPr>
          <w:sz w:val="20"/>
          <w:szCs w:val="20"/>
        </w:rPr>
      </w:pPr>
      <w:r>
        <w:rPr>
          <w:rFonts w:eastAsia="黑体"/>
          <w:b/>
          <w:bCs/>
          <w:kern w:val="0"/>
          <w:sz w:val="20"/>
          <w:szCs w:val="20"/>
        </w:rPr>
        <w:t>11.4.6</w:t>
      </w:r>
      <w:r>
        <w:rPr>
          <w:bCs/>
          <w:sz w:val="20"/>
          <w:szCs w:val="20"/>
        </w:rPr>
        <w:t xml:space="preserve">  </w:t>
      </w:r>
      <w:r>
        <w:rPr>
          <w:sz w:val="20"/>
          <w:szCs w:val="20"/>
        </w:rPr>
        <w:t>道路沉降监测点的间距不宜大于30m，且每条道路的监测点不应少于3个。必要时，沿道路方向可布设多排测点。</w:t>
      </w:r>
    </w:p>
    <w:p w14:paraId="038C3FEB">
      <w:pPr>
        <w:adjustRightInd w:val="0"/>
        <w:snapToGrid w:val="0"/>
        <w:spacing w:line="288" w:lineRule="auto"/>
        <w:rPr>
          <w:sz w:val="20"/>
          <w:szCs w:val="20"/>
        </w:rPr>
      </w:pPr>
      <w:r>
        <w:rPr>
          <w:rFonts w:eastAsia="黑体"/>
          <w:b/>
          <w:bCs/>
          <w:kern w:val="0"/>
          <w:sz w:val="20"/>
          <w:szCs w:val="20"/>
        </w:rPr>
        <w:t>11.4.7</w:t>
      </w:r>
      <w:r>
        <w:rPr>
          <w:bCs/>
          <w:sz w:val="20"/>
          <w:szCs w:val="20"/>
        </w:rPr>
        <w:t xml:space="preserve">  </w:t>
      </w:r>
      <w:r>
        <w:rPr>
          <w:sz w:val="20"/>
          <w:szCs w:val="20"/>
        </w:rPr>
        <w:t>坑边地面沉降监测点应设置在支护结构外侧的土层表面或柔性地面上。与支护结构的水平距离宜在基坑深度的0.2倍范围以内。可沿坑边垂直方向在基坑深度的1倍～2倍范围内设置多测点的监测断面，每个监测断面的测点不宜少于5个。</w:t>
      </w:r>
    </w:p>
    <w:p w14:paraId="593080A5">
      <w:pPr>
        <w:adjustRightInd w:val="0"/>
        <w:snapToGrid w:val="0"/>
        <w:spacing w:line="288" w:lineRule="auto"/>
        <w:rPr>
          <w:sz w:val="20"/>
          <w:szCs w:val="20"/>
        </w:rPr>
      </w:pPr>
      <w:r>
        <w:rPr>
          <w:rFonts w:eastAsia="黑体"/>
          <w:b/>
          <w:bCs/>
          <w:kern w:val="0"/>
          <w:sz w:val="20"/>
          <w:szCs w:val="20"/>
        </w:rPr>
        <w:t>11.4.8</w:t>
      </w:r>
      <w:r>
        <w:rPr>
          <w:bCs/>
          <w:sz w:val="20"/>
          <w:szCs w:val="20"/>
        </w:rPr>
        <w:t xml:space="preserve">  </w:t>
      </w:r>
      <w:r>
        <w:rPr>
          <w:sz w:val="20"/>
          <w:szCs w:val="20"/>
        </w:rPr>
        <w:t>采用测斜管监测支护结构深部水平位移时，对现浇混凝土挡土构件，测斜管应设置在挡土构件内，测斜管深度不应小于挡土构件的深度；对土钉墙，测斜管应设置在紧邻支护结构的土体内，测斜管深度不宜小于基坑深度的1.5倍。测斜管顶部尚应设置用作基准值的水平位移监测点。监测点水平间距宜为20m～60m，</w:t>
      </w:r>
      <w:r>
        <w:rPr>
          <w:rFonts w:hint="eastAsia"/>
        </w:rPr>
        <w:t>基坑每一边需要至少设置1个点。宜布置在基坑周边中部、阳角处或周边代表性部位</w:t>
      </w:r>
      <w:r>
        <w:rPr>
          <w:sz w:val="20"/>
          <w:szCs w:val="20"/>
        </w:rPr>
        <w:t xml:space="preserve">。 </w:t>
      </w:r>
    </w:p>
    <w:p w14:paraId="2D283298">
      <w:pPr>
        <w:adjustRightInd w:val="0"/>
        <w:snapToGrid w:val="0"/>
        <w:spacing w:line="288" w:lineRule="auto"/>
        <w:rPr>
          <w:sz w:val="20"/>
          <w:szCs w:val="20"/>
        </w:rPr>
      </w:pPr>
      <w:r>
        <w:rPr>
          <w:rFonts w:eastAsia="黑体"/>
          <w:b/>
          <w:bCs/>
          <w:kern w:val="0"/>
          <w:sz w:val="20"/>
          <w:szCs w:val="20"/>
        </w:rPr>
        <w:t>11.4.9</w:t>
      </w:r>
      <w:r>
        <w:rPr>
          <w:bCs/>
          <w:sz w:val="20"/>
          <w:szCs w:val="20"/>
        </w:rPr>
        <w:t xml:space="preserve">  </w:t>
      </w:r>
      <w:r>
        <w:rPr>
          <w:sz w:val="20"/>
          <w:szCs w:val="20"/>
        </w:rPr>
        <w:t>锚杆拉力监测宜采用测量锚头处的锚杆杆体总拉力的锚头压力传感器。对多层锚杆支护结构，宜在同一剖面的每层锚杆上设置测点。每层锚杆内力监测点数量不少于本层锚杆总根数的1%，且基坑每侧边不应少于1个监测断面。</w:t>
      </w:r>
    </w:p>
    <w:p w14:paraId="6AC0F0B0">
      <w:pPr>
        <w:adjustRightInd w:val="0"/>
        <w:snapToGrid w:val="0"/>
        <w:spacing w:line="288" w:lineRule="auto"/>
        <w:rPr>
          <w:sz w:val="20"/>
          <w:szCs w:val="20"/>
        </w:rPr>
      </w:pPr>
      <w:r>
        <w:rPr>
          <w:b/>
          <w:bCs/>
          <w:kern w:val="0"/>
          <w:sz w:val="20"/>
          <w:szCs w:val="20"/>
        </w:rPr>
        <w:t xml:space="preserve">11.4.10  </w:t>
      </w:r>
      <w:r>
        <w:rPr>
          <w:sz w:val="20"/>
          <w:szCs w:val="20"/>
        </w:rPr>
        <w:t>支撑轴力监测点宜设置在主要支撑构件、受力复杂和影响支撑结构整体稳定性的支撑构件上。对多层支撑支挡结构，每层监测点不宜少于3个且宜在同一监测断面上设置测点。每一类型的设计剖面不应少于1个监测断面，同一基坑不宜少于4个监测断面。</w:t>
      </w:r>
    </w:p>
    <w:p w14:paraId="565B8644">
      <w:pPr>
        <w:adjustRightInd w:val="0"/>
        <w:snapToGrid w:val="0"/>
        <w:spacing w:line="288" w:lineRule="auto"/>
        <w:rPr>
          <w:sz w:val="20"/>
          <w:szCs w:val="20"/>
        </w:rPr>
      </w:pPr>
      <w:r>
        <w:rPr>
          <w:b/>
          <w:bCs/>
          <w:kern w:val="0"/>
          <w:sz w:val="20"/>
          <w:szCs w:val="20"/>
        </w:rPr>
        <w:t>11.4.11</w:t>
      </w:r>
      <w:r>
        <w:rPr>
          <w:bCs/>
          <w:sz w:val="20"/>
          <w:szCs w:val="20"/>
        </w:rPr>
        <w:t xml:space="preserve">  </w:t>
      </w:r>
      <w:r>
        <w:rPr>
          <w:sz w:val="20"/>
          <w:szCs w:val="20"/>
        </w:rPr>
        <w:t>挡土构件内力监测点应设置在最大弯矩截面处的纵向受拉钢筋上。当挡土构件采用沿竖向分段配置钢筋时，应在钢筋截面面积减小且弯矩较大部位的纵向受拉钢筋上设置测点。</w:t>
      </w:r>
    </w:p>
    <w:p w14:paraId="56CD6B52">
      <w:pPr>
        <w:adjustRightInd w:val="0"/>
        <w:snapToGrid w:val="0"/>
        <w:spacing w:line="288" w:lineRule="auto"/>
        <w:rPr>
          <w:sz w:val="20"/>
          <w:szCs w:val="20"/>
        </w:rPr>
      </w:pPr>
      <w:r>
        <w:rPr>
          <w:b/>
          <w:bCs/>
          <w:kern w:val="0"/>
          <w:sz w:val="20"/>
          <w:szCs w:val="20"/>
        </w:rPr>
        <w:t>11.4.12</w:t>
      </w:r>
      <w:r>
        <w:rPr>
          <w:bCs/>
          <w:sz w:val="20"/>
          <w:szCs w:val="20"/>
        </w:rPr>
        <w:t xml:space="preserve">  </w:t>
      </w:r>
      <w:r>
        <w:rPr>
          <w:sz w:val="20"/>
          <w:szCs w:val="20"/>
        </w:rPr>
        <w:t>当挡土构件下部为软弱持力土层，或采用大倾角锚杆时，宜在挡土构件顶部设置沉降监测点。</w:t>
      </w:r>
    </w:p>
    <w:p w14:paraId="6BBFEFDA">
      <w:pPr>
        <w:adjustRightInd w:val="0"/>
        <w:snapToGrid w:val="0"/>
        <w:spacing w:line="288" w:lineRule="auto"/>
        <w:rPr>
          <w:sz w:val="20"/>
          <w:szCs w:val="20"/>
        </w:rPr>
      </w:pPr>
      <w:r>
        <w:rPr>
          <w:b/>
          <w:bCs/>
          <w:kern w:val="0"/>
          <w:sz w:val="20"/>
          <w:szCs w:val="20"/>
        </w:rPr>
        <w:t>11.4.13</w:t>
      </w:r>
      <w:r>
        <w:rPr>
          <w:bCs/>
          <w:sz w:val="20"/>
          <w:szCs w:val="20"/>
        </w:rPr>
        <w:t xml:space="preserve">  </w:t>
      </w:r>
      <w:r>
        <w:rPr>
          <w:sz w:val="20"/>
          <w:szCs w:val="20"/>
        </w:rPr>
        <w:t>支撑立柱沉降监测点宜设置在基坑中部、支撑交汇处及地质条件差的立柱上；监测点不应少于立柱总根数的5%，逆作法施工时不少于10%，且均不应少于3根。</w:t>
      </w:r>
    </w:p>
    <w:p w14:paraId="148BE71E">
      <w:pPr>
        <w:adjustRightInd w:val="0"/>
        <w:snapToGrid w:val="0"/>
        <w:spacing w:line="288" w:lineRule="auto"/>
        <w:rPr>
          <w:bCs/>
          <w:sz w:val="20"/>
          <w:szCs w:val="20"/>
        </w:rPr>
      </w:pPr>
      <w:r>
        <w:rPr>
          <w:b/>
          <w:bCs/>
          <w:kern w:val="0"/>
          <w:sz w:val="20"/>
          <w:szCs w:val="20"/>
        </w:rPr>
        <w:t>11.4.14</w:t>
      </w:r>
      <w:r>
        <w:rPr>
          <w:bCs/>
          <w:sz w:val="20"/>
          <w:szCs w:val="20"/>
        </w:rPr>
        <w:t xml:space="preserve">  当监测地下水位下降对基坑周边建筑物、道路、地面等沉降的影响时，地下水位监测点应设置在降水井或截水帷幕外侧且靠近被保护对象。当有回灌井时，地下水位监测点应设置在回灌井外侧。水位监测管的滤管应设置在所测含水层内。监测点间距宜为20m</w:t>
      </w:r>
      <w:r>
        <w:rPr>
          <w:sz w:val="20"/>
          <w:szCs w:val="20"/>
        </w:rPr>
        <w:t>～</w:t>
      </w:r>
      <w:r>
        <w:rPr>
          <w:bCs/>
          <w:sz w:val="20"/>
          <w:szCs w:val="20"/>
        </w:rPr>
        <w:t>50m。</w:t>
      </w:r>
    </w:p>
    <w:p w14:paraId="7595F70A">
      <w:pPr>
        <w:pStyle w:val="7"/>
        <w:keepNext w:val="0"/>
        <w:keepLines w:val="0"/>
        <w:adjustRightInd w:val="0"/>
        <w:snapToGrid w:val="0"/>
        <w:spacing w:before="312" w:beforeLines="100" w:after="312" w:afterLines="100" w:line="288" w:lineRule="auto"/>
        <w:jc w:val="center"/>
        <w:rPr>
          <w:rFonts w:eastAsia="黑体"/>
          <w:sz w:val="20"/>
          <w:szCs w:val="20"/>
        </w:rPr>
      </w:pPr>
      <w:bookmarkStart w:id="122" w:name="_Toc139613753"/>
      <w:r>
        <w:rPr>
          <w:rFonts w:eastAsia="黑体"/>
          <w:sz w:val="20"/>
          <w:szCs w:val="20"/>
        </w:rPr>
        <w:t>11</w:t>
      </w:r>
      <w:r>
        <w:rPr>
          <w:rFonts w:hint="eastAsia" w:eastAsia="黑体"/>
          <w:sz w:val="20"/>
          <w:szCs w:val="20"/>
        </w:rPr>
        <w:t xml:space="preserve">.5  </w:t>
      </w:r>
      <w:r>
        <w:rPr>
          <w:rFonts w:hint="eastAsia" w:eastAsia="黑体"/>
          <w:b w:val="0"/>
          <w:bCs w:val="0"/>
          <w:sz w:val="20"/>
          <w:szCs w:val="20"/>
        </w:rPr>
        <w:t>监测频率</w:t>
      </w:r>
      <w:bookmarkEnd w:id="122"/>
    </w:p>
    <w:p w14:paraId="774FA251">
      <w:pPr>
        <w:adjustRightInd w:val="0"/>
        <w:snapToGrid w:val="0"/>
        <w:spacing w:line="288" w:lineRule="auto"/>
        <w:rPr>
          <w:rFonts w:ascii="宋体" w:hAnsi="宋体"/>
          <w:sz w:val="20"/>
          <w:szCs w:val="20"/>
        </w:rPr>
      </w:pPr>
      <w:r>
        <w:rPr>
          <w:rFonts w:eastAsia="黑体"/>
          <w:b/>
          <w:bCs/>
          <w:kern w:val="0"/>
          <w:sz w:val="20"/>
          <w:szCs w:val="20"/>
        </w:rPr>
        <w:t>11.5.1</w:t>
      </w:r>
      <w:r>
        <w:rPr>
          <w:rFonts w:hint="eastAsia" w:ascii="宋体" w:hAnsi="宋体"/>
          <w:bCs/>
          <w:sz w:val="20"/>
          <w:szCs w:val="20"/>
        </w:rPr>
        <w:t xml:space="preserve">  </w:t>
      </w:r>
      <w:r>
        <w:rPr>
          <w:rFonts w:ascii="宋体" w:hAnsi="宋体"/>
          <w:sz w:val="20"/>
          <w:szCs w:val="20"/>
        </w:rPr>
        <w:t>基坑工程监测频率应</w:t>
      </w:r>
      <w:r>
        <w:rPr>
          <w:rFonts w:hint="eastAsia" w:ascii="宋体" w:hAnsi="宋体"/>
          <w:sz w:val="20"/>
          <w:szCs w:val="20"/>
        </w:rPr>
        <w:t>能及时</w:t>
      </w:r>
      <w:r>
        <w:rPr>
          <w:rFonts w:ascii="宋体" w:hAnsi="宋体"/>
          <w:sz w:val="20"/>
          <w:szCs w:val="20"/>
        </w:rPr>
        <w:t>反映监测</w:t>
      </w:r>
      <w:r>
        <w:rPr>
          <w:rFonts w:hint="eastAsia" w:ascii="宋体" w:hAnsi="宋体"/>
          <w:sz w:val="20"/>
          <w:szCs w:val="20"/>
        </w:rPr>
        <w:t>内容</w:t>
      </w:r>
      <w:r>
        <w:rPr>
          <w:rFonts w:ascii="宋体" w:hAnsi="宋体"/>
          <w:sz w:val="20"/>
          <w:szCs w:val="20"/>
        </w:rPr>
        <w:t>的变化过程</w:t>
      </w:r>
      <w:r>
        <w:rPr>
          <w:rFonts w:hint="eastAsia" w:ascii="宋体" w:hAnsi="宋体"/>
          <w:sz w:val="20"/>
          <w:szCs w:val="20"/>
        </w:rPr>
        <w:t>和实现信息化施工的要求</w:t>
      </w:r>
      <w:r>
        <w:rPr>
          <w:rFonts w:ascii="宋体" w:hAnsi="宋体"/>
          <w:sz w:val="20"/>
          <w:szCs w:val="20"/>
        </w:rPr>
        <w:t>。</w:t>
      </w:r>
      <w:r>
        <w:rPr>
          <w:rFonts w:hint="eastAsia" w:ascii="宋体" w:hAnsi="宋体"/>
          <w:sz w:val="20"/>
          <w:szCs w:val="20"/>
        </w:rPr>
        <w:t xml:space="preserve"> </w:t>
      </w:r>
    </w:p>
    <w:p w14:paraId="203B96B3">
      <w:pPr>
        <w:adjustRightInd w:val="0"/>
        <w:snapToGrid w:val="0"/>
        <w:spacing w:line="288" w:lineRule="auto"/>
        <w:rPr>
          <w:rFonts w:ascii="宋体" w:hAnsi="宋体"/>
          <w:sz w:val="20"/>
          <w:szCs w:val="20"/>
        </w:rPr>
      </w:pPr>
      <w:r>
        <w:rPr>
          <w:rFonts w:eastAsia="黑体"/>
          <w:b/>
          <w:bCs/>
          <w:kern w:val="0"/>
          <w:sz w:val="20"/>
          <w:szCs w:val="20"/>
        </w:rPr>
        <w:t>11.5.2</w:t>
      </w:r>
      <w:r>
        <w:rPr>
          <w:rFonts w:hint="eastAsia" w:ascii="宋体" w:hAnsi="宋体"/>
          <w:bCs/>
          <w:sz w:val="20"/>
          <w:szCs w:val="20"/>
        </w:rPr>
        <w:t xml:space="preserve">  </w:t>
      </w:r>
      <w:r>
        <w:rPr>
          <w:rFonts w:hAnsi="宋体"/>
          <w:sz w:val="20"/>
          <w:szCs w:val="20"/>
        </w:rPr>
        <w:t>监测频率应依据基坑监测项目和不同施工阶段确定。对于应测项目，在无数据异常的情况下，施工监测频率宜按表</w:t>
      </w:r>
      <w:r>
        <w:rPr>
          <w:sz w:val="20"/>
          <w:szCs w:val="20"/>
        </w:rPr>
        <w:t>11.5.2</w:t>
      </w:r>
      <w:r>
        <w:rPr>
          <w:rFonts w:hAnsi="宋体"/>
          <w:sz w:val="20"/>
          <w:szCs w:val="20"/>
        </w:rPr>
        <w:t>确定。对于</w:t>
      </w:r>
      <w:r>
        <w:rPr>
          <w:rFonts w:hint="eastAsia" w:hAnsi="宋体"/>
          <w:sz w:val="20"/>
          <w:szCs w:val="20"/>
        </w:rPr>
        <w:t>锚拉式</w:t>
      </w:r>
      <w:r>
        <w:rPr>
          <w:rFonts w:hAnsi="宋体"/>
          <w:sz w:val="20"/>
          <w:szCs w:val="20"/>
        </w:rPr>
        <w:t>支护，基坑开挖深度小于总深度的</w:t>
      </w:r>
      <w:r>
        <w:rPr>
          <w:sz w:val="20"/>
          <w:szCs w:val="20"/>
        </w:rPr>
        <w:t>1/2</w:t>
      </w:r>
      <w:r>
        <w:rPr>
          <w:rFonts w:hAnsi="宋体"/>
          <w:sz w:val="20"/>
          <w:szCs w:val="20"/>
        </w:rPr>
        <w:t>时，支护结构顶部水平位移、基坑周边建（构）筑物、地下管线、道路沉降、基坑周边地面沉降可适当降低监测频率。</w:t>
      </w:r>
    </w:p>
    <w:p w14:paraId="3FDA7E54">
      <w:pPr>
        <w:adjustRightInd w:val="0"/>
        <w:snapToGrid w:val="0"/>
        <w:spacing w:line="288" w:lineRule="auto"/>
        <w:jc w:val="center"/>
        <w:rPr>
          <w:rFonts w:ascii="宋体" w:hAnsi="宋体"/>
          <w:b/>
          <w:sz w:val="18"/>
          <w:szCs w:val="18"/>
        </w:rPr>
      </w:pPr>
      <w:r>
        <w:rPr>
          <w:rFonts w:hint="eastAsia" w:ascii="宋体" w:hAnsi="宋体"/>
          <w:b/>
          <w:bCs/>
          <w:sz w:val="18"/>
          <w:szCs w:val="18"/>
        </w:rPr>
        <w:t>表</w:t>
      </w:r>
      <w:r>
        <w:rPr>
          <w:b/>
          <w:bCs/>
          <w:sz w:val="18"/>
          <w:szCs w:val="18"/>
        </w:rPr>
        <w:t>11.5.2</w:t>
      </w:r>
      <w:r>
        <w:rPr>
          <w:rFonts w:hint="eastAsia" w:ascii="宋体" w:hAnsi="宋体"/>
          <w:b/>
          <w:sz w:val="18"/>
          <w:szCs w:val="18"/>
        </w:rPr>
        <w:t xml:space="preserve">  监测频率 </w:t>
      </w:r>
    </w:p>
    <w:tbl>
      <w:tblPr>
        <w:tblStyle w:val="34"/>
        <w:tblW w:w="5000" w:type="pct"/>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45" w:type="dxa"/>
          <w:left w:w="28" w:type="dxa"/>
          <w:bottom w:w="45" w:type="dxa"/>
          <w:right w:w="28" w:type="dxa"/>
        </w:tblCellMar>
      </w:tblPr>
      <w:tblGrid>
        <w:gridCol w:w="2724"/>
        <w:gridCol w:w="3599"/>
        <w:gridCol w:w="3597"/>
      </w:tblGrid>
      <w:tr w14:paraId="51E416C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Merge w:val="restart"/>
            <w:tcBorders>
              <w:top w:val="single" w:color="auto" w:sz="6" w:space="0"/>
              <w:left w:val="single" w:color="auto" w:sz="6" w:space="0"/>
              <w:right w:val="single" w:color="auto" w:sz="2" w:space="0"/>
            </w:tcBorders>
            <w:vAlign w:val="center"/>
          </w:tcPr>
          <w:p w14:paraId="339D66B9">
            <w:pPr>
              <w:jc w:val="center"/>
              <w:rPr>
                <w:sz w:val="15"/>
                <w:szCs w:val="15"/>
              </w:rPr>
            </w:pPr>
            <w:r>
              <w:rPr>
                <w:rFonts w:hAnsi="宋体"/>
                <w:sz w:val="15"/>
                <w:szCs w:val="15"/>
              </w:rPr>
              <w:t>监测项目</w:t>
            </w:r>
          </w:p>
        </w:tc>
        <w:tc>
          <w:tcPr>
            <w:tcW w:w="3627" w:type="pct"/>
            <w:gridSpan w:val="2"/>
            <w:tcBorders>
              <w:top w:val="single" w:color="auto" w:sz="6" w:space="0"/>
              <w:left w:val="single" w:color="auto" w:sz="2" w:space="0"/>
              <w:bottom w:val="single" w:color="auto" w:sz="2" w:space="0"/>
              <w:right w:val="single" w:color="auto" w:sz="6" w:space="0"/>
            </w:tcBorders>
            <w:vAlign w:val="center"/>
          </w:tcPr>
          <w:p w14:paraId="6A1E7F94">
            <w:pPr>
              <w:adjustRightInd w:val="0"/>
              <w:snapToGrid w:val="0"/>
              <w:spacing w:line="264" w:lineRule="auto"/>
              <w:jc w:val="center"/>
              <w:rPr>
                <w:rFonts w:hAnsi="宋体"/>
                <w:sz w:val="15"/>
                <w:szCs w:val="15"/>
              </w:rPr>
            </w:pPr>
            <w:r>
              <w:rPr>
                <w:rFonts w:hAnsi="宋体"/>
                <w:sz w:val="15"/>
                <w:szCs w:val="15"/>
              </w:rPr>
              <w:t>监测频率</w:t>
            </w:r>
          </w:p>
        </w:tc>
      </w:tr>
      <w:tr w14:paraId="61D595A7">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Merge w:val="continue"/>
            <w:tcBorders>
              <w:left w:val="single" w:color="auto" w:sz="6" w:space="0"/>
              <w:bottom w:val="single" w:color="auto" w:sz="2" w:space="0"/>
              <w:right w:val="single" w:color="auto" w:sz="2" w:space="0"/>
            </w:tcBorders>
            <w:vAlign w:val="center"/>
          </w:tcPr>
          <w:p w14:paraId="73616DB7">
            <w:pPr>
              <w:jc w:val="center"/>
              <w:rPr>
                <w:rFonts w:hAnsi="宋体"/>
                <w:sz w:val="15"/>
                <w:szCs w:val="15"/>
              </w:rPr>
            </w:pPr>
          </w:p>
        </w:tc>
        <w:tc>
          <w:tcPr>
            <w:tcW w:w="1814" w:type="pct"/>
            <w:tcBorders>
              <w:top w:val="single" w:color="auto" w:sz="6" w:space="0"/>
              <w:left w:val="single" w:color="auto" w:sz="2" w:space="0"/>
              <w:bottom w:val="single" w:color="auto" w:sz="2" w:space="0"/>
              <w:right w:val="single" w:color="auto" w:sz="6" w:space="0"/>
            </w:tcBorders>
            <w:vAlign w:val="center"/>
          </w:tcPr>
          <w:p w14:paraId="19890929">
            <w:pPr>
              <w:adjustRightInd w:val="0"/>
              <w:snapToGrid w:val="0"/>
              <w:spacing w:line="264" w:lineRule="auto"/>
              <w:jc w:val="center"/>
              <w:rPr>
                <w:rFonts w:hAnsi="宋体"/>
                <w:sz w:val="15"/>
                <w:szCs w:val="15"/>
              </w:rPr>
            </w:pPr>
            <w:r>
              <w:rPr>
                <w:rFonts w:hint="eastAsia" w:hAnsi="宋体"/>
                <w:sz w:val="15"/>
                <w:szCs w:val="15"/>
              </w:rPr>
              <w:t>一级基坑</w:t>
            </w:r>
          </w:p>
        </w:tc>
        <w:tc>
          <w:tcPr>
            <w:tcW w:w="1813" w:type="pct"/>
            <w:tcBorders>
              <w:top w:val="single" w:color="auto" w:sz="6" w:space="0"/>
              <w:left w:val="single" w:color="auto" w:sz="2" w:space="0"/>
              <w:bottom w:val="single" w:color="auto" w:sz="2" w:space="0"/>
              <w:right w:val="single" w:color="auto" w:sz="6" w:space="0"/>
            </w:tcBorders>
          </w:tcPr>
          <w:p w14:paraId="3CA5E36C">
            <w:pPr>
              <w:adjustRightInd w:val="0"/>
              <w:snapToGrid w:val="0"/>
              <w:spacing w:line="264" w:lineRule="auto"/>
              <w:jc w:val="center"/>
              <w:rPr>
                <w:rFonts w:hAnsi="宋体"/>
                <w:sz w:val="15"/>
                <w:szCs w:val="15"/>
              </w:rPr>
            </w:pPr>
            <w:r>
              <w:rPr>
                <w:rFonts w:hint="eastAsia" w:hAnsi="宋体"/>
                <w:sz w:val="15"/>
                <w:szCs w:val="15"/>
              </w:rPr>
              <w:t>二级基坑</w:t>
            </w:r>
          </w:p>
        </w:tc>
      </w:tr>
      <w:tr w14:paraId="615ECC90">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713" w:hRule="atLeast"/>
          <w:jc w:val="center"/>
        </w:trPr>
        <w:tc>
          <w:tcPr>
            <w:tcW w:w="1373" w:type="pct"/>
            <w:vAlign w:val="center"/>
          </w:tcPr>
          <w:p w14:paraId="3D7A9F48">
            <w:pPr>
              <w:adjustRightInd w:val="0"/>
              <w:snapToGrid w:val="0"/>
              <w:spacing w:line="264" w:lineRule="auto"/>
              <w:jc w:val="center"/>
              <w:rPr>
                <w:sz w:val="15"/>
                <w:szCs w:val="15"/>
              </w:rPr>
            </w:pPr>
            <w:r>
              <w:rPr>
                <w:rFonts w:hAnsi="宋体"/>
                <w:sz w:val="15"/>
                <w:szCs w:val="15"/>
              </w:rPr>
              <w:t>基坑周边建（构）筑物、</w:t>
            </w:r>
          </w:p>
          <w:p w14:paraId="0D6B46C9">
            <w:pPr>
              <w:adjustRightInd w:val="0"/>
              <w:snapToGrid w:val="0"/>
              <w:spacing w:line="264" w:lineRule="auto"/>
              <w:jc w:val="center"/>
              <w:rPr>
                <w:sz w:val="15"/>
                <w:szCs w:val="15"/>
              </w:rPr>
            </w:pPr>
            <w:r>
              <w:rPr>
                <w:rFonts w:hAnsi="宋体"/>
                <w:sz w:val="15"/>
                <w:szCs w:val="15"/>
              </w:rPr>
              <w:t>地下管线、道路沉降</w:t>
            </w:r>
          </w:p>
        </w:tc>
        <w:tc>
          <w:tcPr>
            <w:tcW w:w="1814" w:type="pct"/>
            <w:vAlign w:val="center"/>
          </w:tcPr>
          <w:p w14:paraId="7217CADF">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int="eastAsia"/>
                <w:sz w:val="15"/>
                <w:szCs w:val="15"/>
              </w:rPr>
              <w:t>2</w:t>
            </w:r>
            <w:r>
              <w:rPr>
                <w:rFonts w:hAnsi="宋体"/>
                <w:sz w:val="15"/>
                <w:szCs w:val="15"/>
              </w:rPr>
              <w:t>次</w:t>
            </w:r>
            <w:r>
              <w:rPr>
                <w:sz w:val="15"/>
                <w:szCs w:val="15"/>
              </w:rPr>
              <w:t>/d</w:t>
            </w:r>
            <w:r>
              <w:rPr>
                <w:rFonts w:hAnsi="宋体"/>
                <w:sz w:val="15"/>
                <w:szCs w:val="15"/>
              </w:rPr>
              <w:t>；</w:t>
            </w:r>
          </w:p>
          <w:p w14:paraId="10BF141E">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2781D3FE">
            <w:pPr>
              <w:adjustRightInd w:val="0"/>
              <w:snapToGrid w:val="0"/>
              <w:spacing w:line="264" w:lineRule="auto"/>
              <w:jc w:val="center"/>
              <w:rPr>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/7d</w:t>
            </w:r>
          </w:p>
        </w:tc>
        <w:tc>
          <w:tcPr>
            <w:tcW w:w="1813" w:type="pct"/>
            <w:vAlign w:val="center"/>
          </w:tcPr>
          <w:p w14:paraId="6C9EFFDF">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Ansi="宋体"/>
                <w:sz w:val="15"/>
                <w:szCs w:val="15"/>
              </w:rPr>
              <w:t>次</w:t>
            </w:r>
            <w:r>
              <w:rPr>
                <w:sz w:val="15"/>
                <w:szCs w:val="15"/>
              </w:rPr>
              <w:t>/d</w:t>
            </w:r>
            <w:r>
              <w:rPr>
                <w:rFonts w:hAnsi="宋体"/>
                <w:sz w:val="15"/>
                <w:szCs w:val="15"/>
              </w:rPr>
              <w:t>；</w:t>
            </w:r>
          </w:p>
          <w:p w14:paraId="0252B885">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4BE08A6E">
            <w:pPr>
              <w:adjustRightInd w:val="0"/>
              <w:snapToGrid w:val="0"/>
              <w:spacing w:line="264" w:lineRule="auto"/>
              <w:jc w:val="center"/>
              <w:rPr>
                <w:rFonts w:hAnsi="宋体"/>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/10d</w:t>
            </w:r>
          </w:p>
        </w:tc>
      </w:tr>
      <w:tr w14:paraId="2C98172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Align w:val="center"/>
          </w:tcPr>
          <w:p w14:paraId="322B41D7">
            <w:pPr>
              <w:adjustRightInd w:val="0"/>
              <w:snapToGrid w:val="0"/>
              <w:spacing w:line="264" w:lineRule="auto"/>
              <w:jc w:val="center"/>
              <w:rPr>
                <w:sz w:val="15"/>
                <w:szCs w:val="15"/>
              </w:rPr>
            </w:pPr>
            <w:r>
              <w:rPr>
                <w:rFonts w:hAnsi="宋体"/>
                <w:sz w:val="15"/>
                <w:szCs w:val="15"/>
              </w:rPr>
              <w:t>基坑周边地面沉降</w:t>
            </w:r>
          </w:p>
        </w:tc>
        <w:tc>
          <w:tcPr>
            <w:tcW w:w="1814" w:type="pct"/>
            <w:vAlign w:val="center"/>
          </w:tcPr>
          <w:p w14:paraId="0C222D1D">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int="eastAsia"/>
                <w:sz w:val="15"/>
                <w:szCs w:val="15"/>
              </w:rPr>
              <w:t>2</w:t>
            </w:r>
            <w:r>
              <w:rPr>
                <w:rFonts w:hAnsi="宋体"/>
                <w:sz w:val="15"/>
                <w:szCs w:val="15"/>
              </w:rPr>
              <w:t>次</w:t>
            </w:r>
            <w:r>
              <w:rPr>
                <w:sz w:val="15"/>
                <w:szCs w:val="15"/>
              </w:rPr>
              <w:t>/d</w:t>
            </w:r>
            <w:r>
              <w:rPr>
                <w:rFonts w:hAnsi="宋体"/>
                <w:sz w:val="15"/>
                <w:szCs w:val="15"/>
              </w:rPr>
              <w:t>；</w:t>
            </w:r>
          </w:p>
          <w:p w14:paraId="77A1246D">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230F9C90">
            <w:pPr>
              <w:adjustRightInd w:val="0"/>
              <w:snapToGrid w:val="0"/>
              <w:spacing w:line="264" w:lineRule="auto"/>
              <w:jc w:val="center"/>
              <w:rPr>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/7d</w:t>
            </w:r>
          </w:p>
        </w:tc>
        <w:tc>
          <w:tcPr>
            <w:tcW w:w="1813" w:type="pct"/>
            <w:vAlign w:val="center"/>
          </w:tcPr>
          <w:p w14:paraId="31C6DC1A">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Ansi="宋体"/>
                <w:sz w:val="15"/>
                <w:szCs w:val="15"/>
              </w:rPr>
              <w:t>次</w:t>
            </w:r>
            <w:r>
              <w:rPr>
                <w:sz w:val="15"/>
                <w:szCs w:val="15"/>
              </w:rPr>
              <w:t>/d</w:t>
            </w:r>
            <w:r>
              <w:rPr>
                <w:rFonts w:hAnsi="宋体"/>
                <w:sz w:val="15"/>
                <w:szCs w:val="15"/>
              </w:rPr>
              <w:t>；</w:t>
            </w:r>
          </w:p>
          <w:p w14:paraId="203C7C33">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2B155E44">
            <w:pPr>
              <w:adjustRightInd w:val="0"/>
              <w:snapToGrid w:val="0"/>
              <w:spacing w:line="264" w:lineRule="auto"/>
              <w:jc w:val="center"/>
              <w:rPr>
                <w:rFonts w:hAnsi="宋体"/>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/10d</w:t>
            </w:r>
          </w:p>
        </w:tc>
      </w:tr>
      <w:tr w14:paraId="108083A5">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Align w:val="center"/>
          </w:tcPr>
          <w:p w14:paraId="0F15979A">
            <w:pPr>
              <w:adjustRightInd w:val="0"/>
              <w:snapToGrid w:val="0"/>
              <w:spacing w:line="264" w:lineRule="auto"/>
              <w:jc w:val="center"/>
              <w:rPr>
                <w:sz w:val="15"/>
                <w:szCs w:val="15"/>
              </w:rPr>
            </w:pPr>
            <w:r>
              <w:rPr>
                <w:rFonts w:hAnsi="宋体"/>
                <w:sz w:val="15"/>
                <w:szCs w:val="15"/>
              </w:rPr>
              <w:t>支护结构顶部</w:t>
            </w:r>
            <w:r>
              <w:rPr>
                <w:rFonts w:hint="eastAsia" w:hAnsi="宋体"/>
                <w:sz w:val="15"/>
                <w:szCs w:val="15"/>
              </w:rPr>
              <w:t>水平、</w:t>
            </w:r>
            <w:r>
              <w:rPr>
                <w:rFonts w:hAnsi="宋体"/>
                <w:sz w:val="15"/>
                <w:szCs w:val="15"/>
              </w:rPr>
              <w:t>竖向位移</w:t>
            </w:r>
          </w:p>
        </w:tc>
        <w:tc>
          <w:tcPr>
            <w:tcW w:w="1814" w:type="pct"/>
            <w:vAlign w:val="center"/>
          </w:tcPr>
          <w:p w14:paraId="19025E10">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int="eastAsia"/>
                <w:sz w:val="15"/>
                <w:szCs w:val="15"/>
              </w:rPr>
              <w:t>2</w:t>
            </w:r>
            <w:r>
              <w:rPr>
                <w:rFonts w:hAnsi="宋体"/>
                <w:sz w:val="15"/>
                <w:szCs w:val="15"/>
              </w:rPr>
              <w:t>次</w:t>
            </w:r>
            <w:r>
              <w:rPr>
                <w:sz w:val="15"/>
                <w:szCs w:val="15"/>
              </w:rPr>
              <w:t>/d</w:t>
            </w:r>
            <w:r>
              <w:rPr>
                <w:rFonts w:hAnsi="宋体"/>
                <w:sz w:val="15"/>
                <w:szCs w:val="15"/>
              </w:rPr>
              <w:t>；</w:t>
            </w:r>
          </w:p>
          <w:p w14:paraId="7723A1BC">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62F19E2A">
            <w:pPr>
              <w:adjustRightInd w:val="0"/>
              <w:snapToGrid w:val="0"/>
              <w:spacing w:line="264" w:lineRule="auto"/>
              <w:jc w:val="center"/>
              <w:rPr>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/7d</w:t>
            </w:r>
          </w:p>
        </w:tc>
        <w:tc>
          <w:tcPr>
            <w:tcW w:w="1813" w:type="pct"/>
            <w:vAlign w:val="center"/>
          </w:tcPr>
          <w:p w14:paraId="67D59BDC">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Ansi="宋体"/>
                <w:sz w:val="15"/>
                <w:szCs w:val="15"/>
              </w:rPr>
              <w:t>次</w:t>
            </w:r>
            <w:r>
              <w:rPr>
                <w:sz w:val="15"/>
                <w:szCs w:val="15"/>
              </w:rPr>
              <w:t>/d</w:t>
            </w:r>
            <w:r>
              <w:rPr>
                <w:rFonts w:hAnsi="宋体"/>
                <w:sz w:val="15"/>
                <w:szCs w:val="15"/>
              </w:rPr>
              <w:t>；</w:t>
            </w:r>
          </w:p>
          <w:p w14:paraId="356FAE3F">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2B1FE20C">
            <w:pPr>
              <w:adjustRightInd w:val="0"/>
              <w:snapToGrid w:val="0"/>
              <w:spacing w:line="264" w:lineRule="auto"/>
              <w:jc w:val="center"/>
              <w:rPr>
                <w:rFonts w:hAnsi="宋体"/>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/10d</w:t>
            </w:r>
          </w:p>
        </w:tc>
      </w:tr>
      <w:tr w14:paraId="7D71420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Align w:val="center"/>
          </w:tcPr>
          <w:p w14:paraId="6215EAD9">
            <w:pPr>
              <w:adjustRightInd w:val="0"/>
              <w:snapToGrid w:val="0"/>
              <w:spacing w:line="264" w:lineRule="auto"/>
              <w:jc w:val="center"/>
              <w:rPr>
                <w:sz w:val="15"/>
                <w:szCs w:val="15"/>
              </w:rPr>
            </w:pPr>
            <w:r>
              <w:rPr>
                <w:rFonts w:hAnsi="宋体"/>
                <w:sz w:val="15"/>
                <w:szCs w:val="15"/>
              </w:rPr>
              <w:t>支护结构深部水平位移</w:t>
            </w:r>
          </w:p>
        </w:tc>
        <w:tc>
          <w:tcPr>
            <w:tcW w:w="1814" w:type="pct"/>
            <w:vAlign w:val="center"/>
          </w:tcPr>
          <w:p w14:paraId="4A789B9A">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Ansi="宋体"/>
                <w:sz w:val="15"/>
                <w:szCs w:val="15"/>
              </w:rPr>
              <w:t>次</w:t>
            </w:r>
            <w:r>
              <w:rPr>
                <w:sz w:val="15"/>
                <w:szCs w:val="15"/>
              </w:rPr>
              <w:t>/1d</w:t>
            </w:r>
            <w:r>
              <w:rPr>
                <w:rFonts w:hAnsi="宋体"/>
                <w:sz w:val="15"/>
                <w:szCs w:val="15"/>
              </w:rPr>
              <w:t>；</w:t>
            </w:r>
          </w:p>
          <w:p w14:paraId="4D36A2ED">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3F2EFE85">
            <w:pPr>
              <w:adjustRightInd w:val="0"/>
              <w:snapToGrid w:val="0"/>
              <w:spacing w:line="264" w:lineRule="auto"/>
              <w:jc w:val="center"/>
              <w:rPr>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/7d</w:t>
            </w:r>
          </w:p>
        </w:tc>
        <w:tc>
          <w:tcPr>
            <w:tcW w:w="1813" w:type="pct"/>
            <w:vAlign w:val="center"/>
          </w:tcPr>
          <w:p w14:paraId="2DE6E537">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Ansi="宋体"/>
                <w:sz w:val="15"/>
                <w:szCs w:val="15"/>
              </w:rPr>
              <w:t>次</w:t>
            </w:r>
            <w:r>
              <w:rPr>
                <w:sz w:val="15"/>
                <w:szCs w:val="15"/>
              </w:rPr>
              <w:t>/1d</w:t>
            </w:r>
            <w:r>
              <w:rPr>
                <w:rFonts w:hAnsi="宋体"/>
                <w:sz w:val="15"/>
                <w:szCs w:val="15"/>
              </w:rPr>
              <w:t>；</w:t>
            </w:r>
          </w:p>
          <w:p w14:paraId="440E12B3">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0A27A9C4">
            <w:pPr>
              <w:adjustRightInd w:val="0"/>
              <w:snapToGrid w:val="0"/>
              <w:spacing w:line="264" w:lineRule="auto"/>
              <w:jc w:val="center"/>
              <w:rPr>
                <w:rFonts w:hAnsi="宋体"/>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/10d</w:t>
            </w:r>
          </w:p>
        </w:tc>
      </w:tr>
      <w:tr w14:paraId="3DFAFC2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Align w:val="center"/>
          </w:tcPr>
          <w:p w14:paraId="7B2D750C">
            <w:pPr>
              <w:adjustRightInd w:val="0"/>
              <w:snapToGrid w:val="0"/>
              <w:spacing w:line="264" w:lineRule="auto"/>
              <w:jc w:val="center"/>
              <w:rPr>
                <w:sz w:val="15"/>
                <w:szCs w:val="15"/>
              </w:rPr>
            </w:pPr>
            <w:r>
              <w:rPr>
                <w:rFonts w:hAnsi="宋体"/>
                <w:sz w:val="15"/>
                <w:szCs w:val="15"/>
              </w:rPr>
              <w:t>锚杆拉力</w:t>
            </w:r>
          </w:p>
        </w:tc>
        <w:tc>
          <w:tcPr>
            <w:tcW w:w="1814" w:type="pct"/>
            <w:vAlign w:val="center"/>
          </w:tcPr>
          <w:p w14:paraId="6563021F">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int="eastAsia"/>
                <w:sz w:val="15"/>
                <w:szCs w:val="15"/>
              </w:rPr>
              <w:t>2</w:t>
            </w:r>
            <w:r>
              <w:rPr>
                <w:rFonts w:hAnsi="宋体"/>
                <w:sz w:val="15"/>
                <w:szCs w:val="15"/>
              </w:rPr>
              <w:t>次</w:t>
            </w:r>
            <w:r>
              <w:rPr>
                <w:sz w:val="15"/>
                <w:szCs w:val="15"/>
              </w:rPr>
              <w:t>/d</w:t>
            </w:r>
            <w:r>
              <w:rPr>
                <w:rFonts w:hAnsi="宋体"/>
                <w:sz w:val="15"/>
                <w:szCs w:val="15"/>
              </w:rPr>
              <w:t>；</w:t>
            </w:r>
          </w:p>
          <w:p w14:paraId="2E8B6DD5">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53DC8940">
            <w:pPr>
              <w:adjustRightInd w:val="0"/>
              <w:snapToGrid w:val="0"/>
              <w:spacing w:line="264" w:lineRule="auto"/>
              <w:jc w:val="center"/>
              <w:rPr>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/7d</w:t>
            </w:r>
          </w:p>
        </w:tc>
        <w:tc>
          <w:tcPr>
            <w:tcW w:w="1813" w:type="pct"/>
            <w:vAlign w:val="center"/>
          </w:tcPr>
          <w:p w14:paraId="33D1B245">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Ansi="宋体"/>
                <w:sz w:val="15"/>
                <w:szCs w:val="15"/>
              </w:rPr>
              <w:t>次</w:t>
            </w:r>
            <w:r>
              <w:rPr>
                <w:sz w:val="15"/>
                <w:szCs w:val="15"/>
              </w:rPr>
              <w:t>/d</w:t>
            </w:r>
            <w:r>
              <w:rPr>
                <w:rFonts w:hAnsi="宋体"/>
                <w:sz w:val="15"/>
                <w:szCs w:val="15"/>
              </w:rPr>
              <w:t>；</w:t>
            </w:r>
          </w:p>
          <w:p w14:paraId="4BF7C219">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2C2F5DA2">
            <w:pPr>
              <w:adjustRightInd w:val="0"/>
              <w:snapToGrid w:val="0"/>
              <w:spacing w:line="264" w:lineRule="auto"/>
              <w:jc w:val="center"/>
              <w:rPr>
                <w:rFonts w:hAnsi="宋体"/>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/10d</w:t>
            </w:r>
          </w:p>
        </w:tc>
      </w:tr>
      <w:tr w14:paraId="3098D66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Align w:val="center"/>
          </w:tcPr>
          <w:p w14:paraId="4154AB8A">
            <w:pPr>
              <w:adjustRightInd w:val="0"/>
              <w:snapToGrid w:val="0"/>
              <w:spacing w:line="264" w:lineRule="auto"/>
              <w:jc w:val="center"/>
              <w:rPr>
                <w:sz w:val="15"/>
                <w:szCs w:val="15"/>
              </w:rPr>
            </w:pPr>
            <w:r>
              <w:rPr>
                <w:rFonts w:hAnsi="宋体"/>
                <w:sz w:val="15"/>
                <w:szCs w:val="15"/>
              </w:rPr>
              <w:t>支撑轴力</w:t>
            </w:r>
          </w:p>
        </w:tc>
        <w:tc>
          <w:tcPr>
            <w:tcW w:w="1814" w:type="pct"/>
            <w:vAlign w:val="center"/>
          </w:tcPr>
          <w:p w14:paraId="4555402F">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int="eastAsia"/>
                <w:sz w:val="15"/>
                <w:szCs w:val="15"/>
              </w:rPr>
              <w:t>2</w:t>
            </w:r>
            <w:r>
              <w:rPr>
                <w:rFonts w:hAnsi="宋体"/>
                <w:sz w:val="15"/>
                <w:szCs w:val="15"/>
              </w:rPr>
              <w:t>次</w:t>
            </w:r>
            <w:r>
              <w:rPr>
                <w:sz w:val="15"/>
                <w:szCs w:val="15"/>
              </w:rPr>
              <w:t>/d</w:t>
            </w:r>
            <w:r>
              <w:rPr>
                <w:rFonts w:hAnsi="宋体"/>
                <w:sz w:val="15"/>
                <w:szCs w:val="15"/>
              </w:rPr>
              <w:t>；</w:t>
            </w:r>
          </w:p>
          <w:p w14:paraId="63BD7BDF">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1737C270">
            <w:pPr>
              <w:adjustRightInd w:val="0"/>
              <w:snapToGrid w:val="0"/>
              <w:spacing w:line="264" w:lineRule="auto"/>
              <w:jc w:val="center"/>
              <w:rPr>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/7d</w:t>
            </w:r>
          </w:p>
        </w:tc>
        <w:tc>
          <w:tcPr>
            <w:tcW w:w="1813" w:type="pct"/>
            <w:vAlign w:val="center"/>
          </w:tcPr>
          <w:p w14:paraId="27AD7DBB">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Ansi="宋体"/>
                <w:sz w:val="15"/>
                <w:szCs w:val="15"/>
              </w:rPr>
              <w:t>次</w:t>
            </w:r>
            <w:r>
              <w:rPr>
                <w:sz w:val="15"/>
                <w:szCs w:val="15"/>
              </w:rPr>
              <w:t>/d</w:t>
            </w:r>
            <w:r>
              <w:rPr>
                <w:rFonts w:hAnsi="宋体"/>
                <w:sz w:val="15"/>
                <w:szCs w:val="15"/>
              </w:rPr>
              <w:t>；</w:t>
            </w:r>
          </w:p>
          <w:p w14:paraId="1FC8B502">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264C346B">
            <w:pPr>
              <w:adjustRightInd w:val="0"/>
              <w:snapToGrid w:val="0"/>
              <w:spacing w:line="264" w:lineRule="auto"/>
              <w:jc w:val="center"/>
              <w:rPr>
                <w:rFonts w:hAnsi="宋体"/>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/10d</w:t>
            </w:r>
          </w:p>
        </w:tc>
      </w:tr>
      <w:tr w14:paraId="2A3BB73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Align w:val="center"/>
          </w:tcPr>
          <w:p w14:paraId="788424B1">
            <w:pPr>
              <w:adjustRightInd w:val="0"/>
              <w:snapToGrid w:val="0"/>
              <w:spacing w:line="264" w:lineRule="auto"/>
              <w:jc w:val="center"/>
              <w:rPr>
                <w:sz w:val="15"/>
                <w:szCs w:val="15"/>
              </w:rPr>
            </w:pPr>
            <w:r>
              <w:rPr>
                <w:rFonts w:hAnsi="宋体"/>
                <w:sz w:val="15"/>
                <w:szCs w:val="15"/>
              </w:rPr>
              <w:t>挡土构件内力</w:t>
            </w:r>
          </w:p>
        </w:tc>
        <w:tc>
          <w:tcPr>
            <w:tcW w:w="1814" w:type="pct"/>
            <w:vAlign w:val="center"/>
          </w:tcPr>
          <w:p w14:paraId="2989EAA8">
            <w:pPr>
              <w:adjustRightInd w:val="0"/>
              <w:snapToGrid w:val="0"/>
              <w:spacing w:line="264" w:lineRule="auto"/>
              <w:jc w:val="center"/>
              <w:rPr>
                <w:sz w:val="15"/>
                <w:szCs w:val="15"/>
              </w:rPr>
            </w:pPr>
            <w:r>
              <w:rPr>
                <w:rFonts w:hAnsi="宋体"/>
                <w:sz w:val="15"/>
                <w:szCs w:val="15"/>
              </w:rPr>
              <w:t>依据设计文件</w:t>
            </w:r>
          </w:p>
        </w:tc>
        <w:tc>
          <w:tcPr>
            <w:tcW w:w="1813" w:type="pct"/>
            <w:vAlign w:val="center"/>
          </w:tcPr>
          <w:p w14:paraId="03218E2C">
            <w:pPr>
              <w:adjustRightInd w:val="0"/>
              <w:snapToGrid w:val="0"/>
              <w:spacing w:line="264" w:lineRule="auto"/>
              <w:jc w:val="center"/>
              <w:rPr>
                <w:rFonts w:hAnsi="宋体"/>
                <w:sz w:val="15"/>
                <w:szCs w:val="15"/>
              </w:rPr>
            </w:pPr>
            <w:r>
              <w:rPr>
                <w:rFonts w:hAnsi="宋体"/>
                <w:sz w:val="15"/>
                <w:szCs w:val="15"/>
              </w:rPr>
              <w:t>依据设计文件</w:t>
            </w:r>
          </w:p>
        </w:tc>
      </w:tr>
      <w:tr w14:paraId="699883A5">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Align w:val="center"/>
          </w:tcPr>
          <w:p w14:paraId="3A772477">
            <w:pPr>
              <w:adjustRightInd w:val="0"/>
              <w:snapToGrid w:val="0"/>
              <w:spacing w:line="264" w:lineRule="auto"/>
              <w:jc w:val="center"/>
              <w:rPr>
                <w:sz w:val="15"/>
                <w:szCs w:val="15"/>
              </w:rPr>
            </w:pPr>
            <w:r>
              <w:rPr>
                <w:rFonts w:hAnsi="宋体"/>
                <w:sz w:val="15"/>
                <w:szCs w:val="15"/>
              </w:rPr>
              <w:t>支撑立柱沉降</w:t>
            </w:r>
          </w:p>
        </w:tc>
        <w:tc>
          <w:tcPr>
            <w:tcW w:w="1814" w:type="pct"/>
            <w:vAlign w:val="center"/>
          </w:tcPr>
          <w:p w14:paraId="08980F46">
            <w:pPr>
              <w:adjustRightInd w:val="0"/>
              <w:snapToGrid w:val="0"/>
              <w:spacing w:line="264" w:lineRule="auto"/>
              <w:jc w:val="center"/>
              <w:rPr>
                <w:sz w:val="15"/>
                <w:szCs w:val="15"/>
              </w:rPr>
            </w:pPr>
            <w:r>
              <w:rPr>
                <w:rFonts w:hAnsi="宋体"/>
                <w:sz w:val="15"/>
                <w:szCs w:val="15"/>
              </w:rPr>
              <w:t>依据设计文件</w:t>
            </w:r>
          </w:p>
        </w:tc>
        <w:tc>
          <w:tcPr>
            <w:tcW w:w="1813" w:type="pct"/>
            <w:vAlign w:val="center"/>
          </w:tcPr>
          <w:p w14:paraId="04DA246A">
            <w:pPr>
              <w:adjustRightInd w:val="0"/>
              <w:snapToGrid w:val="0"/>
              <w:spacing w:line="264" w:lineRule="auto"/>
              <w:jc w:val="center"/>
              <w:rPr>
                <w:rFonts w:hAnsi="宋体"/>
                <w:sz w:val="15"/>
                <w:szCs w:val="15"/>
              </w:rPr>
            </w:pPr>
            <w:r>
              <w:rPr>
                <w:rFonts w:hAnsi="宋体"/>
                <w:sz w:val="15"/>
                <w:szCs w:val="15"/>
              </w:rPr>
              <w:t>依据设计文件</w:t>
            </w:r>
          </w:p>
        </w:tc>
      </w:tr>
      <w:tr w14:paraId="2C38E7E5">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Align w:val="center"/>
          </w:tcPr>
          <w:p w14:paraId="32B580EF">
            <w:pPr>
              <w:adjustRightInd w:val="0"/>
              <w:snapToGrid w:val="0"/>
              <w:spacing w:line="264" w:lineRule="auto"/>
              <w:jc w:val="center"/>
              <w:rPr>
                <w:sz w:val="15"/>
                <w:szCs w:val="15"/>
              </w:rPr>
            </w:pPr>
            <w:r>
              <w:rPr>
                <w:rFonts w:hAnsi="宋体"/>
                <w:sz w:val="15"/>
                <w:szCs w:val="15"/>
              </w:rPr>
              <w:t>地下水位</w:t>
            </w:r>
          </w:p>
        </w:tc>
        <w:tc>
          <w:tcPr>
            <w:tcW w:w="1814" w:type="pct"/>
            <w:vAlign w:val="center"/>
          </w:tcPr>
          <w:p w14:paraId="7A35B20F">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Ansi="宋体"/>
                <w:sz w:val="15"/>
                <w:szCs w:val="15"/>
              </w:rPr>
              <w:t>次</w:t>
            </w:r>
            <w:r>
              <w:rPr>
                <w:sz w:val="15"/>
                <w:szCs w:val="15"/>
              </w:rPr>
              <w:t>/d</w:t>
            </w:r>
            <w:r>
              <w:rPr>
                <w:rFonts w:hAnsi="宋体"/>
                <w:sz w:val="15"/>
                <w:szCs w:val="15"/>
              </w:rPr>
              <w:t>；</w:t>
            </w:r>
          </w:p>
          <w:p w14:paraId="5D0C4010">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5643D3E4">
            <w:pPr>
              <w:adjustRightInd w:val="0"/>
              <w:snapToGrid w:val="0"/>
              <w:spacing w:line="264" w:lineRule="auto"/>
              <w:jc w:val="center"/>
              <w:rPr>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/7d</w:t>
            </w:r>
          </w:p>
        </w:tc>
        <w:tc>
          <w:tcPr>
            <w:tcW w:w="1813" w:type="pct"/>
            <w:vAlign w:val="center"/>
          </w:tcPr>
          <w:p w14:paraId="7D638BC0">
            <w:pPr>
              <w:adjustRightInd w:val="0"/>
              <w:snapToGrid w:val="0"/>
              <w:spacing w:line="264" w:lineRule="auto"/>
              <w:jc w:val="center"/>
              <w:rPr>
                <w:sz w:val="15"/>
                <w:szCs w:val="15"/>
              </w:rPr>
            </w:pPr>
            <w:r>
              <w:rPr>
                <w:rFonts w:hAnsi="宋体"/>
                <w:sz w:val="15"/>
                <w:szCs w:val="15"/>
              </w:rPr>
              <w:t>基坑开挖至开挖完成后稳定前：</w:t>
            </w:r>
            <w:r>
              <w:rPr>
                <w:sz w:val="15"/>
                <w:szCs w:val="15"/>
              </w:rPr>
              <w:t>1</w:t>
            </w:r>
            <w:r>
              <w:rPr>
                <w:rFonts w:hAnsi="宋体"/>
                <w:sz w:val="15"/>
                <w:szCs w:val="15"/>
              </w:rPr>
              <w:t>次</w:t>
            </w:r>
            <w:r>
              <w:rPr>
                <w:sz w:val="15"/>
                <w:szCs w:val="15"/>
              </w:rPr>
              <w:t>/d</w:t>
            </w:r>
            <w:r>
              <w:rPr>
                <w:rFonts w:hAnsi="宋体"/>
                <w:sz w:val="15"/>
                <w:szCs w:val="15"/>
              </w:rPr>
              <w:t>；</w:t>
            </w:r>
          </w:p>
          <w:p w14:paraId="5324887E">
            <w:pPr>
              <w:adjustRightInd w:val="0"/>
              <w:snapToGrid w:val="0"/>
              <w:spacing w:line="264" w:lineRule="auto"/>
              <w:jc w:val="center"/>
              <w:rPr>
                <w:sz w:val="15"/>
                <w:szCs w:val="15"/>
              </w:rPr>
            </w:pPr>
            <w:r>
              <w:rPr>
                <w:rFonts w:hAnsi="宋体"/>
                <w:sz w:val="15"/>
                <w:szCs w:val="15"/>
              </w:rPr>
              <w:t>基坑开挖完成稳定后至结构底板完成前：</w:t>
            </w:r>
            <w:r>
              <w:rPr>
                <w:sz w:val="15"/>
                <w:szCs w:val="15"/>
              </w:rPr>
              <w:t>1</w:t>
            </w:r>
            <w:r>
              <w:rPr>
                <w:rFonts w:hAnsi="宋体"/>
                <w:sz w:val="15"/>
                <w:szCs w:val="15"/>
              </w:rPr>
              <w:t>次</w:t>
            </w:r>
            <w:r>
              <w:rPr>
                <w:sz w:val="15"/>
                <w:szCs w:val="15"/>
              </w:rPr>
              <w:t>/3d</w:t>
            </w:r>
            <w:r>
              <w:rPr>
                <w:rFonts w:hAnsi="宋体"/>
                <w:sz w:val="15"/>
                <w:szCs w:val="15"/>
              </w:rPr>
              <w:t>；</w:t>
            </w:r>
          </w:p>
          <w:p w14:paraId="32B790EB">
            <w:pPr>
              <w:adjustRightInd w:val="0"/>
              <w:snapToGrid w:val="0"/>
              <w:spacing w:line="264" w:lineRule="auto"/>
              <w:jc w:val="center"/>
              <w:rPr>
                <w:rFonts w:hAnsi="宋体"/>
                <w:sz w:val="15"/>
                <w:szCs w:val="15"/>
              </w:rPr>
            </w:pPr>
            <w:r>
              <w:rPr>
                <w:rFonts w:hAnsi="宋体"/>
                <w:sz w:val="15"/>
                <w:szCs w:val="15"/>
              </w:rPr>
              <w:t>结构底板完成后至回填土完成前：</w:t>
            </w:r>
            <w:r>
              <w:rPr>
                <w:sz w:val="15"/>
                <w:szCs w:val="15"/>
              </w:rPr>
              <w:t>1</w:t>
            </w:r>
            <w:r>
              <w:rPr>
                <w:rFonts w:hAnsi="宋体"/>
                <w:sz w:val="15"/>
                <w:szCs w:val="15"/>
              </w:rPr>
              <w:t>次</w:t>
            </w:r>
            <w:r>
              <w:rPr>
                <w:sz w:val="15"/>
                <w:szCs w:val="15"/>
              </w:rPr>
              <w:t>/10d</w:t>
            </w:r>
          </w:p>
        </w:tc>
      </w:tr>
      <w:tr w14:paraId="1A898447">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Align w:val="center"/>
          </w:tcPr>
          <w:p w14:paraId="0EF798AD">
            <w:pPr>
              <w:adjustRightInd w:val="0"/>
              <w:snapToGrid w:val="0"/>
              <w:spacing w:line="264" w:lineRule="auto"/>
              <w:jc w:val="center"/>
              <w:rPr>
                <w:rFonts w:ascii="宋体" w:hAnsi="宋体"/>
                <w:sz w:val="15"/>
                <w:szCs w:val="15"/>
              </w:rPr>
            </w:pPr>
            <w:r>
              <w:rPr>
                <w:rFonts w:hint="eastAsia" w:ascii="宋体" w:hAnsi="宋体"/>
                <w:sz w:val="15"/>
                <w:szCs w:val="15"/>
              </w:rPr>
              <w:t>土压力</w:t>
            </w:r>
          </w:p>
        </w:tc>
        <w:tc>
          <w:tcPr>
            <w:tcW w:w="1814" w:type="pct"/>
            <w:vAlign w:val="center"/>
          </w:tcPr>
          <w:p w14:paraId="707E5C11">
            <w:pPr>
              <w:adjustRightInd w:val="0"/>
              <w:snapToGrid w:val="0"/>
              <w:spacing w:line="264" w:lineRule="auto"/>
              <w:jc w:val="center"/>
              <w:rPr>
                <w:rFonts w:ascii="宋体" w:hAnsi="宋体"/>
                <w:sz w:val="15"/>
                <w:szCs w:val="15"/>
              </w:rPr>
            </w:pPr>
            <w:r>
              <w:rPr>
                <w:rFonts w:hint="eastAsia" w:ascii="宋体" w:hAnsi="宋体"/>
                <w:sz w:val="15"/>
                <w:szCs w:val="15"/>
              </w:rPr>
              <w:t>依据设计文件</w:t>
            </w:r>
          </w:p>
        </w:tc>
        <w:tc>
          <w:tcPr>
            <w:tcW w:w="1813" w:type="pct"/>
            <w:vAlign w:val="center"/>
          </w:tcPr>
          <w:p w14:paraId="1798699A">
            <w:pPr>
              <w:adjustRightInd w:val="0"/>
              <w:snapToGrid w:val="0"/>
              <w:spacing w:line="264" w:lineRule="auto"/>
              <w:jc w:val="center"/>
              <w:rPr>
                <w:rFonts w:ascii="宋体" w:hAnsi="宋体"/>
                <w:sz w:val="15"/>
                <w:szCs w:val="15"/>
              </w:rPr>
            </w:pPr>
            <w:r>
              <w:rPr>
                <w:rFonts w:hint="eastAsia" w:ascii="宋体" w:hAnsi="宋体"/>
                <w:sz w:val="15"/>
                <w:szCs w:val="15"/>
              </w:rPr>
              <w:t>依据设计文件</w:t>
            </w:r>
          </w:p>
        </w:tc>
      </w:tr>
      <w:tr w14:paraId="1A97564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Align w:val="center"/>
          </w:tcPr>
          <w:p w14:paraId="68FD4006">
            <w:pPr>
              <w:adjustRightInd w:val="0"/>
              <w:snapToGrid w:val="0"/>
              <w:spacing w:line="264" w:lineRule="auto"/>
              <w:jc w:val="center"/>
              <w:rPr>
                <w:rFonts w:ascii="宋体" w:hAnsi="宋体"/>
                <w:sz w:val="15"/>
                <w:szCs w:val="15"/>
              </w:rPr>
            </w:pPr>
            <w:r>
              <w:rPr>
                <w:rFonts w:hint="eastAsia" w:ascii="宋体" w:hAnsi="宋体"/>
                <w:sz w:val="15"/>
                <w:szCs w:val="15"/>
              </w:rPr>
              <w:t>孔隙水压力</w:t>
            </w:r>
          </w:p>
        </w:tc>
        <w:tc>
          <w:tcPr>
            <w:tcW w:w="1814" w:type="pct"/>
            <w:vAlign w:val="center"/>
          </w:tcPr>
          <w:p w14:paraId="43DAE75A">
            <w:pPr>
              <w:adjustRightInd w:val="0"/>
              <w:snapToGrid w:val="0"/>
              <w:spacing w:line="264" w:lineRule="auto"/>
              <w:jc w:val="center"/>
              <w:rPr>
                <w:rFonts w:ascii="宋体" w:hAnsi="宋体"/>
                <w:sz w:val="15"/>
                <w:szCs w:val="15"/>
              </w:rPr>
            </w:pPr>
            <w:r>
              <w:rPr>
                <w:rFonts w:hint="eastAsia" w:ascii="宋体" w:hAnsi="宋体"/>
                <w:sz w:val="15"/>
                <w:szCs w:val="15"/>
              </w:rPr>
              <w:t>依据设计文件</w:t>
            </w:r>
          </w:p>
        </w:tc>
        <w:tc>
          <w:tcPr>
            <w:tcW w:w="1813" w:type="pct"/>
            <w:vAlign w:val="center"/>
          </w:tcPr>
          <w:p w14:paraId="589AD2C2">
            <w:pPr>
              <w:adjustRightInd w:val="0"/>
              <w:snapToGrid w:val="0"/>
              <w:spacing w:line="264" w:lineRule="auto"/>
              <w:jc w:val="center"/>
              <w:rPr>
                <w:rFonts w:ascii="宋体" w:hAnsi="宋体"/>
                <w:sz w:val="15"/>
                <w:szCs w:val="15"/>
              </w:rPr>
            </w:pPr>
            <w:r>
              <w:rPr>
                <w:rFonts w:hint="eastAsia" w:ascii="宋体" w:hAnsi="宋体"/>
                <w:sz w:val="15"/>
                <w:szCs w:val="15"/>
              </w:rPr>
              <w:t>依据设计文件</w:t>
            </w:r>
          </w:p>
        </w:tc>
      </w:tr>
      <w:tr w14:paraId="73EA104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3" w:type="pct"/>
            <w:vAlign w:val="center"/>
          </w:tcPr>
          <w:p w14:paraId="0728B539">
            <w:pPr>
              <w:adjustRightInd w:val="0"/>
              <w:snapToGrid w:val="0"/>
              <w:spacing w:line="264" w:lineRule="auto"/>
              <w:jc w:val="center"/>
              <w:rPr>
                <w:rFonts w:ascii="宋体" w:hAnsi="宋体"/>
                <w:sz w:val="15"/>
                <w:szCs w:val="15"/>
              </w:rPr>
            </w:pPr>
            <w:r>
              <w:rPr>
                <w:rFonts w:hint="eastAsia" w:ascii="宋体" w:hAnsi="宋体"/>
                <w:sz w:val="15"/>
                <w:szCs w:val="15"/>
              </w:rPr>
              <w:t>立柱内力</w:t>
            </w:r>
          </w:p>
        </w:tc>
        <w:tc>
          <w:tcPr>
            <w:tcW w:w="1814" w:type="pct"/>
            <w:vAlign w:val="center"/>
          </w:tcPr>
          <w:p w14:paraId="0521256A">
            <w:pPr>
              <w:adjustRightInd w:val="0"/>
              <w:snapToGrid w:val="0"/>
              <w:spacing w:line="264" w:lineRule="auto"/>
              <w:jc w:val="center"/>
              <w:rPr>
                <w:rFonts w:ascii="宋体" w:hAnsi="宋体"/>
                <w:sz w:val="15"/>
                <w:szCs w:val="15"/>
              </w:rPr>
            </w:pPr>
            <w:r>
              <w:rPr>
                <w:rFonts w:hAnsi="宋体"/>
                <w:sz w:val="15"/>
                <w:szCs w:val="15"/>
              </w:rPr>
              <w:t>依据设计文件</w:t>
            </w:r>
          </w:p>
        </w:tc>
        <w:tc>
          <w:tcPr>
            <w:tcW w:w="1813" w:type="pct"/>
            <w:vAlign w:val="center"/>
          </w:tcPr>
          <w:p w14:paraId="7E95E2F1">
            <w:pPr>
              <w:adjustRightInd w:val="0"/>
              <w:snapToGrid w:val="0"/>
              <w:spacing w:line="264" w:lineRule="auto"/>
              <w:jc w:val="center"/>
              <w:rPr>
                <w:rFonts w:hAnsi="宋体"/>
                <w:sz w:val="15"/>
                <w:szCs w:val="15"/>
              </w:rPr>
            </w:pPr>
            <w:r>
              <w:rPr>
                <w:rFonts w:hAnsi="宋体"/>
                <w:sz w:val="15"/>
                <w:szCs w:val="15"/>
              </w:rPr>
              <w:t>依据设计文件</w:t>
            </w:r>
          </w:p>
        </w:tc>
      </w:tr>
    </w:tbl>
    <w:p w14:paraId="44E40CA0">
      <w:pPr>
        <w:adjustRightInd w:val="0"/>
        <w:snapToGrid w:val="0"/>
        <w:spacing w:before="156" w:beforeLines="50" w:line="288" w:lineRule="auto"/>
        <w:rPr>
          <w:sz w:val="13"/>
          <w:szCs w:val="13"/>
        </w:rPr>
      </w:pPr>
      <w:r>
        <w:rPr>
          <w:rFonts w:hint="eastAsia" w:ascii="宋体" w:hAnsi="宋体"/>
          <w:sz w:val="13"/>
          <w:szCs w:val="13"/>
        </w:rPr>
        <w:t>注：1</w:t>
      </w:r>
      <w:r>
        <w:rPr>
          <w:rFonts w:ascii="宋体" w:hAnsi="宋体"/>
          <w:sz w:val="13"/>
          <w:szCs w:val="13"/>
        </w:rPr>
        <w:t>.</w:t>
      </w:r>
      <w:r>
        <w:rPr>
          <w:rFonts w:hint="eastAsia" w:ascii="宋体" w:hAnsi="宋体"/>
          <w:sz w:val="13"/>
          <w:szCs w:val="13"/>
        </w:rPr>
        <w:t>基坑长期停工（超过</w:t>
      </w:r>
      <w:r>
        <w:rPr>
          <w:rFonts w:ascii="宋体" w:hAnsi="宋体"/>
          <w:sz w:val="13"/>
          <w:szCs w:val="13"/>
        </w:rPr>
        <w:t>1</w:t>
      </w:r>
      <w:r>
        <w:rPr>
          <w:rFonts w:hint="eastAsia" w:ascii="宋体" w:hAnsi="宋体"/>
          <w:sz w:val="13"/>
          <w:szCs w:val="13"/>
        </w:rPr>
        <w:t>个月）状态下，</w:t>
      </w:r>
      <w:r>
        <w:rPr>
          <w:rFonts w:hint="eastAsia"/>
          <w:sz w:val="13"/>
          <w:szCs w:val="13"/>
        </w:rPr>
        <w:t>基坑开挖深度小于设计深度一半时，监测频率按1次/</w:t>
      </w:r>
      <w:r>
        <w:rPr>
          <w:sz w:val="13"/>
          <w:szCs w:val="13"/>
        </w:rPr>
        <w:t>30d</w:t>
      </w:r>
      <w:r>
        <w:rPr>
          <w:rFonts w:hint="eastAsia"/>
          <w:sz w:val="13"/>
          <w:szCs w:val="13"/>
        </w:rPr>
        <w:t>；基坑开挖深度大于设计深度一半时，监测频率按1次/</w:t>
      </w:r>
      <w:r>
        <w:rPr>
          <w:sz w:val="13"/>
          <w:szCs w:val="13"/>
        </w:rPr>
        <w:t>15d</w:t>
      </w:r>
      <w:r>
        <w:rPr>
          <w:rFonts w:hint="eastAsia"/>
          <w:sz w:val="13"/>
          <w:szCs w:val="13"/>
        </w:rPr>
        <w:t>。</w:t>
      </w:r>
    </w:p>
    <w:p w14:paraId="36C6D043">
      <w:pPr>
        <w:adjustRightInd w:val="0"/>
        <w:snapToGrid w:val="0"/>
        <w:spacing w:before="156" w:beforeLines="50" w:line="288" w:lineRule="auto"/>
        <w:ind w:firstLine="260" w:firstLineChars="200"/>
        <w:rPr>
          <w:sz w:val="13"/>
          <w:szCs w:val="13"/>
        </w:rPr>
      </w:pPr>
      <w:r>
        <w:rPr>
          <w:sz w:val="13"/>
          <w:szCs w:val="13"/>
        </w:rPr>
        <w:t>2.</w:t>
      </w:r>
      <w:r>
        <w:rPr>
          <w:rFonts w:hint="eastAsia"/>
          <w:sz w:val="13"/>
          <w:szCs w:val="13"/>
        </w:rPr>
        <w:t>当基坑设计安全等级为三级时，监测频率可视具体情况适当降低。</w:t>
      </w:r>
    </w:p>
    <w:p w14:paraId="693D69D4">
      <w:pPr>
        <w:adjustRightInd w:val="0"/>
        <w:snapToGrid w:val="0"/>
        <w:spacing w:before="156" w:beforeLines="50" w:line="288" w:lineRule="auto"/>
        <w:ind w:firstLine="260" w:firstLineChars="200"/>
        <w:rPr>
          <w:sz w:val="13"/>
          <w:szCs w:val="13"/>
        </w:rPr>
      </w:pPr>
      <w:r>
        <w:rPr>
          <w:rFonts w:hint="eastAsia"/>
          <w:sz w:val="13"/>
          <w:szCs w:val="13"/>
        </w:rPr>
        <w:t>3</w:t>
      </w:r>
      <w:r>
        <w:rPr>
          <w:sz w:val="13"/>
          <w:szCs w:val="13"/>
        </w:rPr>
        <w:t>.</w:t>
      </w:r>
      <w:r>
        <w:rPr>
          <w:rFonts w:hint="eastAsia"/>
          <w:sz w:val="13"/>
          <w:szCs w:val="13"/>
        </w:rPr>
        <w:t>支撑结构开始拆除到拆除完成后3</w:t>
      </w:r>
      <w:r>
        <w:rPr>
          <w:sz w:val="13"/>
          <w:szCs w:val="13"/>
        </w:rPr>
        <w:t>d</w:t>
      </w:r>
      <w:r>
        <w:rPr>
          <w:rFonts w:hint="eastAsia"/>
          <w:sz w:val="13"/>
          <w:szCs w:val="13"/>
        </w:rPr>
        <w:t>内监测频率加密为</w:t>
      </w:r>
      <w:r>
        <w:rPr>
          <w:sz w:val="13"/>
          <w:szCs w:val="13"/>
        </w:rPr>
        <w:t>1次/d</w:t>
      </w:r>
      <w:r>
        <w:rPr>
          <w:rFonts w:hint="eastAsia"/>
          <w:sz w:val="15"/>
          <w:szCs w:val="15"/>
        </w:rPr>
        <w:t>。</w:t>
      </w:r>
    </w:p>
    <w:p w14:paraId="428E7B1C">
      <w:pPr>
        <w:adjustRightInd w:val="0"/>
        <w:snapToGrid w:val="0"/>
        <w:spacing w:before="156" w:beforeLines="50" w:line="288" w:lineRule="auto"/>
        <w:rPr>
          <w:rFonts w:ascii="宋体" w:hAnsi="宋体"/>
          <w:sz w:val="20"/>
          <w:szCs w:val="20"/>
        </w:rPr>
      </w:pPr>
      <w:r>
        <w:rPr>
          <w:rFonts w:eastAsia="黑体"/>
          <w:b/>
          <w:bCs/>
          <w:kern w:val="0"/>
          <w:sz w:val="20"/>
          <w:szCs w:val="20"/>
        </w:rPr>
        <w:t>11.5.3</w:t>
      </w:r>
      <w:r>
        <w:rPr>
          <w:rFonts w:hint="eastAsia" w:ascii="宋体" w:hAnsi="宋体"/>
          <w:bCs/>
          <w:sz w:val="20"/>
          <w:szCs w:val="20"/>
        </w:rPr>
        <w:t xml:space="preserve">  </w:t>
      </w:r>
      <w:r>
        <w:rPr>
          <w:rFonts w:hint="eastAsia" w:ascii="宋体" w:hAnsi="宋体"/>
          <w:sz w:val="20"/>
          <w:szCs w:val="20"/>
        </w:rPr>
        <w:t>基坑周边环境沉降监测在基坑工程开工前应测得初始值，其他监测项目在基坑开挖前应测得初始值，取连</w:t>
      </w:r>
      <w:r>
        <w:rPr>
          <w:sz w:val="20"/>
          <w:szCs w:val="20"/>
        </w:rPr>
        <w:t>续3次</w:t>
      </w:r>
      <w:r>
        <w:rPr>
          <w:rFonts w:hint="eastAsia" w:ascii="宋体" w:hAnsi="宋体"/>
          <w:sz w:val="20"/>
          <w:szCs w:val="20"/>
        </w:rPr>
        <w:t xml:space="preserve">稳定值的平均值作为初始值。 </w:t>
      </w:r>
    </w:p>
    <w:p w14:paraId="45EA878B">
      <w:pPr>
        <w:adjustRightInd w:val="0"/>
        <w:snapToGrid w:val="0"/>
        <w:spacing w:line="288" w:lineRule="auto"/>
        <w:rPr>
          <w:rFonts w:eastAsia="黑体"/>
          <w:sz w:val="20"/>
          <w:szCs w:val="20"/>
        </w:rPr>
      </w:pPr>
      <w:r>
        <w:rPr>
          <w:rFonts w:eastAsia="黑体"/>
          <w:b/>
          <w:bCs/>
          <w:kern w:val="0"/>
          <w:sz w:val="20"/>
          <w:szCs w:val="20"/>
        </w:rPr>
        <w:t>11.5.4</w:t>
      </w:r>
      <w:r>
        <w:rPr>
          <w:rFonts w:hint="eastAsia" w:eastAsia="黑体"/>
          <w:b/>
          <w:bCs/>
          <w:sz w:val="20"/>
          <w:szCs w:val="20"/>
        </w:rPr>
        <w:t xml:space="preserve"> </w:t>
      </w:r>
      <w:r>
        <w:rPr>
          <w:rFonts w:hint="eastAsia" w:ascii="宋体" w:hAnsi="宋体"/>
          <w:bCs/>
          <w:sz w:val="20"/>
          <w:szCs w:val="20"/>
        </w:rPr>
        <w:t xml:space="preserve"> </w:t>
      </w:r>
      <w:r>
        <w:rPr>
          <w:rFonts w:hint="eastAsia" w:ascii="宋体" w:hAnsi="宋体"/>
          <w:sz w:val="20"/>
          <w:szCs w:val="20"/>
        </w:rPr>
        <w:t>当出现监测数据异常时，应加密监测，</w:t>
      </w:r>
      <w:r>
        <w:rPr>
          <w:rFonts w:ascii="宋体" w:hAnsi="宋体"/>
          <w:sz w:val="20"/>
          <w:szCs w:val="20"/>
        </w:rPr>
        <w:t>并</w:t>
      </w:r>
      <w:r>
        <w:rPr>
          <w:rFonts w:hint="eastAsia" w:ascii="宋体" w:hAnsi="宋体"/>
          <w:sz w:val="20"/>
          <w:szCs w:val="20"/>
        </w:rPr>
        <w:t>分析异常原因。</w:t>
      </w:r>
    </w:p>
    <w:p w14:paraId="76DF18DB">
      <w:pPr>
        <w:pStyle w:val="7"/>
        <w:keepNext w:val="0"/>
        <w:keepLines w:val="0"/>
        <w:adjustRightInd w:val="0"/>
        <w:snapToGrid w:val="0"/>
        <w:spacing w:before="312" w:beforeLines="100" w:after="312" w:afterLines="100" w:line="288" w:lineRule="auto"/>
        <w:jc w:val="center"/>
        <w:rPr>
          <w:rFonts w:eastAsia="黑体"/>
          <w:sz w:val="20"/>
          <w:szCs w:val="20"/>
        </w:rPr>
      </w:pPr>
      <w:bookmarkStart w:id="123" w:name="_Toc139613754"/>
      <w:r>
        <w:rPr>
          <w:rFonts w:eastAsia="黑体"/>
          <w:sz w:val="20"/>
          <w:szCs w:val="20"/>
        </w:rPr>
        <w:t>11</w:t>
      </w:r>
      <w:r>
        <w:rPr>
          <w:rFonts w:hint="eastAsia" w:eastAsia="黑体"/>
          <w:sz w:val="20"/>
          <w:szCs w:val="20"/>
        </w:rPr>
        <w:t xml:space="preserve">.6  </w:t>
      </w:r>
      <w:r>
        <w:rPr>
          <w:rFonts w:hint="eastAsia" w:eastAsia="黑体"/>
          <w:b w:val="0"/>
          <w:bCs w:val="0"/>
          <w:sz w:val="20"/>
          <w:szCs w:val="20"/>
        </w:rPr>
        <w:t>监测预警值</w:t>
      </w:r>
      <w:bookmarkEnd w:id="123"/>
    </w:p>
    <w:p w14:paraId="622B2B51">
      <w:pPr>
        <w:adjustRightInd w:val="0"/>
        <w:snapToGrid w:val="0"/>
        <w:spacing w:line="288" w:lineRule="auto"/>
        <w:rPr>
          <w:rFonts w:ascii="宋体" w:hAnsi="宋体"/>
          <w:sz w:val="20"/>
          <w:szCs w:val="20"/>
        </w:rPr>
      </w:pPr>
      <w:r>
        <w:rPr>
          <w:rFonts w:eastAsia="黑体"/>
          <w:b/>
          <w:bCs/>
          <w:kern w:val="0"/>
          <w:sz w:val="20"/>
          <w:szCs w:val="20"/>
        </w:rPr>
        <w:t>11.6.1</w:t>
      </w:r>
      <w:r>
        <w:rPr>
          <w:rFonts w:hint="eastAsia" w:ascii="宋体" w:hAnsi="宋体"/>
          <w:bCs/>
          <w:sz w:val="20"/>
          <w:szCs w:val="20"/>
        </w:rPr>
        <w:t xml:space="preserve">  </w:t>
      </w:r>
      <w:r>
        <w:rPr>
          <w:rFonts w:hint="eastAsia" w:ascii="宋体" w:hAnsi="宋体"/>
          <w:sz w:val="20"/>
          <w:szCs w:val="20"/>
        </w:rPr>
        <w:t>基坑工程监测必须确定监测控制值和预警值，控制值和预警值的确定应满足基坑工程设计、地下结构设计以及周边环境中被保护对象的控制要求，</w:t>
      </w:r>
      <w:r>
        <w:rPr>
          <w:rFonts w:ascii="宋体" w:hAnsi="宋体"/>
          <w:sz w:val="20"/>
          <w:szCs w:val="20"/>
        </w:rPr>
        <w:t>具体</w:t>
      </w:r>
      <w:r>
        <w:rPr>
          <w:rFonts w:hint="eastAsia" w:ascii="宋体" w:hAnsi="宋体"/>
          <w:sz w:val="20"/>
          <w:szCs w:val="20"/>
        </w:rPr>
        <w:t>应由基坑工程设计方确定。</w:t>
      </w:r>
    </w:p>
    <w:p w14:paraId="12C94BB1">
      <w:pPr>
        <w:adjustRightInd w:val="0"/>
        <w:snapToGrid w:val="0"/>
        <w:spacing w:line="288" w:lineRule="auto"/>
        <w:rPr>
          <w:rFonts w:ascii="宋体" w:hAnsi="宋体"/>
          <w:sz w:val="24"/>
          <w:szCs w:val="24"/>
        </w:rPr>
      </w:pPr>
      <w:r>
        <w:rPr>
          <w:rFonts w:eastAsia="黑体"/>
          <w:b/>
          <w:bCs/>
          <w:kern w:val="0"/>
          <w:sz w:val="20"/>
          <w:szCs w:val="20"/>
        </w:rPr>
        <w:t>11.6.2</w:t>
      </w:r>
      <w:r>
        <w:rPr>
          <w:rFonts w:hint="eastAsia" w:ascii="宋体" w:hAnsi="宋体"/>
          <w:bCs/>
          <w:sz w:val="20"/>
          <w:szCs w:val="20"/>
        </w:rPr>
        <w:t xml:space="preserve">  </w:t>
      </w:r>
      <w:r>
        <w:rPr>
          <w:rFonts w:hint="eastAsia" w:ascii="宋体" w:hAnsi="宋体"/>
          <w:sz w:val="20"/>
          <w:szCs w:val="20"/>
        </w:rPr>
        <w:t>基坑及支护结构监测控制值、预警值应根据土质特征、计算的设计值及工程经验等因素确定。当无工程经验时，控制值可按表</w:t>
      </w:r>
      <w:r>
        <w:rPr>
          <w:sz w:val="20"/>
          <w:szCs w:val="20"/>
        </w:rPr>
        <w:t>11.6.2</w:t>
      </w:r>
      <w:r>
        <w:rPr>
          <w:rFonts w:hint="eastAsia" w:ascii="宋体" w:hAnsi="宋体"/>
          <w:sz w:val="20"/>
          <w:szCs w:val="20"/>
        </w:rPr>
        <w:t>确定，预警值取控制</w:t>
      </w:r>
      <w:r>
        <w:rPr>
          <w:rFonts w:hAnsi="宋体"/>
          <w:sz w:val="20"/>
          <w:szCs w:val="20"/>
        </w:rPr>
        <w:t>值的</w:t>
      </w:r>
      <w:r>
        <w:rPr>
          <w:sz w:val="20"/>
          <w:szCs w:val="20"/>
        </w:rPr>
        <w:t>80%</w:t>
      </w:r>
      <w:r>
        <w:rPr>
          <w:rFonts w:hint="eastAsia" w:ascii="宋体" w:hAnsi="宋体"/>
          <w:sz w:val="20"/>
          <w:szCs w:val="20"/>
        </w:rPr>
        <w:t>。</w:t>
      </w:r>
    </w:p>
    <w:p w14:paraId="44FC8BCB">
      <w:pPr>
        <w:adjustRightInd w:val="0"/>
        <w:snapToGrid w:val="0"/>
        <w:spacing w:line="288" w:lineRule="auto"/>
        <w:jc w:val="center"/>
        <w:rPr>
          <w:rFonts w:ascii="宋体" w:hAnsi="宋体"/>
          <w:b/>
          <w:sz w:val="18"/>
          <w:szCs w:val="18"/>
        </w:rPr>
      </w:pPr>
      <w:r>
        <w:rPr>
          <w:rFonts w:hint="eastAsia" w:ascii="宋体" w:hAnsi="宋体"/>
          <w:b/>
          <w:sz w:val="18"/>
          <w:szCs w:val="18"/>
        </w:rPr>
        <w:t>表</w:t>
      </w:r>
      <w:r>
        <w:rPr>
          <w:b/>
          <w:sz w:val="18"/>
          <w:szCs w:val="18"/>
        </w:rPr>
        <w:t>11.6.2</w:t>
      </w:r>
      <w:r>
        <w:rPr>
          <w:rFonts w:hint="eastAsia" w:ascii="宋体" w:hAnsi="宋体"/>
          <w:b/>
          <w:sz w:val="18"/>
          <w:szCs w:val="18"/>
        </w:rPr>
        <w:t xml:space="preserve">  基坑及支护结构监测控制值 </w:t>
      </w:r>
      <w:r>
        <w:rPr>
          <w:rFonts w:ascii="宋体" w:hAnsi="宋体"/>
          <w:b/>
          <w:sz w:val="18"/>
          <w:szCs w:val="18"/>
        </w:rPr>
        <w:t xml:space="preserve"> </w:t>
      </w:r>
    </w:p>
    <w:tbl>
      <w:tblPr>
        <w:tblStyle w:val="34"/>
        <w:tblW w:w="4999" w:type="pct"/>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45" w:type="dxa"/>
          <w:left w:w="28" w:type="dxa"/>
          <w:bottom w:w="45" w:type="dxa"/>
          <w:right w:w="28" w:type="dxa"/>
        </w:tblCellMar>
      </w:tblPr>
      <w:tblGrid>
        <w:gridCol w:w="585"/>
        <w:gridCol w:w="1057"/>
        <w:gridCol w:w="1452"/>
        <w:gridCol w:w="682"/>
        <w:gridCol w:w="599"/>
        <w:gridCol w:w="962"/>
        <w:gridCol w:w="797"/>
        <w:gridCol w:w="563"/>
        <w:gridCol w:w="865"/>
        <w:gridCol w:w="611"/>
        <w:gridCol w:w="847"/>
        <w:gridCol w:w="898"/>
      </w:tblGrid>
      <w:tr w14:paraId="55BAA4A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295" w:type="pct"/>
            <w:vMerge w:val="restart"/>
            <w:shd w:val="clear" w:color="auto" w:fill="auto"/>
            <w:vAlign w:val="center"/>
          </w:tcPr>
          <w:p w14:paraId="7B5DABEF">
            <w:pPr>
              <w:adjustRightInd w:val="0"/>
              <w:snapToGrid w:val="0"/>
              <w:jc w:val="center"/>
              <w:rPr>
                <w:rFonts w:ascii="宋体" w:hAnsi="宋体"/>
                <w:w w:val="80"/>
                <w:kern w:val="0"/>
                <w:sz w:val="15"/>
                <w:szCs w:val="15"/>
              </w:rPr>
            </w:pPr>
            <w:r>
              <w:rPr>
                <w:rFonts w:hint="eastAsia" w:ascii="宋体" w:hAnsi="宋体"/>
                <w:w w:val="80"/>
                <w:kern w:val="0"/>
                <w:sz w:val="15"/>
                <w:szCs w:val="15"/>
              </w:rPr>
              <w:t>序号</w:t>
            </w:r>
          </w:p>
        </w:tc>
        <w:tc>
          <w:tcPr>
            <w:tcW w:w="533" w:type="pct"/>
            <w:vMerge w:val="restart"/>
            <w:shd w:val="clear" w:color="auto" w:fill="auto"/>
            <w:vAlign w:val="center"/>
          </w:tcPr>
          <w:p w14:paraId="5BF8BE8A">
            <w:pPr>
              <w:adjustRightInd w:val="0"/>
              <w:snapToGrid w:val="0"/>
              <w:jc w:val="center"/>
              <w:rPr>
                <w:rFonts w:ascii="宋体" w:hAnsi="宋体"/>
                <w:w w:val="80"/>
                <w:kern w:val="0"/>
                <w:sz w:val="15"/>
                <w:szCs w:val="15"/>
              </w:rPr>
            </w:pPr>
            <w:r>
              <w:rPr>
                <w:rFonts w:hint="eastAsia" w:ascii="宋体" w:hAnsi="宋体"/>
                <w:w w:val="80"/>
                <w:kern w:val="0"/>
                <w:sz w:val="15"/>
                <w:szCs w:val="15"/>
              </w:rPr>
              <w:t>监测</w:t>
            </w:r>
          </w:p>
          <w:p w14:paraId="5835B6EB">
            <w:pPr>
              <w:adjustRightInd w:val="0"/>
              <w:snapToGrid w:val="0"/>
              <w:jc w:val="center"/>
              <w:rPr>
                <w:rFonts w:ascii="宋体" w:hAnsi="宋体"/>
                <w:w w:val="80"/>
                <w:kern w:val="0"/>
                <w:sz w:val="15"/>
                <w:szCs w:val="15"/>
              </w:rPr>
            </w:pPr>
            <w:r>
              <w:rPr>
                <w:rFonts w:hint="eastAsia" w:ascii="宋体" w:hAnsi="宋体"/>
                <w:w w:val="80"/>
                <w:kern w:val="0"/>
                <w:sz w:val="15"/>
                <w:szCs w:val="15"/>
              </w:rPr>
              <w:t>项目</w:t>
            </w:r>
          </w:p>
        </w:tc>
        <w:tc>
          <w:tcPr>
            <w:tcW w:w="732" w:type="pct"/>
            <w:vMerge w:val="restart"/>
            <w:shd w:val="clear" w:color="auto" w:fill="auto"/>
            <w:vAlign w:val="center"/>
          </w:tcPr>
          <w:p w14:paraId="14147BEA">
            <w:pPr>
              <w:adjustRightInd w:val="0"/>
              <w:snapToGrid w:val="0"/>
              <w:jc w:val="center"/>
              <w:rPr>
                <w:rFonts w:ascii="宋体" w:hAnsi="宋体"/>
                <w:w w:val="80"/>
                <w:kern w:val="0"/>
                <w:sz w:val="15"/>
                <w:szCs w:val="15"/>
              </w:rPr>
            </w:pPr>
            <w:r>
              <w:rPr>
                <w:rFonts w:hint="eastAsia" w:ascii="宋体" w:hAnsi="宋体"/>
                <w:w w:val="80"/>
                <w:kern w:val="0"/>
                <w:sz w:val="15"/>
                <w:szCs w:val="15"/>
              </w:rPr>
              <w:t>支护结构类型</w:t>
            </w:r>
          </w:p>
        </w:tc>
        <w:tc>
          <w:tcPr>
            <w:tcW w:w="3441" w:type="pct"/>
            <w:gridSpan w:val="9"/>
            <w:shd w:val="clear" w:color="auto" w:fill="auto"/>
            <w:vAlign w:val="center"/>
          </w:tcPr>
          <w:p w14:paraId="59151A10">
            <w:pPr>
              <w:adjustRightInd w:val="0"/>
              <w:snapToGrid w:val="0"/>
              <w:jc w:val="center"/>
              <w:rPr>
                <w:rFonts w:ascii="宋体" w:hAnsi="宋体"/>
                <w:w w:val="80"/>
                <w:kern w:val="0"/>
                <w:sz w:val="15"/>
                <w:szCs w:val="15"/>
              </w:rPr>
            </w:pPr>
            <w:r>
              <w:rPr>
                <w:rFonts w:ascii="宋体" w:hAnsi="宋体"/>
                <w:w w:val="80"/>
                <w:kern w:val="0"/>
                <w:sz w:val="15"/>
                <w:szCs w:val="15"/>
              </w:rPr>
              <w:t>基坑</w:t>
            </w:r>
            <w:r>
              <w:rPr>
                <w:rFonts w:hint="eastAsia" w:ascii="宋体" w:hAnsi="宋体"/>
                <w:w w:val="80"/>
                <w:kern w:val="0"/>
                <w:sz w:val="15"/>
                <w:szCs w:val="15"/>
              </w:rPr>
              <w:t>侧壁安全等级</w:t>
            </w:r>
          </w:p>
        </w:tc>
      </w:tr>
      <w:tr w14:paraId="2D1AF16F">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295" w:type="pct"/>
            <w:vMerge w:val="continue"/>
            <w:vAlign w:val="center"/>
          </w:tcPr>
          <w:p w14:paraId="5198B93D">
            <w:pPr>
              <w:adjustRightInd w:val="0"/>
              <w:snapToGrid w:val="0"/>
              <w:jc w:val="center"/>
              <w:rPr>
                <w:rFonts w:ascii="宋体" w:hAnsi="宋体"/>
                <w:w w:val="80"/>
                <w:kern w:val="0"/>
                <w:sz w:val="24"/>
                <w:szCs w:val="24"/>
              </w:rPr>
            </w:pPr>
          </w:p>
        </w:tc>
        <w:tc>
          <w:tcPr>
            <w:tcW w:w="533" w:type="pct"/>
            <w:vMerge w:val="continue"/>
            <w:vAlign w:val="center"/>
          </w:tcPr>
          <w:p w14:paraId="5F2F8128">
            <w:pPr>
              <w:adjustRightInd w:val="0"/>
              <w:snapToGrid w:val="0"/>
              <w:jc w:val="center"/>
              <w:rPr>
                <w:rFonts w:ascii="宋体" w:hAnsi="宋体"/>
                <w:w w:val="80"/>
                <w:kern w:val="0"/>
                <w:sz w:val="15"/>
                <w:szCs w:val="15"/>
              </w:rPr>
            </w:pPr>
          </w:p>
        </w:tc>
        <w:tc>
          <w:tcPr>
            <w:tcW w:w="732" w:type="pct"/>
            <w:vMerge w:val="continue"/>
            <w:vAlign w:val="center"/>
          </w:tcPr>
          <w:p w14:paraId="3E5E8B16">
            <w:pPr>
              <w:adjustRightInd w:val="0"/>
              <w:snapToGrid w:val="0"/>
              <w:jc w:val="center"/>
              <w:rPr>
                <w:rFonts w:ascii="宋体" w:hAnsi="宋体"/>
                <w:w w:val="80"/>
                <w:kern w:val="0"/>
                <w:sz w:val="15"/>
                <w:szCs w:val="15"/>
              </w:rPr>
            </w:pPr>
          </w:p>
        </w:tc>
        <w:tc>
          <w:tcPr>
            <w:tcW w:w="1130" w:type="pct"/>
            <w:gridSpan w:val="3"/>
            <w:shd w:val="clear" w:color="auto" w:fill="auto"/>
            <w:vAlign w:val="center"/>
          </w:tcPr>
          <w:p w14:paraId="2512ACE1">
            <w:pPr>
              <w:adjustRightInd w:val="0"/>
              <w:snapToGrid w:val="0"/>
              <w:jc w:val="center"/>
              <w:rPr>
                <w:rFonts w:ascii="宋体" w:hAnsi="宋体"/>
                <w:w w:val="80"/>
                <w:kern w:val="0"/>
                <w:sz w:val="15"/>
                <w:szCs w:val="15"/>
              </w:rPr>
            </w:pPr>
            <w:r>
              <w:rPr>
                <w:rFonts w:ascii="宋体" w:hAnsi="宋体"/>
                <w:w w:val="80"/>
                <w:kern w:val="0"/>
                <w:sz w:val="15"/>
                <w:szCs w:val="15"/>
              </w:rPr>
              <w:t>一级</w:t>
            </w:r>
          </w:p>
        </w:tc>
        <w:tc>
          <w:tcPr>
            <w:tcW w:w="1122" w:type="pct"/>
            <w:gridSpan w:val="3"/>
            <w:shd w:val="clear" w:color="auto" w:fill="auto"/>
            <w:vAlign w:val="center"/>
          </w:tcPr>
          <w:p w14:paraId="0D952E2E">
            <w:pPr>
              <w:adjustRightInd w:val="0"/>
              <w:snapToGrid w:val="0"/>
              <w:jc w:val="center"/>
              <w:rPr>
                <w:rFonts w:ascii="宋体" w:hAnsi="宋体"/>
                <w:w w:val="80"/>
                <w:kern w:val="0"/>
                <w:sz w:val="15"/>
                <w:szCs w:val="15"/>
              </w:rPr>
            </w:pPr>
            <w:r>
              <w:rPr>
                <w:rFonts w:ascii="宋体" w:hAnsi="宋体"/>
                <w:w w:val="80"/>
                <w:kern w:val="0"/>
                <w:sz w:val="15"/>
                <w:szCs w:val="15"/>
              </w:rPr>
              <w:t>二级</w:t>
            </w:r>
          </w:p>
        </w:tc>
        <w:tc>
          <w:tcPr>
            <w:tcW w:w="1189" w:type="pct"/>
            <w:gridSpan w:val="3"/>
            <w:shd w:val="clear" w:color="auto" w:fill="auto"/>
            <w:vAlign w:val="center"/>
          </w:tcPr>
          <w:p w14:paraId="7130140A">
            <w:pPr>
              <w:adjustRightInd w:val="0"/>
              <w:snapToGrid w:val="0"/>
              <w:jc w:val="center"/>
              <w:rPr>
                <w:rFonts w:ascii="宋体" w:hAnsi="宋体"/>
                <w:w w:val="80"/>
                <w:kern w:val="0"/>
                <w:sz w:val="15"/>
                <w:szCs w:val="15"/>
              </w:rPr>
            </w:pPr>
            <w:r>
              <w:rPr>
                <w:rFonts w:ascii="宋体" w:hAnsi="宋体"/>
                <w:w w:val="80"/>
                <w:kern w:val="0"/>
                <w:sz w:val="15"/>
                <w:szCs w:val="15"/>
              </w:rPr>
              <w:t>三级</w:t>
            </w:r>
          </w:p>
        </w:tc>
      </w:tr>
      <w:tr w14:paraId="2C0D653A">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295" w:type="pct"/>
            <w:vMerge w:val="continue"/>
            <w:vAlign w:val="center"/>
          </w:tcPr>
          <w:p w14:paraId="00C23287">
            <w:pPr>
              <w:adjustRightInd w:val="0"/>
              <w:snapToGrid w:val="0"/>
              <w:jc w:val="center"/>
              <w:rPr>
                <w:rFonts w:ascii="宋体" w:hAnsi="宋体"/>
                <w:w w:val="80"/>
                <w:kern w:val="0"/>
                <w:sz w:val="15"/>
                <w:szCs w:val="15"/>
              </w:rPr>
            </w:pPr>
          </w:p>
        </w:tc>
        <w:tc>
          <w:tcPr>
            <w:tcW w:w="533" w:type="pct"/>
            <w:vMerge w:val="continue"/>
            <w:vAlign w:val="center"/>
          </w:tcPr>
          <w:p w14:paraId="3C73E317">
            <w:pPr>
              <w:adjustRightInd w:val="0"/>
              <w:snapToGrid w:val="0"/>
              <w:jc w:val="center"/>
              <w:rPr>
                <w:rFonts w:ascii="宋体" w:hAnsi="宋体"/>
                <w:w w:val="80"/>
                <w:kern w:val="0"/>
                <w:sz w:val="15"/>
                <w:szCs w:val="15"/>
              </w:rPr>
            </w:pPr>
          </w:p>
        </w:tc>
        <w:tc>
          <w:tcPr>
            <w:tcW w:w="732" w:type="pct"/>
            <w:vMerge w:val="continue"/>
            <w:vAlign w:val="center"/>
          </w:tcPr>
          <w:p w14:paraId="1C4810D5">
            <w:pPr>
              <w:adjustRightInd w:val="0"/>
              <w:snapToGrid w:val="0"/>
              <w:jc w:val="center"/>
              <w:rPr>
                <w:rFonts w:ascii="宋体" w:hAnsi="宋体"/>
                <w:w w:val="80"/>
                <w:kern w:val="0"/>
                <w:sz w:val="15"/>
                <w:szCs w:val="15"/>
              </w:rPr>
            </w:pPr>
          </w:p>
        </w:tc>
        <w:tc>
          <w:tcPr>
            <w:tcW w:w="645" w:type="pct"/>
            <w:gridSpan w:val="2"/>
            <w:shd w:val="clear" w:color="auto" w:fill="auto"/>
            <w:vAlign w:val="center"/>
          </w:tcPr>
          <w:p w14:paraId="535FD089">
            <w:pPr>
              <w:adjustRightInd w:val="0"/>
              <w:snapToGrid w:val="0"/>
              <w:jc w:val="center"/>
              <w:rPr>
                <w:rFonts w:ascii="宋体" w:hAnsi="宋体"/>
                <w:w w:val="80"/>
                <w:kern w:val="0"/>
                <w:sz w:val="15"/>
                <w:szCs w:val="15"/>
              </w:rPr>
            </w:pPr>
            <w:r>
              <w:rPr>
                <w:rFonts w:ascii="宋体" w:hAnsi="宋体"/>
                <w:w w:val="80"/>
                <w:kern w:val="0"/>
                <w:sz w:val="15"/>
                <w:szCs w:val="15"/>
              </w:rPr>
              <w:t>累计值</w:t>
            </w:r>
          </w:p>
        </w:tc>
        <w:tc>
          <w:tcPr>
            <w:tcW w:w="485" w:type="pct"/>
            <w:vMerge w:val="restart"/>
            <w:shd w:val="clear" w:color="auto" w:fill="auto"/>
            <w:vAlign w:val="center"/>
          </w:tcPr>
          <w:p w14:paraId="6F08B49B">
            <w:pPr>
              <w:adjustRightInd w:val="0"/>
              <w:snapToGrid w:val="0"/>
              <w:jc w:val="center"/>
              <w:rPr>
                <w:rFonts w:ascii="宋体" w:hAnsi="宋体"/>
                <w:w w:val="80"/>
                <w:kern w:val="0"/>
                <w:sz w:val="15"/>
                <w:szCs w:val="15"/>
              </w:rPr>
            </w:pPr>
            <w:r>
              <w:rPr>
                <w:rFonts w:hint="eastAsia" w:ascii="宋体" w:hAnsi="宋体"/>
                <w:w w:val="80"/>
                <w:kern w:val="0"/>
                <w:sz w:val="15"/>
                <w:szCs w:val="15"/>
              </w:rPr>
              <w:t>变化</w:t>
            </w:r>
          </w:p>
          <w:p w14:paraId="7DE06F22">
            <w:pPr>
              <w:adjustRightInd w:val="0"/>
              <w:snapToGrid w:val="0"/>
              <w:jc w:val="center"/>
              <w:rPr>
                <w:rFonts w:ascii="宋体" w:hAnsi="宋体"/>
                <w:w w:val="80"/>
                <w:kern w:val="0"/>
                <w:sz w:val="15"/>
                <w:szCs w:val="15"/>
              </w:rPr>
            </w:pPr>
            <w:r>
              <w:rPr>
                <w:rFonts w:hint="eastAsia" w:ascii="宋体" w:hAnsi="宋体"/>
                <w:w w:val="80"/>
                <w:kern w:val="0"/>
                <w:sz w:val="15"/>
                <w:szCs w:val="15"/>
              </w:rPr>
              <w:t>速率</w:t>
            </w:r>
            <w:r>
              <w:rPr>
                <w:rFonts w:hint="eastAsia" w:ascii="宋体" w:hAnsi="宋体"/>
                <w:spacing w:val="0"/>
                <w:w w:val="79"/>
                <w:kern w:val="0"/>
                <w:sz w:val="15"/>
                <w:szCs w:val="15"/>
                <w:fitText w:val="516" w:id="-1226140672"/>
              </w:rPr>
              <w:t>（</w:t>
            </w:r>
            <w:r>
              <w:rPr>
                <w:spacing w:val="0"/>
                <w:w w:val="79"/>
                <w:kern w:val="0"/>
                <w:sz w:val="15"/>
                <w:szCs w:val="15"/>
                <w:fitText w:val="516" w:id="-1226140672"/>
              </w:rPr>
              <w:t>mm/d</w:t>
            </w:r>
            <w:r>
              <w:rPr>
                <w:rFonts w:hint="eastAsia" w:ascii="宋体" w:hAnsi="宋体"/>
                <w:spacing w:val="1"/>
                <w:w w:val="79"/>
                <w:kern w:val="0"/>
                <w:sz w:val="15"/>
                <w:szCs w:val="15"/>
                <w:fitText w:val="516" w:id="-1226140672"/>
              </w:rPr>
              <w:t>）</w:t>
            </w:r>
          </w:p>
        </w:tc>
        <w:tc>
          <w:tcPr>
            <w:tcW w:w="686" w:type="pct"/>
            <w:gridSpan w:val="2"/>
            <w:shd w:val="clear" w:color="auto" w:fill="auto"/>
            <w:vAlign w:val="center"/>
          </w:tcPr>
          <w:p w14:paraId="5712C53A">
            <w:pPr>
              <w:adjustRightInd w:val="0"/>
              <w:snapToGrid w:val="0"/>
              <w:jc w:val="center"/>
              <w:rPr>
                <w:rFonts w:ascii="宋体" w:hAnsi="宋体"/>
                <w:w w:val="80"/>
                <w:kern w:val="0"/>
                <w:sz w:val="15"/>
                <w:szCs w:val="15"/>
              </w:rPr>
            </w:pPr>
            <w:r>
              <w:rPr>
                <w:rFonts w:ascii="宋体" w:hAnsi="宋体"/>
                <w:w w:val="80"/>
                <w:kern w:val="0"/>
                <w:sz w:val="15"/>
                <w:szCs w:val="15"/>
              </w:rPr>
              <w:t>累计值</w:t>
            </w:r>
          </w:p>
        </w:tc>
        <w:tc>
          <w:tcPr>
            <w:tcW w:w="436" w:type="pct"/>
            <w:vMerge w:val="restart"/>
            <w:shd w:val="clear" w:color="auto" w:fill="auto"/>
            <w:vAlign w:val="center"/>
          </w:tcPr>
          <w:p w14:paraId="2735E2DF">
            <w:pPr>
              <w:adjustRightInd w:val="0"/>
              <w:snapToGrid w:val="0"/>
              <w:jc w:val="center"/>
              <w:rPr>
                <w:rFonts w:ascii="宋体" w:hAnsi="宋体"/>
                <w:w w:val="80"/>
                <w:kern w:val="0"/>
                <w:sz w:val="15"/>
                <w:szCs w:val="15"/>
              </w:rPr>
            </w:pPr>
            <w:r>
              <w:rPr>
                <w:rFonts w:ascii="宋体" w:hAnsi="宋体"/>
                <w:w w:val="80"/>
                <w:kern w:val="0"/>
                <w:sz w:val="15"/>
                <w:szCs w:val="15"/>
              </w:rPr>
              <w:t>变化</w:t>
            </w:r>
          </w:p>
          <w:p w14:paraId="7D482DBC">
            <w:pPr>
              <w:adjustRightInd w:val="0"/>
              <w:snapToGrid w:val="0"/>
              <w:jc w:val="center"/>
              <w:rPr>
                <w:rFonts w:ascii="宋体" w:hAnsi="宋体"/>
                <w:w w:val="80"/>
                <w:kern w:val="0"/>
                <w:sz w:val="15"/>
                <w:szCs w:val="15"/>
              </w:rPr>
            </w:pPr>
            <w:r>
              <w:rPr>
                <w:rFonts w:ascii="宋体" w:hAnsi="宋体"/>
                <w:w w:val="80"/>
                <w:kern w:val="0"/>
                <w:sz w:val="15"/>
                <w:szCs w:val="15"/>
              </w:rPr>
              <w:t>速率</w:t>
            </w:r>
            <w:r>
              <w:rPr>
                <w:rFonts w:hint="eastAsia" w:ascii="宋体" w:hAnsi="宋体"/>
                <w:spacing w:val="0"/>
                <w:w w:val="79"/>
                <w:kern w:val="0"/>
                <w:sz w:val="15"/>
                <w:szCs w:val="15"/>
                <w:fitText w:val="516" w:id="-1226140671"/>
              </w:rPr>
              <w:t>（</w:t>
            </w:r>
            <w:r>
              <w:rPr>
                <w:spacing w:val="0"/>
                <w:w w:val="79"/>
                <w:kern w:val="0"/>
                <w:sz w:val="15"/>
                <w:szCs w:val="15"/>
                <w:fitText w:val="516" w:id="-1226140671"/>
              </w:rPr>
              <w:t>mm/d</w:t>
            </w:r>
            <w:r>
              <w:rPr>
                <w:rFonts w:hint="eastAsia" w:ascii="宋体" w:hAnsi="宋体"/>
                <w:spacing w:val="1"/>
                <w:w w:val="79"/>
                <w:kern w:val="0"/>
                <w:sz w:val="15"/>
                <w:szCs w:val="15"/>
                <w:fitText w:val="516" w:id="-1226140671"/>
              </w:rPr>
              <w:t>）</w:t>
            </w:r>
          </w:p>
        </w:tc>
        <w:tc>
          <w:tcPr>
            <w:tcW w:w="735" w:type="pct"/>
            <w:gridSpan w:val="2"/>
            <w:shd w:val="clear" w:color="auto" w:fill="auto"/>
            <w:vAlign w:val="center"/>
          </w:tcPr>
          <w:p w14:paraId="4B71BB0B">
            <w:pPr>
              <w:adjustRightInd w:val="0"/>
              <w:snapToGrid w:val="0"/>
              <w:jc w:val="center"/>
              <w:rPr>
                <w:rFonts w:ascii="宋体" w:hAnsi="宋体"/>
                <w:w w:val="80"/>
                <w:kern w:val="0"/>
                <w:sz w:val="15"/>
                <w:szCs w:val="15"/>
              </w:rPr>
            </w:pPr>
            <w:r>
              <w:rPr>
                <w:rFonts w:ascii="宋体" w:hAnsi="宋体"/>
                <w:w w:val="80"/>
                <w:kern w:val="0"/>
                <w:sz w:val="15"/>
                <w:szCs w:val="15"/>
              </w:rPr>
              <w:t>累计值</w:t>
            </w:r>
          </w:p>
        </w:tc>
        <w:tc>
          <w:tcPr>
            <w:tcW w:w="454" w:type="pct"/>
            <w:vMerge w:val="restart"/>
            <w:shd w:val="clear" w:color="auto" w:fill="auto"/>
            <w:vAlign w:val="center"/>
          </w:tcPr>
          <w:p w14:paraId="2112DBEF">
            <w:pPr>
              <w:adjustRightInd w:val="0"/>
              <w:snapToGrid w:val="0"/>
              <w:jc w:val="center"/>
              <w:rPr>
                <w:rFonts w:ascii="宋体" w:hAnsi="宋体"/>
                <w:w w:val="80"/>
                <w:kern w:val="0"/>
                <w:sz w:val="15"/>
                <w:szCs w:val="15"/>
              </w:rPr>
            </w:pPr>
            <w:r>
              <w:rPr>
                <w:rFonts w:ascii="宋体" w:hAnsi="宋体"/>
                <w:w w:val="80"/>
                <w:kern w:val="0"/>
                <w:sz w:val="15"/>
                <w:szCs w:val="15"/>
              </w:rPr>
              <w:t>变化</w:t>
            </w:r>
          </w:p>
          <w:p w14:paraId="2AF25448">
            <w:pPr>
              <w:adjustRightInd w:val="0"/>
              <w:snapToGrid w:val="0"/>
              <w:jc w:val="center"/>
              <w:rPr>
                <w:rFonts w:ascii="宋体" w:hAnsi="宋体"/>
                <w:w w:val="80"/>
                <w:kern w:val="0"/>
                <w:sz w:val="15"/>
                <w:szCs w:val="15"/>
              </w:rPr>
            </w:pPr>
            <w:r>
              <w:rPr>
                <w:rFonts w:ascii="宋体" w:hAnsi="宋体"/>
                <w:w w:val="80"/>
                <w:kern w:val="0"/>
                <w:sz w:val="15"/>
                <w:szCs w:val="15"/>
              </w:rPr>
              <w:t>速率</w:t>
            </w:r>
            <w:r>
              <w:rPr>
                <w:rFonts w:hint="eastAsia" w:ascii="宋体" w:hAnsi="宋体"/>
                <w:spacing w:val="0"/>
                <w:w w:val="79"/>
                <w:kern w:val="0"/>
                <w:sz w:val="15"/>
                <w:szCs w:val="15"/>
                <w:fitText w:val="516" w:id="-1226140670"/>
              </w:rPr>
              <w:t>（</w:t>
            </w:r>
            <w:r>
              <w:rPr>
                <w:spacing w:val="0"/>
                <w:w w:val="79"/>
                <w:kern w:val="0"/>
                <w:sz w:val="15"/>
                <w:szCs w:val="15"/>
                <w:fitText w:val="516" w:id="-1226140670"/>
              </w:rPr>
              <w:t>mm/d</w:t>
            </w:r>
            <w:r>
              <w:rPr>
                <w:rFonts w:hint="eastAsia" w:ascii="宋体" w:hAnsi="宋体"/>
                <w:spacing w:val="1"/>
                <w:w w:val="79"/>
                <w:kern w:val="0"/>
                <w:sz w:val="15"/>
                <w:szCs w:val="15"/>
                <w:fitText w:val="516" w:id="-1226140670"/>
              </w:rPr>
              <w:t>）</w:t>
            </w:r>
          </w:p>
        </w:tc>
      </w:tr>
      <w:tr w14:paraId="5D2D1D2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589" w:hRule="atLeast"/>
          <w:jc w:val="center"/>
        </w:trPr>
        <w:tc>
          <w:tcPr>
            <w:tcW w:w="295" w:type="pct"/>
            <w:vMerge w:val="continue"/>
            <w:vAlign w:val="center"/>
          </w:tcPr>
          <w:p w14:paraId="037CC15F">
            <w:pPr>
              <w:adjustRightInd w:val="0"/>
              <w:snapToGrid w:val="0"/>
              <w:jc w:val="center"/>
              <w:rPr>
                <w:rFonts w:ascii="宋体" w:hAnsi="宋体"/>
                <w:w w:val="80"/>
                <w:kern w:val="0"/>
                <w:sz w:val="15"/>
                <w:szCs w:val="15"/>
              </w:rPr>
            </w:pPr>
          </w:p>
        </w:tc>
        <w:tc>
          <w:tcPr>
            <w:tcW w:w="533" w:type="pct"/>
            <w:vMerge w:val="continue"/>
            <w:vAlign w:val="center"/>
          </w:tcPr>
          <w:p w14:paraId="5288ACA7">
            <w:pPr>
              <w:adjustRightInd w:val="0"/>
              <w:snapToGrid w:val="0"/>
              <w:jc w:val="center"/>
              <w:rPr>
                <w:rFonts w:ascii="宋体" w:hAnsi="宋体"/>
                <w:w w:val="80"/>
                <w:kern w:val="0"/>
                <w:sz w:val="15"/>
                <w:szCs w:val="15"/>
              </w:rPr>
            </w:pPr>
          </w:p>
        </w:tc>
        <w:tc>
          <w:tcPr>
            <w:tcW w:w="732" w:type="pct"/>
            <w:vMerge w:val="continue"/>
            <w:vAlign w:val="center"/>
          </w:tcPr>
          <w:p w14:paraId="60AE85FC">
            <w:pPr>
              <w:adjustRightInd w:val="0"/>
              <w:snapToGrid w:val="0"/>
              <w:jc w:val="center"/>
              <w:rPr>
                <w:rFonts w:ascii="宋体" w:hAnsi="宋体"/>
                <w:w w:val="80"/>
                <w:kern w:val="0"/>
                <w:sz w:val="15"/>
                <w:szCs w:val="15"/>
              </w:rPr>
            </w:pPr>
          </w:p>
        </w:tc>
        <w:tc>
          <w:tcPr>
            <w:tcW w:w="344" w:type="pct"/>
            <w:shd w:val="clear" w:color="auto" w:fill="auto"/>
            <w:vAlign w:val="center"/>
          </w:tcPr>
          <w:p w14:paraId="469A29A0">
            <w:pPr>
              <w:adjustRightInd w:val="0"/>
              <w:snapToGrid w:val="0"/>
              <w:jc w:val="center"/>
              <w:rPr>
                <w:rFonts w:ascii="宋体" w:hAnsi="宋体"/>
                <w:w w:val="80"/>
                <w:kern w:val="0"/>
                <w:sz w:val="15"/>
                <w:szCs w:val="15"/>
              </w:rPr>
            </w:pPr>
            <w:r>
              <w:rPr>
                <w:rFonts w:hint="eastAsia" w:ascii="宋体" w:hAnsi="宋体"/>
                <w:w w:val="80"/>
                <w:kern w:val="0"/>
                <w:sz w:val="15"/>
                <w:szCs w:val="15"/>
              </w:rPr>
              <w:t>绝对</w:t>
            </w:r>
            <w:r>
              <w:rPr>
                <w:rFonts w:ascii="宋体" w:hAnsi="宋体"/>
                <w:w w:val="80"/>
                <w:kern w:val="0"/>
                <w:sz w:val="15"/>
                <w:szCs w:val="15"/>
              </w:rPr>
              <w:t>值</w:t>
            </w:r>
            <w:r>
              <w:rPr>
                <w:rFonts w:hint="eastAsia" w:ascii="宋体" w:hAnsi="宋体"/>
                <w:w w:val="80"/>
                <w:kern w:val="0"/>
                <w:sz w:val="15"/>
                <w:szCs w:val="15"/>
              </w:rPr>
              <w:t>（</w:t>
            </w:r>
            <w:r>
              <w:rPr>
                <w:w w:val="80"/>
                <w:kern w:val="0"/>
                <w:sz w:val="15"/>
                <w:szCs w:val="15"/>
              </w:rPr>
              <w:t>mm</w:t>
            </w:r>
            <w:r>
              <w:rPr>
                <w:rFonts w:hint="eastAsia" w:ascii="宋体" w:hAnsi="宋体"/>
                <w:w w:val="80"/>
                <w:kern w:val="0"/>
                <w:sz w:val="15"/>
                <w:szCs w:val="15"/>
              </w:rPr>
              <w:t>）</w:t>
            </w:r>
          </w:p>
        </w:tc>
        <w:tc>
          <w:tcPr>
            <w:tcW w:w="302" w:type="pct"/>
            <w:shd w:val="clear" w:color="auto" w:fill="auto"/>
            <w:vAlign w:val="center"/>
          </w:tcPr>
          <w:p w14:paraId="0B61DDF8">
            <w:pPr>
              <w:adjustRightInd w:val="0"/>
              <w:snapToGrid w:val="0"/>
              <w:jc w:val="center"/>
              <w:rPr>
                <w:rFonts w:ascii="宋体" w:hAnsi="宋体"/>
                <w:w w:val="80"/>
                <w:kern w:val="0"/>
                <w:sz w:val="15"/>
                <w:szCs w:val="15"/>
              </w:rPr>
            </w:pPr>
            <w:r>
              <w:rPr>
                <w:rFonts w:hint="eastAsia" w:ascii="宋体" w:hAnsi="宋体"/>
                <w:w w:val="80"/>
                <w:kern w:val="0"/>
                <w:sz w:val="15"/>
                <w:szCs w:val="15"/>
              </w:rPr>
              <w:t>相对基坑深度（</w:t>
            </w:r>
            <w:r>
              <w:rPr>
                <w:rFonts w:hint="eastAsia"/>
                <w:i/>
                <w:w w:val="80"/>
                <w:kern w:val="0"/>
                <w:sz w:val="15"/>
                <w:szCs w:val="15"/>
              </w:rPr>
              <w:t>h</w:t>
            </w:r>
            <w:r>
              <w:rPr>
                <w:rFonts w:hint="eastAsia" w:ascii="宋体" w:hAnsi="宋体"/>
                <w:w w:val="80"/>
                <w:kern w:val="0"/>
                <w:sz w:val="15"/>
                <w:szCs w:val="15"/>
              </w:rPr>
              <w:t>）</w:t>
            </w:r>
          </w:p>
        </w:tc>
        <w:tc>
          <w:tcPr>
            <w:tcW w:w="485" w:type="pct"/>
            <w:vMerge w:val="continue"/>
            <w:vAlign w:val="center"/>
          </w:tcPr>
          <w:p w14:paraId="24DBFDFD">
            <w:pPr>
              <w:adjustRightInd w:val="0"/>
              <w:snapToGrid w:val="0"/>
              <w:jc w:val="center"/>
              <w:rPr>
                <w:rFonts w:ascii="宋体" w:hAnsi="宋体"/>
                <w:w w:val="80"/>
                <w:kern w:val="0"/>
                <w:sz w:val="15"/>
                <w:szCs w:val="15"/>
              </w:rPr>
            </w:pPr>
          </w:p>
        </w:tc>
        <w:tc>
          <w:tcPr>
            <w:tcW w:w="402" w:type="pct"/>
            <w:shd w:val="clear" w:color="auto" w:fill="auto"/>
            <w:vAlign w:val="center"/>
          </w:tcPr>
          <w:p w14:paraId="54B85FDB">
            <w:pPr>
              <w:adjustRightInd w:val="0"/>
              <w:snapToGrid w:val="0"/>
              <w:jc w:val="center"/>
              <w:rPr>
                <w:rFonts w:ascii="宋体" w:hAnsi="宋体"/>
                <w:w w:val="80"/>
                <w:kern w:val="0"/>
                <w:sz w:val="15"/>
                <w:szCs w:val="15"/>
              </w:rPr>
            </w:pPr>
            <w:r>
              <w:rPr>
                <w:rFonts w:ascii="宋体" w:hAnsi="宋体"/>
                <w:w w:val="80"/>
                <w:kern w:val="0"/>
                <w:sz w:val="15"/>
                <w:szCs w:val="15"/>
              </w:rPr>
              <w:t>绝对值</w:t>
            </w:r>
            <w:r>
              <w:rPr>
                <w:rFonts w:hint="eastAsia" w:ascii="宋体" w:hAnsi="宋体"/>
                <w:w w:val="80"/>
                <w:kern w:val="0"/>
                <w:sz w:val="15"/>
                <w:szCs w:val="15"/>
              </w:rPr>
              <w:t>（</w:t>
            </w:r>
            <w:r>
              <w:rPr>
                <w:spacing w:val="0"/>
                <w:w w:val="77"/>
                <w:kern w:val="0"/>
                <w:sz w:val="15"/>
                <w:szCs w:val="15"/>
                <w:fitText w:val="180" w:id="-1226140669"/>
              </w:rPr>
              <w:t>mm</w:t>
            </w:r>
            <w:r>
              <w:rPr>
                <w:rFonts w:hint="eastAsia" w:ascii="宋体" w:hAnsi="宋体"/>
                <w:w w:val="80"/>
                <w:kern w:val="0"/>
                <w:sz w:val="15"/>
                <w:szCs w:val="15"/>
              </w:rPr>
              <w:t>）</w:t>
            </w:r>
          </w:p>
        </w:tc>
        <w:tc>
          <w:tcPr>
            <w:tcW w:w="284" w:type="pct"/>
            <w:shd w:val="clear" w:color="auto" w:fill="auto"/>
            <w:vAlign w:val="center"/>
          </w:tcPr>
          <w:p w14:paraId="1960D2A2">
            <w:pPr>
              <w:adjustRightInd w:val="0"/>
              <w:snapToGrid w:val="0"/>
              <w:jc w:val="center"/>
              <w:rPr>
                <w:rFonts w:ascii="宋体" w:hAnsi="宋体"/>
                <w:w w:val="80"/>
                <w:kern w:val="0"/>
                <w:sz w:val="15"/>
                <w:szCs w:val="15"/>
              </w:rPr>
            </w:pPr>
            <w:r>
              <w:rPr>
                <w:rFonts w:hint="eastAsia" w:ascii="宋体" w:hAnsi="宋体"/>
                <w:w w:val="80"/>
                <w:kern w:val="0"/>
                <w:sz w:val="15"/>
                <w:szCs w:val="15"/>
              </w:rPr>
              <w:t>相对基坑深度（</w:t>
            </w:r>
            <w:r>
              <w:rPr>
                <w:rFonts w:hint="eastAsia" w:ascii="宋体" w:hAnsi="宋体"/>
                <w:i/>
                <w:w w:val="80"/>
                <w:kern w:val="0"/>
                <w:sz w:val="15"/>
                <w:szCs w:val="15"/>
              </w:rPr>
              <w:t>h</w:t>
            </w:r>
            <w:r>
              <w:rPr>
                <w:rFonts w:hint="eastAsia" w:ascii="宋体" w:hAnsi="宋体"/>
                <w:w w:val="80"/>
                <w:kern w:val="0"/>
                <w:sz w:val="15"/>
                <w:szCs w:val="15"/>
              </w:rPr>
              <w:t>）</w:t>
            </w:r>
          </w:p>
        </w:tc>
        <w:tc>
          <w:tcPr>
            <w:tcW w:w="436" w:type="pct"/>
            <w:vMerge w:val="continue"/>
            <w:vAlign w:val="center"/>
          </w:tcPr>
          <w:p w14:paraId="5B12FFAB">
            <w:pPr>
              <w:adjustRightInd w:val="0"/>
              <w:snapToGrid w:val="0"/>
              <w:jc w:val="center"/>
              <w:rPr>
                <w:rFonts w:ascii="宋体" w:hAnsi="宋体"/>
                <w:w w:val="80"/>
                <w:kern w:val="0"/>
                <w:sz w:val="15"/>
                <w:szCs w:val="15"/>
              </w:rPr>
            </w:pPr>
          </w:p>
        </w:tc>
        <w:tc>
          <w:tcPr>
            <w:tcW w:w="308" w:type="pct"/>
            <w:shd w:val="clear" w:color="auto" w:fill="auto"/>
            <w:vAlign w:val="center"/>
          </w:tcPr>
          <w:p w14:paraId="50850248">
            <w:pPr>
              <w:adjustRightInd w:val="0"/>
              <w:snapToGrid w:val="0"/>
              <w:jc w:val="center"/>
              <w:rPr>
                <w:rFonts w:ascii="宋体" w:hAnsi="宋体"/>
                <w:w w:val="80"/>
                <w:kern w:val="0"/>
                <w:sz w:val="15"/>
                <w:szCs w:val="15"/>
              </w:rPr>
            </w:pPr>
            <w:r>
              <w:rPr>
                <w:rFonts w:ascii="宋体" w:hAnsi="宋体"/>
                <w:w w:val="80"/>
                <w:kern w:val="0"/>
                <w:sz w:val="15"/>
                <w:szCs w:val="15"/>
              </w:rPr>
              <w:t>绝对值</w:t>
            </w:r>
            <w:r>
              <w:rPr>
                <w:rFonts w:hint="eastAsia" w:ascii="宋体" w:hAnsi="宋体"/>
                <w:w w:val="80"/>
                <w:kern w:val="0"/>
                <w:sz w:val="15"/>
                <w:szCs w:val="15"/>
              </w:rPr>
              <w:t>（</w:t>
            </w:r>
            <w:r>
              <w:rPr>
                <w:spacing w:val="0"/>
                <w:w w:val="77"/>
                <w:kern w:val="0"/>
                <w:sz w:val="15"/>
                <w:szCs w:val="15"/>
                <w:fitText w:val="180" w:id="-1226140668"/>
              </w:rPr>
              <w:t>mm</w:t>
            </w:r>
            <w:r>
              <w:rPr>
                <w:rFonts w:hint="eastAsia" w:ascii="宋体" w:hAnsi="宋体"/>
                <w:w w:val="80"/>
                <w:kern w:val="0"/>
                <w:sz w:val="15"/>
                <w:szCs w:val="15"/>
              </w:rPr>
              <w:t>）</w:t>
            </w:r>
          </w:p>
        </w:tc>
        <w:tc>
          <w:tcPr>
            <w:tcW w:w="427" w:type="pct"/>
            <w:shd w:val="clear" w:color="auto" w:fill="auto"/>
            <w:vAlign w:val="center"/>
          </w:tcPr>
          <w:p w14:paraId="422524D3">
            <w:pPr>
              <w:adjustRightInd w:val="0"/>
              <w:snapToGrid w:val="0"/>
              <w:jc w:val="center"/>
              <w:rPr>
                <w:rFonts w:ascii="宋体" w:hAnsi="宋体"/>
                <w:w w:val="80"/>
                <w:kern w:val="0"/>
                <w:sz w:val="15"/>
                <w:szCs w:val="15"/>
              </w:rPr>
            </w:pPr>
            <w:r>
              <w:rPr>
                <w:rFonts w:hint="eastAsia" w:ascii="宋体" w:hAnsi="宋体"/>
                <w:w w:val="80"/>
                <w:kern w:val="0"/>
                <w:sz w:val="15"/>
                <w:szCs w:val="15"/>
              </w:rPr>
              <w:t>相对基坑深度（</w:t>
            </w:r>
            <w:r>
              <w:rPr>
                <w:rFonts w:hint="eastAsia"/>
                <w:i/>
                <w:w w:val="80"/>
                <w:kern w:val="0"/>
                <w:sz w:val="15"/>
                <w:szCs w:val="15"/>
              </w:rPr>
              <w:t>h</w:t>
            </w:r>
            <w:r>
              <w:rPr>
                <w:rFonts w:hint="eastAsia" w:ascii="宋体" w:hAnsi="宋体"/>
                <w:w w:val="80"/>
                <w:kern w:val="0"/>
                <w:sz w:val="15"/>
                <w:szCs w:val="15"/>
              </w:rPr>
              <w:t>）</w:t>
            </w:r>
          </w:p>
        </w:tc>
        <w:tc>
          <w:tcPr>
            <w:tcW w:w="454" w:type="pct"/>
            <w:vMerge w:val="continue"/>
            <w:vAlign w:val="center"/>
          </w:tcPr>
          <w:p w14:paraId="240CB5BA">
            <w:pPr>
              <w:adjustRightInd w:val="0"/>
              <w:snapToGrid w:val="0"/>
              <w:jc w:val="center"/>
              <w:rPr>
                <w:rFonts w:ascii="宋体" w:hAnsi="宋体"/>
                <w:w w:val="80"/>
                <w:kern w:val="0"/>
                <w:sz w:val="15"/>
                <w:szCs w:val="15"/>
              </w:rPr>
            </w:pPr>
          </w:p>
        </w:tc>
      </w:tr>
      <w:tr w14:paraId="08DDA13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295" w:type="pct"/>
            <w:vMerge w:val="restart"/>
            <w:shd w:val="clear" w:color="auto" w:fill="auto"/>
            <w:vAlign w:val="center"/>
          </w:tcPr>
          <w:p w14:paraId="29A15700">
            <w:pPr>
              <w:adjustRightInd w:val="0"/>
              <w:snapToGrid w:val="0"/>
              <w:jc w:val="center"/>
              <w:rPr>
                <w:w w:val="80"/>
                <w:kern w:val="0"/>
                <w:sz w:val="15"/>
                <w:szCs w:val="15"/>
              </w:rPr>
            </w:pPr>
            <w:r>
              <w:rPr>
                <w:w w:val="80"/>
                <w:kern w:val="0"/>
                <w:sz w:val="15"/>
                <w:szCs w:val="15"/>
              </w:rPr>
              <w:t>1</w:t>
            </w:r>
          </w:p>
        </w:tc>
        <w:tc>
          <w:tcPr>
            <w:tcW w:w="533" w:type="pct"/>
            <w:vMerge w:val="restart"/>
            <w:shd w:val="clear" w:color="auto" w:fill="auto"/>
            <w:vAlign w:val="center"/>
          </w:tcPr>
          <w:p w14:paraId="16121D66">
            <w:pPr>
              <w:adjustRightInd w:val="0"/>
              <w:snapToGrid w:val="0"/>
              <w:jc w:val="center"/>
              <w:rPr>
                <w:rFonts w:ascii="宋体" w:hAnsi="宋体"/>
                <w:w w:val="80"/>
                <w:kern w:val="0"/>
                <w:sz w:val="15"/>
                <w:szCs w:val="15"/>
              </w:rPr>
            </w:pPr>
            <w:r>
              <w:rPr>
                <w:rFonts w:hint="eastAsia" w:ascii="宋体" w:hAnsi="宋体"/>
                <w:w w:val="80"/>
                <w:kern w:val="0"/>
                <w:sz w:val="15"/>
                <w:szCs w:val="15"/>
              </w:rPr>
              <w:t>支护结构顶部</w:t>
            </w:r>
            <w:r>
              <w:rPr>
                <w:rFonts w:ascii="宋体" w:hAnsi="宋体"/>
                <w:w w:val="80"/>
                <w:kern w:val="0"/>
                <w:sz w:val="15"/>
                <w:szCs w:val="15"/>
              </w:rPr>
              <w:t>水平位移</w:t>
            </w:r>
          </w:p>
        </w:tc>
        <w:tc>
          <w:tcPr>
            <w:tcW w:w="732" w:type="pct"/>
            <w:shd w:val="clear" w:color="auto" w:fill="auto"/>
            <w:vAlign w:val="center"/>
          </w:tcPr>
          <w:p w14:paraId="3B3D93AA">
            <w:pPr>
              <w:adjustRightInd w:val="0"/>
              <w:snapToGrid w:val="0"/>
              <w:jc w:val="center"/>
              <w:rPr>
                <w:rFonts w:ascii="宋体" w:hAnsi="宋体"/>
                <w:w w:val="80"/>
                <w:kern w:val="0"/>
                <w:sz w:val="15"/>
                <w:szCs w:val="15"/>
              </w:rPr>
            </w:pPr>
            <w:r>
              <w:rPr>
                <w:rFonts w:ascii="宋体" w:hAnsi="宋体"/>
                <w:w w:val="80"/>
                <w:kern w:val="0"/>
                <w:sz w:val="15"/>
                <w:szCs w:val="15"/>
              </w:rPr>
              <w:t>放坡、土钉墙</w:t>
            </w:r>
            <w:r>
              <w:rPr>
                <w:rFonts w:hint="eastAsia" w:ascii="宋体" w:hAnsi="宋体"/>
                <w:w w:val="80"/>
                <w:kern w:val="0"/>
                <w:sz w:val="15"/>
                <w:szCs w:val="15"/>
              </w:rPr>
              <w:t>、复合土钉墙、悬臂桩</w:t>
            </w:r>
          </w:p>
        </w:tc>
        <w:tc>
          <w:tcPr>
            <w:tcW w:w="344" w:type="pct"/>
            <w:shd w:val="clear" w:color="auto" w:fill="auto"/>
            <w:vAlign w:val="center"/>
          </w:tcPr>
          <w:p w14:paraId="531F0668">
            <w:pPr>
              <w:adjustRightInd w:val="0"/>
              <w:snapToGrid w:val="0"/>
              <w:jc w:val="center"/>
              <w:rPr>
                <w:sz w:val="15"/>
                <w:szCs w:val="15"/>
              </w:rPr>
            </w:pPr>
            <w:r>
              <w:rPr>
                <w:sz w:val="15"/>
                <w:szCs w:val="15"/>
              </w:rPr>
              <w:t>—</w:t>
            </w:r>
          </w:p>
        </w:tc>
        <w:tc>
          <w:tcPr>
            <w:tcW w:w="302" w:type="pct"/>
            <w:shd w:val="clear" w:color="auto" w:fill="auto"/>
            <w:vAlign w:val="center"/>
          </w:tcPr>
          <w:p w14:paraId="1B4EFCFB">
            <w:pPr>
              <w:adjustRightInd w:val="0"/>
              <w:snapToGrid w:val="0"/>
              <w:jc w:val="center"/>
              <w:rPr>
                <w:sz w:val="15"/>
                <w:szCs w:val="15"/>
              </w:rPr>
            </w:pPr>
            <w:r>
              <w:rPr>
                <w:sz w:val="15"/>
                <w:szCs w:val="15"/>
              </w:rPr>
              <w:t>—</w:t>
            </w:r>
          </w:p>
        </w:tc>
        <w:tc>
          <w:tcPr>
            <w:tcW w:w="485" w:type="pct"/>
            <w:shd w:val="clear" w:color="auto" w:fill="auto"/>
            <w:vAlign w:val="center"/>
          </w:tcPr>
          <w:p w14:paraId="2DB73BC0">
            <w:pPr>
              <w:adjustRightInd w:val="0"/>
              <w:snapToGrid w:val="0"/>
              <w:jc w:val="center"/>
              <w:rPr>
                <w:sz w:val="15"/>
                <w:szCs w:val="15"/>
              </w:rPr>
            </w:pPr>
            <w:r>
              <w:rPr>
                <w:sz w:val="15"/>
                <w:szCs w:val="15"/>
              </w:rPr>
              <w:t>—</w:t>
            </w:r>
          </w:p>
        </w:tc>
        <w:tc>
          <w:tcPr>
            <w:tcW w:w="402" w:type="pct"/>
            <w:shd w:val="clear" w:color="auto" w:fill="auto"/>
            <w:vAlign w:val="center"/>
          </w:tcPr>
          <w:p w14:paraId="60279DB8">
            <w:pPr>
              <w:adjustRightInd w:val="0"/>
              <w:snapToGrid w:val="0"/>
              <w:jc w:val="center"/>
              <w:rPr>
                <w:sz w:val="15"/>
                <w:szCs w:val="15"/>
              </w:rPr>
            </w:pPr>
            <w:r>
              <w:rPr>
                <w:sz w:val="15"/>
                <w:szCs w:val="15"/>
              </w:rPr>
              <w:t>40～</w:t>
            </w:r>
            <w:r>
              <w:rPr>
                <w:rFonts w:hint="eastAsia"/>
                <w:sz w:val="15"/>
                <w:szCs w:val="15"/>
              </w:rPr>
              <w:t>5</w:t>
            </w:r>
            <w:r>
              <w:rPr>
                <w:sz w:val="15"/>
                <w:szCs w:val="15"/>
              </w:rPr>
              <w:t>0</w:t>
            </w:r>
          </w:p>
        </w:tc>
        <w:tc>
          <w:tcPr>
            <w:tcW w:w="284" w:type="pct"/>
            <w:shd w:val="clear" w:color="auto" w:fill="auto"/>
            <w:vAlign w:val="center"/>
          </w:tcPr>
          <w:p w14:paraId="6F2BFB15">
            <w:pPr>
              <w:adjustRightInd w:val="0"/>
              <w:snapToGrid w:val="0"/>
              <w:jc w:val="center"/>
              <w:rPr>
                <w:sz w:val="15"/>
                <w:szCs w:val="15"/>
              </w:rPr>
            </w:pPr>
            <w:r>
              <w:rPr>
                <w:sz w:val="15"/>
                <w:szCs w:val="15"/>
              </w:rPr>
              <w:t>4‰</w:t>
            </w:r>
          </w:p>
        </w:tc>
        <w:tc>
          <w:tcPr>
            <w:tcW w:w="436" w:type="pct"/>
            <w:shd w:val="clear" w:color="auto" w:fill="auto"/>
            <w:vAlign w:val="center"/>
          </w:tcPr>
          <w:p w14:paraId="2D3951C3">
            <w:pPr>
              <w:adjustRightInd w:val="0"/>
              <w:snapToGrid w:val="0"/>
              <w:jc w:val="center"/>
              <w:rPr>
                <w:sz w:val="15"/>
                <w:szCs w:val="15"/>
              </w:rPr>
            </w:pPr>
            <w:r>
              <w:rPr>
                <w:sz w:val="15"/>
                <w:szCs w:val="15"/>
              </w:rPr>
              <w:t>4～</w:t>
            </w:r>
            <w:r>
              <w:rPr>
                <w:rFonts w:hint="eastAsia"/>
                <w:sz w:val="15"/>
                <w:szCs w:val="15"/>
              </w:rPr>
              <w:t>5</w:t>
            </w:r>
          </w:p>
        </w:tc>
        <w:tc>
          <w:tcPr>
            <w:tcW w:w="308" w:type="pct"/>
            <w:shd w:val="clear" w:color="auto" w:fill="auto"/>
            <w:vAlign w:val="center"/>
          </w:tcPr>
          <w:p w14:paraId="5817BF30">
            <w:pPr>
              <w:adjustRightInd w:val="0"/>
              <w:snapToGrid w:val="0"/>
              <w:jc w:val="center"/>
              <w:rPr>
                <w:sz w:val="15"/>
                <w:szCs w:val="15"/>
              </w:rPr>
            </w:pPr>
            <w:r>
              <w:rPr>
                <w:sz w:val="15"/>
                <w:szCs w:val="15"/>
              </w:rPr>
              <w:t>50～60</w:t>
            </w:r>
          </w:p>
        </w:tc>
        <w:tc>
          <w:tcPr>
            <w:tcW w:w="427" w:type="pct"/>
            <w:shd w:val="clear" w:color="auto" w:fill="auto"/>
            <w:vAlign w:val="center"/>
          </w:tcPr>
          <w:p w14:paraId="3D4448EF">
            <w:pPr>
              <w:adjustRightInd w:val="0"/>
              <w:snapToGrid w:val="0"/>
              <w:jc w:val="center"/>
              <w:rPr>
                <w:sz w:val="15"/>
                <w:szCs w:val="15"/>
              </w:rPr>
            </w:pPr>
            <w:r>
              <w:rPr>
                <w:sz w:val="15"/>
                <w:szCs w:val="15"/>
              </w:rPr>
              <w:t>6‰</w:t>
            </w:r>
          </w:p>
        </w:tc>
        <w:tc>
          <w:tcPr>
            <w:tcW w:w="454" w:type="pct"/>
            <w:shd w:val="clear" w:color="auto" w:fill="auto"/>
            <w:tcMar>
              <w:left w:w="0" w:type="dxa"/>
              <w:right w:w="0" w:type="dxa"/>
            </w:tcMar>
            <w:vAlign w:val="center"/>
          </w:tcPr>
          <w:p w14:paraId="093A4DAD">
            <w:pPr>
              <w:adjustRightInd w:val="0"/>
              <w:snapToGrid w:val="0"/>
              <w:jc w:val="center"/>
              <w:rPr>
                <w:sz w:val="15"/>
                <w:szCs w:val="15"/>
              </w:rPr>
            </w:pPr>
            <w:r>
              <w:rPr>
                <w:sz w:val="15"/>
                <w:szCs w:val="15"/>
              </w:rPr>
              <w:t>5～</w:t>
            </w:r>
            <w:r>
              <w:rPr>
                <w:rFonts w:hint="eastAsia"/>
                <w:sz w:val="15"/>
                <w:szCs w:val="15"/>
              </w:rPr>
              <w:t>6</w:t>
            </w:r>
          </w:p>
        </w:tc>
      </w:tr>
      <w:tr w14:paraId="119DCFC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522" w:hRule="atLeast"/>
          <w:jc w:val="center"/>
        </w:trPr>
        <w:tc>
          <w:tcPr>
            <w:tcW w:w="295" w:type="pct"/>
            <w:vMerge w:val="continue"/>
            <w:vAlign w:val="center"/>
          </w:tcPr>
          <w:p w14:paraId="01C04238">
            <w:pPr>
              <w:adjustRightInd w:val="0"/>
              <w:snapToGrid w:val="0"/>
              <w:jc w:val="center"/>
              <w:rPr>
                <w:w w:val="80"/>
                <w:kern w:val="0"/>
                <w:sz w:val="15"/>
                <w:szCs w:val="15"/>
              </w:rPr>
            </w:pPr>
          </w:p>
        </w:tc>
        <w:tc>
          <w:tcPr>
            <w:tcW w:w="533" w:type="pct"/>
            <w:vMerge w:val="continue"/>
            <w:vAlign w:val="center"/>
          </w:tcPr>
          <w:p w14:paraId="6155EE9D">
            <w:pPr>
              <w:adjustRightInd w:val="0"/>
              <w:snapToGrid w:val="0"/>
              <w:jc w:val="center"/>
              <w:rPr>
                <w:rFonts w:ascii="宋体" w:hAnsi="宋体"/>
                <w:w w:val="80"/>
                <w:kern w:val="0"/>
                <w:sz w:val="15"/>
                <w:szCs w:val="15"/>
              </w:rPr>
            </w:pPr>
          </w:p>
        </w:tc>
        <w:tc>
          <w:tcPr>
            <w:tcW w:w="732" w:type="pct"/>
            <w:shd w:val="clear" w:color="auto" w:fill="auto"/>
            <w:vAlign w:val="center"/>
          </w:tcPr>
          <w:p w14:paraId="629DC069">
            <w:pPr>
              <w:adjustRightInd w:val="0"/>
              <w:snapToGrid w:val="0"/>
              <w:jc w:val="center"/>
              <w:rPr>
                <w:rFonts w:ascii="宋体" w:hAnsi="宋体"/>
                <w:w w:val="80"/>
                <w:kern w:val="0"/>
                <w:sz w:val="15"/>
                <w:szCs w:val="15"/>
              </w:rPr>
            </w:pPr>
            <w:r>
              <w:rPr>
                <w:rFonts w:hint="eastAsia" w:ascii="宋体" w:hAnsi="宋体"/>
                <w:w w:val="80"/>
                <w:kern w:val="0"/>
                <w:sz w:val="15"/>
                <w:szCs w:val="15"/>
              </w:rPr>
              <w:t>支护桩+锚杆</w:t>
            </w:r>
            <w:r>
              <w:rPr>
                <w:rFonts w:ascii="宋体" w:hAnsi="宋体"/>
                <w:w w:val="80"/>
                <w:kern w:val="0"/>
                <w:sz w:val="15"/>
                <w:szCs w:val="15"/>
              </w:rPr>
              <w:t>、地下连续墙</w:t>
            </w:r>
            <w:r>
              <w:rPr>
                <w:rFonts w:hint="eastAsia" w:ascii="宋体" w:hAnsi="宋体"/>
                <w:w w:val="80"/>
                <w:kern w:val="0"/>
                <w:sz w:val="15"/>
                <w:szCs w:val="15"/>
              </w:rPr>
              <w:t>+锚杆、内支撑</w:t>
            </w:r>
          </w:p>
        </w:tc>
        <w:tc>
          <w:tcPr>
            <w:tcW w:w="344" w:type="pct"/>
            <w:shd w:val="clear" w:color="auto" w:fill="auto"/>
            <w:vAlign w:val="center"/>
          </w:tcPr>
          <w:p w14:paraId="1F70AA5A">
            <w:pPr>
              <w:adjustRightInd w:val="0"/>
              <w:snapToGrid w:val="0"/>
              <w:jc w:val="center"/>
              <w:rPr>
                <w:sz w:val="15"/>
                <w:szCs w:val="15"/>
              </w:rPr>
            </w:pPr>
            <w:r>
              <w:rPr>
                <w:sz w:val="15"/>
                <w:szCs w:val="15"/>
              </w:rPr>
              <w:t>20～</w:t>
            </w:r>
            <w:r>
              <w:rPr>
                <w:rFonts w:hint="eastAsia"/>
                <w:sz w:val="15"/>
                <w:szCs w:val="15"/>
              </w:rPr>
              <w:t>3</w:t>
            </w:r>
            <w:r>
              <w:rPr>
                <w:sz w:val="15"/>
                <w:szCs w:val="15"/>
              </w:rPr>
              <w:t>0</w:t>
            </w:r>
          </w:p>
        </w:tc>
        <w:tc>
          <w:tcPr>
            <w:tcW w:w="302" w:type="pct"/>
            <w:shd w:val="clear" w:color="auto" w:fill="auto"/>
            <w:vAlign w:val="center"/>
          </w:tcPr>
          <w:p w14:paraId="042C74FF">
            <w:pPr>
              <w:adjustRightInd w:val="0"/>
              <w:snapToGrid w:val="0"/>
              <w:jc w:val="center"/>
              <w:rPr>
                <w:sz w:val="15"/>
                <w:szCs w:val="15"/>
              </w:rPr>
            </w:pPr>
            <w:r>
              <w:rPr>
                <w:sz w:val="15"/>
                <w:szCs w:val="15"/>
              </w:rPr>
              <w:t>2‰</w:t>
            </w:r>
          </w:p>
        </w:tc>
        <w:tc>
          <w:tcPr>
            <w:tcW w:w="485" w:type="pct"/>
            <w:shd w:val="clear" w:color="auto" w:fill="auto"/>
            <w:vAlign w:val="center"/>
          </w:tcPr>
          <w:p w14:paraId="14DBFDE6">
            <w:pPr>
              <w:adjustRightInd w:val="0"/>
              <w:snapToGrid w:val="0"/>
              <w:jc w:val="center"/>
              <w:rPr>
                <w:sz w:val="15"/>
                <w:szCs w:val="15"/>
              </w:rPr>
            </w:pPr>
            <w:r>
              <w:rPr>
                <w:sz w:val="15"/>
                <w:szCs w:val="15"/>
              </w:rPr>
              <w:t>2～</w:t>
            </w:r>
            <w:r>
              <w:rPr>
                <w:rFonts w:hint="eastAsia"/>
                <w:sz w:val="15"/>
                <w:szCs w:val="15"/>
              </w:rPr>
              <w:t>3</w:t>
            </w:r>
          </w:p>
        </w:tc>
        <w:tc>
          <w:tcPr>
            <w:tcW w:w="402" w:type="pct"/>
            <w:shd w:val="clear" w:color="auto" w:fill="auto"/>
            <w:vAlign w:val="center"/>
          </w:tcPr>
          <w:p w14:paraId="7323AEEC">
            <w:pPr>
              <w:adjustRightInd w:val="0"/>
              <w:snapToGrid w:val="0"/>
              <w:jc w:val="center"/>
              <w:rPr>
                <w:sz w:val="15"/>
                <w:szCs w:val="15"/>
              </w:rPr>
            </w:pPr>
            <w:r>
              <w:rPr>
                <w:sz w:val="15"/>
                <w:szCs w:val="15"/>
              </w:rPr>
              <w:t>30～</w:t>
            </w:r>
            <w:r>
              <w:rPr>
                <w:rFonts w:hint="eastAsia"/>
                <w:sz w:val="15"/>
                <w:szCs w:val="15"/>
              </w:rPr>
              <w:t>4</w:t>
            </w:r>
            <w:r>
              <w:rPr>
                <w:sz w:val="15"/>
                <w:szCs w:val="15"/>
              </w:rPr>
              <w:t>0</w:t>
            </w:r>
          </w:p>
        </w:tc>
        <w:tc>
          <w:tcPr>
            <w:tcW w:w="284" w:type="pct"/>
            <w:shd w:val="clear" w:color="auto" w:fill="auto"/>
            <w:vAlign w:val="center"/>
          </w:tcPr>
          <w:p w14:paraId="53EBA997">
            <w:pPr>
              <w:adjustRightInd w:val="0"/>
              <w:snapToGrid w:val="0"/>
              <w:jc w:val="center"/>
              <w:rPr>
                <w:sz w:val="15"/>
                <w:szCs w:val="15"/>
              </w:rPr>
            </w:pPr>
            <w:r>
              <w:rPr>
                <w:sz w:val="15"/>
                <w:szCs w:val="15"/>
              </w:rPr>
              <w:t>3‰</w:t>
            </w:r>
          </w:p>
        </w:tc>
        <w:tc>
          <w:tcPr>
            <w:tcW w:w="436" w:type="pct"/>
            <w:shd w:val="clear" w:color="auto" w:fill="auto"/>
            <w:vAlign w:val="center"/>
          </w:tcPr>
          <w:p w14:paraId="2A25D865">
            <w:pPr>
              <w:adjustRightInd w:val="0"/>
              <w:snapToGrid w:val="0"/>
              <w:jc w:val="center"/>
              <w:rPr>
                <w:sz w:val="15"/>
                <w:szCs w:val="15"/>
              </w:rPr>
            </w:pPr>
            <w:r>
              <w:rPr>
                <w:sz w:val="15"/>
                <w:szCs w:val="15"/>
              </w:rPr>
              <w:t>2～</w:t>
            </w:r>
            <w:r>
              <w:rPr>
                <w:rFonts w:hint="eastAsia"/>
                <w:sz w:val="15"/>
                <w:szCs w:val="15"/>
              </w:rPr>
              <w:t>4</w:t>
            </w:r>
          </w:p>
        </w:tc>
        <w:tc>
          <w:tcPr>
            <w:tcW w:w="308" w:type="pct"/>
            <w:shd w:val="clear" w:color="auto" w:fill="auto"/>
            <w:vAlign w:val="center"/>
          </w:tcPr>
          <w:p w14:paraId="5967A6B4">
            <w:pPr>
              <w:adjustRightInd w:val="0"/>
              <w:snapToGrid w:val="0"/>
              <w:jc w:val="center"/>
              <w:rPr>
                <w:sz w:val="15"/>
                <w:szCs w:val="15"/>
              </w:rPr>
            </w:pPr>
            <w:r>
              <w:rPr>
                <w:sz w:val="15"/>
                <w:szCs w:val="15"/>
              </w:rPr>
              <w:t>—</w:t>
            </w:r>
          </w:p>
        </w:tc>
        <w:tc>
          <w:tcPr>
            <w:tcW w:w="427" w:type="pct"/>
            <w:shd w:val="clear" w:color="auto" w:fill="auto"/>
            <w:vAlign w:val="center"/>
          </w:tcPr>
          <w:p w14:paraId="22E2368E">
            <w:pPr>
              <w:adjustRightInd w:val="0"/>
              <w:snapToGrid w:val="0"/>
              <w:jc w:val="center"/>
              <w:rPr>
                <w:sz w:val="15"/>
                <w:szCs w:val="15"/>
              </w:rPr>
            </w:pPr>
            <w:r>
              <w:rPr>
                <w:sz w:val="15"/>
                <w:szCs w:val="15"/>
              </w:rPr>
              <w:t>—</w:t>
            </w:r>
          </w:p>
        </w:tc>
        <w:tc>
          <w:tcPr>
            <w:tcW w:w="454" w:type="pct"/>
            <w:shd w:val="clear" w:color="auto" w:fill="auto"/>
            <w:vAlign w:val="center"/>
          </w:tcPr>
          <w:p w14:paraId="51E9D9AB">
            <w:pPr>
              <w:adjustRightInd w:val="0"/>
              <w:snapToGrid w:val="0"/>
              <w:jc w:val="center"/>
              <w:rPr>
                <w:sz w:val="15"/>
                <w:szCs w:val="15"/>
              </w:rPr>
            </w:pPr>
            <w:r>
              <w:rPr>
                <w:sz w:val="15"/>
                <w:szCs w:val="15"/>
              </w:rPr>
              <w:t>—</w:t>
            </w:r>
          </w:p>
        </w:tc>
      </w:tr>
      <w:tr w14:paraId="3D0BB2DA">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295" w:type="pct"/>
            <w:vMerge w:val="restart"/>
            <w:shd w:val="clear" w:color="auto" w:fill="auto"/>
            <w:vAlign w:val="center"/>
          </w:tcPr>
          <w:p w14:paraId="2727ABF8">
            <w:pPr>
              <w:adjustRightInd w:val="0"/>
              <w:snapToGrid w:val="0"/>
              <w:jc w:val="center"/>
              <w:rPr>
                <w:w w:val="80"/>
                <w:kern w:val="0"/>
                <w:sz w:val="15"/>
                <w:szCs w:val="15"/>
              </w:rPr>
            </w:pPr>
            <w:r>
              <w:rPr>
                <w:w w:val="80"/>
                <w:kern w:val="0"/>
                <w:sz w:val="15"/>
                <w:szCs w:val="15"/>
              </w:rPr>
              <w:t>2</w:t>
            </w:r>
          </w:p>
        </w:tc>
        <w:tc>
          <w:tcPr>
            <w:tcW w:w="533" w:type="pct"/>
            <w:vMerge w:val="restart"/>
            <w:shd w:val="clear" w:color="auto" w:fill="auto"/>
            <w:vAlign w:val="center"/>
          </w:tcPr>
          <w:p w14:paraId="3C47DE3C">
            <w:pPr>
              <w:adjustRightInd w:val="0"/>
              <w:snapToGrid w:val="0"/>
              <w:jc w:val="center"/>
              <w:rPr>
                <w:rFonts w:ascii="宋体" w:hAnsi="宋体"/>
                <w:w w:val="80"/>
                <w:kern w:val="0"/>
                <w:sz w:val="15"/>
                <w:szCs w:val="15"/>
              </w:rPr>
            </w:pPr>
            <w:r>
              <w:rPr>
                <w:rFonts w:hint="eastAsia" w:ascii="宋体" w:hAnsi="宋体"/>
                <w:w w:val="80"/>
                <w:kern w:val="0"/>
                <w:sz w:val="15"/>
                <w:szCs w:val="15"/>
              </w:rPr>
              <w:t>支护结构顶部竖向位移</w:t>
            </w:r>
          </w:p>
        </w:tc>
        <w:tc>
          <w:tcPr>
            <w:tcW w:w="732" w:type="pct"/>
            <w:shd w:val="clear" w:color="auto" w:fill="auto"/>
            <w:vAlign w:val="center"/>
          </w:tcPr>
          <w:p w14:paraId="01A05664">
            <w:pPr>
              <w:adjustRightInd w:val="0"/>
              <w:snapToGrid w:val="0"/>
              <w:jc w:val="center"/>
              <w:rPr>
                <w:rFonts w:ascii="宋体" w:hAnsi="宋体"/>
                <w:w w:val="80"/>
                <w:kern w:val="0"/>
                <w:sz w:val="15"/>
                <w:szCs w:val="15"/>
              </w:rPr>
            </w:pPr>
            <w:r>
              <w:rPr>
                <w:rFonts w:ascii="宋体" w:hAnsi="宋体"/>
                <w:w w:val="80"/>
                <w:kern w:val="0"/>
                <w:sz w:val="15"/>
                <w:szCs w:val="15"/>
              </w:rPr>
              <w:t>放坡、土钉墙</w:t>
            </w:r>
            <w:r>
              <w:rPr>
                <w:rFonts w:hint="eastAsia" w:ascii="宋体" w:hAnsi="宋体"/>
                <w:w w:val="80"/>
                <w:kern w:val="0"/>
                <w:sz w:val="15"/>
                <w:szCs w:val="15"/>
              </w:rPr>
              <w:t>、复合土钉墙、悬臂桩</w:t>
            </w:r>
          </w:p>
        </w:tc>
        <w:tc>
          <w:tcPr>
            <w:tcW w:w="344" w:type="pct"/>
            <w:shd w:val="clear" w:color="auto" w:fill="auto"/>
            <w:vAlign w:val="center"/>
          </w:tcPr>
          <w:p w14:paraId="30A9332C">
            <w:pPr>
              <w:adjustRightInd w:val="0"/>
              <w:snapToGrid w:val="0"/>
              <w:jc w:val="center"/>
              <w:rPr>
                <w:sz w:val="15"/>
                <w:szCs w:val="15"/>
              </w:rPr>
            </w:pPr>
            <w:r>
              <w:rPr>
                <w:sz w:val="15"/>
                <w:szCs w:val="15"/>
              </w:rPr>
              <w:t>—</w:t>
            </w:r>
          </w:p>
        </w:tc>
        <w:tc>
          <w:tcPr>
            <w:tcW w:w="302" w:type="pct"/>
            <w:shd w:val="clear" w:color="auto" w:fill="auto"/>
            <w:vAlign w:val="center"/>
          </w:tcPr>
          <w:p w14:paraId="77F82206">
            <w:pPr>
              <w:adjustRightInd w:val="0"/>
              <w:snapToGrid w:val="0"/>
              <w:jc w:val="center"/>
              <w:rPr>
                <w:sz w:val="15"/>
                <w:szCs w:val="15"/>
              </w:rPr>
            </w:pPr>
            <w:r>
              <w:rPr>
                <w:sz w:val="15"/>
                <w:szCs w:val="15"/>
              </w:rPr>
              <w:t>—</w:t>
            </w:r>
          </w:p>
        </w:tc>
        <w:tc>
          <w:tcPr>
            <w:tcW w:w="485" w:type="pct"/>
            <w:shd w:val="clear" w:color="auto" w:fill="auto"/>
            <w:vAlign w:val="center"/>
          </w:tcPr>
          <w:p w14:paraId="2A935226">
            <w:pPr>
              <w:adjustRightInd w:val="0"/>
              <w:snapToGrid w:val="0"/>
              <w:jc w:val="center"/>
              <w:rPr>
                <w:sz w:val="15"/>
                <w:szCs w:val="15"/>
              </w:rPr>
            </w:pPr>
            <w:r>
              <w:rPr>
                <w:sz w:val="15"/>
                <w:szCs w:val="15"/>
              </w:rPr>
              <w:t>—</w:t>
            </w:r>
          </w:p>
        </w:tc>
        <w:tc>
          <w:tcPr>
            <w:tcW w:w="402" w:type="pct"/>
            <w:shd w:val="clear" w:color="auto" w:fill="auto"/>
            <w:vAlign w:val="center"/>
          </w:tcPr>
          <w:p w14:paraId="3CF3349F">
            <w:pPr>
              <w:adjustRightInd w:val="0"/>
              <w:snapToGrid w:val="0"/>
              <w:jc w:val="center"/>
              <w:rPr>
                <w:sz w:val="15"/>
                <w:szCs w:val="15"/>
              </w:rPr>
            </w:pPr>
            <w:r>
              <w:rPr>
                <w:sz w:val="15"/>
                <w:szCs w:val="15"/>
              </w:rPr>
              <w:t>30～</w:t>
            </w:r>
            <w:r>
              <w:rPr>
                <w:rFonts w:hint="eastAsia"/>
                <w:sz w:val="15"/>
                <w:szCs w:val="15"/>
              </w:rPr>
              <w:t>4</w:t>
            </w:r>
            <w:r>
              <w:rPr>
                <w:sz w:val="15"/>
                <w:szCs w:val="15"/>
              </w:rPr>
              <w:t>0</w:t>
            </w:r>
          </w:p>
        </w:tc>
        <w:tc>
          <w:tcPr>
            <w:tcW w:w="284" w:type="pct"/>
            <w:shd w:val="clear" w:color="auto" w:fill="auto"/>
            <w:vAlign w:val="center"/>
          </w:tcPr>
          <w:p w14:paraId="2E28C7E6">
            <w:pPr>
              <w:adjustRightInd w:val="0"/>
              <w:snapToGrid w:val="0"/>
              <w:jc w:val="center"/>
              <w:rPr>
                <w:sz w:val="15"/>
                <w:szCs w:val="15"/>
              </w:rPr>
            </w:pPr>
            <w:r>
              <w:rPr>
                <w:sz w:val="15"/>
                <w:szCs w:val="15"/>
              </w:rPr>
              <w:t>4‰</w:t>
            </w:r>
          </w:p>
        </w:tc>
        <w:tc>
          <w:tcPr>
            <w:tcW w:w="436" w:type="pct"/>
            <w:shd w:val="clear" w:color="auto" w:fill="auto"/>
            <w:vAlign w:val="center"/>
          </w:tcPr>
          <w:p w14:paraId="57D34033">
            <w:pPr>
              <w:adjustRightInd w:val="0"/>
              <w:snapToGrid w:val="0"/>
              <w:jc w:val="center"/>
              <w:rPr>
                <w:sz w:val="15"/>
                <w:szCs w:val="15"/>
              </w:rPr>
            </w:pPr>
            <w:r>
              <w:rPr>
                <w:sz w:val="15"/>
                <w:szCs w:val="15"/>
              </w:rPr>
              <w:t>3～</w:t>
            </w:r>
            <w:r>
              <w:rPr>
                <w:rFonts w:hint="eastAsia"/>
                <w:sz w:val="15"/>
                <w:szCs w:val="15"/>
              </w:rPr>
              <w:t>4</w:t>
            </w:r>
          </w:p>
        </w:tc>
        <w:tc>
          <w:tcPr>
            <w:tcW w:w="308" w:type="pct"/>
            <w:shd w:val="clear" w:color="auto" w:fill="auto"/>
            <w:vAlign w:val="center"/>
          </w:tcPr>
          <w:p w14:paraId="30C6BDED">
            <w:pPr>
              <w:adjustRightInd w:val="0"/>
              <w:snapToGrid w:val="0"/>
              <w:jc w:val="center"/>
              <w:rPr>
                <w:sz w:val="15"/>
                <w:szCs w:val="15"/>
              </w:rPr>
            </w:pPr>
            <w:r>
              <w:rPr>
                <w:sz w:val="15"/>
                <w:szCs w:val="15"/>
              </w:rPr>
              <w:t>40～</w:t>
            </w:r>
            <w:r>
              <w:rPr>
                <w:rFonts w:hint="eastAsia"/>
                <w:sz w:val="15"/>
                <w:szCs w:val="15"/>
              </w:rPr>
              <w:t>6</w:t>
            </w:r>
            <w:r>
              <w:rPr>
                <w:sz w:val="15"/>
                <w:szCs w:val="15"/>
              </w:rPr>
              <w:t>0</w:t>
            </w:r>
          </w:p>
        </w:tc>
        <w:tc>
          <w:tcPr>
            <w:tcW w:w="427" w:type="pct"/>
            <w:shd w:val="clear" w:color="auto" w:fill="auto"/>
            <w:vAlign w:val="center"/>
          </w:tcPr>
          <w:p w14:paraId="26400B9E">
            <w:pPr>
              <w:adjustRightInd w:val="0"/>
              <w:snapToGrid w:val="0"/>
              <w:jc w:val="center"/>
              <w:rPr>
                <w:sz w:val="15"/>
                <w:szCs w:val="15"/>
              </w:rPr>
            </w:pPr>
            <w:r>
              <w:rPr>
                <w:sz w:val="15"/>
                <w:szCs w:val="15"/>
              </w:rPr>
              <w:t>6‰</w:t>
            </w:r>
          </w:p>
        </w:tc>
        <w:tc>
          <w:tcPr>
            <w:tcW w:w="454" w:type="pct"/>
            <w:shd w:val="clear" w:color="auto" w:fill="auto"/>
            <w:vAlign w:val="center"/>
          </w:tcPr>
          <w:p w14:paraId="1B0AAA8E">
            <w:pPr>
              <w:adjustRightInd w:val="0"/>
              <w:snapToGrid w:val="0"/>
              <w:jc w:val="center"/>
              <w:rPr>
                <w:sz w:val="15"/>
                <w:szCs w:val="15"/>
              </w:rPr>
            </w:pPr>
            <w:r>
              <w:rPr>
                <w:sz w:val="15"/>
                <w:szCs w:val="15"/>
              </w:rPr>
              <w:t>4～</w:t>
            </w:r>
            <w:r>
              <w:rPr>
                <w:rFonts w:hint="eastAsia"/>
                <w:sz w:val="15"/>
                <w:szCs w:val="15"/>
              </w:rPr>
              <w:t>5</w:t>
            </w:r>
          </w:p>
        </w:tc>
      </w:tr>
      <w:tr w14:paraId="7480F8EE">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554" w:hRule="atLeast"/>
          <w:jc w:val="center"/>
        </w:trPr>
        <w:tc>
          <w:tcPr>
            <w:tcW w:w="295" w:type="pct"/>
            <w:vMerge w:val="continue"/>
            <w:shd w:val="clear" w:color="auto" w:fill="auto"/>
            <w:vAlign w:val="center"/>
          </w:tcPr>
          <w:p w14:paraId="683276CE">
            <w:pPr>
              <w:adjustRightInd w:val="0"/>
              <w:snapToGrid w:val="0"/>
              <w:jc w:val="center"/>
              <w:rPr>
                <w:w w:val="80"/>
                <w:kern w:val="0"/>
                <w:sz w:val="15"/>
                <w:szCs w:val="15"/>
              </w:rPr>
            </w:pPr>
          </w:p>
        </w:tc>
        <w:tc>
          <w:tcPr>
            <w:tcW w:w="533" w:type="pct"/>
            <w:vMerge w:val="continue"/>
            <w:shd w:val="clear" w:color="auto" w:fill="auto"/>
            <w:vAlign w:val="center"/>
          </w:tcPr>
          <w:p w14:paraId="25E2259C">
            <w:pPr>
              <w:adjustRightInd w:val="0"/>
              <w:snapToGrid w:val="0"/>
              <w:jc w:val="center"/>
              <w:rPr>
                <w:rFonts w:ascii="宋体" w:hAnsi="宋体"/>
                <w:w w:val="80"/>
                <w:kern w:val="0"/>
                <w:sz w:val="15"/>
                <w:szCs w:val="15"/>
              </w:rPr>
            </w:pPr>
          </w:p>
        </w:tc>
        <w:tc>
          <w:tcPr>
            <w:tcW w:w="732" w:type="pct"/>
            <w:shd w:val="clear" w:color="auto" w:fill="auto"/>
            <w:vAlign w:val="center"/>
          </w:tcPr>
          <w:p w14:paraId="1DD144DB">
            <w:pPr>
              <w:adjustRightInd w:val="0"/>
              <w:snapToGrid w:val="0"/>
              <w:jc w:val="center"/>
              <w:rPr>
                <w:rFonts w:ascii="宋体" w:hAnsi="宋体"/>
                <w:w w:val="80"/>
                <w:kern w:val="0"/>
                <w:sz w:val="15"/>
                <w:szCs w:val="15"/>
              </w:rPr>
            </w:pPr>
            <w:r>
              <w:rPr>
                <w:rFonts w:hint="eastAsia" w:ascii="宋体" w:hAnsi="宋体"/>
                <w:w w:val="80"/>
                <w:kern w:val="0"/>
                <w:sz w:val="15"/>
                <w:szCs w:val="15"/>
              </w:rPr>
              <w:t>支护桩+锚杆</w:t>
            </w:r>
            <w:r>
              <w:rPr>
                <w:rFonts w:ascii="宋体" w:hAnsi="宋体"/>
                <w:w w:val="80"/>
                <w:kern w:val="0"/>
                <w:sz w:val="15"/>
                <w:szCs w:val="15"/>
              </w:rPr>
              <w:t>、地下连续墙</w:t>
            </w:r>
            <w:r>
              <w:rPr>
                <w:rFonts w:hint="eastAsia" w:ascii="宋体" w:hAnsi="宋体"/>
                <w:w w:val="80"/>
                <w:kern w:val="0"/>
                <w:sz w:val="15"/>
                <w:szCs w:val="15"/>
              </w:rPr>
              <w:t>+锚杆、内支撑</w:t>
            </w:r>
          </w:p>
        </w:tc>
        <w:tc>
          <w:tcPr>
            <w:tcW w:w="344" w:type="pct"/>
            <w:shd w:val="clear" w:color="auto" w:fill="auto"/>
            <w:vAlign w:val="center"/>
          </w:tcPr>
          <w:p w14:paraId="6279869D">
            <w:pPr>
              <w:adjustRightInd w:val="0"/>
              <w:snapToGrid w:val="0"/>
              <w:jc w:val="center"/>
              <w:rPr>
                <w:sz w:val="15"/>
                <w:szCs w:val="15"/>
              </w:rPr>
            </w:pPr>
            <w:r>
              <w:rPr>
                <w:sz w:val="15"/>
                <w:szCs w:val="15"/>
              </w:rPr>
              <w:t>10～20</w:t>
            </w:r>
          </w:p>
        </w:tc>
        <w:tc>
          <w:tcPr>
            <w:tcW w:w="302" w:type="pct"/>
            <w:shd w:val="clear" w:color="auto" w:fill="auto"/>
            <w:vAlign w:val="center"/>
          </w:tcPr>
          <w:p w14:paraId="2DB990AE">
            <w:pPr>
              <w:adjustRightInd w:val="0"/>
              <w:snapToGrid w:val="0"/>
              <w:jc w:val="center"/>
              <w:rPr>
                <w:sz w:val="15"/>
                <w:szCs w:val="15"/>
              </w:rPr>
            </w:pPr>
            <w:r>
              <w:rPr>
                <w:sz w:val="15"/>
                <w:szCs w:val="15"/>
              </w:rPr>
              <w:t>1‰</w:t>
            </w:r>
          </w:p>
        </w:tc>
        <w:tc>
          <w:tcPr>
            <w:tcW w:w="485" w:type="pct"/>
            <w:shd w:val="clear" w:color="auto" w:fill="auto"/>
            <w:vAlign w:val="center"/>
          </w:tcPr>
          <w:p w14:paraId="4D828E01">
            <w:pPr>
              <w:adjustRightInd w:val="0"/>
              <w:snapToGrid w:val="0"/>
              <w:jc w:val="center"/>
              <w:rPr>
                <w:sz w:val="15"/>
                <w:szCs w:val="15"/>
              </w:rPr>
            </w:pPr>
            <w:r>
              <w:rPr>
                <w:sz w:val="15"/>
                <w:szCs w:val="15"/>
              </w:rPr>
              <w:t>2～</w:t>
            </w:r>
            <w:r>
              <w:rPr>
                <w:rFonts w:hint="eastAsia"/>
                <w:sz w:val="15"/>
                <w:szCs w:val="15"/>
              </w:rPr>
              <w:t>3</w:t>
            </w:r>
          </w:p>
        </w:tc>
        <w:tc>
          <w:tcPr>
            <w:tcW w:w="402" w:type="pct"/>
            <w:shd w:val="clear" w:color="auto" w:fill="auto"/>
            <w:vAlign w:val="center"/>
          </w:tcPr>
          <w:p w14:paraId="2A77776D">
            <w:pPr>
              <w:adjustRightInd w:val="0"/>
              <w:snapToGrid w:val="0"/>
              <w:jc w:val="center"/>
              <w:rPr>
                <w:sz w:val="15"/>
                <w:szCs w:val="15"/>
              </w:rPr>
            </w:pPr>
            <w:r>
              <w:rPr>
                <w:sz w:val="15"/>
                <w:szCs w:val="15"/>
              </w:rPr>
              <w:t>20～</w:t>
            </w:r>
            <w:r>
              <w:rPr>
                <w:rFonts w:hint="eastAsia"/>
                <w:sz w:val="15"/>
                <w:szCs w:val="15"/>
              </w:rPr>
              <w:t>3</w:t>
            </w:r>
            <w:r>
              <w:rPr>
                <w:sz w:val="15"/>
                <w:szCs w:val="15"/>
              </w:rPr>
              <w:t>30</w:t>
            </w:r>
          </w:p>
        </w:tc>
        <w:tc>
          <w:tcPr>
            <w:tcW w:w="284" w:type="pct"/>
            <w:shd w:val="clear" w:color="auto" w:fill="auto"/>
            <w:vAlign w:val="center"/>
          </w:tcPr>
          <w:p w14:paraId="3EA7B5A4">
            <w:pPr>
              <w:adjustRightInd w:val="0"/>
              <w:snapToGrid w:val="0"/>
              <w:jc w:val="center"/>
              <w:rPr>
                <w:sz w:val="15"/>
                <w:szCs w:val="15"/>
              </w:rPr>
            </w:pPr>
            <w:r>
              <w:rPr>
                <w:sz w:val="15"/>
                <w:szCs w:val="15"/>
              </w:rPr>
              <w:t>3‰</w:t>
            </w:r>
          </w:p>
        </w:tc>
        <w:tc>
          <w:tcPr>
            <w:tcW w:w="436" w:type="pct"/>
            <w:shd w:val="clear" w:color="auto" w:fill="auto"/>
            <w:vAlign w:val="center"/>
          </w:tcPr>
          <w:p w14:paraId="2A99732D">
            <w:pPr>
              <w:adjustRightInd w:val="0"/>
              <w:snapToGrid w:val="0"/>
              <w:jc w:val="center"/>
              <w:rPr>
                <w:sz w:val="15"/>
                <w:szCs w:val="15"/>
              </w:rPr>
            </w:pPr>
            <w:r>
              <w:rPr>
                <w:sz w:val="15"/>
                <w:szCs w:val="15"/>
              </w:rPr>
              <w:t>2～</w:t>
            </w:r>
            <w:r>
              <w:rPr>
                <w:rFonts w:hint="eastAsia"/>
                <w:sz w:val="15"/>
                <w:szCs w:val="15"/>
              </w:rPr>
              <w:t>3</w:t>
            </w:r>
          </w:p>
        </w:tc>
        <w:tc>
          <w:tcPr>
            <w:tcW w:w="308" w:type="pct"/>
            <w:shd w:val="clear" w:color="auto" w:fill="auto"/>
            <w:vAlign w:val="center"/>
          </w:tcPr>
          <w:p w14:paraId="745F5325">
            <w:pPr>
              <w:adjustRightInd w:val="0"/>
              <w:snapToGrid w:val="0"/>
              <w:jc w:val="center"/>
              <w:rPr>
                <w:sz w:val="15"/>
                <w:szCs w:val="15"/>
              </w:rPr>
            </w:pPr>
            <w:r>
              <w:rPr>
                <w:sz w:val="15"/>
                <w:szCs w:val="15"/>
              </w:rPr>
              <w:t>—</w:t>
            </w:r>
          </w:p>
        </w:tc>
        <w:tc>
          <w:tcPr>
            <w:tcW w:w="427" w:type="pct"/>
            <w:shd w:val="clear" w:color="auto" w:fill="auto"/>
            <w:vAlign w:val="center"/>
          </w:tcPr>
          <w:p w14:paraId="7852CA82">
            <w:pPr>
              <w:adjustRightInd w:val="0"/>
              <w:snapToGrid w:val="0"/>
              <w:jc w:val="center"/>
              <w:rPr>
                <w:sz w:val="15"/>
                <w:szCs w:val="15"/>
              </w:rPr>
            </w:pPr>
            <w:r>
              <w:rPr>
                <w:sz w:val="15"/>
                <w:szCs w:val="15"/>
              </w:rPr>
              <w:t>—</w:t>
            </w:r>
          </w:p>
        </w:tc>
        <w:tc>
          <w:tcPr>
            <w:tcW w:w="454" w:type="pct"/>
            <w:shd w:val="clear" w:color="auto" w:fill="auto"/>
            <w:vAlign w:val="center"/>
          </w:tcPr>
          <w:p w14:paraId="5E7D2397">
            <w:pPr>
              <w:adjustRightInd w:val="0"/>
              <w:snapToGrid w:val="0"/>
              <w:jc w:val="center"/>
              <w:rPr>
                <w:sz w:val="15"/>
                <w:szCs w:val="15"/>
              </w:rPr>
            </w:pPr>
            <w:r>
              <w:rPr>
                <w:sz w:val="15"/>
                <w:szCs w:val="15"/>
              </w:rPr>
              <w:t>—</w:t>
            </w:r>
          </w:p>
        </w:tc>
      </w:tr>
      <w:tr w14:paraId="1BBA66A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295" w:type="pct"/>
            <w:vMerge w:val="restart"/>
            <w:shd w:val="clear" w:color="auto" w:fill="auto"/>
            <w:vAlign w:val="center"/>
          </w:tcPr>
          <w:p w14:paraId="1C63332C">
            <w:pPr>
              <w:adjustRightInd w:val="0"/>
              <w:snapToGrid w:val="0"/>
              <w:jc w:val="center"/>
              <w:rPr>
                <w:w w:val="80"/>
                <w:kern w:val="0"/>
                <w:sz w:val="15"/>
                <w:szCs w:val="15"/>
              </w:rPr>
            </w:pPr>
            <w:r>
              <w:rPr>
                <w:w w:val="80"/>
                <w:kern w:val="0"/>
                <w:sz w:val="15"/>
                <w:szCs w:val="15"/>
              </w:rPr>
              <w:t>3</w:t>
            </w:r>
          </w:p>
        </w:tc>
        <w:tc>
          <w:tcPr>
            <w:tcW w:w="533" w:type="pct"/>
            <w:vMerge w:val="restart"/>
            <w:shd w:val="clear" w:color="auto" w:fill="auto"/>
            <w:vAlign w:val="center"/>
          </w:tcPr>
          <w:p w14:paraId="3DCB9528">
            <w:pPr>
              <w:adjustRightInd w:val="0"/>
              <w:snapToGrid w:val="0"/>
              <w:jc w:val="center"/>
              <w:rPr>
                <w:rFonts w:ascii="宋体" w:hAnsi="宋体"/>
                <w:w w:val="80"/>
                <w:kern w:val="0"/>
                <w:sz w:val="15"/>
                <w:szCs w:val="15"/>
              </w:rPr>
            </w:pPr>
            <w:r>
              <w:rPr>
                <w:rFonts w:hint="eastAsia" w:ascii="宋体" w:hAnsi="宋体"/>
                <w:w w:val="80"/>
                <w:kern w:val="0"/>
                <w:sz w:val="15"/>
                <w:szCs w:val="15"/>
              </w:rPr>
              <w:t>基坑周边地面沉降</w:t>
            </w:r>
          </w:p>
        </w:tc>
        <w:tc>
          <w:tcPr>
            <w:tcW w:w="732" w:type="pct"/>
            <w:shd w:val="clear" w:color="auto" w:fill="auto"/>
            <w:vAlign w:val="center"/>
          </w:tcPr>
          <w:p w14:paraId="562BF586">
            <w:pPr>
              <w:adjustRightInd w:val="0"/>
              <w:snapToGrid w:val="0"/>
              <w:jc w:val="center"/>
              <w:rPr>
                <w:rFonts w:ascii="宋体" w:hAnsi="宋体"/>
                <w:w w:val="80"/>
                <w:kern w:val="0"/>
                <w:sz w:val="15"/>
                <w:szCs w:val="15"/>
              </w:rPr>
            </w:pPr>
            <w:r>
              <w:rPr>
                <w:rFonts w:ascii="宋体" w:hAnsi="宋体"/>
                <w:w w:val="80"/>
                <w:kern w:val="0"/>
                <w:sz w:val="15"/>
                <w:szCs w:val="15"/>
              </w:rPr>
              <w:t>放坡、土钉墙</w:t>
            </w:r>
            <w:r>
              <w:rPr>
                <w:rFonts w:hint="eastAsia" w:ascii="宋体" w:hAnsi="宋体"/>
                <w:w w:val="80"/>
                <w:kern w:val="0"/>
                <w:sz w:val="15"/>
                <w:szCs w:val="15"/>
              </w:rPr>
              <w:t>、复合土钉墙、悬臂桩</w:t>
            </w:r>
          </w:p>
        </w:tc>
        <w:tc>
          <w:tcPr>
            <w:tcW w:w="344" w:type="pct"/>
            <w:shd w:val="clear" w:color="auto" w:fill="auto"/>
            <w:vAlign w:val="center"/>
          </w:tcPr>
          <w:p w14:paraId="6CAB0834">
            <w:pPr>
              <w:adjustRightInd w:val="0"/>
              <w:snapToGrid w:val="0"/>
              <w:jc w:val="center"/>
              <w:rPr>
                <w:sz w:val="15"/>
                <w:szCs w:val="15"/>
              </w:rPr>
            </w:pPr>
            <w:r>
              <w:rPr>
                <w:sz w:val="15"/>
                <w:szCs w:val="15"/>
              </w:rPr>
              <w:t>—</w:t>
            </w:r>
          </w:p>
        </w:tc>
        <w:tc>
          <w:tcPr>
            <w:tcW w:w="302" w:type="pct"/>
            <w:shd w:val="clear" w:color="auto" w:fill="auto"/>
            <w:vAlign w:val="center"/>
          </w:tcPr>
          <w:p w14:paraId="709C244E">
            <w:pPr>
              <w:adjustRightInd w:val="0"/>
              <w:snapToGrid w:val="0"/>
              <w:jc w:val="center"/>
              <w:rPr>
                <w:sz w:val="15"/>
                <w:szCs w:val="15"/>
              </w:rPr>
            </w:pPr>
            <w:r>
              <w:rPr>
                <w:sz w:val="15"/>
                <w:szCs w:val="15"/>
              </w:rPr>
              <w:t>—</w:t>
            </w:r>
          </w:p>
        </w:tc>
        <w:tc>
          <w:tcPr>
            <w:tcW w:w="485" w:type="pct"/>
            <w:shd w:val="clear" w:color="auto" w:fill="auto"/>
            <w:vAlign w:val="center"/>
          </w:tcPr>
          <w:p w14:paraId="6D31FBAB">
            <w:pPr>
              <w:adjustRightInd w:val="0"/>
              <w:snapToGrid w:val="0"/>
              <w:jc w:val="center"/>
              <w:rPr>
                <w:sz w:val="15"/>
                <w:szCs w:val="15"/>
              </w:rPr>
            </w:pPr>
            <w:r>
              <w:rPr>
                <w:sz w:val="15"/>
                <w:szCs w:val="15"/>
              </w:rPr>
              <w:t>—</w:t>
            </w:r>
          </w:p>
        </w:tc>
        <w:tc>
          <w:tcPr>
            <w:tcW w:w="402" w:type="pct"/>
            <w:shd w:val="clear" w:color="auto" w:fill="auto"/>
            <w:vAlign w:val="center"/>
          </w:tcPr>
          <w:p w14:paraId="1B28AA83">
            <w:pPr>
              <w:adjustRightInd w:val="0"/>
              <w:snapToGrid w:val="0"/>
              <w:jc w:val="center"/>
              <w:rPr>
                <w:sz w:val="15"/>
                <w:szCs w:val="15"/>
              </w:rPr>
            </w:pPr>
            <w:r>
              <w:rPr>
                <w:sz w:val="15"/>
                <w:szCs w:val="15"/>
              </w:rPr>
              <w:t>45</w:t>
            </w:r>
          </w:p>
        </w:tc>
        <w:tc>
          <w:tcPr>
            <w:tcW w:w="284" w:type="pct"/>
            <w:shd w:val="clear" w:color="auto" w:fill="auto"/>
            <w:vAlign w:val="center"/>
          </w:tcPr>
          <w:p w14:paraId="77204FB7">
            <w:pPr>
              <w:adjustRightInd w:val="0"/>
              <w:snapToGrid w:val="0"/>
              <w:jc w:val="center"/>
              <w:rPr>
                <w:sz w:val="15"/>
                <w:szCs w:val="15"/>
              </w:rPr>
            </w:pPr>
            <w:r>
              <w:rPr>
                <w:sz w:val="15"/>
                <w:szCs w:val="15"/>
              </w:rPr>
              <w:t>4‰</w:t>
            </w:r>
          </w:p>
        </w:tc>
        <w:tc>
          <w:tcPr>
            <w:tcW w:w="436" w:type="pct"/>
            <w:shd w:val="clear" w:color="auto" w:fill="auto"/>
            <w:vAlign w:val="center"/>
          </w:tcPr>
          <w:p w14:paraId="27CD71F5">
            <w:pPr>
              <w:adjustRightInd w:val="0"/>
              <w:snapToGrid w:val="0"/>
              <w:jc w:val="center"/>
              <w:rPr>
                <w:sz w:val="15"/>
                <w:szCs w:val="15"/>
              </w:rPr>
            </w:pPr>
            <w:r>
              <w:rPr>
                <w:sz w:val="15"/>
                <w:szCs w:val="15"/>
              </w:rPr>
              <w:t>3～</w:t>
            </w:r>
            <w:r>
              <w:rPr>
                <w:rFonts w:hint="eastAsia"/>
                <w:sz w:val="15"/>
                <w:szCs w:val="15"/>
              </w:rPr>
              <w:t>4</w:t>
            </w:r>
          </w:p>
        </w:tc>
        <w:tc>
          <w:tcPr>
            <w:tcW w:w="308" w:type="pct"/>
            <w:shd w:val="clear" w:color="auto" w:fill="auto"/>
            <w:vAlign w:val="center"/>
          </w:tcPr>
          <w:p w14:paraId="4E53A796">
            <w:pPr>
              <w:adjustRightInd w:val="0"/>
              <w:snapToGrid w:val="0"/>
              <w:jc w:val="center"/>
              <w:rPr>
                <w:sz w:val="15"/>
                <w:szCs w:val="15"/>
              </w:rPr>
            </w:pPr>
            <w:r>
              <w:rPr>
                <w:sz w:val="15"/>
                <w:szCs w:val="15"/>
              </w:rPr>
              <w:t>45～</w:t>
            </w:r>
            <w:r>
              <w:rPr>
                <w:rFonts w:hint="eastAsia"/>
                <w:sz w:val="15"/>
                <w:szCs w:val="15"/>
              </w:rPr>
              <w:t>5</w:t>
            </w:r>
            <w:r>
              <w:rPr>
                <w:sz w:val="15"/>
                <w:szCs w:val="15"/>
              </w:rPr>
              <w:t>5</w:t>
            </w:r>
          </w:p>
        </w:tc>
        <w:tc>
          <w:tcPr>
            <w:tcW w:w="427" w:type="pct"/>
            <w:shd w:val="clear" w:color="auto" w:fill="auto"/>
            <w:vAlign w:val="center"/>
          </w:tcPr>
          <w:p w14:paraId="1CB7C35A">
            <w:pPr>
              <w:adjustRightInd w:val="0"/>
              <w:snapToGrid w:val="0"/>
              <w:jc w:val="center"/>
              <w:rPr>
                <w:sz w:val="15"/>
                <w:szCs w:val="15"/>
              </w:rPr>
            </w:pPr>
            <w:r>
              <w:rPr>
                <w:sz w:val="15"/>
                <w:szCs w:val="15"/>
              </w:rPr>
              <w:t>6‰</w:t>
            </w:r>
          </w:p>
        </w:tc>
        <w:tc>
          <w:tcPr>
            <w:tcW w:w="454" w:type="pct"/>
            <w:shd w:val="clear" w:color="auto" w:fill="auto"/>
            <w:vAlign w:val="center"/>
          </w:tcPr>
          <w:p w14:paraId="42875C0F">
            <w:pPr>
              <w:adjustRightInd w:val="0"/>
              <w:snapToGrid w:val="0"/>
              <w:jc w:val="center"/>
              <w:rPr>
                <w:sz w:val="15"/>
                <w:szCs w:val="15"/>
              </w:rPr>
            </w:pPr>
            <w:r>
              <w:rPr>
                <w:sz w:val="15"/>
                <w:szCs w:val="15"/>
              </w:rPr>
              <w:t>2～</w:t>
            </w:r>
            <w:r>
              <w:rPr>
                <w:rFonts w:hint="eastAsia"/>
                <w:sz w:val="15"/>
                <w:szCs w:val="15"/>
              </w:rPr>
              <w:t>4</w:t>
            </w:r>
          </w:p>
        </w:tc>
      </w:tr>
      <w:tr w14:paraId="2502193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528" w:hRule="atLeast"/>
          <w:jc w:val="center"/>
        </w:trPr>
        <w:tc>
          <w:tcPr>
            <w:tcW w:w="295" w:type="pct"/>
            <w:vMerge w:val="continue"/>
            <w:shd w:val="clear" w:color="auto" w:fill="auto"/>
            <w:vAlign w:val="center"/>
          </w:tcPr>
          <w:p w14:paraId="170C1A62">
            <w:pPr>
              <w:adjustRightInd w:val="0"/>
              <w:snapToGrid w:val="0"/>
              <w:jc w:val="center"/>
              <w:rPr>
                <w:w w:val="80"/>
                <w:kern w:val="0"/>
                <w:sz w:val="15"/>
                <w:szCs w:val="15"/>
              </w:rPr>
            </w:pPr>
          </w:p>
        </w:tc>
        <w:tc>
          <w:tcPr>
            <w:tcW w:w="533" w:type="pct"/>
            <w:vMerge w:val="continue"/>
            <w:shd w:val="clear" w:color="auto" w:fill="auto"/>
            <w:vAlign w:val="center"/>
          </w:tcPr>
          <w:p w14:paraId="73D0ECB3">
            <w:pPr>
              <w:adjustRightInd w:val="0"/>
              <w:snapToGrid w:val="0"/>
              <w:jc w:val="center"/>
              <w:rPr>
                <w:rFonts w:ascii="宋体" w:hAnsi="宋体"/>
                <w:w w:val="80"/>
                <w:kern w:val="0"/>
                <w:sz w:val="15"/>
                <w:szCs w:val="15"/>
              </w:rPr>
            </w:pPr>
          </w:p>
        </w:tc>
        <w:tc>
          <w:tcPr>
            <w:tcW w:w="732" w:type="pct"/>
            <w:shd w:val="clear" w:color="auto" w:fill="auto"/>
            <w:vAlign w:val="center"/>
          </w:tcPr>
          <w:p w14:paraId="0DBAB702">
            <w:pPr>
              <w:adjustRightInd w:val="0"/>
              <w:snapToGrid w:val="0"/>
              <w:jc w:val="center"/>
              <w:rPr>
                <w:rFonts w:ascii="宋体" w:hAnsi="宋体"/>
                <w:w w:val="80"/>
                <w:kern w:val="0"/>
                <w:sz w:val="15"/>
                <w:szCs w:val="15"/>
              </w:rPr>
            </w:pPr>
            <w:r>
              <w:rPr>
                <w:rFonts w:hint="eastAsia" w:ascii="宋体" w:hAnsi="宋体"/>
                <w:w w:val="80"/>
                <w:kern w:val="0"/>
                <w:sz w:val="15"/>
                <w:szCs w:val="15"/>
              </w:rPr>
              <w:t>支护桩+锚杆</w:t>
            </w:r>
            <w:r>
              <w:rPr>
                <w:rFonts w:ascii="宋体" w:hAnsi="宋体"/>
                <w:w w:val="80"/>
                <w:kern w:val="0"/>
                <w:sz w:val="15"/>
                <w:szCs w:val="15"/>
              </w:rPr>
              <w:t>、地下连续墙</w:t>
            </w:r>
            <w:r>
              <w:rPr>
                <w:rFonts w:hint="eastAsia" w:ascii="宋体" w:hAnsi="宋体"/>
                <w:w w:val="80"/>
                <w:kern w:val="0"/>
                <w:sz w:val="15"/>
                <w:szCs w:val="15"/>
              </w:rPr>
              <w:t>+锚杆、内支撑</w:t>
            </w:r>
          </w:p>
        </w:tc>
        <w:tc>
          <w:tcPr>
            <w:tcW w:w="344" w:type="pct"/>
            <w:shd w:val="clear" w:color="auto" w:fill="auto"/>
            <w:vAlign w:val="center"/>
          </w:tcPr>
          <w:p w14:paraId="0A3E568B">
            <w:pPr>
              <w:adjustRightInd w:val="0"/>
              <w:snapToGrid w:val="0"/>
              <w:jc w:val="center"/>
              <w:rPr>
                <w:sz w:val="15"/>
                <w:szCs w:val="15"/>
              </w:rPr>
            </w:pPr>
            <w:r>
              <w:rPr>
                <w:sz w:val="15"/>
                <w:szCs w:val="15"/>
              </w:rPr>
              <w:t>20～30</w:t>
            </w:r>
          </w:p>
        </w:tc>
        <w:tc>
          <w:tcPr>
            <w:tcW w:w="302" w:type="pct"/>
            <w:shd w:val="clear" w:color="auto" w:fill="auto"/>
            <w:vAlign w:val="center"/>
          </w:tcPr>
          <w:p w14:paraId="4AB93AA8">
            <w:pPr>
              <w:adjustRightInd w:val="0"/>
              <w:snapToGrid w:val="0"/>
              <w:jc w:val="center"/>
              <w:rPr>
                <w:sz w:val="15"/>
                <w:szCs w:val="15"/>
              </w:rPr>
            </w:pPr>
            <w:r>
              <w:rPr>
                <w:sz w:val="15"/>
                <w:szCs w:val="15"/>
              </w:rPr>
              <w:t>2‰</w:t>
            </w:r>
          </w:p>
        </w:tc>
        <w:tc>
          <w:tcPr>
            <w:tcW w:w="485" w:type="pct"/>
            <w:shd w:val="clear" w:color="auto" w:fill="auto"/>
            <w:vAlign w:val="center"/>
          </w:tcPr>
          <w:p w14:paraId="547027EB">
            <w:pPr>
              <w:adjustRightInd w:val="0"/>
              <w:snapToGrid w:val="0"/>
              <w:jc w:val="center"/>
              <w:rPr>
                <w:sz w:val="15"/>
                <w:szCs w:val="15"/>
              </w:rPr>
            </w:pPr>
            <w:r>
              <w:rPr>
                <w:sz w:val="15"/>
                <w:szCs w:val="15"/>
              </w:rPr>
              <w:t>2～</w:t>
            </w:r>
            <w:r>
              <w:rPr>
                <w:rFonts w:hint="eastAsia"/>
                <w:sz w:val="15"/>
                <w:szCs w:val="15"/>
              </w:rPr>
              <w:t>3</w:t>
            </w:r>
          </w:p>
        </w:tc>
        <w:tc>
          <w:tcPr>
            <w:tcW w:w="402" w:type="pct"/>
            <w:shd w:val="clear" w:color="auto" w:fill="auto"/>
            <w:vAlign w:val="center"/>
          </w:tcPr>
          <w:p w14:paraId="1A5AC20D">
            <w:pPr>
              <w:adjustRightInd w:val="0"/>
              <w:snapToGrid w:val="0"/>
              <w:jc w:val="center"/>
              <w:rPr>
                <w:sz w:val="15"/>
                <w:szCs w:val="15"/>
              </w:rPr>
            </w:pPr>
            <w:r>
              <w:rPr>
                <w:sz w:val="15"/>
                <w:szCs w:val="15"/>
              </w:rPr>
              <w:t>35</w:t>
            </w:r>
          </w:p>
        </w:tc>
        <w:tc>
          <w:tcPr>
            <w:tcW w:w="284" w:type="pct"/>
            <w:shd w:val="clear" w:color="auto" w:fill="auto"/>
            <w:vAlign w:val="center"/>
          </w:tcPr>
          <w:p w14:paraId="1545C7B5">
            <w:pPr>
              <w:adjustRightInd w:val="0"/>
              <w:snapToGrid w:val="0"/>
              <w:jc w:val="center"/>
              <w:rPr>
                <w:sz w:val="15"/>
                <w:szCs w:val="15"/>
              </w:rPr>
            </w:pPr>
            <w:r>
              <w:rPr>
                <w:sz w:val="15"/>
                <w:szCs w:val="15"/>
              </w:rPr>
              <w:t>3‰</w:t>
            </w:r>
          </w:p>
        </w:tc>
        <w:tc>
          <w:tcPr>
            <w:tcW w:w="436" w:type="pct"/>
            <w:shd w:val="clear" w:color="auto" w:fill="auto"/>
            <w:vAlign w:val="center"/>
          </w:tcPr>
          <w:p w14:paraId="0166A4EA">
            <w:pPr>
              <w:adjustRightInd w:val="0"/>
              <w:snapToGrid w:val="0"/>
              <w:jc w:val="center"/>
              <w:rPr>
                <w:sz w:val="15"/>
                <w:szCs w:val="15"/>
              </w:rPr>
            </w:pPr>
            <w:r>
              <w:rPr>
                <w:sz w:val="15"/>
                <w:szCs w:val="15"/>
              </w:rPr>
              <w:t>3～</w:t>
            </w:r>
            <w:r>
              <w:rPr>
                <w:rFonts w:hint="eastAsia"/>
                <w:sz w:val="15"/>
                <w:szCs w:val="15"/>
              </w:rPr>
              <w:t>4</w:t>
            </w:r>
          </w:p>
        </w:tc>
        <w:tc>
          <w:tcPr>
            <w:tcW w:w="308" w:type="pct"/>
            <w:shd w:val="clear" w:color="auto" w:fill="auto"/>
            <w:vAlign w:val="center"/>
          </w:tcPr>
          <w:p w14:paraId="2DE8E379">
            <w:pPr>
              <w:adjustRightInd w:val="0"/>
              <w:snapToGrid w:val="0"/>
              <w:jc w:val="center"/>
              <w:rPr>
                <w:sz w:val="15"/>
                <w:szCs w:val="15"/>
              </w:rPr>
            </w:pPr>
            <w:r>
              <w:rPr>
                <w:sz w:val="15"/>
                <w:szCs w:val="15"/>
              </w:rPr>
              <w:t>—</w:t>
            </w:r>
          </w:p>
        </w:tc>
        <w:tc>
          <w:tcPr>
            <w:tcW w:w="427" w:type="pct"/>
            <w:shd w:val="clear" w:color="auto" w:fill="auto"/>
            <w:vAlign w:val="center"/>
          </w:tcPr>
          <w:p w14:paraId="229F0BA2">
            <w:pPr>
              <w:adjustRightInd w:val="0"/>
              <w:snapToGrid w:val="0"/>
              <w:jc w:val="center"/>
              <w:rPr>
                <w:sz w:val="15"/>
                <w:szCs w:val="15"/>
              </w:rPr>
            </w:pPr>
            <w:r>
              <w:rPr>
                <w:sz w:val="15"/>
                <w:szCs w:val="15"/>
              </w:rPr>
              <w:t>—</w:t>
            </w:r>
          </w:p>
        </w:tc>
        <w:tc>
          <w:tcPr>
            <w:tcW w:w="454" w:type="pct"/>
            <w:shd w:val="clear" w:color="auto" w:fill="auto"/>
            <w:vAlign w:val="center"/>
          </w:tcPr>
          <w:p w14:paraId="4A6BEC90">
            <w:pPr>
              <w:adjustRightInd w:val="0"/>
              <w:snapToGrid w:val="0"/>
              <w:jc w:val="center"/>
              <w:rPr>
                <w:sz w:val="15"/>
                <w:szCs w:val="15"/>
              </w:rPr>
            </w:pPr>
            <w:r>
              <w:rPr>
                <w:sz w:val="15"/>
                <w:szCs w:val="15"/>
              </w:rPr>
              <w:t>—</w:t>
            </w:r>
          </w:p>
        </w:tc>
      </w:tr>
      <w:tr w14:paraId="57BE23F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295" w:type="pct"/>
            <w:vMerge w:val="restart"/>
            <w:shd w:val="clear" w:color="auto" w:fill="auto"/>
            <w:vAlign w:val="center"/>
          </w:tcPr>
          <w:p w14:paraId="6EA1D659">
            <w:pPr>
              <w:adjustRightInd w:val="0"/>
              <w:snapToGrid w:val="0"/>
              <w:jc w:val="center"/>
              <w:rPr>
                <w:w w:val="80"/>
                <w:kern w:val="0"/>
                <w:sz w:val="15"/>
                <w:szCs w:val="15"/>
              </w:rPr>
            </w:pPr>
            <w:r>
              <w:rPr>
                <w:w w:val="80"/>
                <w:kern w:val="0"/>
                <w:sz w:val="15"/>
                <w:szCs w:val="15"/>
              </w:rPr>
              <w:t>4</w:t>
            </w:r>
          </w:p>
        </w:tc>
        <w:tc>
          <w:tcPr>
            <w:tcW w:w="533" w:type="pct"/>
            <w:vMerge w:val="restart"/>
            <w:shd w:val="clear" w:color="auto" w:fill="auto"/>
            <w:vAlign w:val="center"/>
          </w:tcPr>
          <w:p w14:paraId="327F75BC">
            <w:pPr>
              <w:adjustRightInd w:val="0"/>
              <w:snapToGrid w:val="0"/>
              <w:jc w:val="center"/>
              <w:rPr>
                <w:rFonts w:ascii="宋体" w:hAnsi="宋体"/>
                <w:w w:val="80"/>
                <w:kern w:val="0"/>
                <w:sz w:val="15"/>
                <w:szCs w:val="15"/>
              </w:rPr>
            </w:pPr>
            <w:r>
              <w:rPr>
                <w:rFonts w:hint="eastAsia" w:ascii="宋体" w:hAnsi="宋体"/>
                <w:w w:val="80"/>
                <w:kern w:val="0"/>
                <w:sz w:val="15"/>
                <w:szCs w:val="15"/>
              </w:rPr>
              <w:t>支护结构</w:t>
            </w:r>
            <w:r>
              <w:rPr>
                <w:rFonts w:ascii="宋体" w:hAnsi="宋体"/>
                <w:w w:val="80"/>
                <w:kern w:val="0"/>
                <w:sz w:val="15"/>
                <w:szCs w:val="15"/>
              </w:rPr>
              <w:t>深层水平位移</w:t>
            </w:r>
          </w:p>
        </w:tc>
        <w:tc>
          <w:tcPr>
            <w:tcW w:w="732" w:type="pct"/>
            <w:shd w:val="clear" w:color="auto" w:fill="auto"/>
            <w:vAlign w:val="center"/>
          </w:tcPr>
          <w:p w14:paraId="09B82CCB">
            <w:pPr>
              <w:adjustRightInd w:val="0"/>
              <w:snapToGrid w:val="0"/>
              <w:jc w:val="center"/>
              <w:rPr>
                <w:rFonts w:ascii="宋体" w:hAnsi="宋体"/>
                <w:w w:val="80"/>
                <w:kern w:val="0"/>
                <w:sz w:val="15"/>
                <w:szCs w:val="15"/>
              </w:rPr>
            </w:pPr>
            <w:r>
              <w:rPr>
                <w:rFonts w:ascii="宋体" w:hAnsi="宋体"/>
                <w:w w:val="80"/>
                <w:kern w:val="0"/>
                <w:sz w:val="15"/>
                <w:szCs w:val="15"/>
              </w:rPr>
              <w:t>放坡、土钉墙</w:t>
            </w:r>
            <w:r>
              <w:rPr>
                <w:rFonts w:hint="eastAsia" w:ascii="宋体" w:hAnsi="宋体"/>
                <w:w w:val="80"/>
                <w:kern w:val="0"/>
                <w:sz w:val="15"/>
                <w:szCs w:val="15"/>
              </w:rPr>
              <w:t>、复合土钉墙、悬臂桩</w:t>
            </w:r>
          </w:p>
        </w:tc>
        <w:tc>
          <w:tcPr>
            <w:tcW w:w="344" w:type="pct"/>
            <w:shd w:val="clear" w:color="auto" w:fill="auto"/>
            <w:vAlign w:val="center"/>
          </w:tcPr>
          <w:p w14:paraId="1B0444C2">
            <w:pPr>
              <w:adjustRightInd w:val="0"/>
              <w:snapToGrid w:val="0"/>
              <w:jc w:val="center"/>
              <w:rPr>
                <w:sz w:val="15"/>
                <w:szCs w:val="15"/>
              </w:rPr>
            </w:pPr>
            <w:r>
              <w:rPr>
                <w:sz w:val="15"/>
                <w:szCs w:val="15"/>
              </w:rPr>
              <w:t>—</w:t>
            </w:r>
          </w:p>
        </w:tc>
        <w:tc>
          <w:tcPr>
            <w:tcW w:w="302" w:type="pct"/>
            <w:shd w:val="clear" w:color="auto" w:fill="auto"/>
            <w:vAlign w:val="center"/>
          </w:tcPr>
          <w:p w14:paraId="6D0D42BE">
            <w:pPr>
              <w:adjustRightInd w:val="0"/>
              <w:snapToGrid w:val="0"/>
              <w:jc w:val="center"/>
              <w:rPr>
                <w:sz w:val="15"/>
                <w:szCs w:val="15"/>
              </w:rPr>
            </w:pPr>
            <w:r>
              <w:rPr>
                <w:sz w:val="15"/>
                <w:szCs w:val="15"/>
              </w:rPr>
              <w:t>—</w:t>
            </w:r>
          </w:p>
        </w:tc>
        <w:tc>
          <w:tcPr>
            <w:tcW w:w="485" w:type="pct"/>
            <w:shd w:val="clear" w:color="auto" w:fill="auto"/>
            <w:vAlign w:val="center"/>
          </w:tcPr>
          <w:p w14:paraId="0C09BFF4">
            <w:pPr>
              <w:adjustRightInd w:val="0"/>
              <w:snapToGrid w:val="0"/>
              <w:jc w:val="center"/>
              <w:rPr>
                <w:sz w:val="15"/>
                <w:szCs w:val="15"/>
              </w:rPr>
            </w:pPr>
            <w:r>
              <w:rPr>
                <w:sz w:val="15"/>
                <w:szCs w:val="15"/>
              </w:rPr>
              <w:t>—</w:t>
            </w:r>
          </w:p>
        </w:tc>
        <w:tc>
          <w:tcPr>
            <w:tcW w:w="402" w:type="pct"/>
            <w:shd w:val="clear" w:color="auto" w:fill="auto"/>
            <w:vAlign w:val="center"/>
          </w:tcPr>
          <w:p w14:paraId="01E51B6C">
            <w:pPr>
              <w:adjustRightInd w:val="0"/>
              <w:snapToGrid w:val="0"/>
              <w:jc w:val="center"/>
              <w:rPr>
                <w:sz w:val="15"/>
                <w:szCs w:val="15"/>
              </w:rPr>
            </w:pPr>
            <w:r>
              <w:rPr>
                <w:sz w:val="15"/>
                <w:szCs w:val="15"/>
              </w:rPr>
              <w:t>40～</w:t>
            </w:r>
            <w:r>
              <w:rPr>
                <w:rFonts w:hint="eastAsia"/>
                <w:sz w:val="15"/>
                <w:szCs w:val="15"/>
              </w:rPr>
              <w:t>6</w:t>
            </w:r>
            <w:r>
              <w:rPr>
                <w:sz w:val="15"/>
                <w:szCs w:val="15"/>
              </w:rPr>
              <w:t>0</w:t>
            </w:r>
          </w:p>
        </w:tc>
        <w:tc>
          <w:tcPr>
            <w:tcW w:w="284" w:type="pct"/>
            <w:shd w:val="clear" w:color="auto" w:fill="auto"/>
            <w:vAlign w:val="center"/>
          </w:tcPr>
          <w:p w14:paraId="0D1BF6B1">
            <w:pPr>
              <w:adjustRightInd w:val="0"/>
              <w:snapToGrid w:val="0"/>
              <w:jc w:val="center"/>
              <w:rPr>
                <w:sz w:val="15"/>
                <w:szCs w:val="15"/>
              </w:rPr>
            </w:pPr>
            <w:r>
              <w:rPr>
                <w:sz w:val="15"/>
                <w:szCs w:val="15"/>
              </w:rPr>
              <w:t>5‰</w:t>
            </w:r>
          </w:p>
        </w:tc>
        <w:tc>
          <w:tcPr>
            <w:tcW w:w="436" w:type="pct"/>
            <w:shd w:val="clear" w:color="auto" w:fill="auto"/>
            <w:vAlign w:val="center"/>
          </w:tcPr>
          <w:p w14:paraId="3D7EDF34">
            <w:pPr>
              <w:adjustRightInd w:val="0"/>
              <w:snapToGrid w:val="0"/>
              <w:jc w:val="center"/>
              <w:rPr>
                <w:sz w:val="15"/>
                <w:szCs w:val="15"/>
              </w:rPr>
            </w:pPr>
            <w:r>
              <w:rPr>
                <w:sz w:val="15"/>
                <w:szCs w:val="15"/>
              </w:rPr>
              <w:t>4～</w:t>
            </w:r>
            <w:r>
              <w:rPr>
                <w:rFonts w:hint="eastAsia"/>
                <w:sz w:val="15"/>
                <w:szCs w:val="15"/>
              </w:rPr>
              <w:t>5</w:t>
            </w:r>
          </w:p>
        </w:tc>
        <w:tc>
          <w:tcPr>
            <w:tcW w:w="308" w:type="pct"/>
            <w:shd w:val="clear" w:color="auto" w:fill="auto"/>
            <w:vAlign w:val="center"/>
          </w:tcPr>
          <w:p w14:paraId="3A98DFEF">
            <w:pPr>
              <w:adjustRightInd w:val="0"/>
              <w:snapToGrid w:val="0"/>
              <w:jc w:val="center"/>
              <w:rPr>
                <w:sz w:val="15"/>
                <w:szCs w:val="15"/>
              </w:rPr>
            </w:pPr>
            <w:r>
              <w:rPr>
                <w:sz w:val="15"/>
                <w:szCs w:val="15"/>
              </w:rPr>
              <w:t>60～</w:t>
            </w:r>
            <w:r>
              <w:rPr>
                <w:rFonts w:hint="eastAsia"/>
                <w:sz w:val="15"/>
                <w:szCs w:val="15"/>
              </w:rPr>
              <w:t>8</w:t>
            </w:r>
            <w:r>
              <w:rPr>
                <w:sz w:val="15"/>
                <w:szCs w:val="15"/>
              </w:rPr>
              <w:t>0</w:t>
            </w:r>
          </w:p>
        </w:tc>
        <w:tc>
          <w:tcPr>
            <w:tcW w:w="427" w:type="pct"/>
            <w:shd w:val="clear" w:color="auto" w:fill="auto"/>
            <w:vAlign w:val="center"/>
          </w:tcPr>
          <w:p w14:paraId="65778DB5">
            <w:pPr>
              <w:adjustRightInd w:val="0"/>
              <w:snapToGrid w:val="0"/>
              <w:jc w:val="center"/>
              <w:rPr>
                <w:sz w:val="15"/>
                <w:szCs w:val="15"/>
              </w:rPr>
            </w:pPr>
            <w:r>
              <w:rPr>
                <w:sz w:val="15"/>
                <w:szCs w:val="15"/>
              </w:rPr>
              <w:t>7‰</w:t>
            </w:r>
          </w:p>
        </w:tc>
        <w:tc>
          <w:tcPr>
            <w:tcW w:w="454" w:type="pct"/>
            <w:shd w:val="clear" w:color="auto" w:fill="auto"/>
            <w:vAlign w:val="center"/>
          </w:tcPr>
          <w:p w14:paraId="459C0902">
            <w:pPr>
              <w:adjustRightInd w:val="0"/>
              <w:snapToGrid w:val="0"/>
              <w:jc w:val="center"/>
              <w:rPr>
                <w:sz w:val="15"/>
                <w:szCs w:val="15"/>
              </w:rPr>
            </w:pPr>
            <w:r>
              <w:rPr>
                <w:sz w:val="15"/>
                <w:szCs w:val="15"/>
              </w:rPr>
              <w:t>5～</w:t>
            </w:r>
            <w:r>
              <w:rPr>
                <w:rFonts w:hint="eastAsia"/>
                <w:sz w:val="15"/>
                <w:szCs w:val="15"/>
              </w:rPr>
              <w:t>6</w:t>
            </w:r>
          </w:p>
        </w:tc>
      </w:tr>
      <w:tr w14:paraId="784C70C7">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502" w:hRule="atLeast"/>
          <w:jc w:val="center"/>
        </w:trPr>
        <w:tc>
          <w:tcPr>
            <w:tcW w:w="295" w:type="pct"/>
            <w:vMerge w:val="continue"/>
            <w:shd w:val="clear" w:color="auto" w:fill="auto"/>
            <w:vAlign w:val="center"/>
          </w:tcPr>
          <w:p w14:paraId="520B1E89">
            <w:pPr>
              <w:adjustRightInd w:val="0"/>
              <w:snapToGrid w:val="0"/>
              <w:jc w:val="center"/>
              <w:rPr>
                <w:w w:val="80"/>
                <w:kern w:val="0"/>
                <w:sz w:val="15"/>
                <w:szCs w:val="15"/>
              </w:rPr>
            </w:pPr>
          </w:p>
        </w:tc>
        <w:tc>
          <w:tcPr>
            <w:tcW w:w="533" w:type="pct"/>
            <w:vMerge w:val="continue"/>
            <w:shd w:val="clear" w:color="auto" w:fill="auto"/>
            <w:vAlign w:val="center"/>
          </w:tcPr>
          <w:p w14:paraId="6B11E6B2">
            <w:pPr>
              <w:adjustRightInd w:val="0"/>
              <w:snapToGrid w:val="0"/>
              <w:jc w:val="center"/>
              <w:rPr>
                <w:rFonts w:ascii="宋体" w:hAnsi="宋体"/>
                <w:w w:val="80"/>
                <w:kern w:val="0"/>
                <w:sz w:val="15"/>
                <w:szCs w:val="15"/>
              </w:rPr>
            </w:pPr>
          </w:p>
        </w:tc>
        <w:tc>
          <w:tcPr>
            <w:tcW w:w="732" w:type="pct"/>
            <w:shd w:val="clear" w:color="auto" w:fill="auto"/>
            <w:vAlign w:val="center"/>
          </w:tcPr>
          <w:p w14:paraId="5C72D099">
            <w:pPr>
              <w:adjustRightInd w:val="0"/>
              <w:snapToGrid w:val="0"/>
              <w:jc w:val="center"/>
              <w:rPr>
                <w:rFonts w:ascii="宋体" w:hAnsi="宋体"/>
                <w:w w:val="80"/>
                <w:kern w:val="0"/>
                <w:sz w:val="15"/>
                <w:szCs w:val="15"/>
              </w:rPr>
            </w:pPr>
            <w:r>
              <w:rPr>
                <w:rFonts w:hint="eastAsia" w:ascii="宋体" w:hAnsi="宋体"/>
                <w:w w:val="80"/>
                <w:kern w:val="0"/>
                <w:sz w:val="15"/>
                <w:szCs w:val="15"/>
              </w:rPr>
              <w:t>支护桩+锚杆</w:t>
            </w:r>
            <w:r>
              <w:rPr>
                <w:rFonts w:ascii="宋体" w:hAnsi="宋体"/>
                <w:w w:val="80"/>
                <w:kern w:val="0"/>
                <w:sz w:val="15"/>
                <w:szCs w:val="15"/>
              </w:rPr>
              <w:t>、地下连续墙</w:t>
            </w:r>
            <w:r>
              <w:rPr>
                <w:rFonts w:hint="eastAsia" w:ascii="宋体" w:hAnsi="宋体"/>
                <w:w w:val="80"/>
                <w:kern w:val="0"/>
                <w:sz w:val="15"/>
                <w:szCs w:val="15"/>
              </w:rPr>
              <w:t>+锚杆、内支撑</w:t>
            </w:r>
          </w:p>
        </w:tc>
        <w:tc>
          <w:tcPr>
            <w:tcW w:w="344" w:type="pct"/>
            <w:shd w:val="clear" w:color="auto" w:fill="auto"/>
            <w:vAlign w:val="center"/>
          </w:tcPr>
          <w:p w14:paraId="79910939">
            <w:pPr>
              <w:adjustRightInd w:val="0"/>
              <w:snapToGrid w:val="0"/>
              <w:jc w:val="center"/>
              <w:rPr>
                <w:sz w:val="15"/>
                <w:szCs w:val="15"/>
              </w:rPr>
            </w:pPr>
            <w:r>
              <w:rPr>
                <w:sz w:val="15"/>
                <w:szCs w:val="15"/>
              </w:rPr>
              <w:t>30～</w:t>
            </w:r>
            <w:r>
              <w:rPr>
                <w:rFonts w:hint="eastAsia"/>
                <w:sz w:val="15"/>
                <w:szCs w:val="15"/>
              </w:rPr>
              <w:t>5</w:t>
            </w:r>
            <w:r>
              <w:rPr>
                <w:sz w:val="15"/>
                <w:szCs w:val="15"/>
              </w:rPr>
              <w:t>0</w:t>
            </w:r>
          </w:p>
        </w:tc>
        <w:tc>
          <w:tcPr>
            <w:tcW w:w="302" w:type="pct"/>
            <w:shd w:val="clear" w:color="auto" w:fill="auto"/>
            <w:vAlign w:val="center"/>
          </w:tcPr>
          <w:p w14:paraId="6882B2D5">
            <w:pPr>
              <w:adjustRightInd w:val="0"/>
              <w:snapToGrid w:val="0"/>
              <w:jc w:val="center"/>
              <w:rPr>
                <w:sz w:val="15"/>
                <w:szCs w:val="15"/>
              </w:rPr>
            </w:pPr>
            <w:r>
              <w:rPr>
                <w:sz w:val="15"/>
                <w:szCs w:val="15"/>
              </w:rPr>
              <w:t>3‰</w:t>
            </w:r>
          </w:p>
        </w:tc>
        <w:tc>
          <w:tcPr>
            <w:tcW w:w="485" w:type="pct"/>
            <w:shd w:val="clear" w:color="auto" w:fill="auto"/>
            <w:vAlign w:val="center"/>
          </w:tcPr>
          <w:p w14:paraId="2B733F47">
            <w:pPr>
              <w:adjustRightInd w:val="0"/>
              <w:snapToGrid w:val="0"/>
              <w:jc w:val="center"/>
              <w:rPr>
                <w:sz w:val="15"/>
                <w:szCs w:val="15"/>
              </w:rPr>
            </w:pPr>
            <w:r>
              <w:rPr>
                <w:sz w:val="15"/>
                <w:szCs w:val="15"/>
              </w:rPr>
              <w:t>2～</w:t>
            </w:r>
            <w:r>
              <w:rPr>
                <w:rFonts w:hint="eastAsia"/>
                <w:sz w:val="15"/>
                <w:szCs w:val="15"/>
              </w:rPr>
              <w:t>3</w:t>
            </w:r>
          </w:p>
        </w:tc>
        <w:tc>
          <w:tcPr>
            <w:tcW w:w="402" w:type="pct"/>
            <w:shd w:val="clear" w:color="auto" w:fill="auto"/>
            <w:vAlign w:val="center"/>
          </w:tcPr>
          <w:p w14:paraId="016FA58F">
            <w:pPr>
              <w:adjustRightInd w:val="0"/>
              <w:snapToGrid w:val="0"/>
              <w:jc w:val="center"/>
              <w:rPr>
                <w:sz w:val="15"/>
                <w:szCs w:val="15"/>
              </w:rPr>
            </w:pPr>
            <w:r>
              <w:rPr>
                <w:sz w:val="15"/>
                <w:szCs w:val="15"/>
              </w:rPr>
              <w:t>40～</w:t>
            </w:r>
            <w:r>
              <w:rPr>
                <w:rFonts w:hint="eastAsia"/>
                <w:sz w:val="15"/>
                <w:szCs w:val="15"/>
              </w:rPr>
              <w:t>6</w:t>
            </w:r>
            <w:r>
              <w:rPr>
                <w:sz w:val="15"/>
                <w:szCs w:val="15"/>
              </w:rPr>
              <w:t>0</w:t>
            </w:r>
          </w:p>
        </w:tc>
        <w:tc>
          <w:tcPr>
            <w:tcW w:w="284" w:type="pct"/>
            <w:shd w:val="clear" w:color="auto" w:fill="auto"/>
            <w:vAlign w:val="center"/>
          </w:tcPr>
          <w:p w14:paraId="45723C25">
            <w:pPr>
              <w:adjustRightInd w:val="0"/>
              <w:snapToGrid w:val="0"/>
              <w:jc w:val="center"/>
              <w:rPr>
                <w:sz w:val="15"/>
                <w:szCs w:val="15"/>
              </w:rPr>
            </w:pPr>
            <w:r>
              <w:rPr>
                <w:sz w:val="15"/>
                <w:szCs w:val="15"/>
              </w:rPr>
              <w:t>4‰</w:t>
            </w:r>
          </w:p>
        </w:tc>
        <w:tc>
          <w:tcPr>
            <w:tcW w:w="436" w:type="pct"/>
            <w:shd w:val="clear" w:color="auto" w:fill="auto"/>
            <w:vAlign w:val="center"/>
          </w:tcPr>
          <w:p w14:paraId="0EEB0BBE">
            <w:pPr>
              <w:adjustRightInd w:val="0"/>
              <w:snapToGrid w:val="0"/>
              <w:jc w:val="center"/>
              <w:rPr>
                <w:sz w:val="15"/>
                <w:szCs w:val="15"/>
              </w:rPr>
            </w:pPr>
            <w:r>
              <w:rPr>
                <w:sz w:val="15"/>
                <w:szCs w:val="15"/>
              </w:rPr>
              <w:t>3～</w:t>
            </w:r>
            <w:r>
              <w:rPr>
                <w:rFonts w:hint="eastAsia"/>
                <w:sz w:val="15"/>
                <w:szCs w:val="15"/>
              </w:rPr>
              <w:t>5</w:t>
            </w:r>
          </w:p>
        </w:tc>
        <w:tc>
          <w:tcPr>
            <w:tcW w:w="308" w:type="pct"/>
            <w:shd w:val="clear" w:color="auto" w:fill="auto"/>
            <w:vAlign w:val="center"/>
          </w:tcPr>
          <w:p w14:paraId="3E56C02B">
            <w:pPr>
              <w:adjustRightInd w:val="0"/>
              <w:snapToGrid w:val="0"/>
              <w:jc w:val="center"/>
              <w:rPr>
                <w:sz w:val="15"/>
                <w:szCs w:val="15"/>
              </w:rPr>
            </w:pPr>
            <w:r>
              <w:rPr>
                <w:sz w:val="15"/>
                <w:szCs w:val="15"/>
              </w:rPr>
              <w:t>—</w:t>
            </w:r>
          </w:p>
        </w:tc>
        <w:tc>
          <w:tcPr>
            <w:tcW w:w="427" w:type="pct"/>
            <w:shd w:val="clear" w:color="auto" w:fill="auto"/>
            <w:vAlign w:val="center"/>
          </w:tcPr>
          <w:p w14:paraId="2CD5854E">
            <w:pPr>
              <w:adjustRightInd w:val="0"/>
              <w:snapToGrid w:val="0"/>
              <w:jc w:val="center"/>
              <w:rPr>
                <w:sz w:val="15"/>
                <w:szCs w:val="15"/>
              </w:rPr>
            </w:pPr>
            <w:r>
              <w:rPr>
                <w:sz w:val="15"/>
                <w:szCs w:val="15"/>
              </w:rPr>
              <w:t>—</w:t>
            </w:r>
          </w:p>
        </w:tc>
        <w:tc>
          <w:tcPr>
            <w:tcW w:w="454" w:type="pct"/>
            <w:shd w:val="clear" w:color="auto" w:fill="auto"/>
            <w:vAlign w:val="center"/>
          </w:tcPr>
          <w:p w14:paraId="3F63B12A">
            <w:pPr>
              <w:adjustRightInd w:val="0"/>
              <w:snapToGrid w:val="0"/>
              <w:jc w:val="center"/>
              <w:rPr>
                <w:sz w:val="15"/>
                <w:szCs w:val="15"/>
              </w:rPr>
            </w:pPr>
            <w:r>
              <w:rPr>
                <w:sz w:val="15"/>
                <w:szCs w:val="15"/>
              </w:rPr>
              <w:t>—</w:t>
            </w:r>
          </w:p>
        </w:tc>
      </w:tr>
      <w:tr w14:paraId="54C6D7B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295" w:type="pct"/>
            <w:shd w:val="clear" w:color="auto" w:fill="auto"/>
            <w:vAlign w:val="center"/>
          </w:tcPr>
          <w:p w14:paraId="691B1A87">
            <w:pPr>
              <w:adjustRightInd w:val="0"/>
              <w:snapToGrid w:val="0"/>
              <w:jc w:val="center"/>
              <w:rPr>
                <w:w w:val="80"/>
                <w:kern w:val="0"/>
                <w:sz w:val="15"/>
                <w:szCs w:val="15"/>
              </w:rPr>
            </w:pPr>
            <w:r>
              <w:rPr>
                <w:w w:val="80"/>
                <w:kern w:val="0"/>
                <w:sz w:val="15"/>
                <w:szCs w:val="15"/>
              </w:rPr>
              <w:t>5</w:t>
            </w:r>
          </w:p>
        </w:tc>
        <w:tc>
          <w:tcPr>
            <w:tcW w:w="1264" w:type="pct"/>
            <w:gridSpan w:val="2"/>
            <w:shd w:val="clear" w:color="auto" w:fill="auto"/>
            <w:vAlign w:val="center"/>
          </w:tcPr>
          <w:p w14:paraId="40A9C65A">
            <w:pPr>
              <w:adjustRightInd w:val="0"/>
              <w:snapToGrid w:val="0"/>
              <w:jc w:val="center"/>
              <w:rPr>
                <w:rFonts w:ascii="宋体" w:hAnsi="宋体"/>
                <w:w w:val="80"/>
                <w:kern w:val="0"/>
                <w:sz w:val="15"/>
                <w:szCs w:val="15"/>
              </w:rPr>
            </w:pPr>
            <w:r>
              <w:rPr>
                <w:rFonts w:hint="eastAsia" w:ascii="宋体" w:hAnsi="宋体"/>
                <w:w w:val="80"/>
                <w:kern w:val="0"/>
                <w:sz w:val="15"/>
                <w:szCs w:val="15"/>
              </w:rPr>
              <w:t>支撑立柱竖向位移</w:t>
            </w:r>
          </w:p>
        </w:tc>
        <w:tc>
          <w:tcPr>
            <w:tcW w:w="344" w:type="pct"/>
            <w:shd w:val="clear" w:color="auto" w:fill="auto"/>
            <w:vAlign w:val="center"/>
          </w:tcPr>
          <w:p w14:paraId="33F7E7AB">
            <w:pPr>
              <w:adjustRightInd w:val="0"/>
              <w:snapToGrid w:val="0"/>
              <w:jc w:val="center"/>
              <w:rPr>
                <w:sz w:val="15"/>
                <w:szCs w:val="15"/>
              </w:rPr>
            </w:pPr>
            <w:r>
              <w:rPr>
                <w:sz w:val="15"/>
                <w:szCs w:val="15"/>
              </w:rPr>
              <w:t>20～</w:t>
            </w:r>
            <w:r>
              <w:rPr>
                <w:rFonts w:hint="eastAsia"/>
                <w:sz w:val="15"/>
                <w:szCs w:val="15"/>
              </w:rPr>
              <w:t>3</w:t>
            </w:r>
            <w:r>
              <w:rPr>
                <w:sz w:val="15"/>
                <w:szCs w:val="15"/>
              </w:rPr>
              <w:t>0</w:t>
            </w:r>
          </w:p>
        </w:tc>
        <w:tc>
          <w:tcPr>
            <w:tcW w:w="302" w:type="pct"/>
            <w:shd w:val="clear" w:color="auto" w:fill="auto"/>
            <w:vAlign w:val="center"/>
          </w:tcPr>
          <w:p w14:paraId="4D09EB4A">
            <w:pPr>
              <w:adjustRightInd w:val="0"/>
              <w:snapToGrid w:val="0"/>
              <w:jc w:val="center"/>
              <w:rPr>
                <w:sz w:val="15"/>
                <w:szCs w:val="15"/>
              </w:rPr>
            </w:pPr>
            <w:r>
              <w:rPr>
                <w:sz w:val="15"/>
                <w:szCs w:val="15"/>
              </w:rPr>
              <w:t>—</w:t>
            </w:r>
          </w:p>
        </w:tc>
        <w:tc>
          <w:tcPr>
            <w:tcW w:w="485" w:type="pct"/>
            <w:shd w:val="clear" w:color="auto" w:fill="auto"/>
            <w:vAlign w:val="center"/>
          </w:tcPr>
          <w:p w14:paraId="2FAC328F">
            <w:pPr>
              <w:adjustRightInd w:val="0"/>
              <w:snapToGrid w:val="0"/>
              <w:jc w:val="center"/>
              <w:rPr>
                <w:sz w:val="15"/>
                <w:szCs w:val="15"/>
              </w:rPr>
            </w:pPr>
            <w:r>
              <w:rPr>
                <w:sz w:val="15"/>
                <w:szCs w:val="15"/>
              </w:rPr>
              <w:t>2～3</w:t>
            </w:r>
          </w:p>
        </w:tc>
        <w:tc>
          <w:tcPr>
            <w:tcW w:w="402" w:type="pct"/>
            <w:shd w:val="clear" w:color="auto" w:fill="auto"/>
            <w:vAlign w:val="center"/>
          </w:tcPr>
          <w:p w14:paraId="623EA9F8">
            <w:pPr>
              <w:adjustRightInd w:val="0"/>
              <w:snapToGrid w:val="0"/>
              <w:jc w:val="center"/>
              <w:rPr>
                <w:sz w:val="15"/>
                <w:szCs w:val="15"/>
              </w:rPr>
            </w:pPr>
            <w:r>
              <w:rPr>
                <w:sz w:val="15"/>
                <w:szCs w:val="15"/>
              </w:rPr>
              <w:t>20～</w:t>
            </w:r>
            <w:r>
              <w:rPr>
                <w:rFonts w:hint="eastAsia"/>
                <w:sz w:val="15"/>
                <w:szCs w:val="15"/>
              </w:rPr>
              <w:t>3</w:t>
            </w:r>
            <w:r>
              <w:rPr>
                <w:sz w:val="15"/>
                <w:szCs w:val="15"/>
              </w:rPr>
              <w:t>0</w:t>
            </w:r>
          </w:p>
        </w:tc>
        <w:tc>
          <w:tcPr>
            <w:tcW w:w="284" w:type="pct"/>
            <w:shd w:val="clear" w:color="auto" w:fill="auto"/>
            <w:vAlign w:val="center"/>
          </w:tcPr>
          <w:p w14:paraId="5D9521BA">
            <w:pPr>
              <w:adjustRightInd w:val="0"/>
              <w:snapToGrid w:val="0"/>
              <w:jc w:val="center"/>
              <w:rPr>
                <w:sz w:val="15"/>
                <w:szCs w:val="15"/>
              </w:rPr>
            </w:pPr>
            <w:r>
              <w:rPr>
                <w:sz w:val="15"/>
                <w:szCs w:val="15"/>
              </w:rPr>
              <w:t>—</w:t>
            </w:r>
          </w:p>
        </w:tc>
        <w:tc>
          <w:tcPr>
            <w:tcW w:w="436" w:type="pct"/>
            <w:shd w:val="clear" w:color="auto" w:fill="auto"/>
            <w:vAlign w:val="center"/>
          </w:tcPr>
          <w:p w14:paraId="456554D3">
            <w:pPr>
              <w:adjustRightInd w:val="0"/>
              <w:snapToGrid w:val="0"/>
              <w:jc w:val="center"/>
              <w:rPr>
                <w:sz w:val="15"/>
                <w:szCs w:val="15"/>
              </w:rPr>
            </w:pPr>
            <w:r>
              <w:rPr>
                <w:sz w:val="15"/>
                <w:szCs w:val="15"/>
              </w:rPr>
              <w:t>2～</w:t>
            </w:r>
            <w:r>
              <w:rPr>
                <w:rFonts w:hint="eastAsia"/>
                <w:sz w:val="15"/>
                <w:szCs w:val="15"/>
              </w:rPr>
              <w:t>3</w:t>
            </w:r>
          </w:p>
        </w:tc>
        <w:tc>
          <w:tcPr>
            <w:tcW w:w="308" w:type="pct"/>
            <w:shd w:val="clear" w:color="auto" w:fill="auto"/>
            <w:vAlign w:val="center"/>
          </w:tcPr>
          <w:p w14:paraId="2FD45E09">
            <w:pPr>
              <w:adjustRightInd w:val="0"/>
              <w:snapToGrid w:val="0"/>
              <w:jc w:val="center"/>
              <w:rPr>
                <w:sz w:val="15"/>
                <w:szCs w:val="15"/>
              </w:rPr>
            </w:pPr>
            <w:r>
              <w:rPr>
                <w:sz w:val="15"/>
                <w:szCs w:val="15"/>
              </w:rPr>
              <w:t>—</w:t>
            </w:r>
          </w:p>
        </w:tc>
        <w:tc>
          <w:tcPr>
            <w:tcW w:w="427" w:type="pct"/>
            <w:shd w:val="clear" w:color="auto" w:fill="auto"/>
            <w:vAlign w:val="center"/>
          </w:tcPr>
          <w:p w14:paraId="547F7D86">
            <w:pPr>
              <w:adjustRightInd w:val="0"/>
              <w:snapToGrid w:val="0"/>
              <w:jc w:val="center"/>
              <w:rPr>
                <w:sz w:val="15"/>
                <w:szCs w:val="15"/>
              </w:rPr>
            </w:pPr>
            <w:r>
              <w:rPr>
                <w:sz w:val="15"/>
                <w:szCs w:val="15"/>
              </w:rPr>
              <w:t>—</w:t>
            </w:r>
          </w:p>
        </w:tc>
        <w:tc>
          <w:tcPr>
            <w:tcW w:w="454" w:type="pct"/>
            <w:shd w:val="clear" w:color="auto" w:fill="auto"/>
            <w:vAlign w:val="center"/>
          </w:tcPr>
          <w:p w14:paraId="36D5D35E">
            <w:pPr>
              <w:adjustRightInd w:val="0"/>
              <w:snapToGrid w:val="0"/>
              <w:jc w:val="center"/>
              <w:rPr>
                <w:sz w:val="15"/>
                <w:szCs w:val="15"/>
              </w:rPr>
            </w:pPr>
            <w:r>
              <w:rPr>
                <w:sz w:val="15"/>
                <w:szCs w:val="15"/>
              </w:rPr>
              <w:t>—</w:t>
            </w:r>
          </w:p>
        </w:tc>
      </w:tr>
      <w:tr w14:paraId="543280D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trHeight w:val="174" w:hRule="atLeast"/>
          <w:jc w:val="center"/>
        </w:trPr>
        <w:tc>
          <w:tcPr>
            <w:tcW w:w="295" w:type="pct"/>
            <w:shd w:val="clear" w:color="auto" w:fill="auto"/>
            <w:vAlign w:val="center"/>
          </w:tcPr>
          <w:p w14:paraId="2F1DEC49">
            <w:pPr>
              <w:adjustRightInd w:val="0"/>
              <w:snapToGrid w:val="0"/>
              <w:jc w:val="center"/>
              <w:rPr>
                <w:w w:val="80"/>
                <w:kern w:val="0"/>
                <w:sz w:val="15"/>
                <w:szCs w:val="15"/>
              </w:rPr>
            </w:pPr>
            <w:r>
              <w:rPr>
                <w:w w:val="80"/>
                <w:kern w:val="0"/>
                <w:sz w:val="15"/>
                <w:szCs w:val="15"/>
              </w:rPr>
              <w:t>6</w:t>
            </w:r>
          </w:p>
        </w:tc>
        <w:tc>
          <w:tcPr>
            <w:tcW w:w="1264" w:type="pct"/>
            <w:gridSpan w:val="2"/>
            <w:shd w:val="clear" w:color="auto" w:fill="auto"/>
            <w:vAlign w:val="center"/>
          </w:tcPr>
          <w:p w14:paraId="7465547E">
            <w:pPr>
              <w:adjustRightInd w:val="0"/>
              <w:snapToGrid w:val="0"/>
              <w:jc w:val="center"/>
              <w:rPr>
                <w:rFonts w:ascii="宋体" w:hAnsi="宋体"/>
                <w:w w:val="80"/>
                <w:kern w:val="0"/>
                <w:sz w:val="15"/>
                <w:szCs w:val="15"/>
              </w:rPr>
            </w:pPr>
            <w:r>
              <w:rPr>
                <w:rFonts w:ascii="宋体" w:hAnsi="宋体"/>
                <w:w w:val="80"/>
                <w:kern w:val="0"/>
                <w:sz w:val="15"/>
                <w:szCs w:val="15"/>
              </w:rPr>
              <w:t>锚杆</w:t>
            </w:r>
            <w:r>
              <w:rPr>
                <w:rFonts w:hint="eastAsia" w:ascii="宋体" w:hAnsi="宋体"/>
                <w:w w:val="80"/>
                <w:kern w:val="0"/>
                <w:sz w:val="15"/>
                <w:szCs w:val="15"/>
              </w:rPr>
              <w:t>轴</w:t>
            </w:r>
            <w:r>
              <w:rPr>
                <w:rFonts w:ascii="宋体" w:hAnsi="宋体"/>
                <w:w w:val="80"/>
                <w:kern w:val="0"/>
                <w:sz w:val="15"/>
                <w:szCs w:val="15"/>
              </w:rPr>
              <w:t>力</w:t>
            </w:r>
          </w:p>
        </w:tc>
        <w:tc>
          <w:tcPr>
            <w:tcW w:w="645" w:type="pct"/>
            <w:gridSpan w:val="2"/>
            <w:shd w:val="clear" w:color="auto" w:fill="auto"/>
            <w:vAlign w:val="center"/>
          </w:tcPr>
          <w:p w14:paraId="4D8D47FA">
            <w:pPr>
              <w:adjustRightInd w:val="0"/>
              <w:snapToGrid w:val="0"/>
              <w:jc w:val="center"/>
              <w:rPr>
                <w:sz w:val="15"/>
                <w:szCs w:val="15"/>
              </w:rPr>
            </w:pPr>
            <w:r>
              <w:rPr>
                <w:rFonts w:hint="eastAsia"/>
                <w:sz w:val="15"/>
                <w:szCs w:val="15"/>
              </w:rPr>
              <w:t>最大值：</w:t>
            </w:r>
            <w:r>
              <w:rPr>
                <w:i/>
                <w:w w:val="80"/>
                <w:kern w:val="0"/>
                <w:sz w:val="15"/>
                <w:szCs w:val="15"/>
              </w:rPr>
              <w:t>R</w:t>
            </w:r>
            <w:r>
              <w:rPr>
                <w:i/>
                <w:w w:val="80"/>
                <w:kern w:val="0"/>
                <w:sz w:val="15"/>
                <w:szCs w:val="15"/>
                <w:vertAlign w:val="subscript"/>
              </w:rPr>
              <w:t>k</w:t>
            </w:r>
          </w:p>
          <w:p w14:paraId="6E34A65B">
            <w:pPr>
              <w:pStyle w:val="2"/>
              <w:spacing w:after="0"/>
              <w:ind w:left="0" w:leftChars="0" w:firstLine="0" w:firstLineChars="0"/>
              <w:jc w:val="center"/>
              <w:rPr>
                <w:sz w:val="15"/>
                <w:szCs w:val="15"/>
              </w:rPr>
            </w:pPr>
            <w:r>
              <w:rPr>
                <w:rFonts w:hint="eastAsia"/>
                <w:sz w:val="15"/>
                <w:szCs w:val="15"/>
              </w:rPr>
              <w:t>最小值：4</w:t>
            </w:r>
            <w:r>
              <w:rPr>
                <w:sz w:val="15"/>
                <w:szCs w:val="15"/>
              </w:rPr>
              <w:t>0%</w:t>
            </w:r>
            <w:r>
              <w:rPr>
                <w:i/>
                <w:w w:val="80"/>
                <w:kern w:val="0"/>
                <w:sz w:val="15"/>
                <w:szCs w:val="15"/>
              </w:rPr>
              <w:t xml:space="preserve"> R</w:t>
            </w:r>
            <w:r>
              <w:rPr>
                <w:i/>
                <w:w w:val="80"/>
                <w:kern w:val="0"/>
                <w:sz w:val="15"/>
                <w:szCs w:val="15"/>
                <w:vertAlign w:val="subscript"/>
              </w:rPr>
              <w:t>k</w:t>
            </w:r>
          </w:p>
        </w:tc>
        <w:tc>
          <w:tcPr>
            <w:tcW w:w="485" w:type="pct"/>
            <w:shd w:val="clear" w:color="auto" w:fill="auto"/>
            <w:vAlign w:val="center"/>
          </w:tcPr>
          <w:p w14:paraId="1E565E6C">
            <w:pPr>
              <w:adjustRightInd w:val="0"/>
              <w:snapToGrid w:val="0"/>
              <w:jc w:val="center"/>
              <w:rPr>
                <w:w w:val="80"/>
                <w:kern w:val="0"/>
                <w:sz w:val="15"/>
                <w:szCs w:val="15"/>
              </w:rPr>
            </w:pPr>
            <w:r>
              <w:rPr>
                <w:sz w:val="15"/>
                <w:szCs w:val="15"/>
              </w:rPr>
              <w:t>5%</w:t>
            </w:r>
            <w:r>
              <w:rPr>
                <w:i/>
                <w:w w:val="80"/>
                <w:kern w:val="0"/>
                <w:sz w:val="15"/>
                <w:szCs w:val="15"/>
              </w:rPr>
              <w:t xml:space="preserve"> R</w:t>
            </w:r>
            <w:r>
              <w:rPr>
                <w:i/>
                <w:w w:val="80"/>
                <w:kern w:val="0"/>
                <w:sz w:val="15"/>
                <w:szCs w:val="15"/>
                <w:vertAlign w:val="subscript"/>
              </w:rPr>
              <w:t>k</w:t>
            </w:r>
          </w:p>
        </w:tc>
        <w:tc>
          <w:tcPr>
            <w:tcW w:w="686" w:type="pct"/>
            <w:gridSpan w:val="2"/>
            <w:shd w:val="clear" w:color="auto" w:fill="auto"/>
            <w:vAlign w:val="center"/>
          </w:tcPr>
          <w:p w14:paraId="006BC705">
            <w:pPr>
              <w:adjustRightInd w:val="0"/>
              <w:snapToGrid w:val="0"/>
              <w:jc w:val="center"/>
              <w:rPr>
                <w:sz w:val="15"/>
                <w:szCs w:val="15"/>
              </w:rPr>
            </w:pPr>
            <w:r>
              <w:rPr>
                <w:rFonts w:hint="eastAsia"/>
                <w:sz w:val="15"/>
                <w:szCs w:val="15"/>
              </w:rPr>
              <w:t>最大值：</w:t>
            </w:r>
            <w:r>
              <w:rPr>
                <w:i/>
                <w:w w:val="80"/>
                <w:kern w:val="0"/>
                <w:sz w:val="15"/>
                <w:szCs w:val="15"/>
              </w:rPr>
              <w:t>R</w:t>
            </w:r>
            <w:r>
              <w:rPr>
                <w:i/>
                <w:w w:val="80"/>
                <w:kern w:val="0"/>
                <w:sz w:val="15"/>
                <w:szCs w:val="15"/>
                <w:vertAlign w:val="subscript"/>
              </w:rPr>
              <w:t>k</w:t>
            </w:r>
          </w:p>
          <w:p w14:paraId="5228A0F8">
            <w:pPr>
              <w:pStyle w:val="2"/>
              <w:spacing w:after="0"/>
              <w:ind w:left="0" w:leftChars="0" w:firstLine="0" w:firstLineChars="0"/>
              <w:jc w:val="center"/>
              <w:rPr>
                <w:sz w:val="15"/>
                <w:szCs w:val="15"/>
              </w:rPr>
            </w:pPr>
            <w:r>
              <w:rPr>
                <w:rFonts w:hint="eastAsia"/>
                <w:sz w:val="15"/>
                <w:szCs w:val="15"/>
              </w:rPr>
              <w:t>最小值：4</w:t>
            </w:r>
            <w:r>
              <w:rPr>
                <w:sz w:val="15"/>
                <w:szCs w:val="15"/>
              </w:rPr>
              <w:t>0%</w:t>
            </w:r>
            <w:r>
              <w:rPr>
                <w:i/>
                <w:w w:val="80"/>
                <w:kern w:val="0"/>
                <w:sz w:val="15"/>
                <w:szCs w:val="15"/>
              </w:rPr>
              <w:t xml:space="preserve"> R</w:t>
            </w:r>
            <w:r>
              <w:rPr>
                <w:i/>
                <w:w w:val="80"/>
                <w:kern w:val="0"/>
                <w:sz w:val="15"/>
                <w:szCs w:val="15"/>
                <w:vertAlign w:val="subscript"/>
              </w:rPr>
              <w:t>k</w:t>
            </w:r>
          </w:p>
        </w:tc>
        <w:tc>
          <w:tcPr>
            <w:tcW w:w="436" w:type="pct"/>
            <w:shd w:val="clear" w:color="auto" w:fill="auto"/>
            <w:vAlign w:val="center"/>
          </w:tcPr>
          <w:p w14:paraId="0522C607">
            <w:pPr>
              <w:adjustRightInd w:val="0"/>
              <w:snapToGrid w:val="0"/>
              <w:jc w:val="center"/>
              <w:rPr>
                <w:w w:val="80"/>
                <w:kern w:val="0"/>
                <w:sz w:val="15"/>
                <w:szCs w:val="15"/>
              </w:rPr>
            </w:pPr>
            <w:r>
              <w:rPr>
                <w:sz w:val="15"/>
                <w:szCs w:val="15"/>
              </w:rPr>
              <w:t>5%</w:t>
            </w:r>
            <w:r>
              <w:rPr>
                <w:i/>
                <w:w w:val="80"/>
                <w:kern w:val="0"/>
                <w:sz w:val="15"/>
                <w:szCs w:val="15"/>
              </w:rPr>
              <w:t xml:space="preserve"> R</w:t>
            </w:r>
            <w:r>
              <w:rPr>
                <w:i/>
                <w:w w:val="80"/>
                <w:kern w:val="0"/>
                <w:sz w:val="15"/>
                <w:szCs w:val="15"/>
                <w:vertAlign w:val="subscript"/>
              </w:rPr>
              <w:t>k</w:t>
            </w:r>
          </w:p>
        </w:tc>
        <w:tc>
          <w:tcPr>
            <w:tcW w:w="735" w:type="pct"/>
            <w:gridSpan w:val="2"/>
            <w:shd w:val="clear" w:color="auto" w:fill="auto"/>
            <w:vAlign w:val="center"/>
          </w:tcPr>
          <w:p w14:paraId="328A9CFE">
            <w:pPr>
              <w:adjustRightInd w:val="0"/>
              <w:snapToGrid w:val="0"/>
              <w:jc w:val="center"/>
              <w:rPr>
                <w:w w:val="80"/>
                <w:kern w:val="0"/>
                <w:sz w:val="15"/>
                <w:szCs w:val="15"/>
              </w:rPr>
            </w:pPr>
            <w:r>
              <w:rPr>
                <w:w w:val="80"/>
                <w:kern w:val="0"/>
                <w:sz w:val="15"/>
                <w:szCs w:val="15"/>
              </w:rPr>
              <w:t>—</w:t>
            </w:r>
          </w:p>
        </w:tc>
        <w:tc>
          <w:tcPr>
            <w:tcW w:w="454" w:type="pct"/>
            <w:shd w:val="clear" w:color="auto" w:fill="auto"/>
            <w:vAlign w:val="center"/>
          </w:tcPr>
          <w:p w14:paraId="000AEB30">
            <w:pPr>
              <w:adjustRightInd w:val="0"/>
              <w:snapToGrid w:val="0"/>
              <w:jc w:val="center"/>
              <w:rPr>
                <w:w w:val="80"/>
                <w:kern w:val="0"/>
                <w:sz w:val="15"/>
                <w:szCs w:val="15"/>
              </w:rPr>
            </w:pPr>
            <w:r>
              <w:rPr>
                <w:w w:val="80"/>
                <w:kern w:val="0"/>
                <w:sz w:val="15"/>
                <w:szCs w:val="15"/>
              </w:rPr>
              <w:t>—</w:t>
            </w:r>
          </w:p>
        </w:tc>
      </w:tr>
      <w:tr w14:paraId="4CE83AA5">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PrEx>
        <w:trPr>
          <w:trHeight w:val="410" w:hRule="atLeast"/>
          <w:jc w:val="center"/>
        </w:trPr>
        <w:tc>
          <w:tcPr>
            <w:tcW w:w="295" w:type="pct"/>
            <w:shd w:val="clear" w:color="auto" w:fill="auto"/>
            <w:vAlign w:val="center"/>
          </w:tcPr>
          <w:p w14:paraId="654B92E1">
            <w:pPr>
              <w:adjustRightInd w:val="0"/>
              <w:snapToGrid w:val="0"/>
              <w:jc w:val="center"/>
              <w:rPr>
                <w:w w:val="80"/>
                <w:kern w:val="0"/>
                <w:sz w:val="15"/>
                <w:szCs w:val="15"/>
              </w:rPr>
            </w:pPr>
            <w:r>
              <w:rPr>
                <w:rFonts w:hint="eastAsia"/>
                <w:w w:val="80"/>
                <w:kern w:val="0"/>
                <w:sz w:val="15"/>
                <w:szCs w:val="15"/>
              </w:rPr>
              <w:t>7</w:t>
            </w:r>
          </w:p>
        </w:tc>
        <w:tc>
          <w:tcPr>
            <w:tcW w:w="1264" w:type="pct"/>
            <w:gridSpan w:val="2"/>
            <w:shd w:val="clear" w:color="auto" w:fill="auto"/>
            <w:vAlign w:val="center"/>
          </w:tcPr>
          <w:p w14:paraId="17A203EB">
            <w:pPr>
              <w:adjustRightInd w:val="0"/>
              <w:snapToGrid w:val="0"/>
              <w:jc w:val="center"/>
              <w:rPr>
                <w:rFonts w:ascii="宋体" w:hAnsi="宋体"/>
                <w:w w:val="80"/>
                <w:kern w:val="0"/>
                <w:sz w:val="15"/>
                <w:szCs w:val="15"/>
              </w:rPr>
            </w:pPr>
            <w:r>
              <w:rPr>
                <w:rFonts w:hint="eastAsia" w:ascii="宋体" w:hAnsi="宋体"/>
                <w:w w:val="80"/>
                <w:kern w:val="0"/>
                <w:sz w:val="15"/>
                <w:szCs w:val="15"/>
              </w:rPr>
              <w:t>支撑轴力</w:t>
            </w:r>
          </w:p>
        </w:tc>
        <w:tc>
          <w:tcPr>
            <w:tcW w:w="645" w:type="pct"/>
            <w:gridSpan w:val="2"/>
            <w:shd w:val="clear" w:color="auto" w:fill="auto"/>
            <w:vAlign w:val="center"/>
          </w:tcPr>
          <w:p w14:paraId="05CB87CA">
            <w:pPr>
              <w:adjustRightInd w:val="0"/>
              <w:snapToGrid w:val="0"/>
              <w:jc w:val="center"/>
              <w:rPr>
                <w:sz w:val="15"/>
                <w:szCs w:val="15"/>
              </w:rPr>
            </w:pPr>
            <w:r>
              <w:rPr>
                <w:rFonts w:hint="eastAsia"/>
                <w:sz w:val="15"/>
                <w:szCs w:val="15"/>
              </w:rPr>
              <w:t>最大值：</w:t>
            </w:r>
            <w:r>
              <w:rPr>
                <w:i/>
                <w:w w:val="80"/>
                <w:kern w:val="0"/>
                <w:sz w:val="15"/>
                <w:szCs w:val="15"/>
              </w:rPr>
              <w:t>fk</w:t>
            </w:r>
          </w:p>
          <w:p w14:paraId="6F8E8A1A">
            <w:pPr>
              <w:pStyle w:val="2"/>
              <w:spacing w:after="0"/>
              <w:ind w:left="0" w:leftChars="0" w:firstLine="0" w:firstLineChars="0"/>
              <w:jc w:val="center"/>
              <w:rPr>
                <w:sz w:val="15"/>
                <w:szCs w:val="15"/>
              </w:rPr>
            </w:pPr>
            <w:r>
              <w:rPr>
                <w:rFonts w:hint="eastAsia"/>
                <w:sz w:val="15"/>
                <w:szCs w:val="15"/>
              </w:rPr>
              <w:t>最小值：1</w:t>
            </w:r>
            <w:r>
              <w:rPr>
                <w:sz w:val="15"/>
                <w:szCs w:val="15"/>
              </w:rPr>
              <w:t>5%</w:t>
            </w:r>
            <w:r>
              <w:rPr>
                <w:i/>
                <w:w w:val="80"/>
                <w:kern w:val="0"/>
                <w:sz w:val="15"/>
                <w:szCs w:val="15"/>
              </w:rPr>
              <w:t xml:space="preserve"> fk</w:t>
            </w:r>
          </w:p>
        </w:tc>
        <w:tc>
          <w:tcPr>
            <w:tcW w:w="485" w:type="pct"/>
            <w:shd w:val="clear" w:color="auto" w:fill="auto"/>
            <w:vAlign w:val="center"/>
          </w:tcPr>
          <w:p w14:paraId="0AB22E29">
            <w:pPr>
              <w:adjustRightInd w:val="0"/>
              <w:snapToGrid w:val="0"/>
              <w:jc w:val="center"/>
              <w:rPr>
                <w:w w:val="80"/>
                <w:kern w:val="0"/>
                <w:sz w:val="15"/>
                <w:szCs w:val="15"/>
              </w:rPr>
            </w:pPr>
            <w:r>
              <w:rPr>
                <w:sz w:val="15"/>
                <w:szCs w:val="15"/>
              </w:rPr>
              <w:t>5%</w:t>
            </w:r>
            <w:r>
              <w:rPr>
                <w:i/>
                <w:w w:val="80"/>
                <w:kern w:val="0"/>
                <w:sz w:val="15"/>
                <w:szCs w:val="15"/>
              </w:rPr>
              <w:t xml:space="preserve"> fk</w:t>
            </w:r>
          </w:p>
        </w:tc>
        <w:tc>
          <w:tcPr>
            <w:tcW w:w="686" w:type="pct"/>
            <w:gridSpan w:val="2"/>
            <w:shd w:val="clear" w:color="auto" w:fill="auto"/>
            <w:vAlign w:val="center"/>
          </w:tcPr>
          <w:p w14:paraId="7E134DDA">
            <w:pPr>
              <w:adjustRightInd w:val="0"/>
              <w:snapToGrid w:val="0"/>
              <w:jc w:val="center"/>
              <w:rPr>
                <w:sz w:val="15"/>
                <w:szCs w:val="15"/>
              </w:rPr>
            </w:pPr>
            <w:r>
              <w:rPr>
                <w:rFonts w:hint="eastAsia"/>
                <w:sz w:val="15"/>
                <w:szCs w:val="15"/>
              </w:rPr>
              <w:t>最大值：</w:t>
            </w:r>
            <w:r>
              <w:rPr>
                <w:i/>
                <w:w w:val="80"/>
                <w:kern w:val="0"/>
                <w:sz w:val="15"/>
                <w:szCs w:val="15"/>
              </w:rPr>
              <w:t>fk</w:t>
            </w:r>
          </w:p>
          <w:p w14:paraId="0BFCEED8">
            <w:pPr>
              <w:pStyle w:val="2"/>
              <w:spacing w:after="0"/>
              <w:ind w:left="0" w:leftChars="0" w:firstLine="0" w:firstLineChars="0"/>
              <w:jc w:val="center"/>
              <w:rPr>
                <w:sz w:val="15"/>
                <w:szCs w:val="15"/>
              </w:rPr>
            </w:pPr>
            <w:r>
              <w:rPr>
                <w:rFonts w:hint="eastAsia"/>
                <w:sz w:val="15"/>
                <w:szCs w:val="15"/>
              </w:rPr>
              <w:t>最小值：1</w:t>
            </w:r>
            <w:r>
              <w:rPr>
                <w:sz w:val="15"/>
                <w:szCs w:val="15"/>
              </w:rPr>
              <w:t>5%</w:t>
            </w:r>
            <w:r>
              <w:rPr>
                <w:i/>
                <w:w w:val="80"/>
                <w:kern w:val="0"/>
                <w:sz w:val="15"/>
                <w:szCs w:val="15"/>
              </w:rPr>
              <w:t xml:space="preserve"> fk</w:t>
            </w:r>
          </w:p>
        </w:tc>
        <w:tc>
          <w:tcPr>
            <w:tcW w:w="436" w:type="pct"/>
            <w:shd w:val="clear" w:color="auto" w:fill="auto"/>
            <w:vAlign w:val="center"/>
          </w:tcPr>
          <w:p w14:paraId="66050EC8">
            <w:pPr>
              <w:adjustRightInd w:val="0"/>
              <w:snapToGrid w:val="0"/>
              <w:jc w:val="center"/>
              <w:rPr>
                <w:w w:val="80"/>
                <w:kern w:val="0"/>
                <w:sz w:val="15"/>
                <w:szCs w:val="15"/>
              </w:rPr>
            </w:pPr>
            <w:r>
              <w:rPr>
                <w:sz w:val="15"/>
                <w:szCs w:val="15"/>
              </w:rPr>
              <w:t>5%</w:t>
            </w:r>
            <w:r>
              <w:rPr>
                <w:i/>
                <w:w w:val="80"/>
                <w:kern w:val="0"/>
                <w:sz w:val="15"/>
                <w:szCs w:val="15"/>
              </w:rPr>
              <w:t xml:space="preserve"> fk</w:t>
            </w:r>
          </w:p>
        </w:tc>
        <w:tc>
          <w:tcPr>
            <w:tcW w:w="735" w:type="pct"/>
            <w:gridSpan w:val="2"/>
            <w:shd w:val="clear" w:color="auto" w:fill="auto"/>
            <w:vAlign w:val="center"/>
          </w:tcPr>
          <w:p w14:paraId="5844730E">
            <w:pPr>
              <w:adjustRightInd w:val="0"/>
              <w:snapToGrid w:val="0"/>
              <w:jc w:val="center"/>
              <w:rPr>
                <w:w w:val="80"/>
                <w:kern w:val="0"/>
                <w:sz w:val="15"/>
                <w:szCs w:val="15"/>
              </w:rPr>
            </w:pPr>
            <w:r>
              <w:rPr>
                <w:w w:val="80"/>
                <w:kern w:val="0"/>
                <w:sz w:val="15"/>
                <w:szCs w:val="15"/>
              </w:rPr>
              <w:t>—</w:t>
            </w:r>
          </w:p>
        </w:tc>
        <w:tc>
          <w:tcPr>
            <w:tcW w:w="454" w:type="pct"/>
            <w:shd w:val="clear" w:color="auto" w:fill="auto"/>
            <w:vAlign w:val="center"/>
          </w:tcPr>
          <w:p w14:paraId="4120F364">
            <w:pPr>
              <w:adjustRightInd w:val="0"/>
              <w:snapToGrid w:val="0"/>
              <w:jc w:val="center"/>
              <w:rPr>
                <w:w w:val="80"/>
                <w:kern w:val="0"/>
                <w:sz w:val="15"/>
                <w:szCs w:val="15"/>
              </w:rPr>
            </w:pPr>
            <w:r>
              <w:rPr>
                <w:w w:val="80"/>
                <w:kern w:val="0"/>
                <w:sz w:val="15"/>
                <w:szCs w:val="15"/>
              </w:rPr>
              <w:t>—</w:t>
            </w:r>
          </w:p>
        </w:tc>
      </w:tr>
    </w:tbl>
    <w:p w14:paraId="562C30D8">
      <w:pPr>
        <w:adjustRightInd w:val="0"/>
        <w:snapToGrid w:val="0"/>
        <w:spacing w:line="288" w:lineRule="auto"/>
        <w:ind w:firstLine="260" w:firstLineChars="200"/>
        <w:rPr>
          <w:rFonts w:ascii="宋体" w:hAnsi="宋体"/>
          <w:sz w:val="13"/>
          <w:szCs w:val="13"/>
        </w:rPr>
      </w:pPr>
      <w:r>
        <w:rPr>
          <w:rFonts w:hint="eastAsia" w:ascii="宋体" w:hAnsi="宋体"/>
          <w:sz w:val="13"/>
          <w:szCs w:val="13"/>
        </w:rPr>
        <w:t>注：</w:t>
      </w:r>
      <w:r>
        <w:rPr>
          <w:sz w:val="13"/>
          <w:szCs w:val="13"/>
        </w:rPr>
        <w:t>1</w:t>
      </w:r>
      <w:r>
        <w:rPr>
          <w:rFonts w:hint="eastAsia" w:ascii="宋体" w:hAnsi="宋体"/>
          <w:sz w:val="13"/>
          <w:szCs w:val="13"/>
        </w:rPr>
        <w:t xml:space="preserve">  累计值取绝对值和相对基坑深度（</w:t>
      </w:r>
      <w:r>
        <w:rPr>
          <w:i/>
          <w:sz w:val="13"/>
          <w:szCs w:val="13"/>
        </w:rPr>
        <w:t>h</w:t>
      </w:r>
      <w:r>
        <w:rPr>
          <w:rFonts w:hint="eastAsia" w:ascii="宋体" w:hAnsi="宋体"/>
          <w:sz w:val="13"/>
          <w:szCs w:val="13"/>
        </w:rPr>
        <w:t>）值两者的小值。</w:t>
      </w:r>
    </w:p>
    <w:p w14:paraId="7D998876">
      <w:pPr>
        <w:pStyle w:val="2"/>
        <w:ind w:left="0" w:leftChars="0" w:firstLine="520" w:firstLineChars="400"/>
        <w:rPr>
          <w:sz w:val="13"/>
          <w:szCs w:val="13"/>
        </w:rPr>
      </w:pPr>
      <w:r>
        <w:rPr>
          <w:sz w:val="13"/>
          <w:szCs w:val="13"/>
        </w:rPr>
        <w:t xml:space="preserve">2  </w:t>
      </w:r>
      <w:r>
        <w:rPr>
          <w:rFonts w:hint="eastAsia"/>
          <w:sz w:val="13"/>
          <w:szCs w:val="13"/>
        </w:rPr>
        <w:t>对于复合型支护结构的变形监控值，可按不同支护形式叠加考虑。</w:t>
      </w:r>
    </w:p>
    <w:p w14:paraId="2047EFD5">
      <w:pPr>
        <w:pStyle w:val="2"/>
        <w:ind w:firstLine="260"/>
        <w:rPr>
          <w:sz w:val="13"/>
          <w:szCs w:val="13"/>
        </w:rPr>
      </w:pPr>
    </w:p>
    <w:p w14:paraId="576AA45E">
      <w:pPr>
        <w:adjustRightInd w:val="0"/>
        <w:snapToGrid w:val="0"/>
        <w:spacing w:line="288" w:lineRule="auto"/>
        <w:rPr>
          <w:rFonts w:ascii="宋体" w:hAnsi="宋体"/>
          <w:sz w:val="24"/>
          <w:szCs w:val="24"/>
        </w:rPr>
      </w:pPr>
      <w:r>
        <w:rPr>
          <w:rFonts w:eastAsia="黑体"/>
          <w:b/>
          <w:bCs/>
          <w:kern w:val="0"/>
          <w:sz w:val="20"/>
          <w:szCs w:val="20"/>
        </w:rPr>
        <w:t>11.6.3</w:t>
      </w:r>
      <w:r>
        <w:rPr>
          <w:rFonts w:hint="eastAsia" w:ascii="宋体" w:hAnsi="宋体"/>
          <w:bCs/>
          <w:sz w:val="20"/>
          <w:szCs w:val="20"/>
        </w:rPr>
        <w:t xml:space="preserve"> </w:t>
      </w:r>
      <w:r>
        <w:rPr>
          <w:rFonts w:hint="eastAsia" w:ascii="宋体" w:hAnsi="宋体"/>
          <w:sz w:val="20"/>
          <w:szCs w:val="20"/>
        </w:rPr>
        <w:t xml:space="preserve"> 基坑周边环境监测预警值应根据设计文件的要求确定，并满足权属单位要求，如无具体规定，可按表</w:t>
      </w:r>
      <w:r>
        <w:rPr>
          <w:sz w:val="20"/>
          <w:szCs w:val="20"/>
        </w:rPr>
        <w:t>11.6.3</w:t>
      </w:r>
      <w:r>
        <w:rPr>
          <w:rFonts w:hint="eastAsia" w:ascii="宋体" w:hAnsi="宋体"/>
          <w:sz w:val="20"/>
          <w:szCs w:val="20"/>
        </w:rPr>
        <w:t>采用。</w:t>
      </w:r>
    </w:p>
    <w:p w14:paraId="0D093F4C">
      <w:pPr>
        <w:adjustRightInd w:val="0"/>
        <w:snapToGrid w:val="0"/>
        <w:spacing w:before="156" w:beforeLines="50" w:after="156" w:afterLines="50" w:line="288" w:lineRule="auto"/>
        <w:jc w:val="center"/>
        <w:rPr>
          <w:rFonts w:ascii="宋体" w:hAnsi="宋体"/>
          <w:b/>
          <w:sz w:val="18"/>
          <w:szCs w:val="18"/>
        </w:rPr>
      </w:pPr>
      <w:r>
        <w:rPr>
          <w:rFonts w:ascii="宋体" w:hAnsi="宋体"/>
          <w:b/>
          <w:sz w:val="18"/>
          <w:szCs w:val="18"/>
        </w:rPr>
        <w:t>表</w:t>
      </w:r>
      <w:r>
        <w:rPr>
          <w:b/>
          <w:sz w:val="18"/>
          <w:szCs w:val="18"/>
        </w:rPr>
        <w:t>11.6.3</w:t>
      </w:r>
      <w:r>
        <w:rPr>
          <w:rFonts w:hint="eastAsia" w:ascii="宋体" w:hAnsi="宋体"/>
          <w:b/>
          <w:sz w:val="18"/>
          <w:szCs w:val="18"/>
        </w:rPr>
        <w:t xml:space="preserve">  </w:t>
      </w:r>
      <w:r>
        <w:rPr>
          <w:rFonts w:ascii="宋体" w:hAnsi="宋体"/>
          <w:b/>
          <w:sz w:val="18"/>
          <w:szCs w:val="18"/>
        </w:rPr>
        <w:t>建筑基坑工程</w:t>
      </w:r>
      <w:r>
        <w:rPr>
          <w:rFonts w:hint="eastAsia" w:ascii="宋体" w:hAnsi="宋体"/>
          <w:b/>
          <w:sz w:val="18"/>
          <w:szCs w:val="18"/>
        </w:rPr>
        <w:t>周边环境监测预警值</w:t>
      </w:r>
    </w:p>
    <w:tbl>
      <w:tblPr>
        <w:tblStyle w:val="34"/>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45" w:type="dxa"/>
          <w:left w:w="28" w:type="dxa"/>
          <w:bottom w:w="45" w:type="dxa"/>
          <w:right w:w="28" w:type="dxa"/>
        </w:tblCellMar>
      </w:tblPr>
      <w:tblGrid>
        <w:gridCol w:w="399"/>
        <w:gridCol w:w="659"/>
        <w:gridCol w:w="672"/>
        <w:gridCol w:w="1020"/>
        <w:gridCol w:w="1923"/>
        <w:gridCol w:w="1866"/>
        <w:gridCol w:w="3371"/>
      </w:tblGrid>
      <w:tr w14:paraId="5764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45" w:type="dxa"/>
            <w:left w:w="28" w:type="dxa"/>
            <w:bottom w:w="45" w:type="dxa"/>
            <w:right w:w="28" w:type="dxa"/>
          </w:tblCellMar>
        </w:tblPrEx>
        <w:trPr>
          <w:jc w:val="center"/>
        </w:trPr>
        <w:tc>
          <w:tcPr>
            <w:tcW w:w="1387" w:type="pct"/>
            <w:gridSpan w:val="4"/>
            <w:tcBorders>
              <w:top w:val="single" w:color="auto" w:sz="6" w:space="0"/>
              <w:left w:val="single" w:color="auto" w:sz="6" w:space="0"/>
              <w:bottom w:val="single" w:color="auto" w:sz="2" w:space="0"/>
              <w:right w:val="single" w:color="auto" w:sz="2" w:space="0"/>
              <w:tl2br w:val="single" w:color="auto" w:sz="4" w:space="0"/>
            </w:tcBorders>
            <w:vAlign w:val="center"/>
          </w:tcPr>
          <w:p w14:paraId="48769025">
            <w:pPr>
              <w:adjustRightInd w:val="0"/>
              <w:snapToGrid w:val="0"/>
              <w:spacing w:line="264" w:lineRule="auto"/>
              <w:jc w:val="center"/>
              <w:rPr>
                <w:kern w:val="0"/>
                <w:sz w:val="15"/>
                <w:szCs w:val="15"/>
              </w:rPr>
            </w:pPr>
            <w:r>
              <w:rPr>
                <w:kern w:val="0"/>
                <w:sz w:val="15"/>
                <w:szCs w:val="15"/>
              </w:rPr>
              <w:t xml:space="preserve">          </w:t>
            </w:r>
            <w:r>
              <w:rPr>
                <w:rFonts w:hAnsi="宋体"/>
                <w:kern w:val="0"/>
                <w:sz w:val="15"/>
                <w:szCs w:val="15"/>
              </w:rPr>
              <w:t>项</w:t>
            </w:r>
            <w:r>
              <w:rPr>
                <w:kern w:val="0"/>
                <w:sz w:val="15"/>
                <w:szCs w:val="15"/>
              </w:rPr>
              <w:t xml:space="preserve"> </w:t>
            </w:r>
            <w:r>
              <w:rPr>
                <w:rFonts w:hAnsi="宋体"/>
                <w:kern w:val="0"/>
                <w:sz w:val="15"/>
                <w:szCs w:val="15"/>
              </w:rPr>
              <w:t>目</w:t>
            </w:r>
          </w:p>
          <w:p w14:paraId="2428EE80">
            <w:pPr>
              <w:adjustRightInd w:val="0"/>
              <w:snapToGrid w:val="0"/>
              <w:spacing w:line="264" w:lineRule="auto"/>
              <w:ind w:firstLine="225" w:firstLineChars="150"/>
              <w:jc w:val="left"/>
              <w:rPr>
                <w:kern w:val="0"/>
                <w:sz w:val="15"/>
                <w:szCs w:val="15"/>
              </w:rPr>
            </w:pPr>
            <w:r>
              <w:rPr>
                <w:rFonts w:hAnsi="宋体"/>
                <w:kern w:val="0"/>
                <w:sz w:val="15"/>
                <w:szCs w:val="15"/>
              </w:rPr>
              <w:t>监测对象</w:t>
            </w:r>
          </w:p>
        </w:tc>
        <w:tc>
          <w:tcPr>
            <w:tcW w:w="970" w:type="pct"/>
            <w:tcBorders>
              <w:top w:val="single" w:color="auto" w:sz="6" w:space="0"/>
              <w:left w:val="single" w:color="auto" w:sz="2" w:space="0"/>
              <w:bottom w:val="single" w:color="auto" w:sz="2" w:space="0"/>
              <w:right w:val="single" w:color="auto" w:sz="2" w:space="0"/>
            </w:tcBorders>
            <w:shd w:val="clear" w:color="auto" w:fill="auto"/>
            <w:vAlign w:val="center"/>
          </w:tcPr>
          <w:p w14:paraId="322C7711">
            <w:pPr>
              <w:adjustRightInd w:val="0"/>
              <w:snapToGrid w:val="0"/>
              <w:spacing w:line="264" w:lineRule="auto"/>
              <w:jc w:val="center"/>
              <w:rPr>
                <w:kern w:val="0"/>
                <w:sz w:val="15"/>
                <w:szCs w:val="15"/>
              </w:rPr>
            </w:pPr>
            <w:r>
              <w:rPr>
                <w:rFonts w:hAnsi="宋体"/>
                <w:kern w:val="0"/>
                <w:sz w:val="15"/>
                <w:szCs w:val="15"/>
              </w:rPr>
              <w:t>累计值</w:t>
            </w:r>
          </w:p>
          <w:p w14:paraId="2D09E2D9">
            <w:pPr>
              <w:adjustRightInd w:val="0"/>
              <w:snapToGrid w:val="0"/>
              <w:spacing w:line="264" w:lineRule="auto"/>
              <w:jc w:val="center"/>
              <w:rPr>
                <w:kern w:val="0"/>
                <w:sz w:val="15"/>
                <w:szCs w:val="15"/>
              </w:rPr>
            </w:pPr>
            <w:r>
              <w:rPr>
                <w:rFonts w:hAnsi="宋体"/>
                <w:kern w:val="0"/>
                <w:sz w:val="15"/>
                <w:szCs w:val="15"/>
              </w:rPr>
              <w:t>（</w:t>
            </w:r>
            <w:r>
              <w:rPr>
                <w:kern w:val="0"/>
                <w:sz w:val="15"/>
                <w:szCs w:val="15"/>
              </w:rPr>
              <w:t>mm</w:t>
            </w:r>
            <w:r>
              <w:rPr>
                <w:rFonts w:hAnsi="宋体"/>
                <w:kern w:val="0"/>
                <w:sz w:val="15"/>
                <w:szCs w:val="15"/>
              </w:rPr>
              <w:t>）</w:t>
            </w:r>
          </w:p>
        </w:tc>
        <w:tc>
          <w:tcPr>
            <w:tcW w:w="941" w:type="pct"/>
            <w:tcBorders>
              <w:top w:val="single" w:color="auto" w:sz="6" w:space="0"/>
              <w:left w:val="single" w:color="auto" w:sz="2" w:space="0"/>
              <w:bottom w:val="single" w:color="auto" w:sz="2" w:space="0"/>
              <w:right w:val="single" w:color="auto" w:sz="2" w:space="0"/>
            </w:tcBorders>
            <w:shd w:val="clear" w:color="auto" w:fill="auto"/>
            <w:vAlign w:val="center"/>
          </w:tcPr>
          <w:p w14:paraId="77C9D22E">
            <w:pPr>
              <w:adjustRightInd w:val="0"/>
              <w:snapToGrid w:val="0"/>
              <w:spacing w:line="264" w:lineRule="auto"/>
              <w:jc w:val="center"/>
              <w:rPr>
                <w:kern w:val="0"/>
                <w:sz w:val="15"/>
                <w:szCs w:val="15"/>
              </w:rPr>
            </w:pPr>
            <w:r>
              <w:rPr>
                <w:rFonts w:hAnsi="宋体"/>
                <w:kern w:val="0"/>
                <w:sz w:val="15"/>
                <w:szCs w:val="15"/>
              </w:rPr>
              <w:t>变化速率</w:t>
            </w:r>
          </w:p>
          <w:p w14:paraId="4A0CA7A6">
            <w:pPr>
              <w:adjustRightInd w:val="0"/>
              <w:snapToGrid w:val="0"/>
              <w:spacing w:line="264" w:lineRule="auto"/>
              <w:jc w:val="center"/>
              <w:rPr>
                <w:kern w:val="0"/>
                <w:sz w:val="15"/>
                <w:szCs w:val="15"/>
              </w:rPr>
            </w:pPr>
            <w:r>
              <w:rPr>
                <w:rFonts w:hAnsi="宋体"/>
                <w:kern w:val="0"/>
                <w:sz w:val="15"/>
                <w:szCs w:val="15"/>
              </w:rPr>
              <w:t>（</w:t>
            </w:r>
            <w:r>
              <w:rPr>
                <w:kern w:val="0"/>
                <w:sz w:val="15"/>
                <w:szCs w:val="15"/>
              </w:rPr>
              <w:t>mm/d</w:t>
            </w:r>
            <w:r>
              <w:rPr>
                <w:rFonts w:hAnsi="宋体"/>
                <w:kern w:val="0"/>
                <w:sz w:val="15"/>
                <w:szCs w:val="15"/>
              </w:rPr>
              <w:t>）</w:t>
            </w:r>
          </w:p>
        </w:tc>
        <w:tc>
          <w:tcPr>
            <w:tcW w:w="1701" w:type="pct"/>
            <w:tcBorders>
              <w:top w:val="single" w:color="auto" w:sz="6" w:space="0"/>
              <w:left w:val="single" w:color="auto" w:sz="2" w:space="0"/>
              <w:bottom w:val="single" w:color="auto" w:sz="2" w:space="0"/>
              <w:right w:val="single" w:color="auto" w:sz="6" w:space="0"/>
            </w:tcBorders>
            <w:vAlign w:val="center"/>
          </w:tcPr>
          <w:p w14:paraId="3DDA815A">
            <w:pPr>
              <w:adjustRightInd w:val="0"/>
              <w:snapToGrid w:val="0"/>
              <w:spacing w:line="264" w:lineRule="auto"/>
              <w:jc w:val="center"/>
              <w:rPr>
                <w:kern w:val="0"/>
                <w:sz w:val="15"/>
                <w:szCs w:val="15"/>
              </w:rPr>
            </w:pPr>
            <w:r>
              <w:rPr>
                <w:rFonts w:hAnsi="宋体"/>
                <w:kern w:val="0"/>
                <w:sz w:val="15"/>
                <w:szCs w:val="15"/>
              </w:rPr>
              <w:t>备注</w:t>
            </w:r>
          </w:p>
        </w:tc>
      </w:tr>
      <w:tr w14:paraId="230D5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45" w:type="dxa"/>
            <w:left w:w="28" w:type="dxa"/>
            <w:bottom w:w="45" w:type="dxa"/>
            <w:right w:w="28" w:type="dxa"/>
          </w:tblCellMar>
        </w:tblPrEx>
        <w:trPr>
          <w:jc w:val="center"/>
        </w:trPr>
        <w:tc>
          <w:tcPr>
            <w:tcW w:w="201" w:type="pct"/>
            <w:tcBorders>
              <w:top w:val="single" w:color="auto" w:sz="2" w:space="0"/>
              <w:left w:val="single" w:color="auto" w:sz="6" w:space="0"/>
              <w:bottom w:val="single" w:color="auto" w:sz="2" w:space="0"/>
              <w:right w:val="single" w:color="auto" w:sz="2" w:space="0"/>
            </w:tcBorders>
            <w:shd w:val="clear" w:color="auto" w:fill="auto"/>
            <w:vAlign w:val="center"/>
          </w:tcPr>
          <w:p w14:paraId="30CDB321">
            <w:pPr>
              <w:adjustRightInd w:val="0"/>
              <w:snapToGrid w:val="0"/>
              <w:spacing w:line="264" w:lineRule="auto"/>
              <w:jc w:val="center"/>
              <w:rPr>
                <w:kern w:val="0"/>
                <w:sz w:val="15"/>
                <w:szCs w:val="15"/>
              </w:rPr>
            </w:pPr>
            <w:r>
              <w:rPr>
                <w:kern w:val="0"/>
                <w:sz w:val="15"/>
                <w:szCs w:val="15"/>
              </w:rPr>
              <w:t>1</w:t>
            </w:r>
          </w:p>
        </w:tc>
        <w:tc>
          <w:tcPr>
            <w:tcW w:w="1186" w:type="pct"/>
            <w:gridSpan w:val="3"/>
            <w:tcBorders>
              <w:top w:val="single" w:color="auto" w:sz="2" w:space="0"/>
              <w:left w:val="single" w:color="auto" w:sz="2" w:space="0"/>
              <w:bottom w:val="single" w:color="auto" w:sz="2" w:space="0"/>
              <w:right w:val="single" w:color="auto" w:sz="2" w:space="0"/>
            </w:tcBorders>
            <w:shd w:val="clear" w:color="auto" w:fill="auto"/>
            <w:vAlign w:val="center"/>
          </w:tcPr>
          <w:p w14:paraId="0C4005D5">
            <w:pPr>
              <w:adjustRightInd w:val="0"/>
              <w:snapToGrid w:val="0"/>
              <w:spacing w:line="264" w:lineRule="auto"/>
              <w:jc w:val="center"/>
              <w:rPr>
                <w:kern w:val="0"/>
                <w:sz w:val="15"/>
                <w:szCs w:val="15"/>
              </w:rPr>
            </w:pPr>
            <w:r>
              <w:rPr>
                <w:kern w:val="0"/>
                <w:sz w:val="15"/>
                <w:szCs w:val="15"/>
              </w:rPr>
              <w:t>地下水位变化</w:t>
            </w:r>
          </w:p>
        </w:tc>
        <w:tc>
          <w:tcPr>
            <w:tcW w:w="970"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98C4036">
            <w:pPr>
              <w:adjustRightInd w:val="0"/>
              <w:snapToGrid w:val="0"/>
              <w:spacing w:line="264" w:lineRule="auto"/>
              <w:jc w:val="center"/>
              <w:rPr>
                <w:kern w:val="0"/>
                <w:sz w:val="15"/>
                <w:szCs w:val="15"/>
              </w:rPr>
            </w:pPr>
            <w:r>
              <w:rPr>
                <w:kern w:val="0"/>
                <w:sz w:val="15"/>
                <w:szCs w:val="15"/>
              </w:rPr>
              <w:t>2000</w:t>
            </w:r>
            <w:r>
              <w:rPr>
                <w:rFonts w:hint="eastAsia"/>
                <w:kern w:val="0"/>
                <w:sz w:val="15"/>
                <w:szCs w:val="15"/>
              </w:rPr>
              <w:t>（常年变幅以外）</w:t>
            </w:r>
          </w:p>
        </w:tc>
        <w:tc>
          <w:tcPr>
            <w:tcW w:w="941" w:type="pct"/>
            <w:tcBorders>
              <w:top w:val="single" w:color="auto" w:sz="2" w:space="0"/>
              <w:left w:val="single" w:color="auto" w:sz="2" w:space="0"/>
              <w:bottom w:val="single" w:color="auto" w:sz="2" w:space="0"/>
              <w:right w:val="single" w:color="auto" w:sz="2" w:space="0"/>
            </w:tcBorders>
            <w:vAlign w:val="center"/>
          </w:tcPr>
          <w:p w14:paraId="3E9D019D">
            <w:pPr>
              <w:adjustRightInd w:val="0"/>
              <w:snapToGrid w:val="0"/>
              <w:spacing w:line="264" w:lineRule="auto"/>
              <w:jc w:val="center"/>
              <w:rPr>
                <w:kern w:val="0"/>
                <w:sz w:val="15"/>
                <w:szCs w:val="15"/>
              </w:rPr>
            </w:pPr>
            <w:r>
              <w:rPr>
                <w:kern w:val="0"/>
                <w:sz w:val="15"/>
                <w:szCs w:val="15"/>
              </w:rPr>
              <w:t>500</w:t>
            </w:r>
          </w:p>
        </w:tc>
        <w:tc>
          <w:tcPr>
            <w:tcW w:w="1701" w:type="pct"/>
            <w:tcBorders>
              <w:top w:val="single" w:color="auto" w:sz="2" w:space="0"/>
              <w:left w:val="single" w:color="auto" w:sz="2" w:space="0"/>
              <w:bottom w:val="single" w:color="auto" w:sz="2" w:space="0"/>
              <w:right w:val="single" w:color="auto" w:sz="6" w:space="0"/>
            </w:tcBorders>
            <w:shd w:val="clear" w:color="auto" w:fill="auto"/>
            <w:noWrap/>
            <w:vAlign w:val="center"/>
          </w:tcPr>
          <w:p w14:paraId="241A1F55">
            <w:pPr>
              <w:adjustRightInd w:val="0"/>
              <w:snapToGrid w:val="0"/>
              <w:spacing w:line="264" w:lineRule="auto"/>
              <w:jc w:val="center"/>
              <w:rPr>
                <w:kern w:val="0"/>
                <w:sz w:val="15"/>
                <w:szCs w:val="15"/>
              </w:rPr>
            </w:pPr>
            <w:r>
              <w:rPr>
                <w:rFonts w:hint="eastAsia"/>
                <w:kern w:val="0"/>
                <w:sz w:val="15"/>
                <w:szCs w:val="15"/>
              </w:rPr>
              <w:t>水位标高距离基坑底小于</w:t>
            </w:r>
            <w:r>
              <w:rPr>
                <w:kern w:val="0"/>
                <w:sz w:val="15"/>
                <w:szCs w:val="15"/>
              </w:rPr>
              <w:t>1m</w:t>
            </w:r>
            <w:r>
              <w:rPr>
                <w:rFonts w:hint="eastAsia"/>
                <w:kern w:val="0"/>
                <w:sz w:val="15"/>
                <w:szCs w:val="15"/>
              </w:rPr>
              <w:t>时应预警</w:t>
            </w:r>
          </w:p>
        </w:tc>
      </w:tr>
      <w:tr w14:paraId="1249D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45" w:type="dxa"/>
            <w:left w:w="28" w:type="dxa"/>
            <w:bottom w:w="45" w:type="dxa"/>
            <w:right w:w="28" w:type="dxa"/>
          </w:tblCellMar>
        </w:tblPrEx>
        <w:trPr>
          <w:jc w:val="center"/>
        </w:trPr>
        <w:tc>
          <w:tcPr>
            <w:tcW w:w="201" w:type="pct"/>
            <w:vMerge w:val="restart"/>
            <w:tcBorders>
              <w:top w:val="single" w:color="auto" w:sz="2" w:space="0"/>
              <w:left w:val="single" w:color="auto" w:sz="6" w:space="0"/>
              <w:bottom w:val="single" w:color="auto" w:sz="2" w:space="0"/>
              <w:right w:val="single" w:color="auto" w:sz="2" w:space="0"/>
            </w:tcBorders>
            <w:shd w:val="clear" w:color="auto" w:fill="auto"/>
            <w:vAlign w:val="center"/>
          </w:tcPr>
          <w:p w14:paraId="6951CBD1">
            <w:pPr>
              <w:adjustRightInd w:val="0"/>
              <w:snapToGrid w:val="0"/>
              <w:spacing w:line="264" w:lineRule="auto"/>
              <w:jc w:val="center"/>
              <w:rPr>
                <w:kern w:val="0"/>
                <w:sz w:val="15"/>
                <w:szCs w:val="15"/>
              </w:rPr>
            </w:pPr>
            <w:r>
              <w:rPr>
                <w:kern w:val="0"/>
                <w:sz w:val="15"/>
                <w:szCs w:val="15"/>
              </w:rPr>
              <w:t>2</w:t>
            </w:r>
          </w:p>
        </w:tc>
        <w:tc>
          <w:tcPr>
            <w:tcW w:w="332"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1BC4E885">
            <w:pPr>
              <w:adjustRightInd w:val="0"/>
              <w:snapToGrid w:val="0"/>
              <w:spacing w:line="264" w:lineRule="auto"/>
              <w:jc w:val="center"/>
              <w:rPr>
                <w:kern w:val="0"/>
                <w:sz w:val="15"/>
                <w:szCs w:val="15"/>
              </w:rPr>
            </w:pPr>
            <w:r>
              <w:rPr>
                <w:kern w:val="0"/>
                <w:sz w:val="15"/>
                <w:szCs w:val="15"/>
              </w:rPr>
              <w:t>管线位移</w:t>
            </w:r>
          </w:p>
        </w:tc>
        <w:tc>
          <w:tcPr>
            <w:tcW w:w="339"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371D1E8E">
            <w:pPr>
              <w:adjustRightInd w:val="0"/>
              <w:snapToGrid w:val="0"/>
              <w:spacing w:line="264" w:lineRule="auto"/>
              <w:jc w:val="center"/>
              <w:rPr>
                <w:kern w:val="0"/>
                <w:sz w:val="15"/>
                <w:szCs w:val="15"/>
              </w:rPr>
            </w:pPr>
            <w:r>
              <w:rPr>
                <w:kern w:val="0"/>
                <w:sz w:val="15"/>
                <w:szCs w:val="15"/>
              </w:rPr>
              <w:t>刚性</w:t>
            </w:r>
          </w:p>
          <w:p w14:paraId="03C1D843">
            <w:pPr>
              <w:adjustRightInd w:val="0"/>
              <w:snapToGrid w:val="0"/>
              <w:spacing w:line="264" w:lineRule="auto"/>
              <w:jc w:val="center"/>
              <w:rPr>
                <w:kern w:val="0"/>
                <w:sz w:val="15"/>
                <w:szCs w:val="15"/>
              </w:rPr>
            </w:pPr>
            <w:r>
              <w:rPr>
                <w:kern w:val="0"/>
                <w:sz w:val="15"/>
                <w:szCs w:val="15"/>
              </w:rPr>
              <w:t>管道</w:t>
            </w:r>
          </w:p>
        </w:tc>
        <w:tc>
          <w:tcPr>
            <w:tcW w:w="515" w:type="pct"/>
            <w:tcBorders>
              <w:top w:val="single" w:color="auto" w:sz="2" w:space="0"/>
              <w:left w:val="single" w:color="auto" w:sz="2" w:space="0"/>
              <w:bottom w:val="single" w:color="auto" w:sz="2" w:space="0"/>
              <w:right w:val="single" w:color="auto" w:sz="2" w:space="0"/>
            </w:tcBorders>
            <w:shd w:val="clear" w:color="auto" w:fill="auto"/>
            <w:vAlign w:val="center"/>
          </w:tcPr>
          <w:p w14:paraId="39A36EDC">
            <w:pPr>
              <w:adjustRightInd w:val="0"/>
              <w:snapToGrid w:val="0"/>
              <w:spacing w:line="264" w:lineRule="auto"/>
              <w:jc w:val="center"/>
              <w:rPr>
                <w:kern w:val="0"/>
                <w:sz w:val="15"/>
                <w:szCs w:val="15"/>
              </w:rPr>
            </w:pPr>
            <w:r>
              <w:rPr>
                <w:kern w:val="0"/>
                <w:sz w:val="15"/>
                <w:szCs w:val="15"/>
              </w:rPr>
              <w:t>压力</w:t>
            </w:r>
          </w:p>
        </w:tc>
        <w:tc>
          <w:tcPr>
            <w:tcW w:w="970" w:type="pct"/>
            <w:tcBorders>
              <w:top w:val="single" w:color="auto" w:sz="2" w:space="0"/>
              <w:left w:val="single" w:color="auto" w:sz="2" w:space="0"/>
              <w:bottom w:val="single" w:color="auto" w:sz="2" w:space="0"/>
              <w:right w:val="single" w:color="auto" w:sz="2" w:space="0"/>
            </w:tcBorders>
            <w:shd w:val="clear" w:color="auto" w:fill="auto"/>
            <w:vAlign w:val="center"/>
          </w:tcPr>
          <w:p w14:paraId="2DCC93BB">
            <w:pPr>
              <w:adjustRightInd w:val="0"/>
              <w:snapToGrid w:val="0"/>
              <w:spacing w:line="264" w:lineRule="auto"/>
              <w:jc w:val="center"/>
              <w:rPr>
                <w:kern w:val="0"/>
                <w:sz w:val="15"/>
                <w:szCs w:val="15"/>
              </w:rPr>
            </w:pPr>
            <w:r>
              <w:rPr>
                <w:kern w:val="0"/>
                <w:sz w:val="15"/>
                <w:szCs w:val="15"/>
              </w:rPr>
              <w:t>10</w:t>
            </w:r>
            <w:r>
              <w:rPr>
                <w:sz w:val="15"/>
                <w:szCs w:val="15"/>
              </w:rPr>
              <w:t>～</w:t>
            </w:r>
            <w:r>
              <w:rPr>
                <w:kern w:val="0"/>
                <w:sz w:val="15"/>
                <w:szCs w:val="15"/>
              </w:rPr>
              <w:t>20</w:t>
            </w:r>
          </w:p>
        </w:tc>
        <w:tc>
          <w:tcPr>
            <w:tcW w:w="941" w:type="pct"/>
            <w:tcBorders>
              <w:top w:val="single" w:color="auto" w:sz="2" w:space="0"/>
              <w:left w:val="single" w:color="auto" w:sz="2" w:space="0"/>
              <w:bottom w:val="single" w:color="auto" w:sz="2" w:space="0"/>
              <w:right w:val="single" w:color="auto" w:sz="2" w:space="0"/>
            </w:tcBorders>
            <w:shd w:val="clear" w:color="auto" w:fill="auto"/>
            <w:vAlign w:val="center"/>
          </w:tcPr>
          <w:p w14:paraId="3C947BD8">
            <w:pPr>
              <w:adjustRightInd w:val="0"/>
              <w:snapToGrid w:val="0"/>
              <w:spacing w:line="264" w:lineRule="auto"/>
              <w:jc w:val="center"/>
              <w:rPr>
                <w:kern w:val="0"/>
                <w:sz w:val="15"/>
                <w:szCs w:val="15"/>
              </w:rPr>
            </w:pPr>
            <w:r>
              <w:rPr>
                <w:kern w:val="0"/>
                <w:sz w:val="15"/>
                <w:szCs w:val="15"/>
              </w:rPr>
              <w:t>2</w:t>
            </w:r>
          </w:p>
        </w:tc>
        <w:tc>
          <w:tcPr>
            <w:tcW w:w="1701" w:type="pct"/>
            <w:vMerge w:val="restart"/>
            <w:tcBorders>
              <w:top w:val="single" w:color="auto" w:sz="2" w:space="0"/>
              <w:left w:val="single" w:color="auto" w:sz="2" w:space="0"/>
              <w:bottom w:val="single" w:color="auto" w:sz="2" w:space="0"/>
              <w:right w:val="single" w:color="auto" w:sz="6" w:space="0"/>
            </w:tcBorders>
            <w:shd w:val="clear" w:color="auto" w:fill="auto"/>
            <w:vAlign w:val="center"/>
          </w:tcPr>
          <w:p w14:paraId="622E0FCB">
            <w:pPr>
              <w:adjustRightInd w:val="0"/>
              <w:snapToGrid w:val="0"/>
              <w:spacing w:line="264" w:lineRule="auto"/>
              <w:jc w:val="center"/>
              <w:rPr>
                <w:kern w:val="0"/>
                <w:sz w:val="15"/>
                <w:szCs w:val="15"/>
              </w:rPr>
            </w:pPr>
            <w:r>
              <w:rPr>
                <w:kern w:val="0"/>
                <w:sz w:val="15"/>
                <w:szCs w:val="15"/>
              </w:rPr>
              <w:t>直接观察点数据</w:t>
            </w:r>
          </w:p>
        </w:tc>
      </w:tr>
      <w:tr w14:paraId="67AB6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45" w:type="dxa"/>
            <w:left w:w="28" w:type="dxa"/>
            <w:bottom w:w="45" w:type="dxa"/>
            <w:right w:w="28" w:type="dxa"/>
          </w:tblCellMar>
        </w:tblPrEx>
        <w:trPr>
          <w:jc w:val="center"/>
        </w:trPr>
        <w:tc>
          <w:tcPr>
            <w:tcW w:w="201" w:type="pct"/>
            <w:vMerge w:val="continue"/>
            <w:tcBorders>
              <w:top w:val="single" w:color="auto" w:sz="2" w:space="0"/>
              <w:left w:val="single" w:color="auto" w:sz="6" w:space="0"/>
              <w:bottom w:val="single" w:color="auto" w:sz="2" w:space="0"/>
              <w:right w:val="single" w:color="auto" w:sz="2" w:space="0"/>
            </w:tcBorders>
            <w:vAlign w:val="center"/>
          </w:tcPr>
          <w:p w14:paraId="0D2C2BC8">
            <w:pPr>
              <w:adjustRightInd w:val="0"/>
              <w:snapToGrid w:val="0"/>
              <w:spacing w:line="264" w:lineRule="auto"/>
              <w:jc w:val="center"/>
              <w:rPr>
                <w:kern w:val="0"/>
                <w:sz w:val="15"/>
                <w:szCs w:val="15"/>
              </w:rPr>
            </w:pPr>
          </w:p>
        </w:tc>
        <w:tc>
          <w:tcPr>
            <w:tcW w:w="332" w:type="pct"/>
            <w:vMerge w:val="continue"/>
            <w:tcBorders>
              <w:top w:val="single" w:color="auto" w:sz="2" w:space="0"/>
              <w:left w:val="single" w:color="auto" w:sz="2" w:space="0"/>
              <w:bottom w:val="single" w:color="auto" w:sz="2" w:space="0"/>
              <w:right w:val="single" w:color="auto" w:sz="2" w:space="0"/>
            </w:tcBorders>
            <w:vAlign w:val="center"/>
          </w:tcPr>
          <w:p w14:paraId="43C11B0D">
            <w:pPr>
              <w:adjustRightInd w:val="0"/>
              <w:snapToGrid w:val="0"/>
              <w:spacing w:line="264" w:lineRule="auto"/>
              <w:jc w:val="center"/>
              <w:rPr>
                <w:kern w:val="0"/>
                <w:sz w:val="15"/>
                <w:szCs w:val="15"/>
              </w:rPr>
            </w:pPr>
          </w:p>
        </w:tc>
        <w:tc>
          <w:tcPr>
            <w:tcW w:w="339"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0691F357">
            <w:pPr>
              <w:adjustRightInd w:val="0"/>
              <w:snapToGrid w:val="0"/>
              <w:spacing w:line="264" w:lineRule="auto"/>
              <w:jc w:val="center"/>
              <w:rPr>
                <w:kern w:val="0"/>
                <w:sz w:val="15"/>
                <w:szCs w:val="15"/>
              </w:rPr>
            </w:pPr>
          </w:p>
        </w:tc>
        <w:tc>
          <w:tcPr>
            <w:tcW w:w="515" w:type="pct"/>
            <w:tcBorders>
              <w:top w:val="single" w:color="auto" w:sz="2" w:space="0"/>
              <w:left w:val="single" w:color="auto" w:sz="2" w:space="0"/>
              <w:bottom w:val="single" w:color="auto" w:sz="2" w:space="0"/>
              <w:right w:val="single" w:color="auto" w:sz="2" w:space="0"/>
            </w:tcBorders>
            <w:shd w:val="clear" w:color="auto" w:fill="auto"/>
            <w:vAlign w:val="center"/>
          </w:tcPr>
          <w:p w14:paraId="576B71AF">
            <w:pPr>
              <w:adjustRightInd w:val="0"/>
              <w:snapToGrid w:val="0"/>
              <w:spacing w:line="264" w:lineRule="auto"/>
              <w:jc w:val="center"/>
              <w:rPr>
                <w:kern w:val="0"/>
                <w:sz w:val="15"/>
                <w:szCs w:val="15"/>
              </w:rPr>
            </w:pPr>
            <w:r>
              <w:rPr>
                <w:kern w:val="0"/>
                <w:sz w:val="15"/>
                <w:szCs w:val="15"/>
              </w:rPr>
              <w:t>非压力</w:t>
            </w:r>
          </w:p>
        </w:tc>
        <w:tc>
          <w:tcPr>
            <w:tcW w:w="970" w:type="pct"/>
            <w:tcBorders>
              <w:top w:val="single" w:color="auto" w:sz="2" w:space="0"/>
              <w:left w:val="single" w:color="auto" w:sz="2" w:space="0"/>
              <w:bottom w:val="single" w:color="auto" w:sz="2" w:space="0"/>
              <w:right w:val="single" w:color="auto" w:sz="2" w:space="0"/>
            </w:tcBorders>
            <w:shd w:val="clear" w:color="auto" w:fill="auto"/>
            <w:vAlign w:val="center"/>
          </w:tcPr>
          <w:p w14:paraId="02806D8A">
            <w:pPr>
              <w:adjustRightInd w:val="0"/>
              <w:snapToGrid w:val="0"/>
              <w:spacing w:line="264" w:lineRule="auto"/>
              <w:jc w:val="center"/>
              <w:rPr>
                <w:kern w:val="0"/>
                <w:sz w:val="15"/>
                <w:szCs w:val="15"/>
              </w:rPr>
            </w:pPr>
            <w:r>
              <w:rPr>
                <w:kern w:val="0"/>
                <w:sz w:val="15"/>
                <w:szCs w:val="15"/>
              </w:rPr>
              <w:t>10</w:t>
            </w:r>
            <w:r>
              <w:rPr>
                <w:sz w:val="15"/>
                <w:szCs w:val="15"/>
              </w:rPr>
              <w:t>～</w:t>
            </w:r>
            <w:r>
              <w:rPr>
                <w:kern w:val="0"/>
                <w:sz w:val="15"/>
                <w:szCs w:val="15"/>
              </w:rPr>
              <w:t>30</w:t>
            </w:r>
          </w:p>
        </w:tc>
        <w:tc>
          <w:tcPr>
            <w:tcW w:w="941" w:type="pct"/>
            <w:tcBorders>
              <w:top w:val="single" w:color="auto" w:sz="2" w:space="0"/>
              <w:left w:val="single" w:color="auto" w:sz="2" w:space="0"/>
              <w:bottom w:val="single" w:color="auto" w:sz="2" w:space="0"/>
              <w:right w:val="single" w:color="auto" w:sz="2" w:space="0"/>
            </w:tcBorders>
            <w:shd w:val="clear" w:color="auto" w:fill="auto"/>
            <w:vAlign w:val="center"/>
          </w:tcPr>
          <w:p w14:paraId="5D3CDF76">
            <w:pPr>
              <w:adjustRightInd w:val="0"/>
              <w:snapToGrid w:val="0"/>
              <w:spacing w:line="264" w:lineRule="auto"/>
              <w:jc w:val="center"/>
              <w:rPr>
                <w:kern w:val="0"/>
                <w:sz w:val="15"/>
                <w:szCs w:val="15"/>
              </w:rPr>
            </w:pPr>
            <w:r>
              <w:rPr>
                <w:kern w:val="0"/>
                <w:sz w:val="15"/>
                <w:szCs w:val="15"/>
              </w:rPr>
              <w:t>2</w:t>
            </w:r>
          </w:p>
        </w:tc>
        <w:tc>
          <w:tcPr>
            <w:tcW w:w="1701" w:type="pct"/>
            <w:vMerge w:val="continue"/>
            <w:tcBorders>
              <w:top w:val="single" w:color="auto" w:sz="2" w:space="0"/>
              <w:left w:val="single" w:color="auto" w:sz="2" w:space="0"/>
              <w:bottom w:val="single" w:color="auto" w:sz="2" w:space="0"/>
              <w:right w:val="single" w:color="auto" w:sz="6" w:space="0"/>
            </w:tcBorders>
            <w:shd w:val="clear" w:color="auto" w:fill="auto"/>
            <w:vAlign w:val="center"/>
          </w:tcPr>
          <w:p w14:paraId="71615AD3">
            <w:pPr>
              <w:adjustRightInd w:val="0"/>
              <w:snapToGrid w:val="0"/>
              <w:spacing w:line="264" w:lineRule="auto"/>
              <w:jc w:val="center"/>
              <w:rPr>
                <w:kern w:val="0"/>
                <w:sz w:val="15"/>
                <w:szCs w:val="15"/>
              </w:rPr>
            </w:pPr>
          </w:p>
        </w:tc>
      </w:tr>
      <w:tr w14:paraId="0060A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45" w:type="dxa"/>
            <w:left w:w="28" w:type="dxa"/>
            <w:bottom w:w="45" w:type="dxa"/>
            <w:right w:w="28" w:type="dxa"/>
          </w:tblCellMar>
        </w:tblPrEx>
        <w:trPr>
          <w:jc w:val="center"/>
        </w:trPr>
        <w:tc>
          <w:tcPr>
            <w:tcW w:w="201" w:type="pct"/>
            <w:vMerge w:val="continue"/>
            <w:tcBorders>
              <w:top w:val="single" w:color="auto" w:sz="2" w:space="0"/>
              <w:left w:val="single" w:color="auto" w:sz="6" w:space="0"/>
              <w:bottom w:val="single" w:color="auto" w:sz="2" w:space="0"/>
              <w:right w:val="single" w:color="auto" w:sz="2" w:space="0"/>
            </w:tcBorders>
            <w:vAlign w:val="center"/>
          </w:tcPr>
          <w:p w14:paraId="6C8620E1">
            <w:pPr>
              <w:adjustRightInd w:val="0"/>
              <w:snapToGrid w:val="0"/>
              <w:spacing w:line="264" w:lineRule="auto"/>
              <w:jc w:val="center"/>
              <w:rPr>
                <w:kern w:val="0"/>
                <w:sz w:val="15"/>
                <w:szCs w:val="15"/>
              </w:rPr>
            </w:pPr>
          </w:p>
        </w:tc>
        <w:tc>
          <w:tcPr>
            <w:tcW w:w="332" w:type="pct"/>
            <w:vMerge w:val="continue"/>
            <w:tcBorders>
              <w:top w:val="single" w:color="auto" w:sz="2" w:space="0"/>
              <w:left w:val="single" w:color="auto" w:sz="2" w:space="0"/>
              <w:bottom w:val="single" w:color="auto" w:sz="2" w:space="0"/>
              <w:right w:val="single" w:color="auto" w:sz="2" w:space="0"/>
            </w:tcBorders>
            <w:vAlign w:val="center"/>
          </w:tcPr>
          <w:p w14:paraId="4E00E995">
            <w:pPr>
              <w:adjustRightInd w:val="0"/>
              <w:snapToGrid w:val="0"/>
              <w:spacing w:line="264" w:lineRule="auto"/>
              <w:jc w:val="center"/>
              <w:rPr>
                <w:kern w:val="0"/>
                <w:sz w:val="15"/>
                <w:szCs w:val="15"/>
              </w:rPr>
            </w:pPr>
          </w:p>
        </w:tc>
        <w:tc>
          <w:tcPr>
            <w:tcW w:w="854"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7E24B80F">
            <w:pPr>
              <w:adjustRightInd w:val="0"/>
              <w:snapToGrid w:val="0"/>
              <w:spacing w:line="264" w:lineRule="auto"/>
              <w:jc w:val="center"/>
              <w:rPr>
                <w:kern w:val="0"/>
                <w:sz w:val="15"/>
                <w:szCs w:val="15"/>
              </w:rPr>
            </w:pPr>
            <w:r>
              <w:rPr>
                <w:kern w:val="0"/>
                <w:sz w:val="15"/>
                <w:szCs w:val="15"/>
              </w:rPr>
              <w:t>柔性管线</w:t>
            </w:r>
          </w:p>
        </w:tc>
        <w:tc>
          <w:tcPr>
            <w:tcW w:w="970" w:type="pct"/>
            <w:tcBorders>
              <w:top w:val="single" w:color="auto" w:sz="2" w:space="0"/>
              <w:left w:val="single" w:color="auto" w:sz="2" w:space="0"/>
              <w:bottom w:val="single" w:color="auto" w:sz="2" w:space="0"/>
              <w:right w:val="single" w:color="auto" w:sz="2" w:space="0"/>
            </w:tcBorders>
            <w:shd w:val="clear" w:color="auto" w:fill="auto"/>
            <w:vAlign w:val="center"/>
          </w:tcPr>
          <w:p w14:paraId="213AEA97">
            <w:pPr>
              <w:adjustRightInd w:val="0"/>
              <w:snapToGrid w:val="0"/>
              <w:spacing w:line="264" w:lineRule="auto"/>
              <w:jc w:val="center"/>
              <w:rPr>
                <w:kern w:val="0"/>
                <w:sz w:val="15"/>
                <w:szCs w:val="15"/>
              </w:rPr>
            </w:pPr>
            <w:r>
              <w:rPr>
                <w:kern w:val="0"/>
                <w:sz w:val="15"/>
                <w:szCs w:val="15"/>
              </w:rPr>
              <w:t>10</w:t>
            </w:r>
            <w:r>
              <w:rPr>
                <w:sz w:val="15"/>
                <w:szCs w:val="15"/>
              </w:rPr>
              <w:t>～</w:t>
            </w:r>
            <w:r>
              <w:rPr>
                <w:kern w:val="0"/>
                <w:sz w:val="15"/>
                <w:szCs w:val="15"/>
              </w:rPr>
              <w:t>40</w:t>
            </w:r>
          </w:p>
        </w:tc>
        <w:tc>
          <w:tcPr>
            <w:tcW w:w="941" w:type="pct"/>
            <w:tcBorders>
              <w:top w:val="single" w:color="auto" w:sz="2" w:space="0"/>
              <w:left w:val="single" w:color="auto" w:sz="2" w:space="0"/>
              <w:bottom w:val="single" w:color="auto" w:sz="2" w:space="0"/>
              <w:right w:val="single" w:color="auto" w:sz="2" w:space="0"/>
            </w:tcBorders>
            <w:shd w:val="clear" w:color="auto" w:fill="auto"/>
            <w:vAlign w:val="center"/>
          </w:tcPr>
          <w:p w14:paraId="70792593">
            <w:pPr>
              <w:adjustRightInd w:val="0"/>
              <w:snapToGrid w:val="0"/>
              <w:spacing w:line="264" w:lineRule="auto"/>
              <w:jc w:val="center"/>
              <w:rPr>
                <w:kern w:val="0"/>
                <w:sz w:val="15"/>
                <w:szCs w:val="15"/>
              </w:rPr>
            </w:pPr>
            <w:r>
              <w:rPr>
                <w:kern w:val="0"/>
                <w:sz w:val="15"/>
                <w:szCs w:val="15"/>
              </w:rPr>
              <w:t>3</w:t>
            </w:r>
            <w:r>
              <w:rPr>
                <w:sz w:val="15"/>
                <w:szCs w:val="15"/>
              </w:rPr>
              <w:t>～</w:t>
            </w:r>
            <w:r>
              <w:rPr>
                <w:kern w:val="0"/>
                <w:sz w:val="15"/>
                <w:szCs w:val="15"/>
              </w:rPr>
              <w:t>5</w:t>
            </w:r>
          </w:p>
        </w:tc>
        <w:tc>
          <w:tcPr>
            <w:tcW w:w="1701" w:type="pct"/>
            <w:tcBorders>
              <w:top w:val="single" w:color="auto" w:sz="2" w:space="0"/>
              <w:left w:val="single" w:color="auto" w:sz="2" w:space="0"/>
              <w:bottom w:val="single" w:color="auto" w:sz="2" w:space="0"/>
              <w:right w:val="single" w:color="auto" w:sz="6" w:space="0"/>
            </w:tcBorders>
            <w:shd w:val="clear" w:color="auto" w:fill="auto"/>
            <w:vAlign w:val="center"/>
          </w:tcPr>
          <w:p w14:paraId="0CE92649">
            <w:pPr>
              <w:adjustRightInd w:val="0"/>
              <w:snapToGrid w:val="0"/>
              <w:spacing w:line="264" w:lineRule="auto"/>
              <w:jc w:val="center"/>
              <w:rPr>
                <w:kern w:val="0"/>
                <w:sz w:val="15"/>
                <w:szCs w:val="15"/>
              </w:rPr>
            </w:pPr>
            <w:r>
              <w:rPr>
                <w:kern w:val="0"/>
                <w:sz w:val="15"/>
                <w:szCs w:val="15"/>
              </w:rPr>
              <w:t>—</w:t>
            </w:r>
          </w:p>
        </w:tc>
      </w:tr>
      <w:tr w14:paraId="73DDC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45" w:type="dxa"/>
            <w:left w:w="28" w:type="dxa"/>
            <w:bottom w:w="45" w:type="dxa"/>
            <w:right w:w="28" w:type="dxa"/>
          </w:tblCellMar>
        </w:tblPrEx>
        <w:trPr>
          <w:jc w:val="center"/>
        </w:trPr>
        <w:tc>
          <w:tcPr>
            <w:tcW w:w="201" w:type="pct"/>
            <w:vMerge w:val="restart"/>
            <w:tcBorders>
              <w:top w:val="single" w:color="auto" w:sz="2" w:space="0"/>
              <w:left w:val="single" w:color="auto" w:sz="6" w:space="0"/>
              <w:right w:val="single" w:color="auto" w:sz="2" w:space="0"/>
            </w:tcBorders>
            <w:vAlign w:val="center"/>
          </w:tcPr>
          <w:p w14:paraId="59C83F7D">
            <w:pPr>
              <w:adjustRightInd w:val="0"/>
              <w:snapToGrid w:val="0"/>
              <w:spacing w:line="264" w:lineRule="auto"/>
              <w:jc w:val="center"/>
              <w:rPr>
                <w:kern w:val="0"/>
                <w:sz w:val="15"/>
                <w:szCs w:val="15"/>
              </w:rPr>
            </w:pPr>
            <w:r>
              <w:rPr>
                <w:rFonts w:hint="eastAsia"/>
                <w:kern w:val="0"/>
                <w:sz w:val="15"/>
                <w:szCs w:val="15"/>
              </w:rPr>
              <w:t>3</w:t>
            </w:r>
          </w:p>
        </w:tc>
        <w:tc>
          <w:tcPr>
            <w:tcW w:w="332" w:type="pct"/>
            <w:vMerge w:val="restart"/>
            <w:tcBorders>
              <w:top w:val="single" w:color="auto" w:sz="2" w:space="0"/>
              <w:left w:val="single" w:color="auto" w:sz="2" w:space="0"/>
              <w:right w:val="single" w:color="auto" w:sz="2" w:space="0"/>
            </w:tcBorders>
            <w:vAlign w:val="center"/>
          </w:tcPr>
          <w:p w14:paraId="0F8A4CD0">
            <w:pPr>
              <w:adjustRightInd w:val="0"/>
              <w:snapToGrid w:val="0"/>
              <w:spacing w:line="264" w:lineRule="auto"/>
              <w:jc w:val="center"/>
              <w:rPr>
                <w:kern w:val="0"/>
                <w:sz w:val="15"/>
                <w:szCs w:val="15"/>
              </w:rPr>
            </w:pPr>
            <w:r>
              <w:rPr>
                <w:rFonts w:hint="eastAsia"/>
                <w:kern w:val="0"/>
                <w:sz w:val="15"/>
                <w:szCs w:val="15"/>
              </w:rPr>
              <w:t>道路路基沉降</w:t>
            </w:r>
          </w:p>
        </w:tc>
        <w:tc>
          <w:tcPr>
            <w:tcW w:w="854"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3473F500">
            <w:pPr>
              <w:adjustRightInd w:val="0"/>
              <w:snapToGrid w:val="0"/>
              <w:spacing w:line="264" w:lineRule="auto"/>
              <w:jc w:val="center"/>
              <w:rPr>
                <w:kern w:val="0"/>
                <w:sz w:val="15"/>
                <w:szCs w:val="15"/>
              </w:rPr>
            </w:pPr>
            <w:r>
              <w:rPr>
                <w:rFonts w:hint="eastAsia"/>
                <w:kern w:val="0"/>
                <w:sz w:val="15"/>
                <w:szCs w:val="15"/>
              </w:rPr>
              <w:t>高速公路、道路主干</w:t>
            </w:r>
          </w:p>
        </w:tc>
        <w:tc>
          <w:tcPr>
            <w:tcW w:w="970" w:type="pct"/>
            <w:tcBorders>
              <w:top w:val="single" w:color="auto" w:sz="2" w:space="0"/>
              <w:left w:val="single" w:color="auto" w:sz="2" w:space="0"/>
              <w:bottom w:val="single" w:color="auto" w:sz="2" w:space="0"/>
              <w:right w:val="single" w:color="auto" w:sz="2" w:space="0"/>
            </w:tcBorders>
            <w:shd w:val="clear" w:color="auto" w:fill="auto"/>
            <w:vAlign w:val="center"/>
          </w:tcPr>
          <w:p w14:paraId="5482A467">
            <w:pPr>
              <w:adjustRightInd w:val="0"/>
              <w:snapToGrid w:val="0"/>
              <w:spacing w:line="264" w:lineRule="auto"/>
              <w:jc w:val="center"/>
              <w:rPr>
                <w:kern w:val="0"/>
                <w:sz w:val="15"/>
                <w:szCs w:val="15"/>
              </w:rPr>
            </w:pPr>
            <w:r>
              <w:rPr>
                <w:rFonts w:hint="eastAsia"/>
                <w:kern w:val="0"/>
                <w:sz w:val="15"/>
                <w:szCs w:val="15"/>
              </w:rPr>
              <w:t>1</w:t>
            </w:r>
            <w:r>
              <w:rPr>
                <w:kern w:val="0"/>
                <w:sz w:val="15"/>
                <w:szCs w:val="15"/>
              </w:rPr>
              <w:t>0</w:t>
            </w:r>
            <w:r>
              <w:rPr>
                <w:sz w:val="15"/>
                <w:szCs w:val="15"/>
              </w:rPr>
              <w:t>～</w:t>
            </w:r>
            <w:r>
              <w:rPr>
                <w:rFonts w:hint="eastAsia"/>
                <w:sz w:val="15"/>
                <w:szCs w:val="15"/>
              </w:rPr>
              <w:t>3</w:t>
            </w:r>
            <w:r>
              <w:rPr>
                <w:sz w:val="15"/>
                <w:szCs w:val="15"/>
              </w:rPr>
              <w:t>0</w:t>
            </w:r>
          </w:p>
        </w:tc>
        <w:tc>
          <w:tcPr>
            <w:tcW w:w="941" w:type="pct"/>
            <w:tcBorders>
              <w:top w:val="single" w:color="auto" w:sz="2" w:space="0"/>
              <w:left w:val="single" w:color="auto" w:sz="2" w:space="0"/>
              <w:bottom w:val="single" w:color="auto" w:sz="2" w:space="0"/>
              <w:right w:val="single" w:color="auto" w:sz="2" w:space="0"/>
            </w:tcBorders>
            <w:shd w:val="clear" w:color="auto" w:fill="auto"/>
            <w:vAlign w:val="center"/>
          </w:tcPr>
          <w:p w14:paraId="6A6F2012">
            <w:pPr>
              <w:adjustRightInd w:val="0"/>
              <w:snapToGrid w:val="0"/>
              <w:spacing w:line="264" w:lineRule="auto"/>
              <w:jc w:val="center"/>
              <w:rPr>
                <w:kern w:val="0"/>
                <w:sz w:val="15"/>
                <w:szCs w:val="15"/>
              </w:rPr>
            </w:pPr>
            <w:r>
              <w:rPr>
                <w:rFonts w:hint="eastAsia"/>
                <w:kern w:val="0"/>
                <w:sz w:val="15"/>
                <w:szCs w:val="15"/>
              </w:rPr>
              <w:t>3</w:t>
            </w:r>
          </w:p>
        </w:tc>
        <w:tc>
          <w:tcPr>
            <w:tcW w:w="1701" w:type="pct"/>
            <w:tcBorders>
              <w:top w:val="single" w:color="auto" w:sz="2" w:space="0"/>
              <w:left w:val="single" w:color="auto" w:sz="2" w:space="0"/>
              <w:bottom w:val="single" w:color="auto" w:sz="2" w:space="0"/>
              <w:right w:val="single" w:color="auto" w:sz="6" w:space="0"/>
            </w:tcBorders>
            <w:shd w:val="clear" w:color="auto" w:fill="auto"/>
          </w:tcPr>
          <w:p w14:paraId="5921D302">
            <w:pPr>
              <w:adjustRightInd w:val="0"/>
              <w:snapToGrid w:val="0"/>
              <w:spacing w:line="264" w:lineRule="auto"/>
              <w:jc w:val="center"/>
              <w:rPr>
                <w:kern w:val="0"/>
                <w:sz w:val="15"/>
                <w:szCs w:val="15"/>
              </w:rPr>
            </w:pPr>
            <w:r>
              <w:rPr>
                <w:kern w:val="0"/>
                <w:sz w:val="15"/>
                <w:szCs w:val="15"/>
              </w:rPr>
              <w:t>—</w:t>
            </w:r>
          </w:p>
        </w:tc>
      </w:tr>
      <w:tr w14:paraId="5BBC6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45" w:type="dxa"/>
            <w:left w:w="28" w:type="dxa"/>
            <w:bottom w:w="45" w:type="dxa"/>
            <w:right w:w="28" w:type="dxa"/>
          </w:tblCellMar>
        </w:tblPrEx>
        <w:trPr>
          <w:jc w:val="center"/>
        </w:trPr>
        <w:tc>
          <w:tcPr>
            <w:tcW w:w="201" w:type="pct"/>
            <w:vMerge w:val="continue"/>
            <w:tcBorders>
              <w:left w:val="single" w:color="auto" w:sz="6" w:space="0"/>
              <w:bottom w:val="single" w:color="auto" w:sz="2" w:space="0"/>
              <w:right w:val="single" w:color="auto" w:sz="2" w:space="0"/>
            </w:tcBorders>
            <w:vAlign w:val="center"/>
          </w:tcPr>
          <w:p w14:paraId="439DEB3B">
            <w:pPr>
              <w:adjustRightInd w:val="0"/>
              <w:snapToGrid w:val="0"/>
              <w:spacing w:line="264" w:lineRule="auto"/>
              <w:jc w:val="center"/>
              <w:rPr>
                <w:kern w:val="0"/>
                <w:sz w:val="15"/>
                <w:szCs w:val="15"/>
              </w:rPr>
            </w:pPr>
          </w:p>
        </w:tc>
        <w:tc>
          <w:tcPr>
            <w:tcW w:w="332" w:type="pct"/>
            <w:vMerge w:val="continue"/>
            <w:tcBorders>
              <w:left w:val="single" w:color="auto" w:sz="2" w:space="0"/>
              <w:bottom w:val="single" w:color="auto" w:sz="2" w:space="0"/>
              <w:right w:val="single" w:color="auto" w:sz="2" w:space="0"/>
            </w:tcBorders>
            <w:vAlign w:val="center"/>
          </w:tcPr>
          <w:p w14:paraId="5116B95C">
            <w:pPr>
              <w:adjustRightInd w:val="0"/>
              <w:snapToGrid w:val="0"/>
              <w:spacing w:line="264" w:lineRule="auto"/>
              <w:jc w:val="center"/>
              <w:rPr>
                <w:kern w:val="0"/>
                <w:sz w:val="15"/>
                <w:szCs w:val="15"/>
              </w:rPr>
            </w:pPr>
          </w:p>
        </w:tc>
        <w:tc>
          <w:tcPr>
            <w:tcW w:w="854"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7B7B2B92">
            <w:pPr>
              <w:adjustRightInd w:val="0"/>
              <w:snapToGrid w:val="0"/>
              <w:spacing w:line="264" w:lineRule="auto"/>
              <w:jc w:val="center"/>
              <w:rPr>
                <w:kern w:val="0"/>
                <w:sz w:val="15"/>
                <w:szCs w:val="15"/>
              </w:rPr>
            </w:pPr>
            <w:r>
              <w:rPr>
                <w:rFonts w:hint="eastAsia"/>
                <w:kern w:val="0"/>
                <w:sz w:val="15"/>
                <w:szCs w:val="15"/>
              </w:rPr>
              <w:t>一般城市道路</w:t>
            </w:r>
          </w:p>
        </w:tc>
        <w:tc>
          <w:tcPr>
            <w:tcW w:w="970" w:type="pct"/>
            <w:tcBorders>
              <w:top w:val="single" w:color="auto" w:sz="2" w:space="0"/>
              <w:left w:val="single" w:color="auto" w:sz="2" w:space="0"/>
              <w:bottom w:val="single" w:color="auto" w:sz="2" w:space="0"/>
              <w:right w:val="single" w:color="auto" w:sz="2" w:space="0"/>
            </w:tcBorders>
            <w:shd w:val="clear" w:color="auto" w:fill="auto"/>
            <w:vAlign w:val="center"/>
          </w:tcPr>
          <w:p w14:paraId="3D15DE44">
            <w:pPr>
              <w:adjustRightInd w:val="0"/>
              <w:snapToGrid w:val="0"/>
              <w:spacing w:line="264" w:lineRule="auto"/>
              <w:jc w:val="center"/>
              <w:rPr>
                <w:kern w:val="0"/>
                <w:sz w:val="15"/>
                <w:szCs w:val="15"/>
              </w:rPr>
            </w:pPr>
            <w:r>
              <w:rPr>
                <w:rFonts w:hint="eastAsia"/>
                <w:kern w:val="0"/>
                <w:sz w:val="15"/>
                <w:szCs w:val="15"/>
              </w:rPr>
              <w:t>2</w:t>
            </w:r>
            <w:r>
              <w:rPr>
                <w:kern w:val="0"/>
                <w:sz w:val="15"/>
                <w:szCs w:val="15"/>
              </w:rPr>
              <w:t>0</w:t>
            </w:r>
            <w:r>
              <w:rPr>
                <w:sz w:val="15"/>
                <w:szCs w:val="15"/>
              </w:rPr>
              <w:t>～</w:t>
            </w:r>
            <w:r>
              <w:rPr>
                <w:rFonts w:hint="eastAsia"/>
                <w:sz w:val="15"/>
                <w:szCs w:val="15"/>
              </w:rPr>
              <w:t>4</w:t>
            </w:r>
            <w:r>
              <w:rPr>
                <w:sz w:val="15"/>
                <w:szCs w:val="15"/>
              </w:rPr>
              <w:t>0</w:t>
            </w:r>
          </w:p>
        </w:tc>
        <w:tc>
          <w:tcPr>
            <w:tcW w:w="941" w:type="pct"/>
            <w:tcBorders>
              <w:top w:val="single" w:color="auto" w:sz="2" w:space="0"/>
              <w:left w:val="single" w:color="auto" w:sz="2" w:space="0"/>
              <w:bottom w:val="single" w:color="auto" w:sz="2" w:space="0"/>
              <w:right w:val="single" w:color="auto" w:sz="2" w:space="0"/>
            </w:tcBorders>
            <w:shd w:val="clear" w:color="auto" w:fill="auto"/>
            <w:vAlign w:val="center"/>
          </w:tcPr>
          <w:p w14:paraId="13D7A006">
            <w:pPr>
              <w:adjustRightInd w:val="0"/>
              <w:snapToGrid w:val="0"/>
              <w:spacing w:line="264" w:lineRule="auto"/>
              <w:jc w:val="center"/>
              <w:rPr>
                <w:kern w:val="0"/>
                <w:sz w:val="15"/>
                <w:szCs w:val="15"/>
              </w:rPr>
            </w:pPr>
            <w:r>
              <w:rPr>
                <w:rFonts w:hint="eastAsia"/>
                <w:kern w:val="0"/>
                <w:sz w:val="15"/>
                <w:szCs w:val="15"/>
              </w:rPr>
              <w:t>3</w:t>
            </w:r>
          </w:p>
        </w:tc>
        <w:tc>
          <w:tcPr>
            <w:tcW w:w="1701" w:type="pct"/>
            <w:tcBorders>
              <w:top w:val="single" w:color="auto" w:sz="2" w:space="0"/>
              <w:left w:val="single" w:color="auto" w:sz="2" w:space="0"/>
              <w:bottom w:val="single" w:color="auto" w:sz="2" w:space="0"/>
              <w:right w:val="single" w:color="auto" w:sz="6" w:space="0"/>
            </w:tcBorders>
            <w:shd w:val="clear" w:color="auto" w:fill="auto"/>
          </w:tcPr>
          <w:p w14:paraId="3B8CF45F">
            <w:pPr>
              <w:adjustRightInd w:val="0"/>
              <w:snapToGrid w:val="0"/>
              <w:spacing w:line="264" w:lineRule="auto"/>
              <w:jc w:val="center"/>
              <w:rPr>
                <w:kern w:val="0"/>
                <w:sz w:val="15"/>
                <w:szCs w:val="15"/>
              </w:rPr>
            </w:pPr>
            <w:r>
              <w:rPr>
                <w:kern w:val="0"/>
                <w:sz w:val="15"/>
                <w:szCs w:val="15"/>
              </w:rPr>
              <w:t>—</w:t>
            </w:r>
          </w:p>
        </w:tc>
      </w:tr>
      <w:tr w14:paraId="2E2C8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45" w:type="dxa"/>
            <w:left w:w="28" w:type="dxa"/>
            <w:bottom w:w="45" w:type="dxa"/>
            <w:right w:w="28" w:type="dxa"/>
          </w:tblCellMar>
        </w:tblPrEx>
        <w:trPr>
          <w:jc w:val="center"/>
        </w:trPr>
        <w:tc>
          <w:tcPr>
            <w:tcW w:w="201" w:type="pct"/>
            <w:tcBorders>
              <w:top w:val="single" w:color="auto" w:sz="2" w:space="0"/>
              <w:left w:val="single" w:color="auto" w:sz="6" w:space="0"/>
              <w:bottom w:val="single" w:color="auto" w:sz="2" w:space="0"/>
              <w:right w:val="single" w:color="auto" w:sz="2" w:space="0"/>
            </w:tcBorders>
            <w:vAlign w:val="center"/>
          </w:tcPr>
          <w:p w14:paraId="66D57D38">
            <w:pPr>
              <w:adjustRightInd w:val="0"/>
              <w:snapToGrid w:val="0"/>
              <w:spacing w:line="264" w:lineRule="auto"/>
              <w:jc w:val="center"/>
              <w:rPr>
                <w:kern w:val="0"/>
                <w:sz w:val="15"/>
                <w:szCs w:val="15"/>
              </w:rPr>
            </w:pPr>
            <w:r>
              <w:rPr>
                <w:kern w:val="0"/>
                <w:sz w:val="15"/>
                <w:szCs w:val="15"/>
              </w:rPr>
              <w:t>4</w:t>
            </w:r>
          </w:p>
        </w:tc>
        <w:tc>
          <w:tcPr>
            <w:tcW w:w="1186" w:type="pct"/>
            <w:gridSpan w:val="3"/>
            <w:tcBorders>
              <w:top w:val="single" w:color="auto" w:sz="2" w:space="0"/>
              <w:left w:val="single" w:color="auto" w:sz="2" w:space="0"/>
              <w:bottom w:val="single" w:color="auto" w:sz="2" w:space="0"/>
              <w:right w:val="single" w:color="auto" w:sz="2" w:space="0"/>
            </w:tcBorders>
            <w:vAlign w:val="center"/>
          </w:tcPr>
          <w:p w14:paraId="46C9D443">
            <w:pPr>
              <w:adjustRightInd w:val="0"/>
              <w:snapToGrid w:val="0"/>
              <w:spacing w:line="264" w:lineRule="auto"/>
              <w:jc w:val="center"/>
              <w:rPr>
                <w:kern w:val="0"/>
                <w:sz w:val="15"/>
                <w:szCs w:val="15"/>
              </w:rPr>
            </w:pPr>
            <w:r>
              <w:rPr>
                <w:kern w:val="0"/>
                <w:sz w:val="15"/>
                <w:szCs w:val="15"/>
              </w:rPr>
              <w:t>邻近建（构）筑物</w:t>
            </w:r>
          </w:p>
        </w:tc>
        <w:tc>
          <w:tcPr>
            <w:tcW w:w="970" w:type="pct"/>
            <w:tcBorders>
              <w:top w:val="single" w:color="auto" w:sz="2" w:space="0"/>
              <w:left w:val="single" w:color="auto" w:sz="2" w:space="0"/>
              <w:bottom w:val="single" w:color="auto" w:sz="2" w:space="0"/>
              <w:right w:val="single" w:color="auto" w:sz="2" w:space="0"/>
            </w:tcBorders>
            <w:shd w:val="clear" w:color="auto" w:fill="auto"/>
            <w:vAlign w:val="center"/>
          </w:tcPr>
          <w:p w14:paraId="11234F8A">
            <w:pPr>
              <w:adjustRightInd w:val="0"/>
              <w:snapToGrid w:val="0"/>
              <w:spacing w:line="264" w:lineRule="auto"/>
              <w:jc w:val="center"/>
              <w:rPr>
                <w:kern w:val="0"/>
                <w:sz w:val="15"/>
                <w:szCs w:val="15"/>
              </w:rPr>
            </w:pPr>
            <w:r>
              <w:rPr>
                <w:kern w:val="0"/>
                <w:sz w:val="15"/>
                <w:szCs w:val="15"/>
              </w:rPr>
              <w:t>10</w:t>
            </w:r>
            <w:r>
              <w:rPr>
                <w:sz w:val="15"/>
                <w:szCs w:val="15"/>
              </w:rPr>
              <w:t>～</w:t>
            </w:r>
            <w:r>
              <w:rPr>
                <w:kern w:val="0"/>
                <w:sz w:val="15"/>
                <w:szCs w:val="15"/>
              </w:rPr>
              <w:t>30</w:t>
            </w:r>
          </w:p>
        </w:tc>
        <w:tc>
          <w:tcPr>
            <w:tcW w:w="941" w:type="pct"/>
            <w:tcBorders>
              <w:top w:val="single" w:color="auto" w:sz="2" w:space="0"/>
              <w:left w:val="single" w:color="auto" w:sz="2" w:space="0"/>
              <w:bottom w:val="single" w:color="auto" w:sz="2" w:space="0"/>
              <w:right w:val="single" w:color="auto" w:sz="2" w:space="0"/>
            </w:tcBorders>
            <w:vAlign w:val="center"/>
          </w:tcPr>
          <w:p w14:paraId="0FE54195">
            <w:pPr>
              <w:adjustRightInd w:val="0"/>
              <w:snapToGrid w:val="0"/>
              <w:spacing w:line="264" w:lineRule="auto"/>
              <w:jc w:val="center"/>
              <w:rPr>
                <w:kern w:val="0"/>
                <w:sz w:val="15"/>
                <w:szCs w:val="15"/>
              </w:rPr>
            </w:pPr>
            <w:r>
              <w:rPr>
                <w:kern w:val="0"/>
                <w:sz w:val="15"/>
                <w:szCs w:val="15"/>
              </w:rPr>
              <w:t>2</w:t>
            </w:r>
            <w:r>
              <w:rPr>
                <w:sz w:val="15"/>
                <w:szCs w:val="15"/>
              </w:rPr>
              <w:t>～</w:t>
            </w:r>
            <w:r>
              <w:rPr>
                <w:kern w:val="0"/>
                <w:sz w:val="15"/>
                <w:szCs w:val="15"/>
              </w:rPr>
              <w:t>3</w:t>
            </w:r>
          </w:p>
        </w:tc>
        <w:tc>
          <w:tcPr>
            <w:tcW w:w="1701" w:type="pct"/>
            <w:tcBorders>
              <w:top w:val="single" w:color="auto" w:sz="2" w:space="0"/>
              <w:left w:val="single" w:color="auto" w:sz="2" w:space="0"/>
              <w:bottom w:val="single" w:color="auto" w:sz="2" w:space="0"/>
              <w:right w:val="single" w:color="auto" w:sz="6" w:space="0"/>
            </w:tcBorders>
            <w:shd w:val="clear" w:color="auto" w:fill="auto"/>
            <w:vAlign w:val="center"/>
          </w:tcPr>
          <w:p w14:paraId="6E2031D1">
            <w:pPr>
              <w:adjustRightInd w:val="0"/>
              <w:snapToGrid w:val="0"/>
              <w:spacing w:line="264" w:lineRule="auto"/>
              <w:jc w:val="center"/>
              <w:rPr>
                <w:kern w:val="0"/>
                <w:sz w:val="15"/>
                <w:szCs w:val="15"/>
              </w:rPr>
            </w:pPr>
            <w:r>
              <w:rPr>
                <w:kern w:val="0"/>
                <w:sz w:val="15"/>
                <w:szCs w:val="15"/>
              </w:rPr>
              <w:t>—</w:t>
            </w:r>
          </w:p>
        </w:tc>
      </w:tr>
      <w:tr w14:paraId="01926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45" w:type="dxa"/>
            <w:left w:w="28" w:type="dxa"/>
            <w:bottom w:w="45" w:type="dxa"/>
            <w:right w:w="28" w:type="dxa"/>
          </w:tblCellMar>
        </w:tblPrEx>
        <w:trPr>
          <w:jc w:val="center"/>
        </w:trPr>
        <w:tc>
          <w:tcPr>
            <w:tcW w:w="201" w:type="pct"/>
            <w:vMerge w:val="restart"/>
            <w:tcBorders>
              <w:top w:val="single" w:color="auto" w:sz="2" w:space="0"/>
              <w:left w:val="single" w:color="auto" w:sz="6" w:space="0"/>
              <w:bottom w:val="single" w:color="auto" w:sz="2" w:space="0"/>
              <w:right w:val="single" w:color="auto" w:sz="2" w:space="0"/>
            </w:tcBorders>
            <w:vAlign w:val="center"/>
          </w:tcPr>
          <w:p w14:paraId="6D2EBEFA">
            <w:pPr>
              <w:adjustRightInd w:val="0"/>
              <w:snapToGrid w:val="0"/>
              <w:spacing w:line="264" w:lineRule="auto"/>
              <w:jc w:val="center"/>
              <w:rPr>
                <w:kern w:val="0"/>
                <w:sz w:val="15"/>
                <w:szCs w:val="15"/>
              </w:rPr>
            </w:pPr>
            <w:r>
              <w:rPr>
                <w:kern w:val="0"/>
                <w:sz w:val="15"/>
                <w:szCs w:val="15"/>
              </w:rPr>
              <w:t>5</w:t>
            </w:r>
          </w:p>
        </w:tc>
        <w:tc>
          <w:tcPr>
            <w:tcW w:w="671" w:type="pct"/>
            <w:gridSpan w:val="2"/>
            <w:vMerge w:val="restart"/>
            <w:tcBorders>
              <w:top w:val="single" w:color="auto" w:sz="2" w:space="0"/>
              <w:left w:val="single" w:color="auto" w:sz="2" w:space="0"/>
              <w:bottom w:val="single" w:color="auto" w:sz="2" w:space="0"/>
              <w:right w:val="single" w:color="auto" w:sz="2" w:space="0"/>
            </w:tcBorders>
            <w:vAlign w:val="center"/>
          </w:tcPr>
          <w:p w14:paraId="75C9649C">
            <w:pPr>
              <w:adjustRightInd w:val="0"/>
              <w:snapToGrid w:val="0"/>
              <w:spacing w:line="264" w:lineRule="auto"/>
              <w:jc w:val="center"/>
              <w:rPr>
                <w:kern w:val="0"/>
                <w:sz w:val="15"/>
                <w:szCs w:val="15"/>
              </w:rPr>
            </w:pPr>
            <w:r>
              <w:rPr>
                <w:kern w:val="0"/>
                <w:sz w:val="15"/>
                <w:szCs w:val="15"/>
              </w:rPr>
              <w:t>裂缝宽度</w:t>
            </w:r>
          </w:p>
        </w:tc>
        <w:tc>
          <w:tcPr>
            <w:tcW w:w="515" w:type="pct"/>
            <w:tcBorders>
              <w:top w:val="single" w:color="auto" w:sz="2" w:space="0"/>
              <w:left w:val="single" w:color="auto" w:sz="2" w:space="0"/>
              <w:bottom w:val="single" w:color="auto" w:sz="2" w:space="0"/>
              <w:right w:val="single" w:color="auto" w:sz="2" w:space="0"/>
            </w:tcBorders>
            <w:shd w:val="clear" w:color="auto" w:fill="auto"/>
            <w:vAlign w:val="center"/>
          </w:tcPr>
          <w:p w14:paraId="4684B20D">
            <w:pPr>
              <w:adjustRightInd w:val="0"/>
              <w:snapToGrid w:val="0"/>
              <w:spacing w:line="264" w:lineRule="auto"/>
              <w:jc w:val="center"/>
              <w:rPr>
                <w:kern w:val="0"/>
                <w:sz w:val="15"/>
                <w:szCs w:val="15"/>
              </w:rPr>
            </w:pPr>
            <w:r>
              <w:rPr>
                <w:kern w:val="0"/>
                <w:sz w:val="15"/>
                <w:szCs w:val="15"/>
              </w:rPr>
              <w:t>建筑</w:t>
            </w:r>
          </w:p>
        </w:tc>
        <w:tc>
          <w:tcPr>
            <w:tcW w:w="970" w:type="pct"/>
            <w:tcBorders>
              <w:top w:val="single" w:color="auto" w:sz="2" w:space="0"/>
              <w:left w:val="single" w:color="auto" w:sz="2" w:space="0"/>
              <w:bottom w:val="single" w:color="auto" w:sz="2" w:space="0"/>
              <w:right w:val="single" w:color="auto" w:sz="2" w:space="0"/>
            </w:tcBorders>
            <w:shd w:val="clear" w:color="auto" w:fill="auto"/>
            <w:vAlign w:val="center"/>
          </w:tcPr>
          <w:p w14:paraId="3E727677">
            <w:pPr>
              <w:adjustRightInd w:val="0"/>
              <w:snapToGrid w:val="0"/>
              <w:spacing w:line="264" w:lineRule="auto"/>
              <w:jc w:val="center"/>
              <w:rPr>
                <w:kern w:val="0"/>
                <w:sz w:val="15"/>
                <w:szCs w:val="15"/>
              </w:rPr>
            </w:pPr>
            <w:r>
              <w:rPr>
                <w:kern w:val="0"/>
                <w:sz w:val="15"/>
                <w:szCs w:val="15"/>
              </w:rPr>
              <w:t>0.2</w:t>
            </w:r>
            <w:r>
              <w:rPr>
                <w:sz w:val="15"/>
                <w:szCs w:val="15"/>
              </w:rPr>
              <w:t>～</w:t>
            </w:r>
            <w:r>
              <w:rPr>
                <w:kern w:val="0"/>
                <w:sz w:val="15"/>
                <w:szCs w:val="15"/>
              </w:rPr>
              <w:t>3</w:t>
            </w:r>
          </w:p>
        </w:tc>
        <w:tc>
          <w:tcPr>
            <w:tcW w:w="941" w:type="pct"/>
            <w:tcBorders>
              <w:top w:val="single" w:color="auto" w:sz="2" w:space="0"/>
              <w:left w:val="single" w:color="auto" w:sz="2" w:space="0"/>
              <w:bottom w:val="single" w:color="auto" w:sz="2" w:space="0"/>
              <w:right w:val="single" w:color="auto" w:sz="2" w:space="0"/>
            </w:tcBorders>
            <w:vAlign w:val="center"/>
          </w:tcPr>
          <w:p w14:paraId="0C3895F6">
            <w:pPr>
              <w:adjustRightInd w:val="0"/>
              <w:snapToGrid w:val="0"/>
              <w:spacing w:line="264" w:lineRule="auto"/>
              <w:jc w:val="center"/>
              <w:rPr>
                <w:kern w:val="0"/>
                <w:sz w:val="15"/>
                <w:szCs w:val="15"/>
              </w:rPr>
            </w:pPr>
            <w:r>
              <w:rPr>
                <w:kern w:val="0"/>
                <w:sz w:val="15"/>
                <w:szCs w:val="15"/>
              </w:rPr>
              <w:t>持续发展</w:t>
            </w:r>
          </w:p>
        </w:tc>
        <w:tc>
          <w:tcPr>
            <w:tcW w:w="1701" w:type="pct"/>
            <w:tcBorders>
              <w:top w:val="single" w:color="auto" w:sz="2" w:space="0"/>
              <w:left w:val="single" w:color="auto" w:sz="2" w:space="0"/>
              <w:bottom w:val="single" w:color="auto" w:sz="2" w:space="0"/>
              <w:right w:val="single" w:color="auto" w:sz="6" w:space="0"/>
            </w:tcBorders>
            <w:shd w:val="clear" w:color="auto" w:fill="auto"/>
            <w:vAlign w:val="center"/>
          </w:tcPr>
          <w:p w14:paraId="756DD1B1">
            <w:pPr>
              <w:adjustRightInd w:val="0"/>
              <w:snapToGrid w:val="0"/>
              <w:spacing w:line="264" w:lineRule="auto"/>
              <w:jc w:val="center"/>
              <w:rPr>
                <w:kern w:val="0"/>
                <w:sz w:val="15"/>
                <w:szCs w:val="15"/>
              </w:rPr>
            </w:pPr>
            <w:r>
              <w:rPr>
                <w:kern w:val="0"/>
                <w:sz w:val="15"/>
                <w:szCs w:val="15"/>
              </w:rPr>
              <w:t>—</w:t>
            </w:r>
          </w:p>
        </w:tc>
      </w:tr>
      <w:tr w14:paraId="71253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45" w:type="dxa"/>
            <w:left w:w="28" w:type="dxa"/>
            <w:bottom w:w="45" w:type="dxa"/>
            <w:right w:w="28" w:type="dxa"/>
          </w:tblCellMar>
        </w:tblPrEx>
        <w:trPr>
          <w:jc w:val="center"/>
        </w:trPr>
        <w:tc>
          <w:tcPr>
            <w:tcW w:w="201" w:type="pct"/>
            <w:vMerge w:val="continue"/>
            <w:tcBorders>
              <w:top w:val="single" w:color="auto" w:sz="2" w:space="0"/>
              <w:left w:val="single" w:color="auto" w:sz="6" w:space="0"/>
              <w:bottom w:val="single" w:color="auto" w:sz="6" w:space="0"/>
              <w:right w:val="single" w:color="auto" w:sz="2" w:space="0"/>
            </w:tcBorders>
            <w:vAlign w:val="center"/>
          </w:tcPr>
          <w:p w14:paraId="1D74B9A8">
            <w:pPr>
              <w:adjustRightInd w:val="0"/>
              <w:snapToGrid w:val="0"/>
              <w:spacing w:line="264" w:lineRule="auto"/>
              <w:jc w:val="center"/>
              <w:rPr>
                <w:kern w:val="0"/>
                <w:sz w:val="15"/>
                <w:szCs w:val="15"/>
              </w:rPr>
            </w:pPr>
          </w:p>
        </w:tc>
        <w:tc>
          <w:tcPr>
            <w:tcW w:w="671" w:type="pct"/>
            <w:gridSpan w:val="2"/>
            <w:vMerge w:val="continue"/>
            <w:tcBorders>
              <w:top w:val="single" w:color="auto" w:sz="2" w:space="0"/>
              <w:left w:val="single" w:color="auto" w:sz="2" w:space="0"/>
              <w:bottom w:val="single" w:color="auto" w:sz="6" w:space="0"/>
              <w:right w:val="single" w:color="auto" w:sz="2" w:space="0"/>
            </w:tcBorders>
            <w:vAlign w:val="center"/>
          </w:tcPr>
          <w:p w14:paraId="36889DAE">
            <w:pPr>
              <w:adjustRightInd w:val="0"/>
              <w:snapToGrid w:val="0"/>
              <w:spacing w:line="264" w:lineRule="auto"/>
              <w:jc w:val="center"/>
              <w:rPr>
                <w:kern w:val="0"/>
                <w:sz w:val="15"/>
                <w:szCs w:val="15"/>
              </w:rPr>
            </w:pPr>
          </w:p>
        </w:tc>
        <w:tc>
          <w:tcPr>
            <w:tcW w:w="515" w:type="pct"/>
            <w:tcBorders>
              <w:top w:val="single" w:color="auto" w:sz="2" w:space="0"/>
              <w:left w:val="single" w:color="auto" w:sz="2" w:space="0"/>
              <w:bottom w:val="single" w:color="auto" w:sz="6" w:space="0"/>
              <w:right w:val="single" w:color="auto" w:sz="2" w:space="0"/>
            </w:tcBorders>
            <w:shd w:val="clear" w:color="auto" w:fill="auto"/>
            <w:vAlign w:val="center"/>
          </w:tcPr>
          <w:p w14:paraId="6DBABC03">
            <w:pPr>
              <w:adjustRightInd w:val="0"/>
              <w:snapToGrid w:val="0"/>
              <w:spacing w:line="264" w:lineRule="auto"/>
              <w:jc w:val="center"/>
              <w:rPr>
                <w:kern w:val="0"/>
                <w:sz w:val="15"/>
                <w:szCs w:val="15"/>
              </w:rPr>
            </w:pPr>
            <w:r>
              <w:rPr>
                <w:kern w:val="0"/>
                <w:sz w:val="15"/>
                <w:szCs w:val="15"/>
              </w:rPr>
              <w:t>地表</w:t>
            </w:r>
          </w:p>
        </w:tc>
        <w:tc>
          <w:tcPr>
            <w:tcW w:w="970" w:type="pct"/>
            <w:tcBorders>
              <w:top w:val="single" w:color="auto" w:sz="2" w:space="0"/>
              <w:left w:val="single" w:color="auto" w:sz="2" w:space="0"/>
              <w:bottom w:val="single" w:color="auto" w:sz="6" w:space="0"/>
              <w:right w:val="single" w:color="auto" w:sz="2" w:space="0"/>
            </w:tcBorders>
            <w:shd w:val="clear" w:color="auto" w:fill="auto"/>
            <w:vAlign w:val="center"/>
          </w:tcPr>
          <w:p w14:paraId="2E189E23">
            <w:pPr>
              <w:adjustRightInd w:val="0"/>
              <w:snapToGrid w:val="0"/>
              <w:spacing w:line="264" w:lineRule="auto"/>
              <w:jc w:val="center"/>
              <w:rPr>
                <w:kern w:val="0"/>
                <w:sz w:val="15"/>
                <w:szCs w:val="15"/>
              </w:rPr>
            </w:pPr>
            <w:r>
              <w:rPr>
                <w:kern w:val="0"/>
                <w:sz w:val="15"/>
                <w:szCs w:val="15"/>
              </w:rPr>
              <w:t>10</w:t>
            </w:r>
            <w:r>
              <w:rPr>
                <w:sz w:val="15"/>
                <w:szCs w:val="15"/>
              </w:rPr>
              <w:t>～</w:t>
            </w:r>
            <w:r>
              <w:rPr>
                <w:kern w:val="0"/>
                <w:sz w:val="15"/>
                <w:szCs w:val="15"/>
              </w:rPr>
              <w:t>15</w:t>
            </w:r>
          </w:p>
        </w:tc>
        <w:tc>
          <w:tcPr>
            <w:tcW w:w="941" w:type="pct"/>
            <w:tcBorders>
              <w:top w:val="single" w:color="auto" w:sz="2" w:space="0"/>
              <w:left w:val="single" w:color="auto" w:sz="2" w:space="0"/>
              <w:bottom w:val="single" w:color="auto" w:sz="6" w:space="0"/>
              <w:right w:val="single" w:color="auto" w:sz="2" w:space="0"/>
            </w:tcBorders>
            <w:vAlign w:val="center"/>
          </w:tcPr>
          <w:p w14:paraId="7D7FC52A">
            <w:pPr>
              <w:adjustRightInd w:val="0"/>
              <w:snapToGrid w:val="0"/>
              <w:spacing w:line="264" w:lineRule="auto"/>
              <w:jc w:val="center"/>
              <w:rPr>
                <w:kern w:val="0"/>
                <w:sz w:val="15"/>
                <w:szCs w:val="15"/>
              </w:rPr>
            </w:pPr>
            <w:r>
              <w:rPr>
                <w:kern w:val="0"/>
                <w:sz w:val="15"/>
                <w:szCs w:val="15"/>
              </w:rPr>
              <w:t>持续发展</w:t>
            </w:r>
          </w:p>
        </w:tc>
        <w:tc>
          <w:tcPr>
            <w:tcW w:w="1701" w:type="pct"/>
            <w:tcBorders>
              <w:top w:val="single" w:color="auto" w:sz="2" w:space="0"/>
              <w:left w:val="single" w:color="auto" w:sz="2" w:space="0"/>
              <w:bottom w:val="single" w:color="auto" w:sz="6" w:space="0"/>
              <w:right w:val="single" w:color="auto" w:sz="6" w:space="0"/>
            </w:tcBorders>
            <w:shd w:val="clear" w:color="auto" w:fill="auto"/>
            <w:vAlign w:val="center"/>
          </w:tcPr>
          <w:p w14:paraId="002D1B66">
            <w:pPr>
              <w:adjustRightInd w:val="0"/>
              <w:snapToGrid w:val="0"/>
              <w:spacing w:line="264" w:lineRule="auto"/>
              <w:jc w:val="center"/>
              <w:rPr>
                <w:kern w:val="0"/>
                <w:sz w:val="15"/>
                <w:szCs w:val="15"/>
              </w:rPr>
            </w:pPr>
            <w:r>
              <w:rPr>
                <w:kern w:val="0"/>
                <w:sz w:val="15"/>
                <w:szCs w:val="15"/>
              </w:rPr>
              <w:t>—</w:t>
            </w:r>
          </w:p>
        </w:tc>
      </w:tr>
    </w:tbl>
    <w:p w14:paraId="1FC2FD75">
      <w:pPr>
        <w:adjustRightInd w:val="0"/>
        <w:snapToGrid w:val="0"/>
        <w:spacing w:line="288" w:lineRule="auto"/>
        <w:ind w:firstLine="260" w:firstLineChars="200"/>
        <w:rPr>
          <w:rFonts w:eastAsia="黑体"/>
          <w:b/>
          <w:bCs/>
          <w:sz w:val="13"/>
          <w:szCs w:val="13"/>
        </w:rPr>
      </w:pPr>
      <w:r>
        <w:rPr>
          <w:rFonts w:hint="eastAsia" w:ascii="宋体" w:hAnsi="宋体"/>
          <w:sz w:val="13"/>
          <w:szCs w:val="13"/>
        </w:rPr>
        <w:t>注：</w:t>
      </w:r>
      <w:r>
        <w:rPr>
          <w:rFonts w:hAnsi="宋体"/>
          <w:sz w:val="13"/>
          <w:szCs w:val="13"/>
        </w:rPr>
        <w:t>建筑整体倾斜度累计值达到</w:t>
      </w:r>
      <w:r>
        <w:rPr>
          <w:sz w:val="13"/>
          <w:szCs w:val="13"/>
        </w:rPr>
        <w:t>2/1000</w:t>
      </w:r>
      <w:r>
        <w:rPr>
          <w:rFonts w:hAnsi="宋体"/>
          <w:sz w:val="13"/>
          <w:szCs w:val="13"/>
        </w:rPr>
        <w:t>或倾斜速度连续</w:t>
      </w:r>
      <w:r>
        <w:rPr>
          <w:sz w:val="13"/>
          <w:szCs w:val="13"/>
        </w:rPr>
        <w:t>3d</w:t>
      </w:r>
      <w:r>
        <w:rPr>
          <w:rFonts w:hAnsi="宋体"/>
          <w:sz w:val="13"/>
          <w:szCs w:val="13"/>
        </w:rPr>
        <w:t>大于</w:t>
      </w:r>
      <w:r>
        <w:rPr>
          <w:sz w:val="13"/>
          <w:szCs w:val="13"/>
        </w:rPr>
        <w:t>0.0001</w:t>
      </w:r>
      <w:r>
        <w:rPr>
          <w:i/>
          <w:sz w:val="13"/>
          <w:szCs w:val="13"/>
        </w:rPr>
        <w:t>H</w:t>
      </w:r>
      <w:r>
        <w:rPr>
          <w:sz w:val="13"/>
          <w:szCs w:val="13"/>
        </w:rPr>
        <w:t>/d</w:t>
      </w:r>
      <w:r>
        <w:rPr>
          <w:rFonts w:hAnsi="宋体"/>
          <w:sz w:val="13"/>
          <w:szCs w:val="13"/>
        </w:rPr>
        <w:t>（</w:t>
      </w:r>
      <w:r>
        <w:rPr>
          <w:i/>
          <w:sz w:val="13"/>
          <w:szCs w:val="13"/>
        </w:rPr>
        <w:t>H</w:t>
      </w:r>
      <w:r>
        <w:rPr>
          <w:rFonts w:hAnsi="宋体"/>
          <w:sz w:val="13"/>
          <w:szCs w:val="13"/>
        </w:rPr>
        <w:t>为建筑承重结构高度）时应</w:t>
      </w:r>
      <w:r>
        <w:rPr>
          <w:rFonts w:hint="eastAsia" w:hAnsi="宋体"/>
          <w:sz w:val="13"/>
          <w:szCs w:val="13"/>
        </w:rPr>
        <w:t>预警</w:t>
      </w:r>
      <w:r>
        <w:rPr>
          <w:rFonts w:hAnsi="宋体"/>
          <w:sz w:val="13"/>
          <w:szCs w:val="13"/>
        </w:rPr>
        <w:t>。</w:t>
      </w:r>
    </w:p>
    <w:p w14:paraId="2237399A">
      <w:pPr>
        <w:adjustRightInd w:val="0"/>
        <w:snapToGrid w:val="0"/>
        <w:spacing w:before="156" w:beforeLines="50" w:line="288" w:lineRule="auto"/>
        <w:rPr>
          <w:rFonts w:ascii="宋体" w:hAnsi="宋体"/>
          <w:sz w:val="20"/>
          <w:szCs w:val="20"/>
        </w:rPr>
      </w:pPr>
      <w:r>
        <w:rPr>
          <w:rFonts w:eastAsia="黑体"/>
          <w:b/>
          <w:bCs/>
          <w:kern w:val="0"/>
          <w:sz w:val="20"/>
          <w:szCs w:val="20"/>
        </w:rPr>
        <w:t>11.6.4</w:t>
      </w:r>
      <w:r>
        <w:rPr>
          <w:rFonts w:hint="eastAsia" w:ascii="宋体" w:hAnsi="宋体"/>
          <w:bCs/>
          <w:sz w:val="20"/>
          <w:szCs w:val="20"/>
        </w:rPr>
        <w:t xml:space="preserve">  </w:t>
      </w:r>
      <w:r>
        <w:rPr>
          <w:rFonts w:hint="eastAsia" w:ascii="宋体" w:hAnsi="宋体"/>
          <w:sz w:val="20"/>
          <w:szCs w:val="20"/>
        </w:rPr>
        <w:t>当出现下列情况之一时，施工单位、第三方监测单位必须进行危险报警，并向建设方报告：</w:t>
      </w:r>
    </w:p>
    <w:p w14:paraId="77494CA2">
      <w:pPr>
        <w:adjustRightInd w:val="0"/>
        <w:snapToGrid w:val="0"/>
        <w:spacing w:line="288" w:lineRule="auto"/>
        <w:ind w:firstLine="402" w:firstLineChars="200"/>
        <w:rPr>
          <w:rFonts w:ascii="宋体" w:hAnsi="宋体"/>
          <w:sz w:val="20"/>
          <w:szCs w:val="20"/>
        </w:rPr>
      </w:pPr>
      <w:r>
        <w:rPr>
          <w:rFonts w:hint="eastAsia" w:eastAsia="黑体"/>
          <w:b/>
          <w:bCs/>
          <w:sz w:val="20"/>
          <w:szCs w:val="20"/>
        </w:rPr>
        <w:t>1</w:t>
      </w:r>
      <w:r>
        <w:rPr>
          <w:rFonts w:hint="eastAsia" w:ascii="宋体" w:hAnsi="宋体"/>
          <w:sz w:val="20"/>
          <w:szCs w:val="20"/>
        </w:rPr>
        <w:t xml:space="preserve">  当监测数据的累计值达到监测预警值，监测项目的变化速率连续</w:t>
      </w:r>
      <w:r>
        <w:rPr>
          <w:sz w:val="20"/>
          <w:szCs w:val="20"/>
        </w:rPr>
        <w:t>2d</w:t>
      </w:r>
      <w:r>
        <w:rPr>
          <w:rFonts w:hint="eastAsia" w:ascii="宋体" w:hAnsi="宋体"/>
          <w:sz w:val="20"/>
          <w:szCs w:val="20"/>
        </w:rPr>
        <w:t>达到预警值；</w:t>
      </w:r>
    </w:p>
    <w:p w14:paraId="6AC5DFDD">
      <w:pPr>
        <w:adjustRightInd w:val="0"/>
        <w:snapToGrid w:val="0"/>
        <w:spacing w:line="288" w:lineRule="auto"/>
        <w:ind w:firstLine="402" w:firstLineChars="200"/>
        <w:rPr>
          <w:rFonts w:ascii="宋体" w:hAnsi="宋体"/>
          <w:sz w:val="20"/>
          <w:szCs w:val="20"/>
        </w:rPr>
      </w:pPr>
      <w:r>
        <w:rPr>
          <w:rFonts w:hint="eastAsia" w:eastAsia="黑体"/>
          <w:b/>
          <w:bCs/>
          <w:sz w:val="20"/>
          <w:szCs w:val="20"/>
        </w:rPr>
        <w:t xml:space="preserve">2 </w:t>
      </w:r>
      <w:r>
        <w:rPr>
          <w:rFonts w:hint="eastAsia" w:ascii="宋体" w:hAnsi="宋体"/>
          <w:sz w:val="20"/>
          <w:szCs w:val="20"/>
        </w:rPr>
        <w:t xml:space="preserve"> 基坑支护结构或周边土体的位移值突然增大或基坑出现流砂、管涌、隆起、陷落或严重的渗漏等；</w:t>
      </w:r>
    </w:p>
    <w:p w14:paraId="0E3DD55E">
      <w:pPr>
        <w:adjustRightInd w:val="0"/>
        <w:snapToGrid w:val="0"/>
        <w:spacing w:line="288" w:lineRule="auto"/>
        <w:ind w:firstLine="402" w:firstLineChars="200"/>
        <w:rPr>
          <w:rFonts w:ascii="宋体" w:hAnsi="宋体"/>
          <w:sz w:val="20"/>
          <w:szCs w:val="20"/>
        </w:rPr>
      </w:pPr>
      <w:r>
        <w:rPr>
          <w:rFonts w:hint="eastAsia" w:eastAsia="黑体"/>
          <w:b/>
          <w:bCs/>
          <w:sz w:val="20"/>
          <w:szCs w:val="20"/>
        </w:rPr>
        <w:t>3</w:t>
      </w:r>
      <w:r>
        <w:rPr>
          <w:rFonts w:hint="eastAsia" w:ascii="宋体" w:hAnsi="宋体"/>
          <w:sz w:val="20"/>
          <w:szCs w:val="20"/>
        </w:rPr>
        <w:t xml:space="preserve">  基坑支护结构的支撑或锚杆体系出现过大变形、压屈、断裂、松弛或拔出的迹象；</w:t>
      </w:r>
    </w:p>
    <w:p w14:paraId="2AB06030">
      <w:pPr>
        <w:adjustRightInd w:val="0"/>
        <w:snapToGrid w:val="0"/>
        <w:spacing w:line="288" w:lineRule="auto"/>
        <w:ind w:firstLine="402" w:firstLineChars="200"/>
        <w:rPr>
          <w:rFonts w:ascii="宋体" w:hAnsi="宋体"/>
          <w:sz w:val="20"/>
          <w:szCs w:val="20"/>
        </w:rPr>
      </w:pPr>
      <w:r>
        <w:rPr>
          <w:rFonts w:hint="eastAsia" w:eastAsia="黑体"/>
          <w:b/>
          <w:bCs/>
          <w:sz w:val="20"/>
          <w:szCs w:val="20"/>
        </w:rPr>
        <w:t xml:space="preserve">4 </w:t>
      </w:r>
      <w:r>
        <w:rPr>
          <w:rFonts w:hint="eastAsia" w:ascii="宋体" w:hAnsi="宋体"/>
          <w:sz w:val="20"/>
          <w:szCs w:val="20"/>
        </w:rPr>
        <w:t xml:space="preserve"> 周边建（构）筑物的结构部分、周边地面出现突发裂缝或危害结构的变形裂缝；</w:t>
      </w:r>
    </w:p>
    <w:p w14:paraId="6F8EEBA6">
      <w:pPr>
        <w:adjustRightInd w:val="0"/>
        <w:snapToGrid w:val="0"/>
        <w:spacing w:line="288" w:lineRule="auto"/>
        <w:ind w:firstLine="402" w:firstLineChars="200"/>
        <w:rPr>
          <w:rFonts w:ascii="宋体" w:hAnsi="宋体"/>
          <w:sz w:val="20"/>
          <w:szCs w:val="20"/>
        </w:rPr>
      </w:pPr>
      <w:r>
        <w:rPr>
          <w:rFonts w:hint="eastAsia" w:eastAsia="黑体"/>
          <w:b/>
          <w:bCs/>
          <w:sz w:val="20"/>
          <w:szCs w:val="20"/>
        </w:rPr>
        <w:t>5</w:t>
      </w:r>
      <w:r>
        <w:rPr>
          <w:rFonts w:hint="eastAsia" w:ascii="宋体" w:hAnsi="宋体"/>
          <w:sz w:val="20"/>
          <w:szCs w:val="20"/>
        </w:rPr>
        <w:t xml:space="preserve">  周边管线变形突然增长或出现裂缝、泄漏等；</w:t>
      </w:r>
    </w:p>
    <w:p w14:paraId="0A5F9072">
      <w:pPr>
        <w:adjustRightInd w:val="0"/>
        <w:snapToGrid w:val="0"/>
        <w:spacing w:line="288" w:lineRule="auto"/>
        <w:ind w:firstLine="402" w:firstLineChars="200"/>
        <w:rPr>
          <w:rFonts w:eastAsia="黑体"/>
          <w:sz w:val="20"/>
          <w:szCs w:val="20"/>
        </w:rPr>
      </w:pPr>
      <w:r>
        <w:rPr>
          <w:b/>
          <w:bCs/>
          <w:sz w:val="20"/>
          <w:szCs w:val="20"/>
        </w:rPr>
        <w:t>6</w:t>
      </w:r>
      <w:r>
        <w:rPr>
          <w:rFonts w:ascii="宋体" w:hAnsi="宋体"/>
          <w:b/>
          <w:bCs/>
          <w:sz w:val="20"/>
          <w:szCs w:val="20"/>
        </w:rPr>
        <w:t xml:space="preserve"> </w:t>
      </w:r>
      <w:r>
        <w:rPr>
          <w:rFonts w:ascii="宋体" w:hAnsi="宋体"/>
          <w:sz w:val="20"/>
          <w:szCs w:val="20"/>
        </w:rPr>
        <w:t xml:space="preserve"> </w:t>
      </w:r>
      <w:r>
        <w:rPr>
          <w:rFonts w:hint="eastAsia" w:ascii="宋体" w:hAnsi="宋体"/>
          <w:sz w:val="20"/>
          <w:szCs w:val="20"/>
        </w:rPr>
        <w:t>发生基坑设计提出的其他危险预警情况，或根据当地工程经验判断其他必须进行危险预警的情况。</w:t>
      </w:r>
    </w:p>
    <w:p w14:paraId="76BB153A">
      <w:pPr>
        <w:pStyle w:val="7"/>
        <w:keepNext w:val="0"/>
        <w:keepLines w:val="0"/>
        <w:adjustRightInd w:val="0"/>
        <w:snapToGrid w:val="0"/>
        <w:spacing w:before="312" w:beforeLines="100" w:after="312" w:afterLines="100" w:line="288" w:lineRule="auto"/>
        <w:jc w:val="center"/>
        <w:rPr>
          <w:rFonts w:eastAsia="黑体"/>
          <w:sz w:val="20"/>
          <w:szCs w:val="20"/>
        </w:rPr>
      </w:pPr>
      <w:bookmarkStart w:id="124" w:name="_Toc139613755"/>
      <w:r>
        <w:rPr>
          <w:rFonts w:eastAsia="黑体"/>
          <w:sz w:val="20"/>
          <w:szCs w:val="20"/>
        </w:rPr>
        <w:t>11</w:t>
      </w:r>
      <w:r>
        <w:rPr>
          <w:rFonts w:hint="eastAsia" w:eastAsia="黑体"/>
          <w:sz w:val="20"/>
          <w:szCs w:val="20"/>
        </w:rPr>
        <w:t xml:space="preserve">.7  </w:t>
      </w:r>
      <w:r>
        <w:rPr>
          <w:rFonts w:hint="eastAsia" w:eastAsia="黑体"/>
          <w:b w:val="0"/>
          <w:bCs w:val="0"/>
          <w:sz w:val="20"/>
          <w:szCs w:val="20"/>
        </w:rPr>
        <w:t>监测成果</w:t>
      </w:r>
      <w:bookmarkEnd w:id="124"/>
    </w:p>
    <w:p w14:paraId="4122B511">
      <w:pPr>
        <w:adjustRightInd w:val="0"/>
        <w:snapToGrid w:val="0"/>
        <w:spacing w:line="288" w:lineRule="auto"/>
        <w:rPr>
          <w:rFonts w:ascii="宋体" w:hAnsi="宋体"/>
          <w:sz w:val="20"/>
          <w:szCs w:val="20"/>
        </w:rPr>
      </w:pPr>
      <w:r>
        <w:rPr>
          <w:rFonts w:eastAsia="黑体"/>
          <w:b/>
          <w:bCs/>
          <w:kern w:val="0"/>
          <w:sz w:val="20"/>
          <w:szCs w:val="20"/>
        </w:rPr>
        <w:t>11.7.1</w:t>
      </w:r>
      <w:r>
        <w:rPr>
          <w:rFonts w:hint="eastAsia" w:eastAsia="黑体"/>
          <w:b/>
          <w:bCs/>
          <w:sz w:val="20"/>
          <w:szCs w:val="20"/>
        </w:rPr>
        <w:t xml:space="preserve"> </w:t>
      </w:r>
      <w:r>
        <w:rPr>
          <w:rFonts w:hint="eastAsia" w:ascii="宋体" w:hAnsi="宋体"/>
          <w:bCs/>
          <w:sz w:val="20"/>
          <w:szCs w:val="20"/>
        </w:rPr>
        <w:t xml:space="preserve"> </w:t>
      </w:r>
      <w:r>
        <w:rPr>
          <w:rFonts w:hint="eastAsia" w:ascii="宋体" w:hAnsi="宋体"/>
          <w:sz w:val="20"/>
          <w:szCs w:val="20"/>
        </w:rPr>
        <w:t>监测成果资料应完整、清晰、签字齐全并加盖成果章，监测单位对监测数据的真实性、准确性和完整性负责。</w:t>
      </w:r>
    </w:p>
    <w:p w14:paraId="622EB73D">
      <w:pPr>
        <w:adjustRightInd w:val="0"/>
        <w:snapToGrid w:val="0"/>
        <w:spacing w:line="288" w:lineRule="auto"/>
        <w:rPr>
          <w:rFonts w:ascii="宋体" w:hAnsi="宋体"/>
          <w:sz w:val="20"/>
          <w:szCs w:val="20"/>
        </w:rPr>
      </w:pPr>
      <w:r>
        <w:rPr>
          <w:rFonts w:eastAsia="黑体"/>
          <w:b/>
          <w:bCs/>
          <w:kern w:val="0"/>
          <w:sz w:val="20"/>
          <w:szCs w:val="20"/>
        </w:rPr>
        <w:t>11.7.2</w:t>
      </w:r>
      <w:r>
        <w:rPr>
          <w:rFonts w:hint="eastAsia" w:eastAsia="黑体"/>
          <w:b/>
          <w:bCs/>
          <w:sz w:val="20"/>
          <w:szCs w:val="20"/>
        </w:rPr>
        <w:t xml:space="preserve"> </w:t>
      </w:r>
      <w:r>
        <w:rPr>
          <w:rFonts w:hint="eastAsia" w:ascii="宋体" w:hAnsi="宋体"/>
          <w:sz w:val="20"/>
          <w:szCs w:val="20"/>
        </w:rPr>
        <w:t xml:space="preserve"> 监测单位取得现场监测资料后，应及时整理、分析和校对监测数据，出现异常时应分析原因，必要时应进行复测。</w:t>
      </w:r>
    </w:p>
    <w:p w14:paraId="172F7973">
      <w:pPr>
        <w:adjustRightInd w:val="0"/>
        <w:snapToGrid w:val="0"/>
        <w:spacing w:line="288" w:lineRule="auto"/>
        <w:rPr>
          <w:rFonts w:ascii="宋体" w:hAnsi="宋体"/>
          <w:sz w:val="20"/>
          <w:szCs w:val="20"/>
        </w:rPr>
      </w:pPr>
      <w:r>
        <w:rPr>
          <w:rFonts w:eastAsia="黑体"/>
          <w:b/>
          <w:bCs/>
          <w:kern w:val="0"/>
          <w:sz w:val="20"/>
          <w:szCs w:val="20"/>
        </w:rPr>
        <w:t>11.7.3</w:t>
      </w:r>
      <w:r>
        <w:rPr>
          <w:rFonts w:hint="eastAsia" w:eastAsia="黑体"/>
          <w:b/>
          <w:bCs/>
          <w:sz w:val="20"/>
          <w:szCs w:val="20"/>
        </w:rPr>
        <w:t xml:space="preserve"> </w:t>
      </w:r>
      <w:r>
        <w:rPr>
          <w:rFonts w:hint="eastAsia" w:ascii="宋体" w:hAnsi="宋体"/>
          <w:bCs/>
          <w:sz w:val="20"/>
          <w:szCs w:val="20"/>
        </w:rPr>
        <w:t xml:space="preserve"> </w:t>
      </w:r>
      <w:r>
        <w:rPr>
          <w:rFonts w:hint="eastAsia" w:ascii="宋体" w:hAnsi="宋体"/>
          <w:sz w:val="20"/>
          <w:szCs w:val="20"/>
        </w:rPr>
        <w:t>监测项目数据分析应结合施工工况、地质条件、环境条件、其他监测项目的监测数据、巡视检查情况及以往数据进行，并对其发展趋势作出预测。</w:t>
      </w:r>
    </w:p>
    <w:p w14:paraId="59405215">
      <w:pPr>
        <w:adjustRightInd w:val="0"/>
        <w:snapToGrid w:val="0"/>
        <w:spacing w:line="288" w:lineRule="auto"/>
        <w:rPr>
          <w:rFonts w:ascii="宋体" w:hAnsi="宋体"/>
          <w:sz w:val="20"/>
          <w:szCs w:val="20"/>
        </w:rPr>
      </w:pPr>
      <w:r>
        <w:rPr>
          <w:rFonts w:eastAsia="黑体"/>
          <w:b/>
          <w:bCs/>
          <w:kern w:val="0"/>
          <w:sz w:val="20"/>
          <w:szCs w:val="20"/>
        </w:rPr>
        <w:t>11.7.4</w:t>
      </w:r>
      <w:r>
        <w:rPr>
          <w:rFonts w:hint="eastAsia" w:ascii="宋体" w:hAnsi="宋体"/>
          <w:bCs/>
          <w:sz w:val="20"/>
          <w:szCs w:val="20"/>
        </w:rPr>
        <w:t xml:space="preserve">  </w:t>
      </w:r>
      <w:r>
        <w:rPr>
          <w:rFonts w:hint="eastAsia" w:ascii="宋体" w:hAnsi="宋体"/>
          <w:sz w:val="20"/>
          <w:szCs w:val="20"/>
        </w:rPr>
        <w:t>监测报表应用文字阐述与绘制变化曲线或图形结合的形式表达，并及时报送相关单位。</w:t>
      </w:r>
    </w:p>
    <w:p w14:paraId="35C93CF5">
      <w:pPr>
        <w:adjustRightInd w:val="0"/>
        <w:snapToGrid w:val="0"/>
        <w:spacing w:line="288" w:lineRule="auto"/>
        <w:rPr>
          <w:rFonts w:ascii="宋体" w:hAnsi="宋体"/>
          <w:sz w:val="20"/>
          <w:szCs w:val="20"/>
        </w:rPr>
      </w:pPr>
      <w:r>
        <w:rPr>
          <w:rFonts w:eastAsia="黑体"/>
          <w:b/>
          <w:bCs/>
          <w:kern w:val="0"/>
          <w:sz w:val="20"/>
          <w:szCs w:val="20"/>
        </w:rPr>
        <w:t>11.7.5</w:t>
      </w:r>
      <w:r>
        <w:rPr>
          <w:rFonts w:hint="eastAsia" w:eastAsia="黑体"/>
          <w:b/>
          <w:bCs/>
          <w:sz w:val="20"/>
          <w:szCs w:val="20"/>
        </w:rPr>
        <w:t xml:space="preserve"> </w:t>
      </w:r>
      <w:r>
        <w:rPr>
          <w:rFonts w:hint="eastAsia" w:ascii="宋体" w:hAnsi="宋体"/>
          <w:sz w:val="20"/>
          <w:szCs w:val="20"/>
        </w:rPr>
        <w:t xml:space="preserve"> 外业监测及巡视检查的原始记录不得涂改、伪造和转抄，采用电子方式记录的数据，应完整存储于可靠介质上。监测记录应有相关责任人签字。</w:t>
      </w:r>
    </w:p>
    <w:p w14:paraId="4CD24E3D">
      <w:pPr>
        <w:adjustRightInd w:val="0"/>
        <w:snapToGrid w:val="0"/>
        <w:spacing w:line="288" w:lineRule="auto"/>
        <w:rPr>
          <w:rFonts w:ascii="宋体" w:hAnsi="宋体"/>
          <w:sz w:val="20"/>
          <w:szCs w:val="20"/>
        </w:rPr>
      </w:pPr>
      <w:r>
        <w:rPr>
          <w:rFonts w:eastAsia="黑体"/>
          <w:b/>
          <w:bCs/>
          <w:kern w:val="0"/>
          <w:sz w:val="20"/>
          <w:szCs w:val="20"/>
        </w:rPr>
        <w:t>11.7.6</w:t>
      </w:r>
      <w:r>
        <w:rPr>
          <w:rFonts w:hint="eastAsia" w:ascii="宋体" w:hAnsi="宋体"/>
          <w:sz w:val="20"/>
          <w:szCs w:val="20"/>
        </w:rPr>
        <w:t xml:space="preserve">  监测成果应</w:t>
      </w:r>
      <w:r>
        <w:rPr>
          <w:rFonts w:ascii="宋体" w:hAnsi="宋体"/>
          <w:sz w:val="20"/>
          <w:szCs w:val="20"/>
        </w:rPr>
        <w:t>包括</w:t>
      </w:r>
      <w:r>
        <w:rPr>
          <w:rFonts w:hint="eastAsia" w:ascii="宋体" w:hAnsi="宋体"/>
          <w:sz w:val="20"/>
          <w:szCs w:val="20"/>
        </w:rPr>
        <w:t>当日报表、阶段性分析报告和总结报告。监测成果报告宜用文字阐述与绘制变化曲线或图形相结合的形式表达。成果报告应按时报送。</w:t>
      </w:r>
    </w:p>
    <w:p w14:paraId="65C0DFCC">
      <w:pPr>
        <w:adjustRightInd w:val="0"/>
        <w:snapToGrid w:val="0"/>
        <w:spacing w:line="288" w:lineRule="auto"/>
        <w:ind w:firstLine="402" w:firstLineChars="200"/>
        <w:rPr>
          <w:rFonts w:ascii="宋体" w:hAnsi="宋体"/>
          <w:sz w:val="20"/>
          <w:szCs w:val="20"/>
        </w:rPr>
      </w:pPr>
      <w:r>
        <w:rPr>
          <w:rFonts w:hint="eastAsia" w:eastAsia="黑体"/>
          <w:b/>
          <w:bCs/>
          <w:sz w:val="20"/>
          <w:szCs w:val="20"/>
        </w:rPr>
        <w:t>1</w:t>
      </w:r>
      <w:r>
        <w:rPr>
          <w:rFonts w:hint="eastAsia" w:ascii="宋体" w:hAnsi="宋体"/>
          <w:sz w:val="20"/>
          <w:szCs w:val="20"/>
        </w:rPr>
        <w:t xml:space="preserve">  日报表应包括以下内容：</w:t>
      </w:r>
    </w:p>
    <w:p w14:paraId="5F840802">
      <w:pPr>
        <w:adjustRightInd w:val="0"/>
        <w:snapToGrid w:val="0"/>
        <w:spacing w:line="288" w:lineRule="auto"/>
        <w:ind w:firstLine="600" w:firstLineChars="300"/>
        <w:rPr>
          <w:sz w:val="20"/>
          <w:szCs w:val="20"/>
        </w:rPr>
      </w:pPr>
      <w:r>
        <w:rPr>
          <w:sz w:val="20"/>
          <w:szCs w:val="20"/>
        </w:rPr>
        <w:t>1）气象情况和施工现况；</w:t>
      </w:r>
    </w:p>
    <w:p w14:paraId="76D5CD97">
      <w:pPr>
        <w:adjustRightInd w:val="0"/>
        <w:snapToGrid w:val="0"/>
        <w:spacing w:line="288" w:lineRule="auto"/>
        <w:ind w:left="897" w:leftChars="286" w:hanging="296" w:hangingChars="148"/>
        <w:rPr>
          <w:sz w:val="20"/>
          <w:szCs w:val="20"/>
        </w:rPr>
      </w:pPr>
      <w:r>
        <w:rPr>
          <w:sz w:val="20"/>
          <w:szCs w:val="20"/>
        </w:rPr>
        <w:t>2）各监测点的本次监测值、单次变化值、变化速率、累计值等，必要时绘制有关曲线图；</w:t>
      </w:r>
    </w:p>
    <w:p w14:paraId="200C3353">
      <w:pPr>
        <w:adjustRightInd w:val="0"/>
        <w:snapToGrid w:val="0"/>
        <w:spacing w:line="288" w:lineRule="auto"/>
        <w:ind w:firstLine="600" w:firstLineChars="300"/>
        <w:rPr>
          <w:sz w:val="20"/>
          <w:szCs w:val="20"/>
        </w:rPr>
      </w:pPr>
      <w:r>
        <w:rPr>
          <w:sz w:val="20"/>
          <w:szCs w:val="20"/>
        </w:rPr>
        <w:t>3）现场巡视检查信息：巡查照片、记录等；</w:t>
      </w:r>
    </w:p>
    <w:p w14:paraId="17E75688">
      <w:pPr>
        <w:adjustRightInd w:val="0"/>
        <w:snapToGrid w:val="0"/>
        <w:spacing w:line="288" w:lineRule="auto"/>
        <w:ind w:firstLine="600" w:firstLineChars="300"/>
        <w:rPr>
          <w:sz w:val="20"/>
          <w:szCs w:val="20"/>
        </w:rPr>
      </w:pPr>
      <w:r>
        <w:rPr>
          <w:sz w:val="20"/>
          <w:szCs w:val="20"/>
        </w:rPr>
        <w:t>4）对监测项目应有正常或异常、危险的判断性结论；</w:t>
      </w:r>
    </w:p>
    <w:p w14:paraId="38360B4C">
      <w:pPr>
        <w:adjustRightInd w:val="0"/>
        <w:snapToGrid w:val="0"/>
        <w:spacing w:line="288" w:lineRule="auto"/>
        <w:ind w:left="897" w:leftChars="286" w:hanging="296" w:hangingChars="148"/>
        <w:rPr>
          <w:sz w:val="20"/>
          <w:szCs w:val="20"/>
        </w:rPr>
      </w:pPr>
      <w:r>
        <w:rPr>
          <w:sz w:val="20"/>
          <w:szCs w:val="20"/>
        </w:rPr>
        <w:t>5）对达到或超过监测预警值的监测点应有报警标示，并有分析与</w:t>
      </w:r>
      <w:r>
        <w:rPr>
          <w:rFonts w:hint="eastAsia"/>
          <w:sz w:val="20"/>
          <w:szCs w:val="20"/>
        </w:rPr>
        <w:t>建议</w:t>
      </w:r>
      <w:r>
        <w:rPr>
          <w:sz w:val="20"/>
          <w:szCs w:val="20"/>
        </w:rPr>
        <w:t>；</w:t>
      </w:r>
    </w:p>
    <w:p w14:paraId="625DBB2B">
      <w:pPr>
        <w:adjustRightInd w:val="0"/>
        <w:snapToGrid w:val="0"/>
        <w:spacing w:line="288" w:lineRule="auto"/>
        <w:ind w:left="895" w:leftChars="288" w:hanging="290" w:hangingChars="145"/>
        <w:rPr>
          <w:sz w:val="20"/>
          <w:szCs w:val="20"/>
        </w:rPr>
      </w:pPr>
      <w:r>
        <w:rPr>
          <w:sz w:val="20"/>
          <w:szCs w:val="20"/>
        </w:rPr>
        <w:t>6）对巡视检查发现的异常情况应有详细描述，危险情况应有报警标识，并有分析与</w:t>
      </w:r>
      <w:r>
        <w:rPr>
          <w:rFonts w:hint="eastAsia"/>
          <w:sz w:val="20"/>
          <w:szCs w:val="20"/>
        </w:rPr>
        <w:t>建议</w:t>
      </w:r>
      <w:r>
        <w:rPr>
          <w:sz w:val="20"/>
          <w:szCs w:val="20"/>
        </w:rPr>
        <w:t>；</w:t>
      </w:r>
    </w:p>
    <w:p w14:paraId="3C1617AF">
      <w:pPr>
        <w:adjustRightInd w:val="0"/>
        <w:snapToGrid w:val="0"/>
        <w:spacing w:line="288" w:lineRule="auto"/>
        <w:ind w:firstLine="600" w:firstLineChars="300"/>
        <w:rPr>
          <w:sz w:val="20"/>
          <w:szCs w:val="20"/>
        </w:rPr>
      </w:pPr>
      <w:r>
        <w:rPr>
          <w:sz w:val="20"/>
          <w:szCs w:val="20"/>
        </w:rPr>
        <w:t>7）结论与建议。</w:t>
      </w:r>
    </w:p>
    <w:p w14:paraId="0BEE16B2">
      <w:pPr>
        <w:adjustRightInd w:val="0"/>
        <w:snapToGrid w:val="0"/>
        <w:spacing w:line="288" w:lineRule="auto"/>
        <w:ind w:firstLine="402" w:firstLineChars="200"/>
        <w:rPr>
          <w:sz w:val="20"/>
          <w:szCs w:val="20"/>
        </w:rPr>
      </w:pPr>
      <w:r>
        <w:rPr>
          <w:rFonts w:eastAsia="黑体"/>
          <w:b/>
          <w:bCs/>
          <w:sz w:val="20"/>
          <w:szCs w:val="20"/>
        </w:rPr>
        <w:t>2</w:t>
      </w:r>
      <w:r>
        <w:rPr>
          <w:sz w:val="20"/>
          <w:szCs w:val="20"/>
        </w:rPr>
        <w:t xml:space="preserve">  阶段性报告应包括以下内容：</w:t>
      </w:r>
    </w:p>
    <w:p w14:paraId="081C4C8F">
      <w:pPr>
        <w:adjustRightInd w:val="0"/>
        <w:snapToGrid w:val="0"/>
        <w:spacing w:line="288" w:lineRule="auto"/>
        <w:ind w:firstLine="600" w:firstLineChars="300"/>
        <w:rPr>
          <w:sz w:val="20"/>
          <w:szCs w:val="20"/>
        </w:rPr>
      </w:pPr>
      <w:r>
        <w:rPr>
          <w:sz w:val="20"/>
          <w:szCs w:val="20"/>
        </w:rPr>
        <w:t>1）工程概况及施工进度；</w:t>
      </w:r>
    </w:p>
    <w:p w14:paraId="30C9F205">
      <w:pPr>
        <w:adjustRightInd w:val="0"/>
        <w:snapToGrid w:val="0"/>
        <w:spacing w:line="288" w:lineRule="auto"/>
        <w:ind w:firstLine="600" w:firstLineChars="300"/>
        <w:rPr>
          <w:sz w:val="20"/>
          <w:szCs w:val="20"/>
        </w:rPr>
      </w:pPr>
      <w:r>
        <w:rPr>
          <w:sz w:val="20"/>
          <w:szCs w:val="20"/>
        </w:rPr>
        <w:t>2）现场巡查信息：巡查照片、记录等；</w:t>
      </w:r>
    </w:p>
    <w:p w14:paraId="6C92A80F">
      <w:pPr>
        <w:adjustRightInd w:val="0"/>
        <w:snapToGrid w:val="0"/>
        <w:spacing w:line="288" w:lineRule="auto"/>
        <w:ind w:left="897" w:leftChars="286" w:hanging="296" w:hangingChars="148"/>
        <w:rPr>
          <w:sz w:val="20"/>
          <w:szCs w:val="20"/>
        </w:rPr>
      </w:pPr>
      <w:r>
        <w:rPr>
          <w:sz w:val="20"/>
          <w:szCs w:val="20"/>
        </w:rPr>
        <w:t>3）监测数据图表：监测项目的累计变化值、变化速率值、过程曲线、监测点平面位置图等；</w:t>
      </w:r>
    </w:p>
    <w:p w14:paraId="3E6EC0AF">
      <w:pPr>
        <w:adjustRightInd w:val="0"/>
        <w:snapToGrid w:val="0"/>
        <w:spacing w:line="288" w:lineRule="auto"/>
        <w:ind w:firstLine="600" w:firstLineChars="300"/>
        <w:rPr>
          <w:sz w:val="20"/>
          <w:szCs w:val="20"/>
        </w:rPr>
      </w:pPr>
      <w:r>
        <w:rPr>
          <w:sz w:val="20"/>
          <w:szCs w:val="20"/>
        </w:rPr>
        <w:t>4）各监测项目监测值的变化分析、评价及发展预测；</w:t>
      </w:r>
    </w:p>
    <w:p w14:paraId="263C1E40">
      <w:pPr>
        <w:adjustRightInd w:val="0"/>
        <w:snapToGrid w:val="0"/>
        <w:spacing w:line="288" w:lineRule="auto"/>
        <w:ind w:firstLine="600" w:firstLineChars="300"/>
        <w:rPr>
          <w:sz w:val="20"/>
          <w:szCs w:val="20"/>
        </w:rPr>
      </w:pPr>
      <w:r>
        <w:rPr>
          <w:sz w:val="20"/>
          <w:szCs w:val="20"/>
        </w:rPr>
        <w:t>5）结论与建议。</w:t>
      </w:r>
    </w:p>
    <w:p w14:paraId="4A242C00">
      <w:pPr>
        <w:adjustRightInd w:val="0"/>
        <w:snapToGrid w:val="0"/>
        <w:spacing w:line="288" w:lineRule="auto"/>
        <w:ind w:firstLine="402" w:firstLineChars="200"/>
        <w:rPr>
          <w:sz w:val="20"/>
          <w:szCs w:val="20"/>
        </w:rPr>
      </w:pPr>
      <w:r>
        <w:rPr>
          <w:rFonts w:eastAsia="黑体"/>
          <w:b/>
          <w:bCs/>
          <w:sz w:val="20"/>
          <w:szCs w:val="20"/>
        </w:rPr>
        <w:t>3</w:t>
      </w:r>
      <w:r>
        <w:rPr>
          <w:sz w:val="20"/>
          <w:szCs w:val="20"/>
        </w:rPr>
        <w:t xml:space="preserve">  总结报告应包括以下内容：</w:t>
      </w:r>
    </w:p>
    <w:p w14:paraId="0C1810B3">
      <w:pPr>
        <w:adjustRightInd w:val="0"/>
        <w:snapToGrid w:val="0"/>
        <w:spacing w:line="288" w:lineRule="auto"/>
        <w:ind w:firstLine="600" w:firstLineChars="300"/>
        <w:rPr>
          <w:sz w:val="20"/>
          <w:szCs w:val="20"/>
        </w:rPr>
      </w:pPr>
      <w:r>
        <w:rPr>
          <w:sz w:val="20"/>
          <w:szCs w:val="20"/>
        </w:rPr>
        <w:t>1）工程概况；</w:t>
      </w:r>
    </w:p>
    <w:p w14:paraId="7D71113F">
      <w:pPr>
        <w:adjustRightInd w:val="0"/>
        <w:snapToGrid w:val="0"/>
        <w:spacing w:line="288" w:lineRule="auto"/>
        <w:ind w:firstLine="600" w:firstLineChars="300"/>
        <w:rPr>
          <w:sz w:val="20"/>
          <w:szCs w:val="20"/>
        </w:rPr>
      </w:pPr>
      <w:r>
        <w:rPr>
          <w:sz w:val="20"/>
          <w:szCs w:val="20"/>
        </w:rPr>
        <w:t>2）监测目的、监测项目和监测依据；</w:t>
      </w:r>
    </w:p>
    <w:p w14:paraId="7940ED15">
      <w:pPr>
        <w:adjustRightInd w:val="0"/>
        <w:snapToGrid w:val="0"/>
        <w:spacing w:line="288" w:lineRule="auto"/>
        <w:ind w:firstLine="600" w:firstLineChars="300"/>
        <w:rPr>
          <w:sz w:val="20"/>
          <w:szCs w:val="20"/>
        </w:rPr>
      </w:pPr>
      <w:r>
        <w:rPr>
          <w:sz w:val="20"/>
          <w:szCs w:val="20"/>
        </w:rPr>
        <w:t>3）监测点布置；</w:t>
      </w:r>
    </w:p>
    <w:p w14:paraId="7D435E98">
      <w:pPr>
        <w:adjustRightInd w:val="0"/>
        <w:snapToGrid w:val="0"/>
        <w:spacing w:line="288" w:lineRule="auto"/>
        <w:ind w:firstLine="600" w:firstLineChars="300"/>
        <w:rPr>
          <w:sz w:val="20"/>
          <w:szCs w:val="20"/>
        </w:rPr>
      </w:pPr>
      <w:r>
        <w:rPr>
          <w:sz w:val="20"/>
          <w:szCs w:val="20"/>
        </w:rPr>
        <w:t>4）监测设备和监测方法；</w:t>
      </w:r>
    </w:p>
    <w:p w14:paraId="0387EC78">
      <w:pPr>
        <w:adjustRightInd w:val="0"/>
        <w:snapToGrid w:val="0"/>
        <w:spacing w:line="288" w:lineRule="auto"/>
        <w:ind w:firstLine="600" w:firstLineChars="300"/>
        <w:rPr>
          <w:sz w:val="20"/>
          <w:szCs w:val="20"/>
        </w:rPr>
      </w:pPr>
      <w:r>
        <w:rPr>
          <w:sz w:val="20"/>
          <w:szCs w:val="20"/>
        </w:rPr>
        <w:t>5）监测频率；</w:t>
      </w:r>
    </w:p>
    <w:p w14:paraId="7D67C75C">
      <w:pPr>
        <w:adjustRightInd w:val="0"/>
        <w:snapToGrid w:val="0"/>
        <w:spacing w:line="288" w:lineRule="auto"/>
        <w:ind w:firstLine="600" w:firstLineChars="300"/>
        <w:rPr>
          <w:sz w:val="20"/>
          <w:szCs w:val="20"/>
        </w:rPr>
      </w:pPr>
      <w:r>
        <w:rPr>
          <w:sz w:val="20"/>
          <w:szCs w:val="20"/>
        </w:rPr>
        <w:t>6）监测控制值与预警值；</w:t>
      </w:r>
    </w:p>
    <w:p w14:paraId="405EBE0B">
      <w:pPr>
        <w:adjustRightInd w:val="0"/>
        <w:snapToGrid w:val="0"/>
        <w:spacing w:line="288" w:lineRule="auto"/>
        <w:ind w:firstLine="600" w:firstLineChars="300"/>
        <w:rPr>
          <w:sz w:val="20"/>
          <w:szCs w:val="20"/>
        </w:rPr>
      </w:pPr>
      <w:r>
        <w:rPr>
          <w:sz w:val="20"/>
          <w:szCs w:val="20"/>
        </w:rPr>
        <w:t>7）现场巡查信息：巡查照片、记录等；</w:t>
      </w:r>
    </w:p>
    <w:p w14:paraId="68F8BA28">
      <w:pPr>
        <w:adjustRightInd w:val="0"/>
        <w:snapToGrid w:val="0"/>
        <w:spacing w:line="288" w:lineRule="auto"/>
        <w:ind w:left="897" w:leftChars="286" w:hanging="296" w:hangingChars="148"/>
        <w:rPr>
          <w:sz w:val="20"/>
          <w:szCs w:val="20"/>
        </w:rPr>
      </w:pPr>
      <w:r>
        <w:rPr>
          <w:sz w:val="20"/>
          <w:szCs w:val="20"/>
        </w:rPr>
        <w:t>8）监测数据图表：监测值、累计变化值、变化速率值、时程曲线、监测点平面布置图等；</w:t>
      </w:r>
    </w:p>
    <w:p w14:paraId="6C7BFF27">
      <w:pPr>
        <w:adjustRightInd w:val="0"/>
        <w:snapToGrid w:val="0"/>
        <w:spacing w:line="288" w:lineRule="auto"/>
        <w:ind w:firstLine="600" w:firstLineChars="300"/>
        <w:rPr>
          <w:sz w:val="20"/>
          <w:szCs w:val="20"/>
        </w:rPr>
      </w:pPr>
      <w:r>
        <w:rPr>
          <w:sz w:val="20"/>
          <w:szCs w:val="20"/>
        </w:rPr>
        <w:t>9）监测数据、巡查信息的分析与说明；</w:t>
      </w:r>
    </w:p>
    <w:p w14:paraId="04917913">
      <w:pPr>
        <w:adjustRightInd w:val="0"/>
        <w:snapToGrid w:val="0"/>
        <w:spacing w:line="288" w:lineRule="auto"/>
        <w:ind w:firstLine="600" w:firstLineChars="300"/>
        <w:rPr>
          <w:sz w:val="20"/>
          <w:szCs w:val="20"/>
        </w:rPr>
      </w:pPr>
      <w:r>
        <w:rPr>
          <w:sz w:val="20"/>
          <w:szCs w:val="20"/>
        </w:rPr>
        <w:t>10）监测过程中与相关单位的联系文件与记录；</w:t>
      </w:r>
    </w:p>
    <w:p w14:paraId="64B75D16">
      <w:pPr>
        <w:adjustRightInd w:val="0"/>
        <w:snapToGrid w:val="0"/>
        <w:spacing w:line="288" w:lineRule="auto"/>
        <w:ind w:firstLine="600" w:firstLineChars="300"/>
        <w:rPr>
          <w:sz w:val="20"/>
          <w:szCs w:val="20"/>
        </w:rPr>
      </w:pPr>
      <w:r>
        <w:rPr>
          <w:sz w:val="20"/>
          <w:szCs w:val="20"/>
        </w:rPr>
        <w:t>11）结论与建议。</w:t>
      </w:r>
    </w:p>
    <w:p w14:paraId="6A504692">
      <w:pPr>
        <w:pStyle w:val="5"/>
        <w:keepNext w:val="0"/>
        <w:keepLines w:val="0"/>
        <w:adjustRightInd w:val="0"/>
        <w:snapToGrid w:val="0"/>
        <w:spacing w:before="156" w:beforeLines="50" w:after="312" w:afterLines="100" w:line="288" w:lineRule="auto"/>
        <w:jc w:val="center"/>
        <w:rPr>
          <w:rFonts w:ascii="Times New Roman" w:hAnsi="Times New Roman" w:eastAsia="仿宋"/>
          <w:b w:val="0"/>
          <w:bCs w:val="0"/>
          <w:sz w:val="36"/>
          <w:szCs w:val="36"/>
        </w:rPr>
      </w:pPr>
      <w:r>
        <w:br w:type="page"/>
      </w:r>
      <w:bookmarkStart w:id="125" w:name="_Toc139613756"/>
      <w:r>
        <w:rPr>
          <w:rFonts w:ascii="Times New Roman" w:hAnsi="Times New Roman"/>
          <w:sz w:val="26"/>
          <w:szCs w:val="26"/>
        </w:rPr>
        <w:t>12</w:t>
      </w:r>
      <w:r>
        <w:rPr>
          <w:rFonts w:ascii="Times New Roman" w:hAnsi="Times New Roman"/>
          <w:b w:val="0"/>
          <w:bCs w:val="0"/>
          <w:sz w:val="26"/>
          <w:szCs w:val="26"/>
        </w:rPr>
        <w:t xml:space="preserve"> 碳排放量计算</w:t>
      </w:r>
      <w:bookmarkEnd w:id="125"/>
    </w:p>
    <w:p w14:paraId="497F092C">
      <w:pPr>
        <w:pStyle w:val="7"/>
        <w:keepNext w:val="0"/>
        <w:keepLines w:val="0"/>
        <w:adjustRightInd w:val="0"/>
        <w:snapToGrid w:val="0"/>
        <w:spacing w:before="312" w:beforeLines="100" w:after="312" w:afterLines="100" w:line="288" w:lineRule="auto"/>
        <w:jc w:val="center"/>
        <w:rPr>
          <w:rFonts w:eastAsia="黑体"/>
          <w:b w:val="0"/>
          <w:bCs w:val="0"/>
          <w:sz w:val="20"/>
          <w:szCs w:val="20"/>
        </w:rPr>
      </w:pPr>
      <w:bookmarkStart w:id="126" w:name="_Toc139613757"/>
      <w:r>
        <w:rPr>
          <w:rFonts w:eastAsia="黑体"/>
          <w:sz w:val="20"/>
          <w:szCs w:val="20"/>
        </w:rPr>
        <w:t xml:space="preserve">12.1 </w:t>
      </w:r>
      <w:r>
        <w:rPr>
          <w:rFonts w:eastAsia="黑体"/>
          <w:b w:val="0"/>
          <w:bCs w:val="0"/>
          <w:sz w:val="20"/>
          <w:szCs w:val="20"/>
        </w:rPr>
        <w:t>一般规定</w:t>
      </w:r>
      <w:bookmarkEnd w:id="126"/>
    </w:p>
    <w:p w14:paraId="23F702E6">
      <w:pPr>
        <w:spacing w:line="288" w:lineRule="auto"/>
        <w:rPr>
          <w:b/>
          <w:bCs/>
          <w:sz w:val="20"/>
          <w:szCs w:val="20"/>
        </w:rPr>
      </w:pPr>
      <w:r>
        <w:rPr>
          <w:b/>
          <w:bCs/>
          <w:sz w:val="20"/>
          <w:szCs w:val="20"/>
        </w:rPr>
        <w:t xml:space="preserve">12.1.1  </w:t>
      </w:r>
      <w:r>
        <w:rPr>
          <w:sz w:val="20"/>
          <w:szCs w:val="20"/>
        </w:rPr>
        <w:t>碳排放量计算应以基坑</w:t>
      </w:r>
      <w:r>
        <w:rPr>
          <w:rFonts w:hint="eastAsia"/>
          <w:sz w:val="20"/>
          <w:szCs w:val="20"/>
        </w:rPr>
        <w:t>支护</w:t>
      </w:r>
      <w:r>
        <w:rPr>
          <w:sz w:val="20"/>
          <w:szCs w:val="20"/>
        </w:rPr>
        <w:t>设计方案为对象，在设计阶段完成，计算范围应从开工起至基槽回填完工止，包括支护施工、土方开挖、地下水控制、基坑维护、基槽回填和</w:t>
      </w:r>
      <w:r>
        <w:rPr>
          <w:rFonts w:hint="eastAsia"/>
          <w:sz w:val="20"/>
          <w:szCs w:val="20"/>
        </w:rPr>
        <w:t>支护结构</w:t>
      </w:r>
      <w:r>
        <w:rPr>
          <w:sz w:val="20"/>
          <w:szCs w:val="20"/>
        </w:rPr>
        <w:t>拆除。</w:t>
      </w:r>
    </w:p>
    <w:p w14:paraId="3619AFD9">
      <w:pPr>
        <w:spacing w:line="288" w:lineRule="auto"/>
        <w:rPr>
          <w:sz w:val="20"/>
          <w:szCs w:val="20"/>
        </w:rPr>
      </w:pPr>
      <w:r>
        <w:rPr>
          <w:b/>
          <w:bCs/>
          <w:sz w:val="20"/>
          <w:szCs w:val="20"/>
        </w:rPr>
        <w:t xml:space="preserve">12.1.2  </w:t>
      </w:r>
      <w:r>
        <w:rPr>
          <w:sz w:val="20"/>
          <w:szCs w:val="20"/>
        </w:rPr>
        <w:t>基坑工程的碳排放量包括计算范围内工程</w:t>
      </w:r>
      <w:r>
        <w:rPr>
          <w:rFonts w:hint="eastAsia"/>
          <w:sz w:val="20"/>
          <w:szCs w:val="20"/>
        </w:rPr>
        <w:t>使用</w:t>
      </w:r>
      <w:r>
        <w:rPr>
          <w:sz w:val="20"/>
          <w:szCs w:val="20"/>
        </w:rPr>
        <w:t>的机械、材料和人工产生的碳排放量。</w:t>
      </w:r>
    </w:p>
    <w:p w14:paraId="591DAC7F">
      <w:pPr>
        <w:pStyle w:val="2"/>
        <w:spacing w:after="0" w:line="288" w:lineRule="auto"/>
        <w:ind w:left="0" w:leftChars="0" w:firstLine="0" w:firstLineChars="0"/>
      </w:pPr>
      <w:r>
        <w:rPr>
          <w:b/>
          <w:bCs/>
          <w:sz w:val="20"/>
          <w:szCs w:val="20"/>
        </w:rPr>
        <w:t xml:space="preserve">12.1.3 </w:t>
      </w:r>
      <w:r>
        <w:rPr>
          <w:rFonts w:hint="eastAsia"/>
          <w:sz w:val="20"/>
          <w:szCs w:val="20"/>
        </w:rPr>
        <w:t xml:space="preserve"> 基坑工程设计应采用就地取材、可回收材料、多功能构件等减碳措施。</w:t>
      </w:r>
    </w:p>
    <w:p w14:paraId="243AFA9B">
      <w:pPr>
        <w:pStyle w:val="7"/>
        <w:keepNext w:val="0"/>
        <w:keepLines w:val="0"/>
        <w:adjustRightInd w:val="0"/>
        <w:snapToGrid w:val="0"/>
        <w:spacing w:before="312" w:beforeLines="100" w:after="312" w:afterLines="100" w:line="288" w:lineRule="auto"/>
        <w:jc w:val="center"/>
        <w:rPr>
          <w:rFonts w:eastAsia="黑体"/>
          <w:sz w:val="20"/>
          <w:szCs w:val="20"/>
        </w:rPr>
      </w:pPr>
      <w:bookmarkStart w:id="127" w:name="_Toc139613758"/>
      <w:r>
        <w:rPr>
          <w:rFonts w:eastAsia="黑体"/>
          <w:sz w:val="20"/>
          <w:szCs w:val="20"/>
        </w:rPr>
        <w:t>12.2 碳排放</w:t>
      </w:r>
      <w:r>
        <w:rPr>
          <w:rFonts w:hint="eastAsia" w:eastAsia="黑体"/>
          <w:sz w:val="20"/>
          <w:szCs w:val="20"/>
        </w:rPr>
        <w:t>量</w:t>
      </w:r>
      <w:r>
        <w:rPr>
          <w:rFonts w:eastAsia="黑体"/>
          <w:sz w:val="20"/>
          <w:szCs w:val="20"/>
        </w:rPr>
        <w:t>计算</w:t>
      </w:r>
      <w:r>
        <w:rPr>
          <w:rFonts w:hint="eastAsia" w:eastAsia="黑体"/>
          <w:sz w:val="20"/>
          <w:szCs w:val="20"/>
        </w:rPr>
        <w:t>方法</w:t>
      </w:r>
      <w:bookmarkEnd w:id="127"/>
    </w:p>
    <w:p w14:paraId="0E29928B">
      <w:pPr>
        <w:spacing w:line="288" w:lineRule="auto"/>
        <w:rPr>
          <w:sz w:val="20"/>
          <w:szCs w:val="20"/>
        </w:rPr>
      </w:pPr>
      <w:r>
        <w:rPr>
          <w:rFonts w:eastAsia="仿宋" w:asciiTheme="majorBidi" w:hAnsiTheme="majorBidi" w:cstheme="majorBidi"/>
          <w:b/>
          <w:bCs/>
          <w:sz w:val="20"/>
          <w:szCs w:val="20"/>
        </w:rPr>
        <w:t>12.2.1</w:t>
      </w:r>
      <w:r>
        <w:rPr>
          <w:rFonts w:eastAsia="仿宋" w:asciiTheme="majorBidi" w:hAnsiTheme="majorBidi" w:cstheme="majorBidi"/>
          <w:b/>
          <w:bCs/>
        </w:rPr>
        <w:t xml:space="preserve">  </w:t>
      </w:r>
      <w:r>
        <w:rPr>
          <w:sz w:val="20"/>
          <w:szCs w:val="20"/>
        </w:rPr>
        <w:t>基坑工程碳排放量</w:t>
      </w:r>
      <w:r>
        <w:rPr>
          <w:rFonts w:hint="eastAsia"/>
          <w:sz w:val="20"/>
          <w:szCs w:val="20"/>
        </w:rPr>
        <w:t>应</w:t>
      </w:r>
      <w:r>
        <w:rPr>
          <w:sz w:val="20"/>
          <w:szCs w:val="20"/>
        </w:rPr>
        <w:t>按下列公式计算：</w:t>
      </w:r>
      <w:r>
        <w:rPr>
          <w:rFonts w:hint="eastAsia"/>
          <w:sz w:val="20"/>
          <w:szCs w:val="20"/>
        </w:rPr>
        <w:t xml:space="preserve"> </w:t>
      </w:r>
    </w:p>
    <w:p w14:paraId="2A0B4D54">
      <w:pPr>
        <w:pStyle w:val="13"/>
        <w:spacing w:line="288" w:lineRule="auto"/>
        <w:ind w:right="840"/>
        <w:jc w:val="center"/>
        <w:rPr>
          <w:rFonts w:eastAsia="仿宋" w:asciiTheme="majorBidi" w:hAnsiTheme="majorBidi" w:cstheme="majorBidi"/>
          <w:bCs/>
          <w:color w:val="auto"/>
          <w:sz w:val="21"/>
          <w:szCs w:val="40"/>
        </w:rPr>
      </w:pPr>
      <w:r>
        <w:rPr>
          <w:rFonts w:eastAsia="仿宋" w:asciiTheme="majorBidi" w:hAnsiTheme="majorBidi" w:cstheme="majorBidi"/>
          <w:color w:val="auto"/>
          <w:sz w:val="21"/>
          <w:szCs w:val="40"/>
        </w:rPr>
        <w:t xml:space="preserve">                                        </w:t>
      </w:r>
      <w:r>
        <w:rPr>
          <w:rFonts w:hint="eastAsia" w:eastAsia="仿宋" w:asciiTheme="majorBidi" w:hAnsiTheme="majorBidi" w:cstheme="majorBidi"/>
          <w:color w:val="auto"/>
          <w:sz w:val="21"/>
          <w:szCs w:val="40"/>
        </w:rPr>
        <w:t>S</w:t>
      </w:r>
      <w:r>
        <w:rPr>
          <w:rFonts w:eastAsia="仿宋" w:asciiTheme="majorBidi" w:hAnsiTheme="majorBidi" w:cstheme="majorBidi"/>
          <w:color w:val="auto"/>
          <w:sz w:val="21"/>
          <w:szCs w:val="40"/>
        </w:rPr>
        <w:t>=∑β</w:t>
      </w:r>
      <w:r>
        <w:rPr>
          <w:rFonts w:hint="eastAsia" w:eastAsia="仿宋" w:asciiTheme="majorBidi" w:hAnsiTheme="majorBidi" w:cstheme="majorBidi"/>
          <w:color w:val="auto"/>
          <w:sz w:val="21"/>
          <w:szCs w:val="40"/>
          <w:vertAlign w:val="subscript"/>
        </w:rPr>
        <w:t>i</w:t>
      </w:r>
      <w:r>
        <w:rPr>
          <w:rFonts w:hint="eastAsia" w:eastAsia="仿宋" w:asciiTheme="majorBidi" w:hAnsiTheme="majorBidi" w:cstheme="majorBidi"/>
          <w:color w:val="auto"/>
          <w:sz w:val="21"/>
          <w:szCs w:val="40"/>
        </w:rPr>
        <w:t>C</w:t>
      </w:r>
      <w:r>
        <w:rPr>
          <w:rFonts w:hint="eastAsia" w:eastAsia="仿宋" w:asciiTheme="majorBidi" w:hAnsiTheme="majorBidi" w:cstheme="majorBidi"/>
          <w:color w:val="auto"/>
          <w:sz w:val="21"/>
          <w:szCs w:val="40"/>
          <w:vertAlign w:val="subscript"/>
        </w:rPr>
        <w:t>ui</w:t>
      </w:r>
      <w:r>
        <w:rPr>
          <w:rFonts w:hint="eastAsia" w:eastAsia="仿宋" w:asciiTheme="majorBidi" w:hAnsiTheme="majorBidi" w:cstheme="majorBidi"/>
          <w:color w:val="auto"/>
          <w:sz w:val="21"/>
          <w:szCs w:val="40"/>
        </w:rPr>
        <w:t>M</w:t>
      </w:r>
      <w:r>
        <w:rPr>
          <w:rFonts w:hint="eastAsia" w:eastAsia="仿宋" w:asciiTheme="majorBidi" w:hAnsiTheme="majorBidi" w:cstheme="majorBidi"/>
          <w:color w:val="auto"/>
          <w:sz w:val="21"/>
          <w:szCs w:val="40"/>
          <w:vertAlign w:val="subscript"/>
        </w:rPr>
        <w:t>i</w:t>
      </w:r>
      <w:r>
        <w:rPr>
          <w:rFonts w:eastAsia="仿宋" w:asciiTheme="majorBidi" w:hAnsiTheme="majorBidi" w:cstheme="majorBidi"/>
          <w:color w:val="auto"/>
          <w:sz w:val="21"/>
          <w:szCs w:val="40"/>
          <w:vertAlign w:val="subscript"/>
        </w:rPr>
        <w:t xml:space="preserve">                              </w:t>
      </w:r>
      <w:r>
        <w:rPr>
          <w:rFonts w:eastAsia="仿宋" w:asciiTheme="majorBidi" w:hAnsiTheme="majorBidi" w:cstheme="majorBidi"/>
          <w:color w:val="auto"/>
          <w:sz w:val="21"/>
          <w:szCs w:val="40"/>
        </w:rPr>
        <w:t xml:space="preserve">   </w:t>
      </w:r>
      <w:r>
        <w:rPr>
          <w:rFonts w:hint="eastAsia" w:eastAsia="仿宋" w:asciiTheme="majorBidi" w:hAnsiTheme="majorBidi" w:cstheme="majorBidi"/>
          <w:color w:val="auto"/>
          <w:sz w:val="20"/>
          <w:szCs w:val="20"/>
        </w:rPr>
        <w:t>（12.2.</w:t>
      </w:r>
      <w:r>
        <w:rPr>
          <w:rFonts w:eastAsia="仿宋" w:asciiTheme="majorBidi" w:hAnsiTheme="majorBidi" w:cstheme="majorBidi"/>
          <w:color w:val="auto"/>
          <w:sz w:val="20"/>
          <w:szCs w:val="20"/>
        </w:rPr>
        <w:t>1</w:t>
      </w:r>
      <w:r>
        <w:rPr>
          <w:rFonts w:hint="eastAsia" w:eastAsia="仿宋" w:asciiTheme="majorBidi" w:hAnsiTheme="majorBidi" w:cstheme="majorBidi"/>
          <w:color w:val="auto"/>
          <w:sz w:val="20"/>
          <w:szCs w:val="20"/>
        </w:rPr>
        <w:t>）</w:t>
      </w:r>
    </w:p>
    <w:p w14:paraId="30EA2D61">
      <w:pPr>
        <w:pStyle w:val="13"/>
        <w:spacing w:line="288" w:lineRule="auto"/>
        <w:rPr>
          <w:color w:val="auto"/>
          <w:sz w:val="20"/>
          <w:szCs w:val="20"/>
        </w:rPr>
      </w:pPr>
      <w:r>
        <w:rPr>
          <w:color w:val="auto"/>
          <w:sz w:val="20"/>
          <w:szCs w:val="20"/>
        </w:rPr>
        <w:t>式中：</w:t>
      </w:r>
    </w:p>
    <w:p w14:paraId="053EF560">
      <w:pPr>
        <w:pStyle w:val="13"/>
        <w:spacing w:line="288" w:lineRule="auto"/>
        <w:ind w:firstLine="420"/>
        <w:rPr>
          <w:color w:val="auto"/>
          <w:sz w:val="20"/>
          <w:szCs w:val="20"/>
        </w:rPr>
      </w:pPr>
      <w:r>
        <w:rPr>
          <w:rFonts w:hint="eastAsia"/>
          <w:color w:val="auto"/>
          <w:sz w:val="20"/>
          <w:szCs w:val="20"/>
        </w:rPr>
        <w:t>S</w:t>
      </w:r>
      <w:r>
        <w:rPr>
          <w:color w:val="auto"/>
          <w:sz w:val="20"/>
          <w:szCs w:val="20"/>
        </w:rPr>
        <w:t xml:space="preserve"> —— 基坑工程碳排放量总和</w:t>
      </w:r>
      <w:r>
        <w:rPr>
          <w:rFonts w:hint="eastAsia"/>
          <w:color w:val="auto"/>
          <w:sz w:val="20"/>
          <w:szCs w:val="20"/>
        </w:rPr>
        <w:t>（</w:t>
      </w:r>
      <w:r>
        <w:rPr>
          <w:color w:val="auto"/>
          <w:sz w:val="20"/>
          <w:szCs w:val="22"/>
        </w:rPr>
        <w:t>kgCO</w:t>
      </w:r>
      <w:r>
        <w:rPr>
          <w:color w:val="auto"/>
          <w:sz w:val="20"/>
          <w:szCs w:val="22"/>
          <w:vertAlign w:val="subscript"/>
        </w:rPr>
        <w:t>2</w:t>
      </w:r>
      <w:r>
        <w:rPr>
          <w:color w:val="auto"/>
          <w:sz w:val="20"/>
          <w:szCs w:val="22"/>
        </w:rPr>
        <w:t>e</w:t>
      </w:r>
      <w:r>
        <w:rPr>
          <w:rFonts w:hint="eastAsia"/>
          <w:color w:val="auto"/>
          <w:sz w:val="20"/>
          <w:szCs w:val="20"/>
        </w:rPr>
        <w:t>）</w:t>
      </w:r>
      <w:r>
        <w:rPr>
          <w:color w:val="auto"/>
          <w:sz w:val="20"/>
          <w:szCs w:val="20"/>
        </w:rPr>
        <w:t>；</w:t>
      </w:r>
    </w:p>
    <w:p w14:paraId="3D37AAF8">
      <w:pPr>
        <w:pStyle w:val="13"/>
        <w:spacing w:line="288" w:lineRule="auto"/>
        <w:ind w:firstLine="420"/>
        <w:rPr>
          <w:color w:val="auto"/>
          <w:sz w:val="20"/>
          <w:szCs w:val="20"/>
        </w:rPr>
      </w:pPr>
      <w:r>
        <w:rPr>
          <w:rFonts w:hint="eastAsia"/>
          <w:color w:val="auto"/>
          <w:sz w:val="20"/>
          <w:szCs w:val="20"/>
        </w:rPr>
        <w:t>M</w:t>
      </w:r>
      <w:r>
        <w:rPr>
          <w:rFonts w:hint="eastAsia"/>
          <w:color w:val="auto"/>
          <w:sz w:val="20"/>
          <w:szCs w:val="20"/>
          <w:vertAlign w:val="subscript"/>
        </w:rPr>
        <w:t>i</w:t>
      </w:r>
      <w:r>
        <w:rPr>
          <w:color w:val="auto"/>
          <w:sz w:val="20"/>
          <w:szCs w:val="20"/>
        </w:rPr>
        <w:t xml:space="preserve"> —— 基坑工程依据现行定额计算的单位工程量</w:t>
      </w:r>
      <w:r>
        <w:rPr>
          <w:rFonts w:hint="eastAsia"/>
          <w:color w:val="auto"/>
          <w:sz w:val="20"/>
          <w:szCs w:val="20"/>
        </w:rPr>
        <w:t>总量</w:t>
      </w:r>
      <w:r>
        <w:rPr>
          <w:color w:val="auto"/>
          <w:sz w:val="20"/>
          <w:szCs w:val="20"/>
        </w:rPr>
        <w:t>，按</w:t>
      </w:r>
      <w:r>
        <w:rPr>
          <w:rFonts w:hint="eastAsia"/>
          <w:color w:val="auto"/>
          <w:sz w:val="20"/>
          <w:szCs w:val="20"/>
        </w:rPr>
        <w:t>本规程附录</w:t>
      </w:r>
      <w:r>
        <w:rPr>
          <w:color w:val="auto"/>
          <w:sz w:val="20"/>
          <w:szCs w:val="20"/>
        </w:rPr>
        <w:t>D</w:t>
      </w:r>
      <w:r>
        <w:rPr>
          <w:rFonts w:hint="eastAsia"/>
          <w:color w:val="auto"/>
          <w:sz w:val="20"/>
          <w:szCs w:val="20"/>
        </w:rPr>
        <w:t>第D</w:t>
      </w:r>
      <w:r>
        <w:rPr>
          <w:color w:val="auto"/>
          <w:sz w:val="20"/>
          <w:szCs w:val="20"/>
        </w:rPr>
        <w:t>.0.11</w:t>
      </w:r>
      <w:r>
        <w:rPr>
          <w:rFonts w:hint="eastAsia"/>
          <w:color w:val="auto"/>
          <w:sz w:val="20"/>
          <w:szCs w:val="20"/>
        </w:rPr>
        <w:t>条“</w:t>
      </w:r>
      <w:r>
        <w:rPr>
          <w:color w:val="auto"/>
          <w:sz w:val="20"/>
          <w:szCs w:val="20"/>
        </w:rPr>
        <w:t>定额编号</w:t>
      </w:r>
      <w:r>
        <w:rPr>
          <w:rFonts w:hint="eastAsia"/>
          <w:color w:val="auto"/>
          <w:sz w:val="20"/>
          <w:szCs w:val="20"/>
        </w:rPr>
        <w:t>”</w:t>
      </w:r>
      <w:r>
        <w:rPr>
          <w:color w:val="auto"/>
          <w:sz w:val="20"/>
          <w:szCs w:val="20"/>
        </w:rPr>
        <w:t>相应</w:t>
      </w:r>
      <w:r>
        <w:rPr>
          <w:rFonts w:hint="eastAsia"/>
          <w:color w:val="auto"/>
          <w:sz w:val="20"/>
          <w:szCs w:val="20"/>
        </w:rPr>
        <w:t>的</w:t>
      </w:r>
      <w:r>
        <w:rPr>
          <w:color w:val="auto"/>
          <w:sz w:val="20"/>
          <w:szCs w:val="20"/>
        </w:rPr>
        <w:t>编号计算取值；</w:t>
      </w:r>
    </w:p>
    <w:p w14:paraId="06DBFC42">
      <w:pPr>
        <w:pStyle w:val="13"/>
        <w:spacing w:line="288" w:lineRule="auto"/>
        <w:ind w:firstLine="420"/>
        <w:rPr>
          <w:color w:val="auto"/>
          <w:sz w:val="20"/>
          <w:szCs w:val="20"/>
        </w:rPr>
      </w:pPr>
      <w:r>
        <w:rPr>
          <w:rFonts w:hint="eastAsia"/>
          <w:color w:val="auto"/>
          <w:sz w:val="20"/>
          <w:szCs w:val="20"/>
        </w:rPr>
        <w:t>C</w:t>
      </w:r>
      <w:r>
        <w:rPr>
          <w:rFonts w:hint="eastAsia"/>
          <w:color w:val="auto"/>
          <w:sz w:val="20"/>
          <w:szCs w:val="20"/>
          <w:vertAlign w:val="subscript"/>
        </w:rPr>
        <w:t>ui</w:t>
      </w:r>
      <w:r>
        <w:rPr>
          <w:color w:val="auto"/>
          <w:sz w:val="20"/>
          <w:szCs w:val="20"/>
        </w:rPr>
        <w:t xml:space="preserve"> —— 与单位工程量对应的碳排放因子，按</w:t>
      </w:r>
      <w:r>
        <w:rPr>
          <w:rFonts w:hint="eastAsia"/>
          <w:color w:val="auto"/>
          <w:sz w:val="20"/>
          <w:szCs w:val="20"/>
        </w:rPr>
        <w:t>本规程</w:t>
      </w:r>
      <w:r>
        <w:rPr>
          <w:color w:val="auto"/>
          <w:sz w:val="20"/>
          <w:szCs w:val="20"/>
        </w:rPr>
        <w:t>附</w:t>
      </w:r>
      <w:r>
        <w:rPr>
          <w:rFonts w:hint="eastAsia"/>
          <w:color w:val="auto"/>
          <w:sz w:val="20"/>
          <w:szCs w:val="20"/>
        </w:rPr>
        <w:t>录</w:t>
      </w:r>
      <w:r>
        <w:rPr>
          <w:color w:val="auto"/>
          <w:sz w:val="20"/>
          <w:szCs w:val="20"/>
        </w:rPr>
        <w:t>D</w:t>
      </w:r>
      <w:r>
        <w:rPr>
          <w:rFonts w:hint="eastAsia"/>
          <w:color w:val="auto"/>
          <w:sz w:val="20"/>
          <w:szCs w:val="20"/>
        </w:rPr>
        <w:t>第D</w:t>
      </w:r>
      <w:r>
        <w:rPr>
          <w:color w:val="auto"/>
          <w:sz w:val="20"/>
          <w:szCs w:val="20"/>
        </w:rPr>
        <w:t>.0.11</w:t>
      </w:r>
      <w:r>
        <w:rPr>
          <w:rFonts w:hint="eastAsia"/>
          <w:color w:val="auto"/>
          <w:sz w:val="20"/>
          <w:szCs w:val="20"/>
        </w:rPr>
        <w:t>条</w:t>
      </w:r>
      <w:r>
        <w:rPr>
          <w:color w:val="auto"/>
          <w:sz w:val="20"/>
          <w:szCs w:val="20"/>
        </w:rPr>
        <w:t>取值；</w:t>
      </w:r>
    </w:p>
    <w:p w14:paraId="0B1FB651">
      <w:pPr>
        <w:pStyle w:val="13"/>
        <w:spacing w:line="288" w:lineRule="auto"/>
        <w:ind w:firstLine="420"/>
        <w:rPr>
          <w:color w:val="auto"/>
          <w:sz w:val="20"/>
          <w:szCs w:val="20"/>
        </w:rPr>
      </w:pPr>
      <w:r>
        <w:rPr>
          <w:color w:val="auto"/>
          <w:sz w:val="20"/>
          <w:szCs w:val="20"/>
        </w:rPr>
        <w:t>β</w:t>
      </w:r>
      <w:r>
        <w:rPr>
          <w:rFonts w:hint="eastAsia"/>
          <w:color w:val="auto"/>
          <w:sz w:val="20"/>
          <w:szCs w:val="20"/>
          <w:vertAlign w:val="subscript"/>
        </w:rPr>
        <w:t>i</w:t>
      </w:r>
      <w:r>
        <w:rPr>
          <w:color w:val="auto"/>
          <w:sz w:val="20"/>
          <w:szCs w:val="20"/>
        </w:rPr>
        <w:t xml:space="preserve"> —— 调整系数，按</w:t>
      </w:r>
      <w:r>
        <w:rPr>
          <w:rFonts w:hint="eastAsia"/>
          <w:color w:val="auto"/>
          <w:sz w:val="20"/>
          <w:szCs w:val="20"/>
        </w:rPr>
        <w:t>本规程附录</w:t>
      </w:r>
      <w:r>
        <w:rPr>
          <w:color w:val="auto"/>
          <w:sz w:val="20"/>
          <w:szCs w:val="20"/>
        </w:rPr>
        <w:t>D</w:t>
      </w:r>
      <w:r>
        <w:rPr>
          <w:rFonts w:hint="eastAsia"/>
          <w:color w:val="auto"/>
          <w:sz w:val="20"/>
          <w:szCs w:val="20"/>
        </w:rPr>
        <w:t>第D</w:t>
      </w:r>
      <w:r>
        <w:rPr>
          <w:color w:val="auto"/>
          <w:sz w:val="20"/>
          <w:szCs w:val="20"/>
        </w:rPr>
        <w:t>.0.11</w:t>
      </w:r>
      <w:r>
        <w:rPr>
          <w:rFonts w:hint="eastAsia"/>
          <w:color w:val="auto"/>
          <w:sz w:val="20"/>
          <w:szCs w:val="20"/>
        </w:rPr>
        <w:t>条</w:t>
      </w:r>
      <w:r>
        <w:rPr>
          <w:color w:val="auto"/>
          <w:sz w:val="20"/>
          <w:szCs w:val="20"/>
        </w:rPr>
        <w:t>取值</w:t>
      </w:r>
      <w:r>
        <w:rPr>
          <w:rFonts w:hint="eastAsia"/>
          <w:color w:val="auto"/>
          <w:sz w:val="20"/>
          <w:szCs w:val="20"/>
        </w:rPr>
        <w:t>；</w:t>
      </w:r>
    </w:p>
    <w:p w14:paraId="0A595010">
      <w:pPr>
        <w:pStyle w:val="13"/>
        <w:spacing w:line="288" w:lineRule="auto"/>
        <w:ind w:firstLine="420"/>
        <w:rPr>
          <w:color w:val="auto"/>
          <w:sz w:val="20"/>
          <w:szCs w:val="20"/>
        </w:rPr>
      </w:pPr>
      <w:r>
        <w:rPr>
          <w:rFonts w:hint="eastAsia"/>
          <w:color w:val="auto"/>
          <w:sz w:val="20"/>
          <w:szCs w:val="20"/>
        </w:rPr>
        <w:t>i</w:t>
      </w:r>
      <w:r>
        <w:rPr>
          <w:color w:val="auto"/>
          <w:sz w:val="20"/>
          <w:szCs w:val="20"/>
        </w:rPr>
        <w:t xml:space="preserve"> —— </w:t>
      </w:r>
      <w:r>
        <w:rPr>
          <w:rFonts w:hint="eastAsia"/>
          <w:color w:val="auto"/>
          <w:sz w:val="20"/>
          <w:szCs w:val="20"/>
        </w:rPr>
        <w:t>对基坑工程施工过程进行分部分项后计入总体碳排放量计算的各分项序号</w:t>
      </w:r>
      <w:r>
        <w:rPr>
          <w:color w:val="auto"/>
          <w:sz w:val="20"/>
          <w:szCs w:val="20"/>
        </w:rPr>
        <w:t>。</w:t>
      </w:r>
    </w:p>
    <w:p w14:paraId="24585814">
      <w:pPr>
        <w:spacing w:line="288" w:lineRule="auto"/>
        <w:rPr>
          <w:rFonts w:ascii="宋体" w:hAnsi="宋体" w:cstheme="majorBidi"/>
          <w:sz w:val="20"/>
          <w:szCs w:val="20"/>
        </w:rPr>
      </w:pPr>
      <w:r>
        <w:rPr>
          <w:rFonts w:eastAsia="仿宋" w:asciiTheme="majorBidi" w:hAnsiTheme="majorBidi" w:cstheme="majorBidi"/>
          <w:b/>
          <w:bCs/>
          <w:sz w:val="20"/>
          <w:szCs w:val="20"/>
        </w:rPr>
        <w:t xml:space="preserve">12.2.2  </w:t>
      </w:r>
      <w:r>
        <w:rPr>
          <w:rFonts w:ascii="宋体" w:hAnsi="宋体" w:cstheme="majorBidi"/>
          <w:sz w:val="20"/>
          <w:szCs w:val="20"/>
        </w:rPr>
        <w:t>基坑工程碳排放量计算结果应包括总碳排放量、</w:t>
      </w:r>
      <w:r>
        <w:rPr>
          <w:rFonts w:hint="eastAsia" w:ascii="宋体" w:hAnsi="宋体" w:cstheme="majorBidi"/>
          <w:sz w:val="20"/>
          <w:szCs w:val="20"/>
        </w:rPr>
        <w:t>支护结构</w:t>
      </w:r>
      <w:r>
        <w:rPr>
          <w:rFonts w:ascii="宋体" w:hAnsi="宋体" w:cstheme="majorBidi"/>
          <w:sz w:val="20"/>
          <w:szCs w:val="20"/>
        </w:rPr>
        <w:t>碳排放量、土方工程碳排放量、地下水控制碳排放量等，</w:t>
      </w:r>
      <w:r>
        <w:rPr>
          <w:rFonts w:hint="eastAsia" w:ascii="宋体" w:hAnsi="宋体" w:cstheme="majorBidi"/>
          <w:sz w:val="20"/>
          <w:szCs w:val="20"/>
        </w:rPr>
        <w:t>可</w:t>
      </w:r>
      <w:r>
        <w:rPr>
          <w:bCs/>
          <w:sz w:val="20"/>
          <w:szCs w:val="20"/>
        </w:rPr>
        <w:t>基于单位工程量</w:t>
      </w:r>
      <w:r>
        <w:rPr>
          <w:rFonts w:hint="eastAsia"/>
          <w:bCs/>
          <w:sz w:val="20"/>
          <w:szCs w:val="20"/>
        </w:rPr>
        <w:t>按</w:t>
      </w:r>
      <w:r>
        <w:rPr>
          <w:sz w:val="20"/>
          <w:szCs w:val="20"/>
        </w:rPr>
        <w:t>D.0.11</w:t>
      </w:r>
      <w:r>
        <w:rPr>
          <w:bCs/>
          <w:sz w:val="20"/>
          <w:szCs w:val="20"/>
        </w:rPr>
        <w:t>进行计算</w:t>
      </w:r>
      <w:r>
        <w:rPr>
          <w:rFonts w:hint="eastAsia"/>
          <w:bCs/>
          <w:sz w:val="20"/>
          <w:szCs w:val="20"/>
        </w:rPr>
        <w:t>，并</w:t>
      </w:r>
      <w:r>
        <w:rPr>
          <w:rFonts w:hint="eastAsia" w:ascii="宋体" w:hAnsi="宋体" w:cstheme="majorBidi"/>
          <w:sz w:val="20"/>
          <w:szCs w:val="20"/>
        </w:rPr>
        <w:t>参考本规程表</w:t>
      </w:r>
      <w:r>
        <w:rPr>
          <w:sz w:val="20"/>
          <w:szCs w:val="20"/>
        </w:rPr>
        <w:t>D.0.12进</w:t>
      </w:r>
      <w:r>
        <w:rPr>
          <w:rFonts w:hint="eastAsia" w:ascii="宋体" w:hAnsi="宋体" w:cstheme="majorBidi"/>
          <w:sz w:val="20"/>
          <w:szCs w:val="20"/>
        </w:rPr>
        <w:t>行填写。</w:t>
      </w:r>
    </w:p>
    <w:p w14:paraId="030B3DA7">
      <w:pPr>
        <w:spacing w:line="288" w:lineRule="auto"/>
        <w:rPr>
          <w:bCs/>
          <w:sz w:val="20"/>
          <w:szCs w:val="20"/>
        </w:rPr>
      </w:pPr>
      <w:r>
        <w:rPr>
          <w:rFonts w:eastAsia="仿宋" w:asciiTheme="majorBidi" w:hAnsiTheme="majorBidi" w:cstheme="majorBidi"/>
          <w:b/>
          <w:sz w:val="20"/>
          <w:szCs w:val="20"/>
        </w:rPr>
        <w:t xml:space="preserve">12.2.3  </w:t>
      </w:r>
      <w:r>
        <w:rPr>
          <w:bCs/>
          <w:sz w:val="20"/>
          <w:szCs w:val="20"/>
        </w:rPr>
        <w:t>本</w:t>
      </w:r>
      <w:r>
        <w:rPr>
          <w:rFonts w:hint="eastAsia"/>
          <w:bCs/>
          <w:sz w:val="20"/>
          <w:szCs w:val="20"/>
        </w:rPr>
        <w:t>规程第D</w:t>
      </w:r>
      <w:r>
        <w:rPr>
          <w:bCs/>
          <w:sz w:val="20"/>
          <w:szCs w:val="20"/>
        </w:rPr>
        <w:t>.0.11</w:t>
      </w:r>
      <w:r>
        <w:rPr>
          <w:rFonts w:hint="eastAsia"/>
          <w:bCs/>
          <w:sz w:val="20"/>
          <w:szCs w:val="20"/>
        </w:rPr>
        <w:t>条</w:t>
      </w:r>
      <w:r>
        <w:rPr>
          <w:bCs/>
          <w:sz w:val="20"/>
          <w:szCs w:val="20"/>
        </w:rPr>
        <w:t>未包含的特殊施工过程，</w:t>
      </w:r>
      <w:r>
        <w:rPr>
          <w:rFonts w:hint="eastAsia"/>
          <w:bCs/>
          <w:sz w:val="20"/>
          <w:szCs w:val="20"/>
        </w:rPr>
        <w:t>其碳排放因子可按</w:t>
      </w:r>
      <w:r>
        <w:rPr>
          <w:rFonts w:hint="eastAsia"/>
          <w:sz w:val="20"/>
          <w:szCs w:val="20"/>
        </w:rPr>
        <w:t>本规程附录D第D</w:t>
      </w:r>
      <w:r>
        <w:rPr>
          <w:sz w:val="20"/>
          <w:szCs w:val="20"/>
        </w:rPr>
        <w:t>.0.1</w:t>
      </w:r>
      <w:r>
        <w:rPr>
          <w:rFonts w:hint="eastAsia"/>
          <w:sz w:val="20"/>
          <w:szCs w:val="20"/>
        </w:rPr>
        <w:t>条计算并按公式（1</w:t>
      </w:r>
      <w:r>
        <w:rPr>
          <w:sz w:val="20"/>
          <w:szCs w:val="20"/>
        </w:rPr>
        <w:t>2.2.1</w:t>
      </w:r>
      <w:r>
        <w:rPr>
          <w:rFonts w:hint="eastAsia"/>
          <w:sz w:val="20"/>
          <w:szCs w:val="20"/>
        </w:rPr>
        <w:t>）进行累加。</w:t>
      </w:r>
    </w:p>
    <w:p w14:paraId="22A667CF">
      <w:pPr>
        <w:widowControl/>
        <w:spacing w:line="288" w:lineRule="auto"/>
        <w:jc w:val="left"/>
        <w:rPr>
          <w:sz w:val="20"/>
          <w:szCs w:val="20"/>
        </w:rPr>
      </w:pPr>
    </w:p>
    <w:p w14:paraId="0B7DC782">
      <w:pPr>
        <w:widowControl/>
        <w:jc w:val="left"/>
        <w:rPr>
          <w:szCs w:val="24"/>
        </w:rPr>
      </w:pPr>
      <w:r>
        <w:br w:type="page"/>
      </w:r>
    </w:p>
    <w:p w14:paraId="23B91686">
      <w:pPr>
        <w:pStyle w:val="5"/>
        <w:keepNext w:val="0"/>
        <w:keepLines w:val="0"/>
        <w:adjustRightInd w:val="0"/>
        <w:snapToGrid w:val="0"/>
        <w:spacing w:before="156" w:beforeLines="50" w:after="0" w:line="288" w:lineRule="auto"/>
        <w:jc w:val="center"/>
        <w:rPr>
          <w:rFonts w:ascii="宋体" w:hAnsi="宋体"/>
          <w:sz w:val="20"/>
          <w:szCs w:val="20"/>
        </w:rPr>
      </w:pPr>
      <w:bookmarkStart w:id="128" w:name="_Toc139613759"/>
      <w:r>
        <w:rPr>
          <w:rFonts w:hint="eastAsia" w:ascii="黑体" w:hAnsi="黑体"/>
          <w:b w:val="0"/>
          <w:sz w:val="26"/>
          <w:szCs w:val="26"/>
        </w:rPr>
        <w:t>附录</w:t>
      </w:r>
      <w:r>
        <w:rPr>
          <w:rFonts w:ascii="Times New Roman" w:hAnsi="Times New Roman"/>
          <w:sz w:val="26"/>
          <w:szCs w:val="26"/>
        </w:rPr>
        <w:t>A</w:t>
      </w:r>
      <w:r>
        <w:rPr>
          <w:rFonts w:hint="eastAsia" w:ascii="黑体" w:hAnsi="黑体"/>
          <w:b w:val="0"/>
          <w:sz w:val="26"/>
          <w:szCs w:val="26"/>
        </w:rPr>
        <w:t xml:space="preserve">  基坑支护设计文件内容</w:t>
      </w:r>
      <w:bookmarkEnd w:id="128"/>
      <w:r>
        <w:rPr>
          <w:rFonts w:hint="eastAsia" w:ascii="黑体" w:hAnsi="黑体"/>
          <w:b w:val="0"/>
          <w:sz w:val="26"/>
          <w:szCs w:val="26"/>
        </w:rPr>
        <w:t xml:space="preserve"> </w:t>
      </w:r>
    </w:p>
    <w:p w14:paraId="350B4E6A">
      <w:pPr>
        <w:adjustRightInd w:val="0"/>
        <w:snapToGrid w:val="0"/>
        <w:spacing w:line="288" w:lineRule="auto"/>
        <w:rPr>
          <w:rFonts w:eastAsia="黑体"/>
          <w:b/>
          <w:bCs/>
          <w:spacing w:val="14"/>
          <w:kern w:val="0"/>
          <w:sz w:val="20"/>
          <w:szCs w:val="20"/>
        </w:rPr>
      </w:pPr>
    </w:p>
    <w:p w14:paraId="55B3F751">
      <w:pPr>
        <w:adjustRightInd w:val="0"/>
        <w:snapToGrid w:val="0"/>
        <w:spacing w:line="288" w:lineRule="auto"/>
        <w:rPr>
          <w:rStyle w:val="42"/>
          <w:rFonts w:ascii="Calibri" w:hAnsi="Calibri"/>
          <w:kern w:val="0"/>
        </w:rPr>
      </w:pPr>
      <w:r>
        <w:rPr>
          <w:rFonts w:eastAsia="黑体"/>
          <w:b/>
          <w:bCs/>
          <w:spacing w:val="14"/>
          <w:w w:val="100"/>
          <w:kern w:val="0"/>
          <w:sz w:val="20"/>
          <w:szCs w:val="20"/>
          <w:fitText w:val="503" w:id="-1226049024"/>
        </w:rPr>
        <w:t>A.0.</w:t>
      </w:r>
      <w:r>
        <w:rPr>
          <w:rFonts w:eastAsia="黑体"/>
          <w:b/>
          <w:bCs/>
          <w:spacing w:val="3"/>
          <w:w w:val="100"/>
          <w:kern w:val="0"/>
          <w:sz w:val="20"/>
          <w:szCs w:val="20"/>
          <w:fitText w:val="503" w:id="-1226049024"/>
        </w:rPr>
        <w:t>1</w:t>
      </w:r>
      <w:r>
        <w:rPr>
          <w:rFonts w:hint="eastAsia" w:eastAsia="黑体"/>
          <w:b/>
          <w:bCs/>
          <w:kern w:val="0"/>
          <w:sz w:val="20"/>
          <w:szCs w:val="20"/>
        </w:rPr>
        <w:t xml:space="preserve">  </w:t>
      </w:r>
      <w:r>
        <w:rPr>
          <w:rFonts w:hint="eastAsia" w:ascii="宋体" w:hAnsi="宋体"/>
          <w:bCs/>
          <w:sz w:val="20"/>
          <w:szCs w:val="20"/>
        </w:rPr>
        <w:t>基坑支护设计文件应包括下列内容：</w:t>
      </w:r>
    </w:p>
    <w:p w14:paraId="519E0907">
      <w:pPr>
        <w:adjustRightInd w:val="0"/>
        <w:snapToGrid w:val="0"/>
        <w:spacing w:line="288" w:lineRule="auto"/>
        <w:ind w:firstLine="402" w:firstLineChars="200"/>
        <w:rPr>
          <w:rFonts w:ascii="宋体" w:hAnsi="宋体"/>
          <w:sz w:val="20"/>
          <w:szCs w:val="20"/>
        </w:rPr>
      </w:pPr>
      <w:r>
        <w:rPr>
          <w:rFonts w:hint="eastAsia"/>
          <w:b/>
          <w:sz w:val="20"/>
          <w:szCs w:val="20"/>
        </w:rPr>
        <w:t>1</w:t>
      </w:r>
      <w:r>
        <w:rPr>
          <w:rFonts w:hint="eastAsia" w:ascii="宋体" w:hAnsi="宋体"/>
          <w:sz w:val="20"/>
          <w:szCs w:val="20"/>
        </w:rPr>
        <w:t xml:space="preserve">  工程概况；</w:t>
      </w:r>
    </w:p>
    <w:p w14:paraId="341DC608">
      <w:pPr>
        <w:adjustRightInd w:val="0"/>
        <w:snapToGrid w:val="0"/>
        <w:spacing w:line="288" w:lineRule="auto"/>
        <w:ind w:firstLine="402" w:firstLineChars="200"/>
        <w:rPr>
          <w:rFonts w:ascii="宋体" w:hAnsi="宋体"/>
          <w:sz w:val="20"/>
          <w:szCs w:val="20"/>
        </w:rPr>
      </w:pPr>
      <w:r>
        <w:rPr>
          <w:rFonts w:hint="eastAsia"/>
          <w:b/>
          <w:sz w:val="20"/>
          <w:szCs w:val="20"/>
        </w:rPr>
        <w:t>2</w:t>
      </w:r>
      <w:r>
        <w:rPr>
          <w:rFonts w:hint="eastAsia" w:ascii="宋体" w:hAnsi="宋体"/>
          <w:sz w:val="20"/>
          <w:szCs w:val="20"/>
        </w:rPr>
        <w:t xml:space="preserve">  周边环境条件；</w:t>
      </w:r>
    </w:p>
    <w:p w14:paraId="50DC5450">
      <w:pPr>
        <w:adjustRightInd w:val="0"/>
        <w:snapToGrid w:val="0"/>
        <w:spacing w:line="288" w:lineRule="auto"/>
        <w:ind w:firstLine="402" w:firstLineChars="200"/>
        <w:rPr>
          <w:rFonts w:ascii="宋体" w:hAnsi="宋体"/>
          <w:sz w:val="20"/>
          <w:szCs w:val="20"/>
        </w:rPr>
      </w:pPr>
      <w:r>
        <w:rPr>
          <w:rFonts w:hint="eastAsia"/>
          <w:b/>
          <w:sz w:val="20"/>
          <w:szCs w:val="20"/>
        </w:rPr>
        <w:t>3</w:t>
      </w:r>
      <w:r>
        <w:rPr>
          <w:rFonts w:hint="eastAsia" w:ascii="宋体" w:hAnsi="宋体"/>
          <w:sz w:val="20"/>
          <w:szCs w:val="20"/>
        </w:rPr>
        <w:t xml:space="preserve">  工程地质及水文地质条件；</w:t>
      </w:r>
    </w:p>
    <w:p w14:paraId="12DCE125">
      <w:pPr>
        <w:adjustRightInd w:val="0"/>
        <w:snapToGrid w:val="0"/>
        <w:spacing w:line="288" w:lineRule="auto"/>
        <w:ind w:firstLine="402" w:firstLineChars="200"/>
        <w:rPr>
          <w:rFonts w:ascii="宋体" w:hAnsi="宋体"/>
          <w:sz w:val="20"/>
          <w:szCs w:val="20"/>
        </w:rPr>
      </w:pPr>
      <w:r>
        <w:rPr>
          <w:rFonts w:hint="eastAsia"/>
          <w:b/>
          <w:sz w:val="20"/>
          <w:szCs w:val="20"/>
        </w:rPr>
        <w:t>4</w:t>
      </w:r>
      <w:r>
        <w:rPr>
          <w:rFonts w:hint="eastAsia" w:ascii="宋体" w:hAnsi="宋体"/>
          <w:sz w:val="20"/>
          <w:szCs w:val="20"/>
        </w:rPr>
        <w:t xml:space="preserve">  设计方案选择；</w:t>
      </w:r>
    </w:p>
    <w:p w14:paraId="3095A938">
      <w:pPr>
        <w:adjustRightInd w:val="0"/>
        <w:snapToGrid w:val="0"/>
        <w:spacing w:line="288" w:lineRule="auto"/>
        <w:ind w:firstLine="402" w:firstLineChars="200"/>
        <w:rPr>
          <w:rFonts w:ascii="宋体" w:hAnsi="宋体"/>
          <w:sz w:val="20"/>
          <w:szCs w:val="20"/>
        </w:rPr>
      </w:pPr>
      <w:r>
        <w:rPr>
          <w:rFonts w:hint="eastAsia"/>
          <w:b/>
          <w:sz w:val="20"/>
          <w:szCs w:val="20"/>
        </w:rPr>
        <w:t>5</w:t>
      </w:r>
      <w:r>
        <w:rPr>
          <w:rFonts w:hint="eastAsia" w:ascii="宋体" w:hAnsi="宋体"/>
          <w:sz w:val="20"/>
          <w:szCs w:val="20"/>
        </w:rPr>
        <w:t xml:space="preserve">  支护结构设计；</w:t>
      </w:r>
    </w:p>
    <w:p w14:paraId="70C8A6B5">
      <w:pPr>
        <w:adjustRightInd w:val="0"/>
        <w:snapToGrid w:val="0"/>
        <w:spacing w:line="288" w:lineRule="auto"/>
        <w:ind w:firstLine="402" w:firstLineChars="200"/>
        <w:rPr>
          <w:rFonts w:ascii="宋体" w:hAnsi="宋体"/>
          <w:sz w:val="20"/>
          <w:szCs w:val="20"/>
        </w:rPr>
      </w:pPr>
      <w:r>
        <w:rPr>
          <w:rFonts w:hint="eastAsia"/>
          <w:b/>
          <w:sz w:val="20"/>
          <w:szCs w:val="20"/>
        </w:rPr>
        <w:t>6</w:t>
      </w:r>
      <w:r>
        <w:rPr>
          <w:rFonts w:hint="eastAsia" w:ascii="宋体" w:hAnsi="宋体"/>
          <w:sz w:val="20"/>
          <w:szCs w:val="20"/>
        </w:rPr>
        <w:t xml:space="preserve">  地下水控制设计；</w:t>
      </w:r>
    </w:p>
    <w:p w14:paraId="1485BE72">
      <w:pPr>
        <w:adjustRightInd w:val="0"/>
        <w:snapToGrid w:val="0"/>
        <w:spacing w:line="288" w:lineRule="auto"/>
        <w:ind w:firstLine="400" w:firstLineChars="200"/>
        <w:rPr>
          <w:rFonts w:asciiTheme="minorHAnsi" w:hAnsiTheme="minorHAnsi" w:eastAsiaTheme="minorEastAsia"/>
          <w:bCs/>
          <w:sz w:val="20"/>
          <w:szCs w:val="20"/>
        </w:rPr>
      </w:pPr>
      <w:r>
        <w:rPr>
          <w:rFonts w:hint="eastAsia" w:asciiTheme="minorHAnsi" w:hAnsiTheme="minorHAnsi"/>
          <w:bCs/>
          <w:sz w:val="20"/>
          <w:szCs w:val="20"/>
        </w:rPr>
        <w:t xml:space="preserve">7 </w:t>
      </w:r>
      <w:r>
        <w:rPr>
          <w:rFonts w:hint="eastAsia"/>
          <w:bCs/>
          <w:sz w:val="20"/>
          <w:szCs w:val="20"/>
        </w:rPr>
        <w:t xml:space="preserve"> 试验与检验要求；</w:t>
      </w:r>
    </w:p>
    <w:p w14:paraId="685F9073">
      <w:pPr>
        <w:adjustRightInd w:val="0"/>
        <w:snapToGrid w:val="0"/>
        <w:spacing w:line="288" w:lineRule="auto"/>
        <w:ind w:firstLine="402" w:firstLineChars="200"/>
        <w:rPr>
          <w:rFonts w:ascii="宋体" w:hAnsi="宋体"/>
          <w:sz w:val="20"/>
          <w:szCs w:val="20"/>
        </w:rPr>
      </w:pPr>
      <w:r>
        <w:rPr>
          <w:rFonts w:hint="eastAsia"/>
          <w:b/>
          <w:sz w:val="20"/>
          <w:szCs w:val="20"/>
        </w:rPr>
        <w:t>8</w:t>
      </w:r>
      <w:r>
        <w:rPr>
          <w:rFonts w:hint="eastAsia" w:ascii="宋体" w:hAnsi="宋体"/>
          <w:sz w:val="20"/>
          <w:szCs w:val="20"/>
        </w:rPr>
        <w:t xml:space="preserve">  监测设计与要求；</w:t>
      </w:r>
    </w:p>
    <w:p w14:paraId="78F3C99E">
      <w:pPr>
        <w:adjustRightInd w:val="0"/>
        <w:snapToGrid w:val="0"/>
        <w:spacing w:line="288" w:lineRule="auto"/>
        <w:ind w:firstLine="402" w:firstLineChars="200"/>
        <w:rPr>
          <w:rFonts w:ascii="宋体" w:hAnsi="宋体"/>
          <w:sz w:val="20"/>
          <w:szCs w:val="20"/>
        </w:rPr>
      </w:pPr>
      <w:r>
        <w:rPr>
          <w:rFonts w:hint="eastAsia"/>
          <w:b/>
          <w:sz w:val="20"/>
          <w:szCs w:val="20"/>
        </w:rPr>
        <w:t xml:space="preserve">9  </w:t>
      </w:r>
      <w:r>
        <w:rPr>
          <w:rFonts w:hint="eastAsia" w:ascii="宋体" w:hAnsi="宋体"/>
          <w:bCs/>
          <w:sz w:val="20"/>
          <w:szCs w:val="20"/>
        </w:rPr>
        <w:t>结构计算书与碳排放量计算书；</w:t>
      </w:r>
    </w:p>
    <w:p w14:paraId="2B1E2A22">
      <w:pPr>
        <w:adjustRightInd w:val="0"/>
        <w:snapToGrid w:val="0"/>
        <w:spacing w:line="288" w:lineRule="auto"/>
        <w:ind w:firstLine="402" w:firstLineChars="200"/>
        <w:rPr>
          <w:rFonts w:ascii="宋体" w:hAnsi="宋体"/>
          <w:sz w:val="20"/>
          <w:szCs w:val="20"/>
        </w:rPr>
      </w:pPr>
      <w:r>
        <w:rPr>
          <w:rFonts w:hint="eastAsia"/>
          <w:b/>
          <w:sz w:val="20"/>
          <w:szCs w:val="20"/>
        </w:rPr>
        <w:t>10</w:t>
      </w:r>
      <w:r>
        <w:rPr>
          <w:rFonts w:hint="eastAsia" w:ascii="宋体" w:hAnsi="宋体"/>
          <w:sz w:val="20"/>
          <w:szCs w:val="20"/>
        </w:rPr>
        <w:t xml:space="preserve"> 施工图。</w:t>
      </w:r>
    </w:p>
    <w:p w14:paraId="405D0E52">
      <w:pPr>
        <w:adjustRightInd w:val="0"/>
        <w:snapToGrid w:val="0"/>
        <w:spacing w:line="288" w:lineRule="auto"/>
        <w:rPr>
          <w:rFonts w:ascii="宋体" w:hAnsi="宋体"/>
          <w:sz w:val="20"/>
          <w:szCs w:val="20"/>
        </w:rPr>
      </w:pPr>
      <w:r>
        <w:rPr>
          <w:rFonts w:eastAsia="黑体"/>
          <w:b/>
          <w:bCs/>
          <w:spacing w:val="14"/>
          <w:w w:val="100"/>
          <w:kern w:val="0"/>
          <w:sz w:val="20"/>
          <w:szCs w:val="20"/>
          <w:fitText w:val="503" w:id="1019110200"/>
        </w:rPr>
        <w:t>A.0.</w:t>
      </w:r>
      <w:r>
        <w:rPr>
          <w:rFonts w:eastAsia="黑体"/>
          <w:b/>
          <w:bCs/>
          <w:spacing w:val="3"/>
          <w:w w:val="100"/>
          <w:kern w:val="0"/>
          <w:sz w:val="20"/>
          <w:szCs w:val="20"/>
          <w:fitText w:val="503" w:id="1019110200"/>
        </w:rPr>
        <w:t>2</w:t>
      </w:r>
      <w:r>
        <w:rPr>
          <w:rFonts w:hint="eastAsia" w:ascii="宋体" w:hAnsi="宋体"/>
          <w:sz w:val="20"/>
          <w:szCs w:val="20"/>
        </w:rPr>
        <w:t xml:space="preserve">  基坑工程概况部分应明确下列内容：</w:t>
      </w:r>
    </w:p>
    <w:p w14:paraId="22FD07DD">
      <w:pPr>
        <w:adjustRightInd w:val="0"/>
        <w:snapToGrid w:val="0"/>
        <w:spacing w:line="288" w:lineRule="auto"/>
        <w:ind w:firstLine="402" w:firstLineChars="200"/>
        <w:rPr>
          <w:rFonts w:ascii="宋体" w:hAnsi="宋体"/>
          <w:sz w:val="20"/>
          <w:szCs w:val="20"/>
        </w:rPr>
      </w:pPr>
      <w:r>
        <w:rPr>
          <w:rFonts w:hint="eastAsia"/>
          <w:b/>
          <w:sz w:val="20"/>
          <w:szCs w:val="20"/>
        </w:rPr>
        <w:t>1</w:t>
      </w:r>
      <w:r>
        <w:rPr>
          <w:rFonts w:hint="eastAsia" w:ascii="宋体" w:hAnsi="宋体"/>
          <w:sz w:val="20"/>
          <w:szCs w:val="20"/>
        </w:rPr>
        <w:t xml:space="preserve">  拟建场地位置、建筑物概况、基坑周长、面积、开挖深度、设计使用年限；</w:t>
      </w:r>
    </w:p>
    <w:p w14:paraId="155E2125">
      <w:pPr>
        <w:adjustRightInd w:val="0"/>
        <w:snapToGrid w:val="0"/>
        <w:spacing w:line="288" w:lineRule="auto"/>
        <w:ind w:firstLine="402" w:firstLineChars="200"/>
        <w:rPr>
          <w:rFonts w:ascii="宋体" w:hAnsi="宋体"/>
          <w:sz w:val="20"/>
          <w:szCs w:val="20"/>
        </w:rPr>
      </w:pPr>
      <w:r>
        <w:rPr>
          <w:rFonts w:hint="eastAsia"/>
          <w:b/>
          <w:sz w:val="20"/>
          <w:szCs w:val="20"/>
        </w:rPr>
        <w:t>2</w:t>
      </w:r>
      <w:r>
        <w:rPr>
          <w:rFonts w:hint="eastAsia" w:ascii="宋体" w:hAnsi="宋体"/>
          <w:sz w:val="20"/>
          <w:szCs w:val="20"/>
        </w:rPr>
        <w:t xml:space="preserve">  ±</w:t>
      </w:r>
      <w:r>
        <w:rPr>
          <w:sz w:val="20"/>
          <w:szCs w:val="20"/>
        </w:rPr>
        <w:t>0.00</w:t>
      </w:r>
      <w:r>
        <w:rPr>
          <w:rFonts w:hint="eastAsia" w:ascii="宋体" w:hAnsi="宋体"/>
          <w:sz w:val="20"/>
          <w:szCs w:val="20"/>
        </w:rPr>
        <w:t>标高、自然地面标高及其相互关系。</w:t>
      </w:r>
    </w:p>
    <w:p w14:paraId="60C5A067">
      <w:pPr>
        <w:adjustRightInd w:val="0"/>
        <w:snapToGrid w:val="0"/>
        <w:spacing w:line="288" w:lineRule="auto"/>
        <w:rPr>
          <w:rFonts w:ascii="宋体" w:hAnsi="宋体"/>
          <w:sz w:val="20"/>
          <w:szCs w:val="20"/>
        </w:rPr>
      </w:pPr>
      <w:r>
        <w:rPr>
          <w:rFonts w:eastAsia="黑体"/>
          <w:b/>
          <w:bCs/>
          <w:spacing w:val="14"/>
          <w:w w:val="100"/>
          <w:kern w:val="0"/>
          <w:sz w:val="20"/>
          <w:szCs w:val="20"/>
          <w:fitText w:val="503" w:id="221395006"/>
        </w:rPr>
        <w:t>A.0.</w:t>
      </w:r>
      <w:r>
        <w:rPr>
          <w:rFonts w:eastAsia="黑体"/>
          <w:b/>
          <w:bCs/>
          <w:spacing w:val="3"/>
          <w:w w:val="100"/>
          <w:kern w:val="0"/>
          <w:sz w:val="20"/>
          <w:szCs w:val="20"/>
          <w:fitText w:val="503" w:id="221395006"/>
        </w:rPr>
        <w:t>3</w:t>
      </w:r>
      <w:r>
        <w:rPr>
          <w:rFonts w:hint="eastAsia" w:ascii="宋体" w:hAnsi="宋体"/>
          <w:sz w:val="20"/>
          <w:szCs w:val="20"/>
        </w:rPr>
        <w:t xml:space="preserve">  基坑周边环境条件部分应明确下列内容：</w:t>
      </w:r>
    </w:p>
    <w:p w14:paraId="63BB023B">
      <w:pPr>
        <w:adjustRightInd w:val="0"/>
        <w:snapToGrid w:val="0"/>
        <w:spacing w:line="288" w:lineRule="auto"/>
        <w:ind w:firstLine="402" w:firstLineChars="200"/>
        <w:rPr>
          <w:rFonts w:ascii="宋体" w:hAnsi="宋体"/>
          <w:sz w:val="20"/>
          <w:szCs w:val="20"/>
        </w:rPr>
      </w:pPr>
      <w:r>
        <w:rPr>
          <w:rFonts w:hint="eastAsia"/>
          <w:b/>
          <w:sz w:val="20"/>
          <w:szCs w:val="20"/>
        </w:rPr>
        <w:t>1</w:t>
      </w:r>
      <w:r>
        <w:rPr>
          <w:rFonts w:hint="eastAsia" w:ascii="宋体" w:hAnsi="宋体"/>
          <w:sz w:val="20"/>
          <w:szCs w:val="20"/>
        </w:rPr>
        <w:t xml:space="preserve">  邻近建（构）筑物、道路及地下管线与基坑的位置关系；</w:t>
      </w:r>
    </w:p>
    <w:p w14:paraId="290108FA">
      <w:pPr>
        <w:adjustRightInd w:val="0"/>
        <w:snapToGrid w:val="0"/>
        <w:spacing w:line="288" w:lineRule="auto"/>
        <w:ind w:firstLine="402" w:firstLineChars="200"/>
        <w:rPr>
          <w:rFonts w:ascii="宋体" w:hAnsi="宋体"/>
          <w:sz w:val="20"/>
          <w:szCs w:val="20"/>
        </w:rPr>
      </w:pPr>
      <w:r>
        <w:rPr>
          <w:rFonts w:hint="eastAsia"/>
          <w:b/>
          <w:sz w:val="20"/>
          <w:szCs w:val="20"/>
        </w:rPr>
        <w:t>2</w:t>
      </w:r>
      <w:r>
        <w:rPr>
          <w:rFonts w:hint="eastAsia" w:ascii="宋体" w:hAnsi="宋体"/>
          <w:sz w:val="20"/>
          <w:szCs w:val="20"/>
        </w:rPr>
        <w:t xml:space="preserve">  邻近建（构）筑物的工程重要性、层数、结构形式、基础形式、基础埋深、</w:t>
      </w:r>
      <w:r>
        <w:rPr>
          <w:rFonts w:hint="eastAsia" w:ascii="宋体" w:hAnsi="宋体" w:eastAsiaTheme="minorEastAsia" w:cstheme="minorBidi"/>
          <w:sz w:val="20"/>
          <w:szCs w:val="20"/>
        </w:rPr>
        <w:t>桩基础或复合地基增强体的平面布置、桩长等设计参数、</w:t>
      </w:r>
      <w:r>
        <w:rPr>
          <w:rFonts w:hint="eastAsia" w:ascii="宋体" w:hAnsi="宋体"/>
          <w:sz w:val="20"/>
          <w:szCs w:val="20"/>
        </w:rPr>
        <w:t>建设及竣工时间、结构完好情况及使用状况；</w:t>
      </w:r>
    </w:p>
    <w:p w14:paraId="5CBF312D">
      <w:pPr>
        <w:adjustRightInd w:val="0"/>
        <w:snapToGrid w:val="0"/>
        <w:spacing w:line="288" w:lineRule="auto"/>
        <w:ind w:firstLine="402" w:firstLineChars="200"/>
        <w:rPr>
          <w:rFonts w:ascii="宋体" w:hAnsi="宋体"/>
          <w:sz w:val="20"/>
          <w:szCs w:val="20"/>
        </w:rPr>
      </w:pPr>
      <w:r>
        <w:rPr>
          <w:rFonts w:hint="eastAsia"/>
          <w:b/>
          <w:sz w:val="20"/>
          <w:szCs w:val="20"/>
        </w:rPr>
        <w:t xml:space="preserve">3 </w:t>
      </w:r>
      <w:r>
        <w:rPr>
          <w:rFonts w:hint="eastAsia" w:ascii="宋体" w:hAnsi="宋体"/>
          <w:sz w:val="20"/>
          <w:szCs w:val="20"/>
        </w:rPr>
        <w:t xml:space="preserve"> 邻近道路的重要性、道路特征、使用情况；  </w:t>
      </w:r>
    </w:p>
    <w:p w14:paraId="52763A04">
      <w:pPr>
        <w:adjustRightInd w:val="0"/>
        <w:snapToGrid w:val="0"/>
        <w:spacing w:line="288" w:lineRule="auto"/>
        <w:ind w:firstLine="402" w:firstLineChars="200"/>
        <w:rPr>
          <w:rFonts w:ascii="宋体" w:hAnsi="宋体"/>
          <w:sz w:val="20"/>
          <w:szCs w:val="20"/>
        </w:rPr>
      </w:pPr>
      <w:r>
        <w:rPr>
          <w:rFonts w:hint="eastAsia"/>
          <w:b/>
          <w:sz w:val="20"/>
          <w:szCs w:val="20"/>
        </w:rPr>
        <w:t xml:space="preserve">4 </w:t>
      </w:r>
      <w:r>
        <w:rPr>
          <w:rFonts w:hint="eastAsia" w:ascii="宋体" w:hAnsi="宋体"/>
          <w:sz w:val="20"/>
          <w:szCs w:val="20"/>
        </w:rPr>
        <w:t xml:space="preserve"> 地下管线（包括供水、排水、燃气、热力、供电、通信、消防等）的重要性、规格、埋置深度、走向、使用情况以及废弃的供、排水管线情况；</w:t>
      </w:r>
    </w:p>
    <w:p w14:paraId="228376DD">
      <w:pPr>
        <w:adjustRightInd w:val="0"/>
        <w:snapToGrid w:val="0"/>
        <w:spacing w:line="288" w:lineRule="auto"/>
        <w:ind w:firstLine="402" w:firstLineChars="200"/>
        <w:rPr>
          <w:rFonts w:ascii="宋体" w:hAnsi="宋体" w:eastAsiaTheme="minorEastAsia"/>
          <w:sz w:val="20"/>
          <w:szCs w:val="20"/>
        </w:rPr>
      </w:pPr>
      <w:r>
        <w:rPr>
          <w:rFonts w:hint="eastAsia"/>
          <w:b/>
          <w:sz w:val="20"/>
          <w:szCs w:val="20"/>
        </w:rPr>
        <w:t xml:space="preserve">5 </w:t>
      </w:r>
      <w:r>
        <w:rPr>
          <w:rFonts w:hint="eastAsia" w:ascii="宋体" w:hAnsi="宋体"/>
          <w:sz w:val="20"/>
          <w:szCs w:val="20"/>
        </w:rPr>
        <w:t xml:space="preserve"> 环境平面图应标注与基坑之间的平面关系及尺寸；条件复杂时，还应画剖面图并标注剖切线及剖面号；剖面图应标注邻近建（构）筑物的埋深、地下管线的用途、材质、规格尺寸、埋深等；</w:t>
      </w:r>
    </w:p>
    <w:p w14:paraId="69FB293E">
      <w:pPr>
        <w:adjustRightInd w:val="0"/>
        <w:snapToGrid w:val="0"/>
        <w:spacing w:line="288" w:lineRule="auto"/>
        <w:ind w:firstLine="402" w:firstLineChars="200"/>
        <w:rPr>
          <w:rFonts w:ascii="宋体" w:hAnsi="宋体" w:eastAsiaTheme="minorEastAsia" w:cstheme="minorBidi"/>
          <w:sz w:val="20"/>
          <w:szCs w:val="20"/>
        </w:rPr>
      </w:pPr>
      <w:r>
        <w:rPr>
          <w:rFonts w:hint="eastAsia"/>
          <w:b/>
          <w:sz w:val="20"/>
          <w:szCs w:val="20"/>
        </w:rPr>
        <w:t xml:space="preserve">6 </w:t>
      </w:r>
      <w:r>
        <w:rPr>
          <w:rFonts w:hint="eastAsia" w:ascii="宋体" w:hAnsi="宋体"/>
          <w:sz w:val="20"/>
          <w:szCs w:val="20"/>
        </w:rPr>
        <w:t xml:space="preserve"> </w:t>
      </w:r>
      <w:r>
        <w:rPr>
          <w:rFonts w:hint="eastAsia" w:ascii="宋体" w:hAnsi="宋体" w:eastAsiaTheme="minorEastAsia" w:cstheme="minorBidi"/>
          <w:sz w:val="20"/>
          <w:szCs w:val="20"/>
        </w:rPr>
        <w:t>临近河、湖、管渠、水坝等位置，应查阅历史资料，明确汛期水位高度，并分析对基坑可能产生的影响</w:t>
      </w:r>
      <w:r>
        <w:rPr>
          <w:rFonts w:hint="eastAsia" w:ascii="宋体" w:hAnsi="宋体" w:cstheme="minorBidi"/>
          <w:sz w:val="20"/>
          <w:szCs w:val="20"/>
        </w:rPr>
        <w:t>；</w:t>
      </w:r>
    </w:p>
    <w:p w14:paraId="7A48DD64">
      <w:pPr>
        <w:adjustRightInd w:val="0"/>
        <w:snapToGrid w:val="0"/>
        <w:spacing w:line="288" w:lineRule="auto"/>
        <w:ind w:firstLine="402" w:firstLineChars="200"/>
        <w:rPr>
          <w:rFonts w:ascii="宋体" w:hAnsi="宋体" w:eastAsiaTheme="minorEastAsia" w:cstheme="minorBidi"/>
          <w:sz w:val="20"/>
          <w:szCs w:val="20"/>
        </w:rPr>
      </w:pPr>
      <w:r>
        <w:rPr>
          <w:rFonts w:hint="eastAsia"/>
          <w:b/>
          <w:sz w:val="20"/>
          <w:szCs w:val="20"/>
        </w:rPr>
        <w:t xml:space="preserve">7 </w:t>
      </w:r>
      <w:r>
        <w:rPr>
          <w:rFonts w:hint="eastAsia" w:ascii="宋体" w:hAnsi="宋体"/>
          <w:sz w:val="20"/>
          <w:szCs w:val="20"/>
        </w:rPr>
        <w:t xml:space="preserve"> </w:t>
      </w:r>
      <w:r>
        <w:rPr>
          <w:rFonts w:hint="eastAsia" w:ascii="宋体" w:hAnsi="宋体" w:eastAsiaTheme="minorEastAsia" w:cstheme="minorBidi"/>
          <w:sz w:val="20"/>
          <w:szCs w:val="20"/>
        </w:rPr>
        <w:t>相邻区域内正在施工或使用的基坑工程状况</w:t>
      </w:r>
      <w:r>
        <w:rPr>
          <w:rFonts w:hint="eastAsia" w:ascii="宋体" w:hAnsi="宋体" w:cstheme="minorBidi"/>
          <w:sz w:val="20"/>
          <w:szCs w:val="20"/>
        </w:rPr>
        <w:t>；</w:t>
      </w:r>
    </w:p>
    <w:p w14:paraId="1D3958E2">
      <w:pPr>
        <w:adjustRightInd w:val="0"/>
        <w:snapToGrid w:val="0"/>
        <w:spacing w:line="288" w:lineRule="auto"/>
        <w:ind w:firstLine="402" w:firstLineChars="200"/>
        <w:rPr>
          <w:rFonts w:ascii="宋体" w:hAnsi="宋体"/>
          <w:sz w:val="20"/>
          <w:szCs w:val="20"/>
        </w:rPr>
      </w:pPr>
      <w:r>
        <w:rPr>
          <w:rFonts w:hint="eastAsia"/>
          <w:b/>
          <w:sz w:val="20"/>
          <w:szCs w:val="20"/>
        </w:rPr>
        <w:t xml:space="preserve">8 </w:t>
      </w:r>
      <w:r>
        <w:rPr>
          <w:rFonts w:hint="eastAsia" w:ascii="宋体" w:hAnsi="宋体"/>
          <w:sz w:val="20"/>
          <w:szCs w:val="20"/>
        </w:rPr>
        <w:t xml:space="preserve"> </w:t>
      </w:r>
      <w:r>
        <w:rPr>
          <w:rFonts w:hint="eastAsia" w:ascii="宋体" w:hAnsi="宋体" w:eastAsiaTheme="minorEastAsia" w:cstheme="minorBidi"/>
          <w:sz w:val="20"/>
          <w:szCs w:val="20"/>
        </w:rPr>
        <w:t>邻近高压线铁塔、信号塔等构筑物及其对施工作业设备限高、限接距离等情况。</w:t>
      </w:r>
    </w:p>
    <w:p w14:paraId="43C522DF">
      <w:pPr>
        <w:adjustRightInd w:val="0"/>
        <w:snapToGrid w:val="0"/>
        <w:spacing w:line="288" w:lineRule="auto"/>
        <w:rPr>
          <w:rFonts w:ascii="宋体" w:hAnsi="宋体"/>
          <w:sz w:val="20"/>
          <w:szCs w:val="20"/>
        </w:rPr>
      </w:pPr>
      <w:r>
        <w:rPr>
          <w:rFonts w:eastAsia="黑体"/>
          <w:b/>
          <w:bCs/>
          <w:spacing w:val="14"/>
          <w:w w:val="100"/>
          <w:kern w:val="0"/>
          <w:sz w:val="20"/>
          <w:szCs w:val="20"/>
          <w:fitText w:val="503" w:id="1932286188"/>
        </w:rPr>
        <w:t>A.0.</w:t>
      </w:r>
      <w:r>
        <w:rPr>
          <w:rFonts w:eastAsia="黑体"/>
          <w:b/>
          <w:bCs/>
          <w:spacing w:val="3"/>
          <w:w w:val="100"/>
          <w:kern w:val="0"/>
          <w:sz w:val="20"/>
          <w:szCs w:val="20"/>
          <w:fitText w:val="503" w:id="1932286188"/>
        </w:rPr>
        <w:t>4</w:t>
      </w:r>
      <w:r>
        <w:rPr>
          <w:rFonts w:hint="eastAsia" w:ascii="宋体" w:hAnsi="宋体"/>
          <w:sz w:val="20"/>
          <w:szCs w:val="20"/>
        </w:rPr>
        <w:t xml:space="preserve">  工程地质及水文地质条件部分应明确下列内容：</w:t>
      </w:r>
    </w:p>
    <w:p w14:paraId="5E7F39DF">
      <w:pPr>
        <w:adjustRightInd w:val="0"/>
        <w:snapToGrid w:val="0"/>
        <w:spacing w:line="288" w:lineRule="auto"/>
        <w:ind w:firstLine="402" w:firstLineChars="200"/>
        <w:rPr>
          <w:rFonts w:ascii="宋体" w:hAnsi="宋体"/>
          <w:sz w:val="20"/>
          <w:szCs w:val="20"/>
        </w:rPr>
      </w:pPr>
      <w:r>
        <w:rPr>
          <w:rFonts w:hint="eastAsia"/>
          <w:b/>
          <w:sz w:val="20"/>
          <w:szCs w:val="20"/>
        </w:rPr>
        <w:t>1</w:t>
      </w:r>
      <w:r>
        <w:rPr>
          <w:rFonts w:hint="eastAsia" w:ascii="宋体" w:hAnsi="宋体"/>
          <w:sz w:val="20"/>
          <w:szCs w:val="20"/>
        </w:rPr>
        <w:t xml:space="preserve">  与基坑有关的地层描述，包括岩性类别、厚度、工程地质特征等；</w:t>
      </w:r>
    </w:p>
    <w:p w14:paraId="45C8F3F4">
      <w:pPr>
        <w:adjustRightInd w:val="0"/>
        <w:snapToGrid w:val="0"/>
        <w:spacing w:line="288" w:lineRule="auto"/>
        <w:ind w:firstLine="402" w:firstLineChars="200"/>
        <w:rPr>
          <w:rFonts w:ascii="宋体" w:hAnsi="宋体"/>
          <w:sz w:val="20"/>
          <w:szCs w:val="20"/>
        </w:rPr>
      </w:pPr>
      <w:r>
        <w:rPr>
          <w:rFonts w:hint="eastAsia"/>
          <w:b/>
          <w:sz w:val="20"/>
          <w:szCs w:val="20"/>
        </w:rPr>
        <w:t>2</w:t>
      </w:r>
      <w:r>
        <w:rPr>
          <w:rFonts w:hint="eastAsia" w:ascii="宋体" w:hAnsi="宋体"/>
          <w:sz w:val="20"/>
          <w:szCs w:val="20"/>
        </w:rPr>
        <w:t xml:space="preserve">  含水层的类型，含水层的厚度及顶、底板标高，含水层的富水性、渗透性、补给与排泄条件，各含水层之间的水力联系，地下水位标高及动态变化；</w:t>
      </w:r>
    </w:p>
    <w:p w14:paraId="47EC658F">
      <w:pPr>
        <w:adjustRightInd w:val="0"/>
        <w:snapToGrid w:val="0"/>
        <w:spacing w:line="288" w:lineRule="auto"/>
        <w:ind w:firstLine="402" w:firstLineChars="200"/>
        <w:rPr>
          <w:rFonts w:ascii="宋体" w:hAnsi="宋体"/>
          <w:sz w:val="20"/>
          <w:szCs w:val="20"/>
        </w:rPr>
      </w:pPr>
      <w:r>
        <w:rPr>
          <w:rFonts w:hint="eastAsia"/>
          <w:b/>
          <w:sz w:val="20"/>
          <w:szCs w:val="20"/>
        </w:rPr>
        <w:t>3</w:t>
      </w:r>
      <w:r>
        <w:rPr>
          <w:rFonts w:hint="eastAsia" w:ascii="宋体" w:hAnsi="宋体"/>
          <w:sz w:val="20"/>
          <w:szCs w:val="20"/>
        </w:rPr>
        <w:t xml:space="preserve">  地层简单且分布稳定时，可绘制一个概化剖面；对于地层变化较大的场地，宜沿基坑周边绘制地层展开剖面图。</w:t>
      </w:r>
      <w:r>
        <w:rPr>
          <w:rFonts w:hAnsi="宋体"/>
          <w:sz w:val="20"/>
          <w:szCs w:val="20"/>
        </w:rPr>
        <w:t>图中标明基坑支护设计所需的各有关地层物理力学性质参数如：</w:t>
      </w:r>
      <w:r>
        <w:rPr>
          <w:i/>
          <w:sz w:val="20"/>
          <w:szCs w:val="20"/>
        </w:rPr>
        <w:t>γ</w:t>
      </w:r>
      <w:r>
        <w:rPr>
          <w:rFonts w:hAnsi="宋体"/>
          <w:i/>
          <w:sz w:val="20"/>
          <w:szCs w:val="20"/>
        </w:rPr>
        <w:t>、</w:t>
      </w:r>
      <w:r>
        <w:rPr>
          <w:i/>
          <w:sz w:val="20"/>
          <w:szCs w:val="20"/>
        </w:rPr>
        <w:t>с</w:t>
      </w:r>
      <w:r>
        <w:rPr>
          <w:i/>
          <w:sz w:val="20"/>
          <w:szCs w:val="20"/>
          <w:vertAlign w:val="subscript"/>
        </w:rPr>
        <w:t>k</w:t>
      </w:r>
      <w:r>
        <w:rPr>
          <w:rFonts w:hAnsi="宋体"/>
          <w:i/>
          <w:sz w:val="20"/>
          <w:szCs w:val="20"/>
        </w:rPr>
        <w:t>、</w:t>
      </w:r>
      <w:r>
        <w:rPr>
          <w:i/>
          <w:sz w:val="20"/>
          <w:szCs w:val="20"/>
        </w:rPr>
        <w:t>φ</w:t>
      </w:r>
      <w:r>
        <w:rPr>
          <w:i/>
          <w:sz w:val="20"/>
          <w:szCs w:val="20"/>
          <w:vertAlign w:val="subscript"/>
        </w:rPr>
        <w:t>k</w:t>
      </w:r>
      <w:r>
        <w:rPr>
          <w:rFonts w:hAnsi="宋体"/>
          <w:i/>
          <w:sz w:val="20"/>
          <w:szCs w:val="20"/>
        </w:rPr>
        <w:t>、</w:t>
      </w:r>
      <w:r>
        <w:rPr>
          <w:i/>
          <w:sz w:val="20"/>
          <w:szCs w:val="20"/>
        </w:rPr>
        <w:t>k</w:t>
      </w:r>
      <w:r>
        <w:rPr>
          <w:rFonts w:hint="eastAsia" w:ascii="宋体" w:hAnsi="宋体"/>
          <w:sz w:val="20"/>
          <w:szCs w:val="20"/>
        </w:rPr>
        <w:t>等。</w:t>
      </w:r>
    </w:p>
    <w:p w14:paraId="1F600EED">
      <w:pPr>
        <w:adjustRightInd w:val="0"/>
        <w:snapToGrid w:val="0"/>
        <w:spacing w:line="288" w:lineRule="auto"/>
        <w:rPr>
          <w:rFonts w:ascii="宋体" w:hAnsi="宋体"/>
          <w:sz w:val="20"/>
          <w:szCs w:val="20"/>
        </w:rPr>
      </w:pPr>
      <w:r>
        <w:rPr>
          <w:rFonts w:eastAsia="黑体"/>
          <w:b/>
          <w:bCs/>
          <w:spacing w:val="14"/>
          <w:w w:val="100"/>
          <w:kern w:val="0"/>
          <w:sz w:val="20"/>
          <w:szCs w:val="20"/>
          <w:fitText w:val="503" w:id="1722963086"/>
        </w:rPr>
        <w:t>A.0.</w:t>
      </w:r>
      <w:r>
        <w:rPr>
          <w:rFonts w:eastAsia="黑体"/>
          <w:b/>
          <w:bCs/>
          <w:spacing w:val="3"/>
          <w:w w:val="100"/>
          <w:kern w:val="0"/>
          <w:sz w:val="20"/>
          <w:szCs w:val="20"/>
          <w:fitText w:val="503" w:id="1722963086"/>
        </w:rPr>
        <w:t>5</w:t>
      </w:r>
      <w:r>
        <w:rPr>
          <w:rFonts w:hint="eastAsia" w:ascii="宋体" w:hAnsi="宋体"/>
          <w:sz w:val="20"/>
          <w:szCs w:val="20"/>
        </w:rPr>
        <w:t xml:space="preserve">  设计方案应明确下列内容：</w:t>
      </w:r>
    </w:p>
    <w:p w14:paraId="171150D3">
      <w:pPr>
        <w:adjustRightInd w:val="0"/>
        <w:snapToGrid w:val="0"/>
        <w:spacing w:line="288" w:lineRule="auto"/>
        <w:ind w:firstLine="402" w:firstLineChars="200"/>
        <w:rPr>
          <w:rFonts w:ascii="宋体" w:hAnsi="宋体"/>
          <w:sz w:val="20"/>
          <w:szCs w:val="20"/>
        </w:rPr>
      </w:pPr>
      <w:r>
        <w:rPr>
          <w:rFonts w:hint="eastAsia"/>
          <w:b/>
          <w:sz w:val="20"/>
          <w:szCs w:val="20"/>
        </w:rPr>
        <w:t>1</w:t>
      </w:r>
      <w:r>
        <w:rPr>
          <w:rFonts w:hint="eastAsia" w:ascii="宋体" w:hAnsi="宋体"/>
          <w:sz w:val="20"/>
          <w:szCs w:val="20"/>
        </w:rPr>
        <w:t xml:space="preserve">  分析工程地质特征，指明应重点注意的地层；</w:t>
      </w:r>
    </w:p>
    <w:p w14:paraId="4EA623AD">
      <w:pPr>
        <w:adjustRightInd w:val="0"/>
        <w:snapToGrid w:val="0"/>
        <w:spacing w:line="288" w:lineRule="auto"/>
        <w:ind w:firstLine="402" w:firstLineChars="200"/>
        <w:rPr>
          <w:rFonts w:ascii="宋体" w:hAnsi="宋体"/>
          <w:sz w:val="20"/>
          <w:szCs w:val="20"/>
        </w:rPr>
      </w:pPr>
      <w:r>
        <w:rPr>
          <w:rFonts w:hint="eastAsia"/>
          <w:b/>
          <w:sz w:val="20"/>
          <w:szCs w:val="20"/>
        </w:rPr>
        <w:t>2</w:t>
      </w:r>
      <w:r>
        <w:rPr>
          <w:rFonts w:hint="eastAsia" w:ascii="宋体" w:hAnsi="宋体"/>
          <w:sz w:val="20"/>
          <w:szCs w:val="20"/>
        </w:rPr>
        <w:t xml:space="preserve">  分析地下水特征，明确需进行降水或隔水控制的含水层；</w:t>
      </w:r>
    </w:p>
    <w:p w14:paraId="0BF43D0C">
      <w:pPr>
        <w:adjustRightInd w:val="0"/>
        <w:snapToGrid w:val="0"/>
        <w:spacing w:line="288" w:lineRule="auto"/>
        <w:ind w:firstLine="402" w:firstLineChars="200"/>
        <w:rPr>
          <w:rFonts w:ascii="宋体" w:hAnsi="宋体"/>
          <w:sz w:val="20"/>
          <w:szCs w:val="20"/>
        </w:rPr>
      </w:pPr>
      <w:r>
        <w:rPr>
          <w:rFonts w:hint="eastAsia"/>
          <w:b/>
          <w:sz w:val="20"/>
          <w:szCs w:val="20"/>
        </w:rPr>
        <w:t>3</w:t>
      </w:r>
      <w:r>
        <w:rPr>
          <w:rFonts w:hint="eastAsia" w:ascii="宋体" w:hAnsi="宋体"/>
          <w:sz w:val="20"/>
          <w:szCs w:val="20"/>
        </w:rPr>
        <w:t xml:space="preserve">  分析基坑周边环境特征，预测基坑工程对环境的影响，明确需保护的邻近建（构）筑物、管线、道路等，提出相应的保护措施；</w:t>
      </w:r>
    </w:p>
    <w:p w14:paraId="5749EE5D">
      <w:pPr>
        <w:adjustRightInd w:val="0"/>
        <w:snapToGrid w:val="0"/>
        <w:spacing w:line="288" w:lineRule="auto"/>
        <w:ind w:firstLine="402" w:firstLineChars="200"/>
        <w:rPr>
          <w:rFonts w:ascii="宋体" w:hAnsi="宋体"/>
          <w:sz w:val="20"/>
          <w:szCs w:val="20"/>
        </w:rPr>
      </w:pPr>
      <w:r>
        <w:rPr>
          <w:rFonts w:hint="eastAsia"/>
          <w:b/>
          <w:sz w:val="20"/>
          <w:szCs w:val="20"/>
        </w:rPr>
        <w:t>4</w:t>
      </w:r>
      <w:r>
        <w:rPr>
          <w:rFonts w:hint="eastAsia" w:ascii="宋体" w:hAnsi="宋体"/>
          <w:sz w:val="20"/>
          <w:szCs w:val="20"/>
        </w:rPr>
        <w:t xml:space="preserve">  结合上述分析，划分基坑侧壁安全等级；基坑周边条件差异较大者，应分段划分其安全等级，各分段可采用不同的支护方式；</w:t>
      </w:r>
    </w:p>
    <w:p w14:paraId="40FCF45F">
      <w:pPr>
        <w:adjustRightInd w:val="0"/>
        <w:snapToGrid w:val="0"/>
        <w:spacing w:line="288" w:lineRule="auto"/>
        <w:ind w:firstLine="402" w:firstLineChars="200"/>
        <w:rPr>
          <w:rFonts w:ascii="宋体" w:hAnsi="宋体"/>
          <w:sz w:val="20"/>
          <w:szCs w:val="20"/>
        </w:rPr>
      </w:pPr>
      <w:r>
        <w:rPr>
          <w:rFonts w:hint="eastAsia"/>
          <w:b/>
          <w:sz w:val="20"/>
          <w:szCs w:val="20"/>
        </w:rPr>
        <w:t>5</w:t>
      </w:r>
      <w:r>
        <w:rPr>
          <w:rFonts w:hint="eastAsia" w:ascii="宋体" w:hAnsi="宋体"/>
          <w:sz w:val="20"/>
          <w:szCs w:val="20"/>
        </w:rPr>
        <w:t xml:space="preserve">  根据上述分析，提出可行的支护和地下水控制设计方案。</w:t>
      </w:r>
    </w:p>
    <w:p w14:paraId="58DDB29B">
      <w:pPr>
        <w:adjustRightInd w:val="0"/>
        <w:snapToGrid w:val="0"/>
        <w:spacing w:line="288" w:lineRule="auto"/>
        <w:rPr>
          <w:rFonts w:ascii="宋体" w:hAnsi="宋体" w:cs="宋体"/>
          <w:kern w:val="0"/>
          <w:sz w:val="20"/>
          <w:szCs w:val="20"/>
        </w:rPr>
      </w:pPr>
      <w:r>
        <w:rPr>
          <w:rFonts w:eastAsia="黑体"/>
          <w:b/>
          <w:bCs/>
          <w:spacing w:val="14"/>
          <w:w w:val="100"/>
          <w:kern w:val="0"/>
          <w:sz w:val="20"/>
          <w:szCs w:val="20"/>
          <w:fitText w:val="503" w:id="1650555225"/>
        </w:rPr>
        <w:t>A.0.</w:t>
      </w:r>
      <w:r>
        <w:rPr>
          <w:rFonts w:eastAsia="黑体"/>
          <w:b/>
          <w:bCs/>
          <w:spacing w:val="3"/>
          <w:w w:val="100"/>
          <w:kern w:val="0"/>
          <w:sz w:val="20"/>
          <w:szCs w:val="20"/>
          <w:fitText w:val="503" w:id="1650555225"/>
        </w:rPr>
        <w:t>6</w:t>
      </w:r>
      <w:r>
        <w:rPr>
          <w:rFonts w:hint="eastAsia" w:eastAsia="黑体"/>
          <w:b/>
          <w:bCs/>
          <w:kern w:val="0"/>
          <w:sz w:val="20"/>
          <w:szCs w:val="20"/>
        </w:rPr>
        <w:t xml:space="preserve"> </w:t>
      </w:r>
      <w:r>
        <w:rPr>
          <w:rFonts w:hint="eastAsia" w:ascii="宋体" w:hAnsi="宋体" w:cs="宋体"/>
          <w:kern w:val="0"/>
          <w:sz w:val="20"/>
          <w:szCs w:val="20"/>
        </w:rPr>
        <w:t>常见支护结构形式的设计内容应包括：</w:t>
      </w:r>
    </w:p>
    <w:p w14:paraId="4374028A">
      <w:pPr>
        <w:adjustRightInd w:val="0"/>
        <w:snapToGrid w:val="0"/>
        <w:spacing w:line="288" w:lineRule="auto"/>
        <w:ind w:firstLine="402" w:firstLineChars="200"/>
        <w:rPr>
          <w:rFonts w:ascii="宋体" w:hAnsi="宋体"/>
          <w:sz w:val="20"/>
          <w:szCs w:val="20"/>
        </w:rPr>
      </w:pPr>
      <w:r>
        <w:rPr>
          <w:rFonts w:hint="eastAsia"/>
          <w:b/>
          <w:sz w:val="20"/>
          <w:szCs w:val="20"/>
        </w:rPr>
        <w:t>1</w:t>
      </w:r>
      <w:r>
        <w:rPr>
          <w:rFonts w:hint="eastAsia" w:ascii="宋体" w:hAnsi="宋体"/>
          <w:sz w:val="20"/>
          <w:szCs w:val="20"/>
        </w:rPr>
        <w:t xml:space="preserve">  排桩：桩型、桩径、桩间距、桩长、嵌固深度及桩顶标高；桩身混凝土强度等级及配筋情况；冠梁的截面尺寸、配筋及顶面标高；</w:t>
      </w:r>
    </w:p>
    <w:p w14:paraId="7975C29F">
      <w:pPr>
        <w:adjustRightInd w:val="0"/>
        <w:snapToGrid w:val="0"/>
        <w:spacing w:line="288" w:lineRule="auto"/>
        <w:ind w:firstLine="402" w:firstLineChars="200"/>
        <w:rPr>
          <w:rFonts w:ascii="宋体" w:hAnsi="宋体"/>
          <w:sz w:val="20"/>
          <w:szCs w:val="20"/>
        </w:rPr>
      </w:pPr>
      <w:r>
        <w:rPr>
          <w:rFonts w:hint="eastAsia"/>
          <w:b/>
          <w:sz w:val="20"/>
          <w:szCs w:val="20"/>
        </w:rPr>
        <w:t>2</w:t>
      </w:r>
      <w:r>
        <w:rPr>
          <w:rFonts w:hint="eastAsia" w:ascii="宋体" w:hAnsi="宋体"/>
          <w:bCs/>
          <w:sz w:val="20"/>
          <w:szCs w:val="20"/>
        </w:rPr>
        <w:t xml:space="preserve">  锚杆：</w:t>
      </w:r>
      <w:r>
        <w:rPr>
          <w:rFonts w:hint="eastAsia" w:ascii="宋体" w:hAnsi="宋体"/>
          <w:sz w:val="20"/>
          <w:szCs w:val="20"/>
        </w:rPr>
        <w:t>锚杆直径、自由段、锚固段及锚杆总长；锚杆间距、倾角、标高及数量；锚杆杆体材质、注浆材料及其强度等级，锚杆与腰梁或压板的连接；锚杆轴向拉力标准值、锁定值、极限承载力；</w:t>
      </w:r>
    </w:p>
    <w:p w14:paraId="4A016492">
      <w:pPr>
        <w:adjustRightInd w:val="0"/>
        <w:snapToGrid w:val="0"/>
        <w:spacing w:line="288" w:lineRule="auto"/>
        <w:ind w:firstLine="402" w:firstLineChars="200"/>
        <w:rPr>
          <w:rFonts w:ascii="宋体" w:hAnsi="宋体"/>
          <w:sz w:val="20"/>
          <w:szCs w:val="20"/>
        </w:rPr>
      </w:pPr>
      <w:r>
        <w:rPr>
          <w:rFonts w:hint="eastAsia"/>
          <w:b/>
          <w:sz w:val="20"/>
          <w:szCs w:val="20"/>
        </w:rPr>
        <w:t>3</w:t>
      </w:r>
      <w:r>
        <w:rPr>
          <w:rFonts w:hint="eastAsia" w:ascii="宋体" w:hAnsi="宋体"/>
          <w:sz w:val="20"/>
          <w:szCs w:val="20"/>
        </w:rPr>
        <w:t xml:space="preserve">  土钉墙：边坡开挖坡率，各层土钉的设置标高，水平、竖向间距；各层土钉直径、长度、倾角、杆体材料规格、注浆材料及其强度等级；面层钢筋网、加强筋、混凝土强度、厚度、土钉与面层的连接方式等。</w:t>
      </w:r>
    </w:p>
    <w:p w14:paraId="181264AD">
      <w:pPr>
        <w:adjustRightInd w:val="0"/>
        <w:snapToGrid w:val="0"/>
        <w:spacing w:line="288" w:lineRule="auto"/>
        <w:rPr>
          <w:rFonts w:ascii="宋体" w:hAnsi="宋体" w:cs="宋体"/>
          <w:kern w:val="0"/>
          <w:sz w:val="20"/>
          <w:szCs w:val="20"/>
        </w:rPr>
      </w:pPr>
      <w:r>
        <w:rPr>
          <w:rFonts w:eastAsia="黑体"/>
          <w:b/>
          <w:bCs/>
          <w:spacing w:val="14"/>
          <w:w w:val="100"/>
          <w:kern w:val="0"/>
          <w:sz w:val="20"/>
          <w:szCs w:val="20"/>
          <w:fitText w:val="503" w:id="735776707"/>
        </w:rPr>
        <w:t>A.0.</w:t>
      </w:r>
      <w:r>
        <w:rPr>
          <w:rFonts w:eastAsia="黑体"/>
          <w:b/>
          <w:bCs/>
          <w:spacing w:val="3"/>
          <w:w w:val="100"/>
          <w:kern w:val="0"/>
          <w:sz w:val="20"/>
          <w:szCs w:val="20"/>
          <w:fitText w:val="503" w:id="735776707"/>
        </w:rPr>
        <w:t>7</w:t>
      </w:r>
      <w:r>
        <w:rPr>
          <w:rFonts w:hint="eastAsia" w:eastAsia="黑体"/>
          <w:b/>
          <w:bCs/>
          <w:kern w:val="0"/>
          <w:sz w:val="20"/>
          <w:szCs w:val="20"/>
        </w:rPr>
        <w:t xml:space="preserve"> </w:t>
      </w:r>
      <w:r>
        <w:rPr>
          <w:rFonts w:hint="eastAsia" w:ascii="宋体" w:hAnsi="宋体" w:eastAsiaTheme="minorEastAsia" w:cstheme="minorBidi"/>
          <w:sz w:val="20"/>
          <w:szCs w:val="20"/>
        </w:rPr>
        <w:t>试验与</w:t>
      </w:r>
      <w:r>
        <w:rPr>
          <w:rFonts w:hint="eastAsia" w:ascii="宋体" w:hAnsi="宋体" w:cstheme="minorBidi"/>
          <w:sz w:val="20"/>
          <w:szCs w:val="20"/>
        </w:rPr>
        <w:t>检测部分应包括以下内容：</w:t>
      </w:r>
    </w:p>
    <w:p w14:paraId="7738DF4E">
      <w:pPr>
        <w:adjustRightInd w:val="0"/>
        <w:snapToGrid w:val="0"/>
        <w:spacing w:line="288" w:lineRule="auto"/>
        <w:ind w:firstLine="400" w:firstLineChars="200"/>
        <w:rPr>
          <w:rFonts w:ascii="宋体" w:hAnsi="宋体" w:eastAsiaTheme="minorEastAsia"/>
          <w:sz w:val="20"/>
          <w:szCs w:val="20"/>
        </w:rPr>
      </w:pPr>
      <w:r>
        <w:rPr>
          <w:rFonts w:hint="eastAsia" w:ascii="宋体" w:hAnsi="宋体"/>
          <w:sz w:val="20"/>
          <w:szCs w:val="20"/>
        </w:rPr>
        <w:t>护坡桩桩身完整性的低应变检测；锚杆抗拔承载力验收试验，关键部位验收数量的特殊要求；土钉墙面层厚度检验与土钉抗拔承载力验收试验；新型支护结构(如异形桩、非常规材料锚拉构件)的检验验收标准。</w:t>
      </w:r>
    </w:p>
    <w:p w14:paraId="4931AD38">
      <w:pPr>
        <w:adjustRightInd w:val="0"/>
        <w:snapToGrid w:val="0"/>
        <w:spacing w:line="288" w:lineRule="auto"/>
        <w:rPr>
          <w:rFonts w:ascii="宋体" w:hAnsi="宋体"/>
          <w:sz w:val="20"/>
          <w:szCs w:val="20"/>
        </w:rPr>
      </w:pPr>
      <w:r>
        <w:rPr>
          <w:rFonts w:eastAsia="黑体"/>
          <w:b/>
          <w:bCs/>
          <w:spacing w:val="14"/>
          <w:w w:val="100"/>
          <w:kern w:val="0"/>
          <w:sz w:val="20"/>
          <w:szCs w:val="20"/>
          <w:fitText w:val="503" w:id="2088702411"/>
        </w:rPr>
        <w:t>A.0.</w:t>
      </w:r>
      <w:r>
        <w:rPr>
          <w:rFonts w:eastAsia="黑体"/>
          <w:b/>
          <w:bCs/>
          <w:spacing w:val="3"/>
          <w:w w:val="100"/>
          <w:kern w:val="0"/>
          <w:sz w:val="20"/>
          <w:szCs w:val="20"/>
          <w:fitText w:val="503" w:id="2088702411"/>
        </w:rPr>
        <w:t>8</w:t>
      </w:r>
      <w:r>
        <w:rPr>
          <w:rFonts w:hint="eastAsia" w:ascii="宋体" w:hAnsi="宋体"/>
          <w:sz w:val="20"/>
          <w:szCs w:val="20"/>
        </w:rPr>
        <w:t xml:space="preserve">  地下水控制设计内容应包括下列内容：</w:t>
      </w:r>
    </w:p>
    <w:p w14:paraId="17189095">
      <w:pPr>
        <w:adjustRightInd w:val="0"/>
        <w:snapToGrid w:val="0"/>
        <w:spacing w:line="288" w:lineRule="auto"/>
        <w:ind w:firstLine="402" w:firstLineChars="200"/>
        <w:rPr>
          <w:rFonts w:ascii="宋体" w:hAnsi="宋体"/>
          <w:sz w:val="20"/>
          <w:szCs w:val="20"/>
        </w:rPr>
      </w:pPr>
      <w:r>
        <w:rPr>
          <w:rFonts w:hint="eastAsia"/>
          <w:b/>
          <w:sz w:val="20"/>
          <w:szCs w:val="20"/>
        </w:rPr>
        <w:t>1</w:t>
      </w:r>
      <w:r>
        <w:rPr>
          <w:rFonts w:hint="eastAsia" w:ascii="宋体" w:hAnsi="宋体"/>
          <w:sz w:val="20"/>
          <w:szCs w:val="20"/>
        </w:rPr>
        <w:t xml:space="preserve">  基坑降水设计：论证帷幕隔水方法不可行；降水方法的比较与选择；水位降深计算、井数、井身结构设计和抽水设备能力的选择、抽水持续时间的估计；降水井施工质量检验及井孔回填要求；降水影响范围建（构）筑物及地面沉降、地下水位等监测要求；水资源计量及综合利用措施；降水设备及连接管线；坑内降水时，降水井与地下室底板的连接方式及防渗处理措施、降水结束后的封井要求等；</w:t>
      </w:r>
    </w:p>
    <w:p w14:paraId="6AC8E5D2">
      <w:pPr>
        <w:adjustRightInd w:val="0"/>
        <w:snapToGrid w:val="0"/>
        <w:spacing w:line="288" w:lineRule="auto"/>
        <w:ind w:firstLine="402" w:firstLineChars="200"/>
        <w:rPr>
          <w:rFonts w:ascii="宋体" w:hAnsi="宋体"/>
          <w:sz w:val="20"/>
          <w:szCs w:val="20"/>
        </w:rPr>
      </w:pPr>
      <w:r>
        <w:rPr>
          <w:rFonts w:hint="eastAsia"/>
          <w:b/>
          <w:sz w:val="20"/>
          <w:szCs w:val="20"/>
        </w:rPr>
        <w:t>2</w:t>
      </w:r>
      <w:r>
        <w:rPr>
          <w:b/>
          <w:sz w:val="20"/>
          <w:szCs w:val="20"/>
        </w:rPr>
        <w:t xml:space="preserve">  </w:t>
      </w:r>
      <w:r>
        <w:rPr>
          <w:rFonts w:hint="eastAsia" w:ascii="宋体" w:hAnsi="宋体"/>
          <w:bCs/>
          <w:sz w:val="20"/>
          <w:szCs w:val="20"/>
        </w:rPr>
        <w:t>基坑帷幕截水设计</w:t>
      </w:r>
      <w:r>
        <w:rPr>
          <w:rFonts w:hint="eastAsia" w:ascii="宋体" w:hAnsi="宋体"/>
          <w:sz w:val="20"/>
          <w:szCs w:val="20"/>
        </w:rPr>
        <w:t>：截水范围、方法及其工艺参数等。</w:t>
      </w:r>
    </w:p>
    <w:p w14:paraId="2BCEA3A8">
      <w:pPr>
        <w:adjustRightInd w:val="0"/>
        <w:snapToGrid w:val="0"/>
        <w:spacing w:line="288" w:lineRule="auto"/>
        <w:rPr>
          <w:rFonts w:ascii="宋体" w:hAnsi="宋体"/>
          <w:sz w:val="20"/>
          <w:szCs w:val="20"/>
        </w:rPr>
      </w:pPr>
      <w:r>
        <w:rPr>
          <w:rFonts w:eastAsia="黑体"/>
          <w:b/>
          <w:bCs/>
          <w:spacing w:val="14"/>
          <w:w w:val="100"/>
          <w:kern w:val="0"/>
          <w:sz w:val="20"/>
          <w:szCs w:val="20"/>
          <w:fitText w:val="503" w:id="1963017541"/>
        </w:rPr>
        <w:t>A.0.</w:t>
      </w:r>
      <w:r>
        <w:rPr>
          <w:rFonts w:eastAsia="黑体"/>
          <w:b/>
          <w:bCs/>
          <w:spacing w:val="3"/>
          <w:w w:val="100"/>
          <w:kern w:val="0"/>
          <w:sz w:val="20"/>
          <w:szCs w:val="20"/>
          <w:fitText w:val="503" w:id="1963017541"/>
        </w:rPr>
        <w:t>9</w:t>
      </w:r>
      <w:r>
        <w:rPr>
          <w:rFonts w:hint="eastAsia" w:ascii="宋体" w:hAnsi="宋体"/>
          <w:sz w:val="20"/>
          <w:szCs w:val="20"/>
        </w:rPr>
        <w:t xml:space="preserve">  监测要求应包括下列内容：</w:t>
      </w:r>
    </w:p>
    <w:p w14:paraId="73C2174F">
      <w:pPr>
        <w:adjustRightInd w:val="0"/>
        <w:snapToGrid w:val="0"/>
        <w:spacing w:line="288" w:lineRule="auto"/>
        <w:ind w:firstLine="400" w:firstLineChars="200"/>
        <w:rPr>
          <w:rFonts w:ascii="宋体" w:hAnsi="宋体"/>
          <w:sz w:val="20"/>
          <w:szCs w:val="20"/>
        </w:rPr>
      </w:pPr>
      <w:r>
        <w:rPr>
          <w:rFonts w:hint="eastAsia" w:ascii="宋体" w:hAnsi="宋体"/>
          <w:sz w:val="20"/>
          <w:szCs w:val="20"/>
        </w:rPr>
        <w:t>基坑支护结构及周边环境监测点平面布置图，监测项目及变形控制值、预警值、监测频率等。</w:t>
      </w:r>
    </w:p>
    <w:p w14:paraId="4116F56A">
      <w:pPr>
        <w:adjustRightInd w:val="0"/>
        <w:snapToGrid w:val="0"/>
        <w:spacing w:line="288" w:lineRule="auto"/>
        <w:rPr>
          <w:rFonts w:ascii="宋体" w:hAnsi="宋体"/>
          <w:sz w:val="20"/>
          <w:szCs w:val="20"/>
        </w:rPr>
      </w:pPr>
      <w:r>
        <w:rPr>
          <w:rFonts w:eastAsia="黑体"/>
          <w:b/>
          <w:bCs/>
          <w:spacing w:val="14"/>
          <w:w w:val="100"/>
          <w:kern w:val="0"/>
          <w:sz w:val="20"/>
          <w:szCs w:val="20"/>
          <w:fitText w:val="503" w:id="1519983001"/>
        </w:rPr>
        <w:t>A.0.</w:t>
      </w:r>
      <w:r>
        <w:rPr>
          <w:rFonts w:eastAsia="黑体"/>
          <w:b/>
          <w:bCs/>
          <w:spacing w:val="3"/>
          <w:w w:val="100"/>
          <w:kern w:val="0"/>
          <w:sz w:val="20"/>
          <w:szCs w:val="20"/>
          <w:fitText w:val="503" w:id="1519983001"/>
        </w:rPr>
        <w:t>1</w:t>
      </w:r>
      <w:r>
        <w:rPr>
          <w:rFonts w:hint="eastAsia" w:eastAsia="黑体"/>
          <w:b/>
          <w:bCs/>
          <w:kern w:val="0"/>
          <w:sz w:val="20"/>
          <w:szCs w:val="20"/>
        </w:rPr>
        <w:t xml:space="preserve">0 </w:t>
      </w:r>
      <w:r>
        <w:rPr>
          <w:rFonts w:hint="eastAsia" w:ascii="宋体" w:hAnsi="宋体"/>
          <w:sz w:val="20"/>
          <w:szCs w:val="20"/>
        </w:rPr>
        <w:t>常见支护结构</w:t>
      </w:r>
      <w:r>
        <w:rPr>
          <w:rFonts w:hint="eastAsia" w:ascii="宋体" w:hAnsi="宋体"/>
          <w:bCs/>
          <w:sz w:val="20"/>
          <w:szCs w:val="20"/>
        </w:rPr>
        <w:t>计算书应包括以下内容：</w:t>
      </w:r>
    </w:p>
    <w:p w14:paraId="021B9867">
      <w:pPr>
        <w:adjustRightInd w:val="0"/>
        <w:snapToGrid w:val="0"/>
        <w:spacing w:line="288" w:lineRule="auto"/>
        <w:ind w:firstLine="402" w:firstLineChars="200"/>
        <w:rPr>
          <w:rFonts w:ascii="宋体" w:hAnsi="宋体"/>
          <w:bCs/>
          <w:sz w:val="20"/>
          <w:szCs w:val="20"/>
        </w:rPr>
      </w:pPr>
      <w:r>
        <w:rPr>
          <w:rFonts w:hint="eastAsia"/>
          <w:b/>
          <w:sz w:val="20"/>
          <w:szCs w:val="20"/>
        </w:rPr>
        <w:t>1</w:t>
      </w:r>
      <w:r>
        <w:rPr>
          <w:rFonts w:hint="eastAsia" w:ascii="宋体" w:hAnsi="宋体"/>
          <w:bCs/>
          <w:sz w:val="20"/>
          <w:szCs w:val="20"/>
        </w:rPr>
        <w:t xml:space="preserve">  基坑支护设计参数：基坑深度、地下水位深度、土钉墙放坡角度、超载类型及超载值，基坑侧壁重要性系数等。</w:t>
      </w:r>
    </w:p>
    <w:p w14:paraId="44A2D825">
      <w:pPr>
        <w:adjustRightInd w:val="0"/>
        <w:snapToGrid w:val="0"/>
        <w:spacing w:line="288" w:lineRule="auto"/>
        <w:ind w:firstLine="402" w:firstLineChars="200"/>
        <w:rPr>
          <w:rFonts w:ascii="宋体" w:hAnsi="宋体"/>
          <w:sz w:val="20"/>
          <w:szCs w:val="20"/>
        </w:rPr>
      </w:pPr>
      <w:r>
        <w:rPr>
          <w:rFonts w:hint="eastAsia"/>
          <w:b/>
          <w:sz w:val="20"/>
          <w:szCs w:val="20"/>
        </w:rPr>
        <w:t>2</w:t>
      </w:r>
      <w:r>
        <w:rPr>
          <w:rFonts w:hint="eastAsia" w:ascii="宋体" w:hAnsi="宋体"/>
          <w:sz w:val="20"/>
          <w:szCs w:val="20"/>
        </w:rPr>
        <w:t xml:space="preserve">  基坑相关土层名称及其参数取值，如土层厚度</w:t>
      </w:r>
      <w:r>
        <w:rPr>
          <w:i/>
          <w:sz w:val="20"/>
          <w:szCs w:val="20"/>
        </w:rPr>
        <w:t>γ</w:t>
      </w:r>
      <w:r>
        <w:rPr>
          <w:rFonts w:hAnsi="宋体"/>
          <w:i/>
          <w:sz w:val="20"/>
          <w:szCs w:val="20"/>
        </w:rPr>
        <w:t>、</w:t>
      </w:r>
      <w:r>
        <w:rPr>
          <w:i/>
          <w:sz w:val="20"/>
          <w:szCs w:val="20"/>
        </w:rPr>
        <w:t>с</w:t>
      </w:r>
      <w:r>
        <w:rPr>
          <w:i/>
          <w:sz w:val="20"/>
          <w:szCs w:val="20"/>
          <w:vertAlign w:val="subscript"/>
        </w:rPr>
        <w:t>k</w:t>
      </w:r>
      <w:r>
        <w:rPr>
          <w:rFonts w:hAnsi="宋体"/>
          <w:i/>
          <w:sz w:val="20"/>
          <w:szCs w:val="20"/>
        </w:rPr>
        <w:t>、</w:t>
      </w:r>
      <w:r>
        <w:rPr>
          <w:i/>
          <w:sz w:val="20"/>
          <w:szCs w:val="20"/>
        </w:rPr>
        <w:t>φ</w:t>
      </w:r>
      <w:r>
        <w:rPr>
          <w:i/>
          <w:sz w:val="20"/>
          <w:szCs w:val="20"/>
          <w:vertAlign w:val="subscript"/>
        </w:rPr>
        <w:t>k</w:t>
      </w:r>
      <w:r>
        <w:rPr>
          <w:rFonts w:hAnsi="宋体"/>
          <w:i/>
          <w:sz w:val="20"/>
          <w:szCs w:val="20"/>
        </w:rPr>
        <w:t>、</w:t>
      </w:r>
      <w:r>
        <w:rPr>
          <w:i/>
          <w:sz w:val="20"/>
          <w:szCs w:val="20"/>
        </w:rPr>
        <w:t>k</w:t>
      </w:r>
      <w:r>
        <w:rPr>
          <w:rFonts w:hint="eastAsia" w:ascii="宋体" w:hAnsi="宋体"/>
          <w:sz w:val="20"/>
          <w:szCs w:val="20"/>
        </w:rPr>
        <w:t>等，土压力计算模式，水土合算或水土分算。</w:t>
      </w:r>
    </w:p>
    <w:p w14:paraId="4A223387">
      <w:pPr>
        <w:adjustRightInd w:val="0"/>
        <w:snapToGrid w:val="0"/>
        <w:spacing w:line="288" w:lineRule="auto"/>
        <w:ind w:firstLine="402" w:firstLineChars="200"/>
        <w:rPr>
          <w:rFonts w:ascii="宋体" w:hAnsi="宋体"/>
          <w:sz w:val="20"/>
          <w:szCs w:val="20"/>
        </w:rPr>
      </w:pPr>
      <w:r>
        <w:rPr>
          <w:rFonts w:hint="eastAsia"/>
          <w:b/>
          <w:sz w:val="20"/>
          <w:szCs w:val="20"/>
        </w:rPr>
        <w:t>3</w:t>
      </w:r>
      <w:r>
        <w:rPr>
          <w:rFonts w:hint="eastAsia" w:ascii="宋体" w:hAnsi="宋体"/>
          <w:sz w:val="20"/>
          <w:szCs w:val="20"/>
        </w:rPr>
        <w:t>当采用计算软件计算时，应注明所采用的软件名称。</w:t>
      </w:r>
    </w:p>
    <w:p w14:paraId="09F39FE6">
      <w:pPr>
        <w:adjustRightInd w:val="0"/>
        <w:snapToGrid w:val="0"/>
        <w:spacing w:line="288" w:lineRule="auto"/>
        <w:ind w:firstLine="402" w:firstLineChars="200"/>
        <w:rPr>
          <w:rFonts w:ascii="宋体" w:hAnsi="宋体"/>
          <w:sz w:val="20"/>
          <w:szCs w:val="20"/>
        </w:rPr>
      </w:pPr>
      <w:r>
        <w:rPr>
          <w:rFonts w:hint="eastAsia"/>
          <w:b/>
          <w:sz w:val="20"/>
          <w:szCs w:val="20"/>
        </w:rPr>
        <w:t>4</w:t>
      </w:r>
      <w:r>
        <w:rPr>
          <w:rFonts w:hint="eastAsia" w:ascii="宋体" w:hAnsi="宋体"/>
          <w:sz w:val="20"/>
          <w:szCs w:val="20"/>
        </w:rPr>
        <w:t xml:space="preserve">  计算结果应包括的内容：</w:t>
      </w:r>
    </w:p>
    <w:p w14:paraId="353D0577">
      <w:pPr>
        <w:adjustRightInd w:val="0"/>
        <w:snapToGrid w:val="0"/>
        <w:spacing w:line="288" w:lineRule="auto"/>
        <w:ind w:firstLine="400" w:firstLineChars="200"/>
        <w:rPr>
          <w:rFonts w:ascii="宋体" w:hAnsi="宋体"/>
          <w:sz w:val="20"/>
          <w:szCs w:val="20"/>
        </w:rPr>
      </w:pPr>
      <w:r>
        <w:rPr>
          <w:rFonts w:hint="eastAsia" w:ascii="宋体" w:hAnsi="宋体"/>
          <w:sz w:val="20"/>
          <w:szCs w:val="20"/>
        </w:rPr>
        <w:t>排桩：桩径、桩间距、桩长及嵌固深度；最大弯矩及其位置；最大位移及其位置；配筋量及配筋方式；支护结构受力简图；</w:t>
      </w:r>
    </w:p>
    <w:p w14:paraId="29DE1C20">
      <w:pPr>
        <w:adjustRightInd w:val="0"/>
        <w:snapToGrid w:val="0"/>
        <w:spacing w:line="288" w:lineRule="auto"/>
        <w:ind w:firstLine="400" w:firstLineChars="200"/>
        <w:rPr>
          <w:rFonts w:ascii="宋体" w:hAnsi="宋体"/>
          <w:sz w:val="20"/>
          <w:szCs w:val="20"/>
        </w:rPr>
      </w:pPr>
      <w:r>
        <w:rPr>
          <w:rFonts w:hint="eastAsia" w:ascii="宋体" w:hAnsi="宋体"/>
          <w:sz w:val="20"/>
          <w:szCs w:val="20"/>
        </w:rPr>
        <w:t>锚杆：自由段、锚固段长度；直径、倾角及杆体材料、数量；轴向拉力标准值、极限承载力；</w:t>
      </w:r>
    </w:p>
    <w:p w14:paraId="4991BCFC">
      <w:pPr>
        <w:adjustRightInd w:val="0"/>
        <w:snapToGrid w:val="0"/>
        <w:spacing w:line="288" w:lineRule="auto"/>
        <w:ind w:firstLine="400" w:firstLineChars="200"/>
        <w:rPr>
          <w:rFonts w:ascii="宋体" w:hAnsi="宋体"/>
          <w:sz w:val="20"/>
          <w:szCs w:val="20"/>
        </w:rPr>
      </w:pPr>
      <w:r>
        <w:rPr>
          <w:rFonts w:hint="eastAsia" w:ascii="宋体" w:hAnsi="宋体"/>
          <w:sz w:val="20"/>
          <w:szCs w:val="20"/>
        </w:rPr>
        <w:t>土钉墙：土钉位置及长度；水平向及垂直向间距、直径、倾角及杆体材料及规格；受拉荷载标准值、极限承载力；土钉墙整体稳定分析验算；必要时进行变形计算。</w:t>
      </w:r>
    </w:p>
    <w:p w14:paraId="21D3C207">
      <w:pPr>
        <w:adjustRightInd w:val="0"/>
        <w:snapToGrid w:val="0"/>
        <w:spacing w:line="288" w:lineRule="auto"/>
        <w:rPr>
          <w:rFonts w:ascii="宋体" w:hAnsi="宋体"/>
          <w:sz w:val="20"/>
          <w:szCs w:val="20"/>
        </w:rPr>
      </w:pPr>
      <w:r>
        <w:rPr>
          <w:b/>
          <w:spacing w:val="15"/>
          <w:w w:val="100"/>
          <w:kern w:val="0"/>
          <w:sz w:val="20"/>
          <w:szCs w:val="20"/>
          <w:fitText w:val="623" w:id="1391029421"/>
        </w:rPr>
        <w:t>A.0.1</w:t>
      </w:r>
      <w:r>
        <w:rPr>
          <w:b/>
          <w:spacing w:val="4"/>
          <w:w w:val="100"/>
          <w:kern w:val="0"/>
          <w:sz w:val="20"/>
          <w:szCs w:val="20"/>
          <w:fitText w:val="623" w:id="1391029421"/>
        </w:rPr>
        <w:t>1</w:t>
      </w:r>
      <w:r>
        <w:rPr>
          <w:rFonts w:hint="eastAsia"/>
          <w:b/>
          <w:kern w:val="0"/>
          <w:sz w:val="20"/>
          <w:szCs w:val="20"/>
        </w:rPr>
        <w:t xml:space="preserve"> </w:t>
      </w:r>
      <w:r>
        <w:rPr>
          <w:rFonts w:hint="eastAsia" w:ascii="宋体" w:hAnsi="宋体"/>
          <w:sz w:val="20"/>
          <w:szCs w:val="20"/>
        </w:rPr>
        <w:t>常见支护结构施工图应包括：</w:t>
      </w:r>
    </w:p>
    <w:p w14:paraId="5091183B">
      <w:pPr>
        <w:adjustRightInd w:val="0"/>
        <w:snapToGrid w:val="0"/>
        <w:spacing w:line="288" w:lineRule="auto"/>
        <w:ind w:firstLine="402" w:firstLineChars="200"/>
        <w:rPr>
          <w:rFonts w:ascii="宋体" w:hAnsi="宋体"/>
          <w:sz w:val="20"/>
          <w:szCs w:val="20"/>
        </w:rPr>
      </w:pPr>
      <w:r>
        <w:rPr>
          <w:rFonts w:hint="eastAsia"/>
          <w:b/>
          <w:sz w:val="20"/>
          <w:szCs w:val="20"/>
        </w:rPr>
        <w:t>1</w:t>
      </w:r>
      <w:r>
        <w:rPr>
          <w:rFonts w:hint="eastAsia" w:ascii="宋体" w:hAnsi="宋体"/>
          <w:sz w:val="20"/>
          <w:szCs w:val="20"/>
        </w:rPr>
        <w:t xml:space="preserve">  设计说明：设计使用年限、周边环境设计条件及需要说明的其他事项；</w:t>
      </w:r>
    </w:p>
    <w:p w14:paraId="254BBA45">
      <w:pPr>
        <w:adjustRightInd w:val="0"/>
        <w:snapToGrid w:val="0"/>
        <w:spacing w:line="288" w:lineRule="auto"/>
        <w:ind w:firstLine="402" w:firstLineChars="200"/>
        <w:rPr>
          <w:rFonts w:ascii="宋体" w:hAnsi="宋体"/>
          <w:bCs/>
          <w:sz w:val="20"/>
          <w:szCs w:val="20"/>
        </w:rPr>
      </w:pPr>
      <w:r>
        <w:rPr>
          <w:rFonts w:hint="eastAsia"/>
          <w:b/>
          <w:sz w:val="20"/>
          <w:szCs w:val="20"/>
        </w:rPr>
        <w:t>2</w:t>
      </w:r>
      <w:r>
        <w:rPr>
          <w:rFonts w:hint="eastAsia" w:ascii="宋体" w:hAnsi="宋体"/>
          <w:bCs/>
          <w:sz w:val="20"/>
          <w:szCs w:val="20"/>
        </w:rPr>
        <w:t xml:space="preserve">  基坑周边环境条件图：建（构）筑物的平面分布、尺寸、基底埋深、使用状况等。道路</w:t>
      </w:r>
      <w:r>
        <w:rPr>
          <w:rFonts w:hint="eastAsia" w:ascii="宋体" w:hAnsi="宋体"/>
          <w:sz w:val="20"/>
          <w:szCs w:val="20"/>
        </w:rPr>
        <w:t>与基坑之间的平面关系、尺寸，地下管线的用途、材质、管径尺寸、埋深等；</w:t>
      </w:r>
    </w:p>
    <w:p w14:paraId="42373E38">
      <w:pPr>
        <w:adjustRightInd w:val="0"/>
        <w:snapToGrid w:val="0"/>
        <w:spacing w:line="288" w:lineRule="auto"/>
        <w:ind w:firstLine="402" w:firstLineChars="200"/>
        <w:rPr>
          <w:rFonts w:ascii="宋体" w:hAnsi="宋体"/>
          <w:bCs/>
          <w:sz w:val="20"/>
          <w:szCs w:val="20"/>
        </w:rPr>
      </w:pPr>
      <w:r>
        <w:rPr>
          <w:rFonts w:hint="eastAsia"/>
          <w:b/>
          <w:sz w:val="20"/>
          <w:szCs w:val="20"/>
        </w:rPr>
        <w:t>3</w:t>
      </w:r>
      <w:r>
        <w:rPr>
          <w:rFonts w:hint="eastAsia" w:ascii="宋体" w:hAnsi="宋体"/>
          <w:bCs/>
          <w:sz w:val="20"/>
          <w:szCs w:val="20"/>
        </w:rPr>
        <w:t xml:space="preserve">  基坑支护平面布置图：</w:t>
      </w:r>
    </w:p>
    <w:p w14:paraId="41472545">
      <w:pPr>
        <w:adjustRightInd w:val="0"/>
        <w:snapToGrid w:val="0"/>
        <w:spacing w:line="288" w:lineRule="auto"/>
        <w:ind w:firstLine="400" w:firstLineChars="200"/>
        <w:rPr>
          <w:rFonts w:ascii="宋体" w:hAnsi="宋体"/>
          <w:bCs/>
          <w:sz w:val="20"/>
          <w:szCs w:val="20"/>
        </w:rPr>
      </w:pPr>
      <w:r>
        <w:rPr>
          <w:rFonts w:hint="eastAsia" w:ascii="宋体" w:hAnsi="宋体"/>
          <w:sz w:val="20"/>
          <w:szCs w:val="20"/>
        </w:rPr>
        <w:t>支护桩平面布置，应标明桩的编号、桩径、桩间距及平面位置，桩中心线与建筑物边轴线及基础承台或底板外边线的位置关系；</w:t>
      </w:r>
    </w:p>
    <w:p w14:paraId="0231E98D">
      <w:pPr>
        <w:adjustRightInd w:val="0"/>
        <w:snapToGrid w:val="0"/>
        <w:spacing w:line="288" w:lineRule="auto"/>
        <w:ind w:firstLine="400" w:firstLineChars="200"/>
        <w:rPr>
          <w:rFonts w:ascii="宋体" w:hAnsi="宋体"/>
          <w:bCs/>
          <w:sz w:val="20"/>
          <w:szCs w:val="20"/>
        </w:rPr>
      </w:pPr>
      <w:r>
        <w:rPr>
          <w:rFonts w:hint="eastAsia" w:ascii="宋体" w:hAnsi="宋体"/>
          <w:sz w:val="20"/>
          <w:szCs w:val="20"/>
        </w:rPr>
        <w:t>锚杆平面布置标明锚杆编号、锚杆间距及平面位置；</w:t>
      </w:r>
    </w:p>
    <w:p w14:paraId="3E7EB6A8">
      <w:pPr>
        <w:adjustRightInd w:val="0"/>
        <w:snapToGrid w:val="0"/>
        <w:spacing w:line="288" w:lineRule="auto"/>
        <w:ind w:firstLine="400" w:firstLineChars="200"/>
        <w:rPr>
          <w:rFonts w:ascii="宋体" w:hAnsi="宋体"/>
          <w:bCs/>
          <w:sz w:val="20"/>
          <w:szCs w:val="20"/>
        </w:rPr>
      </w:pPr>
      <w:r>
        <w:rPr>
          <w:rFonts w:hint="eastAsia" w:ascii="宋体" w:hAnsi="宋体"/>
          <w:sz w:val="20"/>
          <w:szCs w:val="20"/>
        </w:rPr>
        <w:t>土钉墙平面布置标明建筑物边轴线、基础边承台或底板边线、基坑开挖上边线、下边线及其与建筑物边轴线的位置关系。</w:t>
      </w:r>
    </w:p>
    <w:p w14:paraId="0BD5DA01">
      <w:pPr>
        <w:adjustRightInd w:val="0"/>
        <w:snapToGrid w:val="0"/>
        <w:spacing w:line="288" w:lineRule="auto"/>
        <w:ind w:firstLine="402" w:firstLineChars="200"/>
        <w:rPr>
          <w:rFonts w:ascii="宋体" w:hAnsi="宋体"/>
          <w:bCs/>
          <w:sz w:val="20"/>
          <w:szCs w:val="20"/>
        </w:rPr>
      </w:pPr>
      <w:r>
        <w:rPr>
          <w:rFonts w:hint="eastAsia"/>
          <w:b/>
          <w:sz w:val="20"/>
          <w:szCs w:val="20"/>
        </w:rPr>
        <w:t>4</w:t>
      </w:r>
      <w:r>
        <w:rPr>
          <w:rFonts w:hint="eastAsia" w:ascii="宋体" w:hAnsi="宋体"/>
          <w:bCs/>
          <w:sz w:val="20"/>
          <w:szCs w:val="20"/>
        </w:rPr>
        <w:t xml:space="preserve">  基坑支护结构立面图：</w:t>
      </w:r>
    </w:p>
    <w:p w14:paraId="2B110132">
      <w:pPr>
        <w:adjustRightInd w:val="0"/>
        <w:snapToGrid w:val="0"/>
        <w:spacing w:line="288" w:lineRule="auto"/>
        <w:ind w:firstLine="400" w:firstLineChars="200"/>
        <w:rPr>
          <w:rFonts w:ascii="宋体" w:hAnsi="宋体"/>
          <w:bCs/>
          <w:sz w:val="20"/>
          <w:szCs w:val="20"/>
        </w:rPr>
      </w:pPr>
      <w:r>
        <w:rPr>
          <w:rFonts w:hint="eastAsia" w:ascii="宋体" w:hAnsi="宋体"/>
          <w:bCs/>
          <w:sz w:val="20"/>
          <w:szCs w:val="20"/>
        </w:rPr>
        <w:t>排桩立面图标明排桩的布置、冠梁标高、冠梁与上部结构的关系（如土钉墙、砖墙）、锚杆布置及其标高等；</w:t>
      </w:r>
    </w:p>
    <w:p w14:paraId="61A58795">
      <w:pPr>
        <w:adjustRightInd w:val="0"/>
        <w:snapToGrid w:val="0"/>
        <w:spacing w:line="288" w:lineRule="auto"/>
        <w:ind w:firstLine="400" w:firstLineChars="200"/>
        <w:rPr>
          <w:rFonts w:ascii="宋体" w:hAnsi="宋体"/>
          <w:bCs/>
          <w:sz w:val="20"/>
          <w:szCs w:val="20"/>
        </w:rPr>
      </w:pPr>
      <w:r>
        <w:rPr>
          <w:rFonts w:hint="eastAsia" w:ascii="宋体" w:hAnsi="宋体"/>
          <w:sz w:val="20"/>
          <w:szCs w:val="20"/>
        </w:rPr>
        <w:t>土钉墙立面图标明面层钢筋网、加强筋、土钉的间距及连接方式。</w:t>
      </w:r>
    </w:p>
    <w:p w14:paraId="6C51149B">
      <w:pPr>
        <w:adjustRightInd w:val="0"/>
        <w:snapToGrid w:val="0"/>
        <w:spacing w:line="288" w:lineRule="auto"/>
        <w:ind w:firstLine="402" w:firstLineChars="200"/>
        <w:rPr>
          <w:rFonts w:ascii="宋体" w:hAnsi="宋体"/>
          <w:bCs/>
          <w:sz w:val="20"/>
          <w:szCs w:val="20"/>
        </w:rPr>
      </w:pPr>
      <w:r>
        <w:rPr>
          <w:rFonts w:hint="eastAsia"/>
          <w:b/>
          <w:sz w:val="20"/>
          <w:szCs w:val="20"/>
        </w:rPr>
        <w:t>5</w:t>
      </w:r>
      <w:r>
        <w:rPr>
          <w:rFonts w:hint="eastAsia" w:ascii="宋体" w:hAnsi="宋体"/>
          <w:bCs/>
          <w:sz w:val="20"/>
          <w:szCs w:val="20"/>
        </w:rPr>
        <w:t xml:space="preserve">  基坑支护结构剖面图及局部详图：</w:t>
      </w:r>
    </w:p>
    <w:p w14:paraId="1D80C36D">
      <w:pPr>
        <w:adjustRightInd w:val="0"/>
        <w:snapToGrid w:val="0"/>
        <w:spacing w:line="288" w:lineRule="auto"/>
        <w:ind w:firstLine="400" w:firstLineChars="200"/>
        <w:rPr>
          <w:rFonts w:ascii="宋体" w:hAnsi="宋体"/>
          <w:sz w:val="20"/>
          <w:szCs w:val="20"/>
        </w:rPr>
      </w:pPr>
      <w:r>
        <w:rPr>
          <w:rFonts w:hint="eastAsia" w:ascii="宋体" w:hAnsi="宋体"/>
          <w:bCs/>
          <w:sz w:val="20"/>
          <w:szCs w:val="20"/>
        </w:rPr>
        <w:t>基坑支护结构剖面图应标明</w:t>
      </w:r>
      <w:r>
        <w:rPr>
          <w:rFonts w:hint="eastAsia" w:ascii="宋体" w:hAnsi="宋体"/>
          <w:sz w:val="20"/>
          <w:szCs w:val="20"/>
        </w:rPr>
        <w:t>自然地面标高、槽底标高、桩顶桩底标高、周围建构筑物管线等情况。支护桩的竖向、横向截面配筋图，配筋图应标明配筋数量、钢筋布置形式、钢筋规格、级别、保护层厚度等，非对称配筋时应在配筋图上明确标示方向；</w:t>
      </w:r>
    </w:p>
    <w:p w14:paraId="77A30A40">
      <w:pPr>
        <w:adjustRightInd w:val="0"/>
        <w:snapToGrid w:val="0"/>
        <w:spacing w:line="288" w:lineRule="auto"/>
        <w:ind w:firstLine="400" w:firstLineChars="200"/>
        <w:rPr>
          <w:rFonts w:ascii="宋体" w:hAnsi="宋体"/>
          <w:sz w:val="20"/>
          <w:szCs w:val="20"/>
        </w:rPr>
      </w:pPr>
      <w:r>
        <w:rPr>
          <w:rFonts w:hint="eastAsia" w:ascii="宋体" w:hAnsi="宋体"/>
          <w:sz w:val="20"/>
          <w:szCs w:val="20"/>
        </w:rPr>
        <w:t>冠梁施工图包括梁的截面尺寸、梁顶标高，混凝土强度及配筋图等；</w:t>
      </w:r>
    </w:p>
    <w:p w14:paraId="1864C853">
      <w:pPr>
        <w:adjustRightInd w:val="0"/>
        <w:snapToGrid w:val="0"/>
        <w:spacing w:line="288" w:lineRule="auto"/>
        <w:ind w:firstLine="400" w:firstLineChars="200"/>
        <w:rPr>
          <w:rFonts w:ascii="宋体" w:hAnsi="宋体"/>
          <w:sz w:val="20"/>
          <w:szCs w:val="20"/>
        </w:rPr>
      </w:pPr>
      <w:r>
        <w:rPr>
          <w:rFonts w:hint="eastAsia" w:ascii="宋体" w:hAnsi="宋体"/>
          <w:sz w:val="20"/>
          <w:szCs w:val="20"/>
        </w:rPr>
        <w:t>人工挖孔桩应提交护壁设计施工图。当采用钢筋混凝土护壁时，应标明混凝土强度等级及配筋；</w:t>
      </w:r>
    </w:p>
    <w:p w14:paraId="098B99EE">
      <w:pPr>
        <w:adjustRightInd w:val="0"/>
        <w:snapToGrid w:val="0"/>
        <w:spacing w:line="288" w:lineRule="auto"/>
        <w:ind w:firstLine="400" w:firstLineChars="200"/>
        <w:rPr>
          <w:rFonts w:ascii="宋体" w:hAnsi="宋体"/>
          <w:sz w:val="20"/>
          <w:szCs w:val="20"/>
        </w:rPr>
      </w:pPr>
      <w:r>
        <w:rPr>
          <w:rFonts w:hint="eastAsia" w:ascii="宋体" w:hAnsi="宋体"/>
          <w:sz w:val="20"/>
          <w:szCs w:val="20"/>
        </w:rPr>
        <w:t>锚杆剖面详图标明锚杆设置标高，锚杆自由段、锚固段长度及总长，锚杆直径、倾角及杆体材料、数量，锚杆与腰梁或压板的连接等；</w:t>
      </w:r>
    </w:p>
    <w:p w14:paraId="19790593">
      <w:pPr>
        <w:adjustRightInd w:val="0"/>
        <w:snapToGrid w:val="0"/>
        <w:spacing w:line="288" w:lineRule="auto"/>
        <w:ind w:firstLine="400" w:firstLineChars="200"/>
        <w:rPr>
          <w:rFonts w:ascii="宋体" w:hAnsi="宋体"/>
          <w:bCs/>
          <w:sz w:val="20"/>
          <w:szCs w:val="20"/>
        </w:rPr>
      </w:pPr>
      <w:r>
        <w:rPr>
          <w:rFonts w:hint="eastAsia" w:ascii="宋体" w:hAnsi="宋体"/>
          <w:sz w:val="20"/>
          <w:szCs w:val="20"/>
        </w:rPr>
        <w:t>锚杆施工说明应对锚杆浆体材料、配比、浆体设计强度、注浆压力及轴向拉力标准值、极限承载力等加以说明；对锚杆的基本试验及验收提出具体要求；</w:t>
      </w:r>
    </w:p>
    <w:p w14:paraId="2B40E1AE">
      <w:pPr>
        <w:adjustRightInd w:val="0"/>
        <w:snapToGrid w:val="0"/>
        <w:spacing w:line="288" w:lineRule="auto"/>
        <w:ind w:firstLine="400" w:firstLineChars="200"/>
        <w:rPr>
          <w:rFonts w:ascii="宋体" w:hAnsi="宋体"/>
          <w:sz w:val="20"/>
          <w:szCs w:val="20"/>
        </w:rPr>
      </w:pPr>
      <w:r>
        <w:rPr>
          <w:rFonts w:hint="eastAsia" w:ascii="宋体" w:hAnsi="宋体"/>
          <w:sz w:val="20"/>
          <w:szCs w:val="20"/>
        </w:rPr>
        <w:t>土钉墙剖面图标明自然地面标高，边坡开挖坡率，各层土钉设置标高，各层土钉直径、长度、倾角、杆体材质及面层混凝土强度、厚度等；</w:t>
      </w:r>
    </w:p>
    <w:p w14:paraId="1F6A4C0B">
      <w:pPr>
        <w:adjustRightInd w:val="0"/>
        <w:snapToGrid w:val="0"/>
        <w:spacing w:line="288" w:lineRule="auto"/>
        <w:ind w:firstLine="400" w:firstLineChars="200"/>
        <w:rPr>
          <w:rFonts w:ascii="宋体" w:hAnsi="宋体"/>
          <w:sz w:val="20"/>
          <w:szCs w:val="20"/>
        </w:rPr>
      </w:pPr>
      <w:r>
        <w:rPr>
          <w:rFonts w:hint="eastAsia" w:ascii="宋体" w:hAnsi="宋体"/>
          <w:sz w:val="20"/>
          <w:szCs w:val="20"/>
        </w:rPr>
        <w:t xml:space="preserve">土钉与面板连接大样图应采用可靠的连接构造形式，依据土钉受力大小，土钉与加强筋宜采用“ </w:t>
      </w:r>
      <w:r>
        <w:rPr>
          <w:rFonts w:ascii="宋体" w:hAnsi="宋体"/>
          <w:sz w:val="20"/>
          <w:szCs w:val="20"/>
        </w:rPr>
        <mc:AlternateContent>
          <mc:Choice Requires="wpc">
            <w:drawing>
              <wp:inline distT="0" distB="0" distL="0" distR="0">
                <wp:extent cx="189865" cy="99060"/>
                <wp:effectExtent l="14605" t="8890" r="14605" b="15875"/>
                <wp:docPr id="394" name="画布 2"/>
                <wp:cNvGraphicFramePr/>
                <a:graphic xmlns:a="http://schemas.openxmlformats.org/drawingml/2006/main">
                  <a:graphicData uri="http://schemas.microsoft.com/office/word/2010/wordprocessingCanvas">
                    <wpc:wpc>
                      <wpc:bg>
                        <a:noFill/>
                      </wpc:bg>
                      <wpc:whole/>
                      <wps:wsp>
                        <wps:cNvPr id="2030497958" name="Line 396"/>
                        <wps:cNvCnPr>
                          <a:cxnSpLocks noChangeShapeType="1"/>
                        </wps:cNvCnPr>
                        <wps:spPr bwMode="auto">
                          <a:xfrm>
                            <a:off x="0" y="6985"/>
                            <a:ext cx="80010" cy="635"/>
                          </a:xfrm>
                          <a:prstGeom prst="line">
                            <a:avLst/>
                          </a:prstGeom>
                          <a:noFill/>
                          <a:ln w="15875">
                            <a:solidFill>
                              <a:srgbClr val="739CC3"/>
                            </a:solidFill>
                            <a:round/>
                          </a:ln>
                        </wps:spPr>
                        <wps:bodyPr/>
                      </wps:wsp>
                      <wps:wsp>
                        <wps:cNvPr id="522852394" name="Line 397"/>
                        <wps:cNvCnPr>
                          <a:cxnSpLocks noChangeShapeType="1"/>
                        </wps:cNvCnPr>
                        <wps:spPr bwMode="auto">
                          <a:xfrm>
                            <a:off x="80010" y="0"/>
                            <a:ext cx="3810" cy="99060"/>
                          </a:xfrm>
                          <a:prstGeom prst="line">
                            <a:avLst/>
                          </a:prstGeom>
                          <a:noFill/>
                          <a:ln w="15875">
                            <a:solidFill>
                              <a:srgbClr val="739CC3"/>
                            </a:solidFill>
                            <a:round/>
                          </a:ln>
                        </wps:spPr>
                        <wps:bodyPr/>
                      </wps:wsp>
                      <wps:wsp>
                        <wps:cNvPr id="1084086736" name="Line 398"/>
                        <wps:cNvCnPr>
                          <a:cxnSpLocks noChangeShapeType="1"/>
                        </wps:cNvCnPr>
                        <wps:spPr bwMode="auto">
                          <a:xfrm>
                            <a:off x="100965" y="0"/>
                            <a:ext cx="88900" cy="635"/>
                          </a:xfrm>
                          <a:prstGeom prst="line">
                            <a:avLst/>
                          </a:prstGeom>
                          <a:noFill/>
                          <a:ln w="15875">
                            <a:solidFill>
                              <a:srgbClr val="739CC3"/>
                            </a:solidFill>
                            <a:round/>
                          </a:ln>
                        </wps:spPr>
                        <wps:bodyPr/>
                      </wps:wsp>
                      <wps:wsp>
                        <wps:cNvPr id="1695145854" name="Line 399"/>
                        <wps:cNvCnPr>
                          <a:cxnSpLocks noChangeShapeType="1"/>
                        </wps:cNvCnPr>
                        <wps:spPr bwMode="auto">
                          <a:xfrm>
                            <a:off x="114935" y="0"/>
                            <a:ext cx="2540" cy="99060"/>
                          </a:xfrm>
                          <a:prstGeom prst="line">
                            <a:avLst/>
                          </a:prstGeom>
                          <a:noFill/>
                          <a:ln w="15875">
                            <a:solidFill>
                              <a:srgbClr val="739CC3"/>
                            </a:solidFill>
                            <a:round/>
                          </a:ln>
                        </wps:spPr>
                        <wps:bodyPr/>
                      </wps:wsp>
                    </wpc:wpc>
                  </a:graphicData>
                </a:graphic>
              </wp:inline>
            </w:drawing>
          </mc:Choice>
          <mc:Fallback>
            <w:pict>
              <v:group id="画布 2" o:spid="_x0000_s1026" o:spt="203" style="height:7.8pt;width:14.95pt;" coordsize="189865,99060" editas="canvas" o:gfxdata="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Om4u7VAAAAAwEAAA8AAAAAAAAAAQAgAAAAIgAAAGRy&#10;cy9kb3ducmV2LnhtbFBLAQIUABQAAAAIAIdO4kC5sQYCswIAAFEKAAAOAAAAAAAAAAEAIAAAACQB&#10;AABkcnMvZTJvRG9jLnhtbFBLBQYAAAAABgAGAFkBAABJBgAAAAA=&#10;">
                <o:lock v:ext="edit" aspectratio="f"/>
                <v:shape id="画布 2" o:spid="_x0000_s1026" style="position:absolute;left:0;top:0;height:99060;width:189865;" filled="f" stroked="f" coordsize="21600,21600" o:gfxdata="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Om4u7VAAAAAwEAAA8AAAAAAAAAAQAgAAAAIgAAAGRycy9k&#10;b3ducmV2LnhtbFBLAQIUABQAAAAIAIdO4kA7ThqXdwIAAK8JAAAOAAAAAAAAAAEAIAAAACQBAABk&#10;cnMvZTJvRG9jLnhtbFBLBQYAAAAABgAGAFkBAAANBgAAAAA=&#10;">
                  <v:fill on="f" focussize="0,0"/>
                  <v:stroke on="f"/>
                  <v:imagedata o:title=""/>
                  <o:lock v:ext="edit" aspectratio="f"/>
                </v:shape>
                <v:line id="Line 396" o:spid="_x0000_s1026" o:spt="20" style="position:absolute;left:0;top:6985;height:635;width:80010;" filled="f" stroked="t" coordsize="21600,21600" o:gfxdata="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DHwstAAAAADAQAADwAAAAAAAAABACAA&#10;AAAiAAAAZHJzL2Rvd25yZXYueG1sUEsBAhQAFAAAAAgAh07iQEqWCFbcAQAArgMAAA4AAAAAAAAA&#10;AQAgAAAAHwEAAGRycy9lMm9Eb2MueG1sUEsFBgAAAAAGAAYAWQEAAG0FAAAAAA==&#10;">
                  <v:fill on="f" focussize="0,0"/>
                  <v:stroke weight="1.25pt" color="#739CC3" joinstyle="round"/>
                  <v:imagedata o:title=""/>
                  <o:lock v:ext="edit" aspectratio="f"/>
                </v:line>
                <v:line id="Line 397" o:spid="_x0000_s1026" o:spt="20" style="position:absolute;left:80010;top:0;height:99060;width:3810;" filled="f" stroked="t" coordsize="21600,21600" o:gfxdata="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DHwstAAAAADAQAADwAAAAAAAAABACAA&#10;AAAiAAAAZHJzL2Rvd25yZXYueG1sUEsBAhQAFAAAAAgAh07iQAKGIUrcAQAArwMAAA4AAAAAAAAA&#10;AQAgAAAAHwEAAGRycy9lMm9Eb2MueG1sUEsFBgAAAAAGAAYAWQEAAG0FAAAAAA==&#10;">
                  <v:fill on="f" focussize="0,0"/>
                  <v:stroke weight="1.25pt" color="#739CC3" joinstyle="round"/>
                  <v:imagedata o:title=""/>
                  <o:lock v:ext="edit" aspectratio="f"/>
                </v:line>
                <v:line id="Line 398" o:spid="_x0000_s1026" o:spt="20" style="position:absolute;left:100965;top:0;height:635;width:88900;" filled="f" stroked="t" coordsize="21600,21600" o:gfxdata="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4MfCy0AAAAAMBAAAPAAAAAAAAAAEAIAAA&#10;ACIAAABkcnMvZG93bnJldi54bWxQSwECFAAUAAAACACHTuJAtImGB9sBAACwAwAADgAAAAAAAAAB&#10;ACAAAAAfAQAAZHJzL2Uyb0RvYy54bWxQSwUGAAAAAAYABgBZAQAAbAUAAAAA&#10;">
                  <v:fill on="f" focussize="0,0"/>
                  <v:stroke weight="1.25pt" color="#739CC3" joinstyle="round"/>
                  <v:imagedata o:title=""/>
                  <o:lock v:ext="edit" aspectratio="f"/>
                </v:line>
                <v:line id="Line 399" o:spid="_x0000_s1026" o:spt="20" style="position:absolute;left:114935;top:0;height:99060;width:2540;" filled="f" stroked="t" coordsize="21600,21600" o:gfxdata="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DHwstAAAAADAQAADwAAAAAAAAAB&#10;ACAAAAAiAAAAZHJzL2Rvd25yZXYueG1sUEsBAhQAFAAAAAgAh07iQMtFDoPfAQAAsQMAAA4AAAAA&#10;AAAAAQAgAAAAHwEAAGRycy9lMm9Eb2MueG1sUEsFBgAAAAAGAAYAWQEAAHAFAAAAAA==&#10;">
                  <v:fill on="f" focussize="0,0"/>
                  <v:stroke weight="1.25pt" color="#739CC3" joinstyle="round"/>
                  <v:imagedata o:title=""/>
                  <o:lock v:ext="edit" aspectratio="f"/>
                </v:line>
                <w10:wrap type="none"/>
                <w10:anchorlock/>
              </v:group>
            </w:pict>
          </mc:Fallback>
        </mc:AlternateContent>
      </w:r>
      <w:r>
        <w:rPr>
          <w:rFonts w:hint="eastAsia" w:ascii="宋体" w:hAnsi="宋体"/>
          <w:sz w:val="20"/>
          <w:szCs w:val="20"/>
        </w:rPr>
        <w:t>”字型或“L”型焊接，或其他可靠连接形式；</w:t>
      </w:r>
    </w:p>
    <w:p w14:paraId="6C41693E">
      <w:pPr>
        <w:adjustRightInd w:val="0"/>
        <w:snapToGrid w:val="0"/>
        <w:spacing w:line="288" w:lineRule="auto"/>
        <w:ind w:firstLine="400" w:firstLineChars="200"/>
        <w:rPr>
          <w:rFonts w:ascii="宋体" w:hAnsi="宋体"/>
          <w:bCs/>
          <w:sz w:val="20"/>
          <w:szCs w:val="20"/>
        </w:rPr>
      </w:pPr>
      <w:r>
        <w:rPr>
          <w:rFonts w:hint="eastAsia" w:ascii="宋体" w:hAnsi="宋体"/>
          <w:sz w:val="20"/>
          <w:szCs w:val="20"/>
        </w:rPr>
        <w:t>土钉墙施工说明应对土钉浆体材料、配比、浆体设计强度、注浆要求等加以说明。</w:t>
      </w:r>
    </w:p>
    <w:p w14:paraId="4E9FB810">
      <w:pPr>
        <w:adjustRightInd w:val="0"/>
        <w:snapToGrid w:val="0"/>
        <w:spacing w:line="288" w:lineRule="auto"/>
        <w:ind w:firstLine="402" w:firstLineChars="200"/>
        <w:rPr>
          <w:rFonts w:ascii="宋体" w:hAnsi="宋体"/>
          <w:bCs/>
          <w:sz w:val="20"/>
          <w:szCs w:val="20"/>
        </w:rPr>
      </w:pPr>
      <w:r>
        <w:rPr>
          <w:rFonts w:hint="eastAsia"/>
          <w:b/>
          <w:sz w:val="20"/>
          <w:szCs w:val="20"/>
        </w:rPr>
        <w:t>6</w:t>
      </w:r>
      <w:r>
        <w:rPr>
          <w:rFonts w:hint="eastAsia" w:ascii="宋体" w:hAnsi="宋体"/>
          <w:bCs/>
          <w:sz w:val="20"/>
          <w:szCs w:val="20"/>
        </w:rPr>
        <w:t xml:space="preserve">  基坑降水平面布置图：</w:t>
      </w:r>
      <w:r>
        <w:rPr>
          <w:rFonts w:hint="eastAsia" w:ascii="宋体" w:hAnsi="宋体"/>
          <w:sz w:val="20"/>
          <w:szCs w:val="20"/>
        </w:rPr>
        <w:t>标明井的类型、编号、井间距、排水系统及供电系统布设等。</w:t>
      </w:r>
    </w:p>
    <w:p w14:paraId="6CF755C4">
      <w:pPr>
        <w:adjustRightInd w:val="0"/>
        <w:snapToGrid w:val="0"/>
        <w:spacing w:line="288" w:lineRule="auto"/>
        <w:ind w:firstLine="402" w:firstLineChars="200"/>
        <w:rPr>
          <w:rFonts w:ascii="宋体" w:hAnsi="宋体"/>
          <w:sz w:val="20"/>
          <w:szCs w:val="20"/>
        </w:rPr>
      </w:pPr>
      <w:r>
        <w:rPr>
          <w:rFonts w:hint="eastAsia"/>
          <w:b/>
          <w:sz w:val="20"/>
          <w:szCs w:val="20"/>
        </w:rPr>
        <w:t>7</w:t>
      </w:r>
      <w:r>
        <w:rPr>
          <w:rFonts w:hint="eastAsia" w:ascii="宋体" w:hAnsi="宋体"/>
          <w:bCs/>
          <w:sz w:val="20"/>
          <w:szCs w:val="20"/>
        </w:rPr>
        <w:t xml:space="preserve">  降水井、观测井构造大样图：</w:t>
      </w:r>
      <w:r>
        <w:rPr>
          <w:rFonts w:hint="eastAsia" w:ascii="宋体" w:hAnsi="宋体"/>
          <w:sz w:val="20"/>
          <w:szCs w:val="20"/>
        </w:rPr>
        <w:t>降水井及观测井结构图标明井的直径，实管、滤水管的长度，井的深度，滤料及粘土球的回填深度和标高。</w:t>
      </w:r>
    </w:p>
    <w:p w14:paraId="771551C9">
      <w:pPr>
        <w:adjustRightInd w:val="0"/>
        <w:snapToGrid w:val="0"/>
        <w:spacing w:line="288" w:lineRule="auto"/>
        <w:ind w:firstLine="402" w:firstLineChars="200"/>
        <w:rPr>
          <w:rFonts w:ascii="宋体" w:hAnsi="宋体"/>
          <w:bCs/>
          <w:sz w:val="20"/>
          <w:szCs w:val="20"/>
        </w:rPr>
      </w:pPr>
      <w:r>
        <w:rPr>
          <w:rFonts w:hint="eastAsia"/>
          <w:b/>
          <w:sz w:val="20"/>
          <w:szCs w:val="20"/>
        </w:rPr>
        <w:t>8</w:t>
      </w:r>
      <w:r>
        <w:rPr>
          <w:rFonts w:hint="eastAsia" w:ascii="宋体" w:hAnsi="宋体"/>
          <w:bCs/>
          <w:sz w:val="20"/>
          <w:szCs w:val="20"/>
        </w:rPr>
        <w:t xml:space="preserve">  基坑监测点布置平面图。</w:t>
      </w:r>
    </w:p>
    <w:p w14:paraId="505806F7">
      <w:pPr>
        <w:rPr>
          <w:rFonts w:ascii="黑体" w:hAnsi="黑体"/>
          <w:sz w:val="26"/>
          <w:szCs w:val="26"/>
        </w:rPr>
      </w:pPr>
      <w:r>
        <w:rPr>
          <w:rFonts w:hint="eastAsia" w:ascii="黑体" w:hAnsi="黑体"/>
          <w:sz w:val="26"/>
          <w:szCs w:val="26"/>
        </w:rPr>
        <w:br w:type="page"/>
      </w:r>
    </w:p>
    <w:bookmarkEnd w:id="109"/>
    <w:bookmarkEnd w:id="110"/>
    <w:p w14:paraId="7E1A5668">
      <w:pPr>
        <w:pStyle w:val="5"/>
        <w:keepNext w:val="0"/>
        <w:keepLines w:val="0"/>
        <w:adjustRightInd w:val="0"/>
        <w:snapToGrid w:val="0"/>
        <w:spacing w:before="156" w:beforeLines="50" w:after="0" w:line="288" w:lineRule="auto"/>
        <w:jc w:val="center"/>
        <w:rPr>
          <w:rFonts w:ascii="宋体" w:hAnsi="宋体"/>
          <w:sz w:val="20"/>
          <w:szCs w:val="20"/>
        </w:rPr>
      </w:pPr>
      <w:bookmarkStart w:id="129" w:name="_Toc139613760"/>
      <w:bookmarkStart w:id="130" w:name="_Toc409425838"/>
      <w:bookmarkStart w:id="131" w:name="_Toc468104740"/>
      <w:r>
        <w:rPr>
          <w:rFonts w:hint="eastAsia" w:ascii="黑体" w:hAnsi="黑体"/>
          <w:b w:val="0"/>
          <w:sz w:val="26"/>
          <w:szCs w:val="26"/>
        </w:rPr>
        <w:t>附录</w:t>
      </w:r>
      <w:r>
        <w:rPr>
          <w:rFonts w:ascii="Times New Roman" w:hAnsi="Times New Roman"/>
          <w:sz w:val="26"/>
          <w:szCs w:val="26"/>
        </w:rPr>
        <w:t>B</w:t>
      </w:r>
      <w:r>
        <w:rPr>
          <w:rFonts w:hint="eastAsia" w:ascii="黑体" w:hAnsi="黑体"/>
          <w:b w:val="0"/>
          <w:sz w:val="26"/>
          <w:szCs w:val="26"/>
        </w:rPr>
        <w:t xml:space="preserve">  渗透稳定性验算</w:t>
      </w:r>
      <w:bookmarkEnd w:id="129"/>
      <w:bookmarkEnd w:id="130"/>
      <w:bookmarkEnd w:id="131"/>
    </w:p>
    <w:p w14:paraId="43163799">
      <w:pPr>
        <w:pStyle w:val="2"/>
        <w:ind w:left="0" w:leftChars="0" w:firstLine="0" w:firstLineChars="0"/>
      </w:pPr>
    </w:p>
    <w:p w14:paraId="6FA07436">
      <w:pPr>
        <w:tabs>
          <w:tab w:val="left" w:pos="672"/>
          <w:tab w:val="left" w:pos="1036"/>
          <w:tab w:val="left" w:pos="1620"/>
          <w:tab w:val="left" w:pos="2160"/>
          <w:tab w:val="left" w:pos="7020"/>
        </w:tabs>
        <w:adjustRightInd w:val="0"/>
        <w:snapToGrid w:val="0"/>
        <w:spacing w:line="288" w:lineRule="auto"/>
        <w:rPr>
          <w:rFonts w:ascii="宋体" w:hAnsi="宋体"/>
          <w:sz w:val="20"/>
          <w:szCs w:val="20"/>
        </w:rPr>
      </w:pPr>
      <w:r>
        <w:rPr>
          <w:rFonts w:eastAsia="黑体"/>
          <w:b/>
          <w:bCs/>
          <w:spacing w:val="17"/>
          <w:w w:val="100"/>
          <w:kern w:val="0"/>
          <w:sz w:val="20"/>
          <w:szCs w:val="20"/>
          <w:fitText w:val="503" w:id="1394240768"/>
        </w:rPr>
        <w:t>B.0.</w:t>
      </w:r>
      <w:r>
        <w:rPr>
          <w:rFonts w:eastAsia="黑体"/>
          <w:b/>
          <w:bCs/>
          <w:spacing w:val="2"/>
          <w:w w:val="100"/>
          <w:kern w:val="0"/>
          <w:sz w:val="20"/>
          <w:szCs w:val="20"/>
          <w:fitText w:val="503" w:id="1394240768"/>
        </w:rPr>
        <w:t>1</w:t>
      </w:r>
      <w:r>
        <w:rPr>
          <w:rFonts w:hint="eastAsia" w:ascii="宋体" w:hAnsi="宋体"/>
          <w:sz w:val="20"/>
          <w:szCs w:val="20"/>
        </w:rPr>
        <w:t xml:space="preserve">  坑底以下有水头高于坑底的承压水含水层，且未用截水帷幕隔断其基坑内外的水力联系时，承压水作用下的坑底突涌稳定性应符合下式规定（图</w:t>
      </w:r>
      <w:r>
        <w:rPr>
          <w:sz w:val="20"/>
          <w:szCs w:val="20"/>
        </w:rPr>
        <w:t>B.0.1</w:t>
      </w:r>
      <w:r>
        <w:rPr>
          <w:rFonts w:hint="eastAsia" w:ascii="宋体" w:hAnsi="宋体"/>
          <w:sz w:val="20"/>
          <w:szCs w:val="20"/>
        </w:rPr>
        <w:t>）：</w:t>
      </w:r>
    </w:p>
    <w:p w14:paraId="4E12EDCB">
      <w:pPr>
        <w:adjustRightInd w:val="0"/>
        <w:snapToGrid w:val="0"/>
        <w:spacing w:line="288" w:lineRule="auto"/>
        <w:ind w:firstLine="400" w:firstLineChars="200"/>
        <w:jc w:val="center"/>
        <w:rPr>
          <w:rFonts w:ascii="宋体" w:hAnsi="宋体"/>
          <w:sz w:val="20"/>
          <w:szCs w:val="20"/>
        </w:rPr>
      </w:pPr>
      <w:r>
        <w:rPr>
          <w:rFonts w:hint="eastAsia" w:ascii="宋体" w:hAnsi="宋体"/>
          <w:position w:val="-30"/>
          <w:sz w:val="20"/>
          <w:szCs w:val="20"/>
        </w:rPr>
        <w:object>
          <v:shape id="_x0000_i1123" o:spt="75" type="#_x0000_t75" style="height:27.05pt;width:73.15pt;" o:ole="t" filled="f" o:preferrelative="t" stroked="f" coordsize="21600,21600">
            <v:path/>
            <v:fill on="f" focussize="0,0"/>
            <v:stroke on="f" joinstyle="miter"/>
            <v:imagedata r:id="rId216" o:title=""/>
            <o:lock v:ext="edit" aspectratio="t"/>
            <w10:wrap type="none"/>
            <w10:anchorlock/>
          </v:shape>
          <o:OLEObject Type="Embed" ProgID="Equation.3" ShapeID="_x0000_i1123" DrawAspect="Content" ObjectID="_1468075827" r:id="rId215">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B.0.1</w:t>
      </w:r>
      <w:r>
        <w:rPr>
          <w:rFonts w:hint="eastAsia" w:ascii="宋体" w:hAnsi="宋体"/>
          <w:sz w:val="20"/>
          <w:szCs w:val="20"/>
        </w:rPr>
        <w:t>）</w:t>
      </w:r>
    </w:p>
    <w:p w14:paraId="5E996C51">
      <w:pPr>
        <w:tabs>
          <w:tab w:val="left" w:pos="672"/>
          <w:tab w:val="left" w:pos="1036"/>
          <w:tab w:val="left" w:pos="1620"/>
          <w:tab w:val="left" w:pos="2160"/>
          <w:tab w:val="left" w:pos="7020"/>
        </w:tabs>
        <w:adjustRightInd w:val="0"/>
        <w:snapToGrid w:val="0"/>
        <w:spacing w:line="288" w:lineRule="auto"/>
        <w:rPr>
          <w:sz w:val="20"/>
          <w:szCs w:val="20"/>
        </w:rPr>
      </w:pPr>
      <w:r>
        <w:rPr>
          <w:rFonts w:hint="eastAsia" w:ascii="宋体" w:hAnsi="宋体"/>
          <w:sz w:val="20"/>
          <w:szCs w:val="20"/>
        </w:rPr>
        <w:t>式中：</w:t>
      </w:r>
      <w:r>
        <w:rPr>
          <w:i/>
          <w:sz w:val="20"/>
          <w:szCs w:val="20"/>
        </w:rPr>
        <w:t>K</w:t>
      </w:r>
      <w:r>
        <w:rPr>
          <w:sz w:val="20"/>
          <w:szCs w:val="20"/>
          <w:vertAlign w:val="subscript"/>
        </w:rPr>
        <w:t xml:space="preserve"> se1</w:t>
      </w:r>
      <w:r>
        <w:rPr>
          <w:rFonts w:hint="eastAsia"/>
          <w:sz w:val="20"/>
          <w:szCs w:val="20"/>
          <w:vertAlign w:val="subscript"/>
        </w:rPr>
        <w:t xml:space="preserve"> </w:t>
      </w:r>
      <w:r>
        <w:rPr>
          <w:sz w:val="20"/>
          <w:szCs w:val="20"/>
        </w:rPr>
        <w:t>——</w:t>
      </w:r>
      <w:r>
        <w:rPr>
          <w:rFonts w:hAnsi="宋体"/>
          <w:sz w:val="20"/>
          <w:szCs w:val="20"/>
        </w:rPr>
        <w:t>突涌稳定性安全系数；</w:t>
      </w:r>
      <w:r>
        <w:rPr>
          <w:i/>
          <w:sz w:val="20"/>
          <w:szCs w:val="20"/>
        </w:rPr>
        <w:t xml:space="preserve"> K</w:t>
      </w:r>
      <w:r>
        <w:rPr>
          <w:sz w:val="20"/>
          <w:szCs w:val="20"/>
          <w:vertAlign w:val="subscript"/>
        </w:rPr>
        <w:t xml:space="preserve"> se1</w:t>
      </w:r>
      <w:r>
        <w:rPr>
          <w:rFonts w:hAnsi="宋体"/>
          <w:sz w:val="20"/>
          <w:szCs w:val="20"/>
        </w:rPr>
        <w:t>不应小于</w:t>
      </w:r>
      <w:r>
        <w:rPr>
          <w:sz w:val="20"/>
          <w:szCs w:val="20"/>
        </w:rPr>
        <w:t>1.1</w:t>
      </w:r>
      <w:r>
        <w:rPr>
          <w:rFonts w:hAnsi="宋体"/>
          <w:sz w:val="20"/>
          <w:szCs w:val="20"/>
        </w:rPr>
        <w:t>；</w:t>
      </w:r>
      <w:r>
        <w:rPr>
          <w:sz w:val="20"/>
          <w:szCs w:val="20"/>
        </w:rPr>
        <w:t xml:space="preserve"> </w:t>
      </w:r>
    </w:p>
    <w:p w14:paraId="6D261B13">
      <w:pPr>
        <w:tabs>
          <w:tab w:val="left" w:pos="672"/>
          <w:tab w:val="left" w:pos="1036"/>
          <w:tab w:val="left" w:pos="1620"/>
          <w:tab w:val="left" w:pos="2160"/>
          <w:tab w:val="left" w:pos="7020"/>
        </w:tabs>
        <w:adjustRightInd w:val="0"/>
        <w:snapToGrid w:val="0"/>
        <w:spacing w:line="288" w:lineRule="auto"/>
        <w:ind w:firstLine="816" w:firstLineChars="408"/>
        <w:rPr>
          <w:sz w:val="20"/>
          <w:szCs w:val="20"/>
        </w:rPr>
      </w:pPr>
      <w:r>
        <w:rPr>
          <w:sz w:val="20"/>
          <w:szCs w:val="20"/>
        </w:rPr>
        <w:t>D——</w:t>
      </w:r>
      <w:r>
        <w:rPr>
          <w:rFonts w:hAnsi="宋体"/>
          <w:sz w:val="20"/>
          <w:szCs w:val="20"/>
        </w:rPr>
        <w:t>承压含水层顶面至坑底的土层厚度（</w:t>
      </w:r>
      <w:r>
        <w:rPr>
          <w:sz w:val="20"/>
          <w:szCs w:val="20"/>
        </w:rPr>
        <w:t>m</w:t>
      </w:r>
      <w:r>
        <w:rPr>
          <w:rFonts w:hAnsi="宋体"/>
          <w:sz w:val="20"/>
          <w:szCs w:val="20"/>
        </w:rPr>
        <w:t>）；</w:t>
      </w:r>
    </w:p>
    <w:p w14:paraId="39747AEF">
      <w:pPr>
        <w:tabs>
          <w:tab w:val="left" w:pos="1036"/>
          <w:tab w:val="left" w:pos="1560"/>
          <w:tab w:val="left" w:pos="1620"/>
          <w:tab w:val="left" w:pos="2160"/>
          <w:tab w:val="left" w:pos="7020"/>
        </w:tabs>
        <w:adjustRightInd w:val="0"/>
        <w:snapToGrid w:val="0"/>
        <w:spacing w:line="288" w:lineRule="auto"/>
        <w:ind w:left="1388" w:leftChars="423" w:hanging="500" w:hangingChars="250"/>
        <w:rPr>
          <w:sz w:val="20"/>
          <w:szCs w:val="20"/>
        </w:rPr>
      </w:pPr>
      <w:r>
        <w:rPr>
          <w:i/>
          <w:sz w:val="20"/>
          <w:szCs w:val="20"/>
        </w:rPr>
        <w:t>γ</w:t>
      </w:r>
      <w:r>
        <w:rPr>
          <w:sz w:val="20"/>
          <w:szCs w:val="20"/>
        </w:rPr>
        <w:t>——</w:t>
      </w:r>
      <w:r>
        <w:rPr>
          <w:rFonts w:hAnsi="宋体"/>
          <w:sz w:val="20"/>
          <w:szCs w:val="20"/>
        </w:rPr>
        <w:t>承压含水层顶面至坑底土层的天然重度（</w:t>
      </w:r>
      <w:r>
        <w:rPr>
          <w:sz w:val="20"/>
          <w:szCs w:val="20"/>
        </w:rPr>
        <w:t>kN/m</w:t>
      </w:r>
      <w:r>
        <w:rPr>
          <w:sz w:val="20"/>
          <w:szCs w:val="20"/>
          <w:vertAlign w:val="superscript"/>
        </w:rPr>
        <w:t>3</w:t>
      </w:r>
      <w:r>
        <w:rPr>
          <w:rFonts w:hAnsi="宋体"/>
          <w:sz w:val="20"/>
          <w:szCs w:val="20"/>
        </w:rPr>
        <w:t>）；对成层土，取按土层厚度加权的平均天然重度；</w:t>
      </w:r>
    </w:p>
    <w:p w14:paraId="2C9BE64F">
      <w:pPr>
        <w:tabs>
          <w:tab w:val="left" w:pos="672"/>
          <w:tab w:val="left" w:pos="1036"/>
          <w:tab w:val="left" w:pos="1620"/>
          <w:tab w:val="left" w:pos="2160"/>
          <w:tab w:val="left" w:pos="7020"/>
        </w:tabs>
        <w:adjustRightInd w:val="0"/>
        <w:snapToGrid w:val="0"/>
        <w:spacing w:line="288" w:lineRule="auto"/>
        <w:ind w:firstLine="746" w:firstLineChars="373"/>
        <w:rPr>
          <w:sz w:val="20"/>
          <w:szCs w:val="20"/>
        </w:rPr>
      </w:pPr>
      <w:r>
        <w:rPr>
          <w:sz w:val="20"/>
          <w:szCs w:val="20"/>
        </w:rPr>
        <w:t>Δ</w:t>
      </w:r>
      <w:r>
        <w:rPr>
          <w:i/>
          <w:sz w:val="20"/>
          <w:szCs w:val="20"/>
        </w:rPr>
        <w:t>h</w:t>
      </w:r>
      <w:r>
        <w:rPr>
          <w:sz w:val="20"/>
          <w:szCs w:val="20"/>
        </w:rPr>
        <w:t>——</w:t>
      </w:r>
      <w:r>
        <w:rPr>
          <w:rFonts w:hAnsi="宋体"/>
          <w:sz w:val="20"/>
          <w:szCs w:val="20"/>
        </w:rPr>
        <w:t>基坑内外的水头差（</w:t>
      </w:r>
      <w:r>
        <w:rPr>
          <w:sz w:val="20"/>
          <w:szCs w:val="20"/>
        </w:rPr>
        <w:t>m</w:t>
      </w:r>
      <w:r>
        <w:rPr>
          <w:rFonts w:hAnsi="宋体"/>
          <w:sz w:val="20"/>
          <w:szCs w:val="20"/>
        </w:rPr>
        <w:t>）；</w:t>
      </w:r>
    </w:p>
    <w:p w14:paraId="03889310">
      <w:pPr>
        <w:tabs>
          <w:tab w:val="left" w:pos="672"/>
          <w:tab w:val="left" w:pos="1036"/>
          <w:tab w:val="left" w:pos="1620"/>
          <w:tab w:val="left" w:pos="2160"/>
          <w:tab w:val="left" w:pos="7020"/>
        </w:tabs>
        <w:adjustRightInd w:val="0"/>
        <w:snapToGrid w:val="0"/>
        <w:spacing w:line="288" w:lineRule="auto"/>
        <w:ind w:firstLine="808" w:firstLineChars="404"/>
        <w:rPr>
          <w:sz w:val="20"/>
          <w:szCs w:val="20"/>
        </w:rPr>
      </w:pPr>
      <w:r>
        <w:rPr>
          <w:i/>
          <w:sz w:val="20"/>
          <w:szCs w:val="20"/>
        </w:rPr>
        <w:t>γ</w:t>
      </w:r>
      <w:r>
        <w:rPr>
          <w:i/>
          <w:sz w:val="20"/>
          <w:szCs w:val="20"/>
          <w:vertAlign w:val="subscript"/>
        </w:rPr>
        <w:t>w</w:t>
      </w:r>
      <w:r>
        <w:rPr>
          <w:sz w:val="20"/>
          <w:szCs w:val="20"/>
        </w:rPr>
        <w:t>——</w:t>
      </w:r>
      <w:r>
        <w:rPr>
          <w:rFonts w:hAnsi="宋体"/>
          <w:sz w:val="20"/>
          <w:szCs w:val="20"/>
        </w:rPr>
        <w:t>水的重度（</w:t>
      </w:r>
      <w:r>
        <w:rPr>
          <w:sz w:val="20"/>
          <w:szCs w:val="20"/>
        </w:rPr>
        <w:t>kN/m</w:t>
      </w:r>
      <w:r>
        <w:rPr>
          <w:sz w:val="20"/>
          <w:szCs w:val="20"/>
          <w:vertAlign w:val="superscript"/>
        </w:rPr>
        <w:t>3</w:t>
      </w:r>
      <w:r>
        <w:rPr>
          <w:rFonts w:hAnsi="宋体"/>
          <w:sz w:val="20"/>
          <w:szCs w:val="20"/>
        </w:rPr>
        <w:t>）。</w:t>
      </w:r>
    </w:p>
    <w:p w14:paraId="5597433E">
      <w:pPr>
        <w:adjustRightInd w:val="0"/>
        <w:snapToGrid w:val="0"/>
        <w:spacing w:line="288" w:lineRule="auto"/>
        <w:jc w:val="center"/>
        <w:rPr>
          <w:rFonts w:ascii="宋体" w:hAnsi="宋体"/>
          <w:sz w:val="20"/>
          <w:szCs w:val="20"/>
        </w:rPr>
      </w:pPr>
      <w:r>
        <w:rPr>
          <w:rFonts w:ascii="宋体" w:hAnsi="宋体"/>
          <w:sz w:val="20"/>
          <w:szCs w:val="20"/>
        </w:rPr>
        <w:object>
          <v:shape id="_x0000_i1124" o:spt="75" type="#_x0000_t75" style="height:150.35pt;width:151.5pt;" o:ole="t" filled="f" o:preferrelative="t" stroked="f" coordsize="21600,21600">
            <v:path/>
            <v:fill on="f" focussize="0,0"/>
            <v:stroke on="f" joinstyle="miter"/>
            <v:imagedata r:id="rId218" cropleft="26521f" croptop="11174f" cropright="19611f" cropbottom="11174f" o:title=""/>
            <o:lock v:ext="edit" aspectratio="t"/>
            <w10:wrap type="none"/>
            <w10:anchorlock/>
          </v:shape>
          <o:OLEObject Type="Embed" ProgID="AutoCAD.Drawing.16" ShapeID="_x0000_i1124" DrawAspect="Content" ObjectID="_1468075828" r:id="rId217">
            <o:LockedField>false</o:LockedField>
          </o:OLEObject>
        </w:object>
      </w:r>
    </w:p>
    <w:p w14:paraId="75599E71">
      <w:pPr>
        <w:adjustRightInd w:val="0"/>
        <w:snapToGrid w:val="0"/>
        <w:spacing w:before="156" w:beforeLines="50" w:line="288" w:lineRule="auto"/>
        <w:jc w:val="center"/>
        <w:rPr>
          <w:rFonts w:ascii="宋体" w:hAnsi="宋体"/>
          <w:b/>
          <w:sz w:val="18"/>
          <w:szCs w:val="18"/>
        </w:rPr>
      </w:pPr>
      <w:r>
        <w:rPr>
          <w:rFonts w:ascii="宋体" w:hAnsi="宋体"/>
          <w:b/>
          <w:sz w:val="18"/>
          <w:szCs w:val="18"/>
        </w:rPr>
        <w:t>图</w:t>
      </w:r>
      <w:r>
        <w:rPr>
          <w:b/>
          <w:sz w:val="18"/>
          <w:szCs w:val="18"/>
        </w:rPr>
        <w:t>B.0.1</w:t>
      </w:r>
      <w:r>
        <w:rPr>
          <w:rFonts w:ascii="宋体" w:hAnsi="宋体"/>
          <w:b/>
          <w:sz w:val="18"/>
          <w:szCs w:val="18"/>
        </w:rPr>
        <w:t xml:space="preserve">  坑底土体的突涌稳定性验算</w:t>
      </w:r>
    </w:p>
    <w:p w14:paraId="5E3C93B5">
      <w:pPr>
        <w:adjustRightInd w:val="0"/>
        <w:snapToGrid w:val="0"/>
        <w:spacing w:line="288" w:lineRule="auto"/>
        <w:jc w:val="center"/>
        <w:rPr>
          <w:rFonts w:ascii="宋体" w:hAnsi="宋体"/>
          <w:sz w:val="15"/>
          <w:szCs w:val="15"/>
        </w:rPr>
      </w:pPr>
      <w:r>
        <w:rPr>
          <w:rFonts w:hint="eastAsia"/>
          <w:sz w:val="15"/>
          <w:szCs w:val="15"/>
        </w:rPr>
        <w:t>1</w:t>
      </w:r>
      <w:r>
        <w:rPr>
          <w:rFonts w:hint="eastAsia" w:ascii="宋体" w:hAnsi="宋体"/>
          <w:sz w:val="15"/>
          <w:szCs w:val="15"/>
        </w:rPr>
        <w:t>－截水帷幕；</w:t>
      </w:r>
      <w:r>
        <w:rPr>
          <w:rFonts w:hint="eastAsia"/>
          <w:sz w:val="15"/>
          <w:szCs w:val="15"/>
        </w:rPr>
        <w:t>2</w:t>
      </w:r>
      <w:r>
        <w:rPr>
          <w:rFonts w:hint="eastAsia" w:ascii="宋体" w:hAnsi="宋体"/>
          <w:sz w:val="15"/>
          <w:szCs w:val="15"/>
        </w:rPr>
        <w:t>－基底；</w:t>
      </w:r>
      <w:r>
        <w:rPr>
          <w:rFonts w:hint="eastAsia"/>
          <w:sz w:val="15"/>
          <w:szCs w:val="15"/>
        </w:rPr>
        <w:t>3</w:t>
      </w:r>
      <w:r>
        <w:rPr>
          <w:rFonts w:hint="eastAsia" w:ascii="宋体" w:hAnsi="宋体"/>
          <w:sz w:val="15"/>
          <w:szCs w:val="15"/>
        </w:rPr>
        <w:t>－承压水测管水位；</w:t>
      </w:r>
    </w:p>
    <w:p w14:paraId="0E04EA1C">
      <w:pPr>
        <w:adjustRightInd w:val="0"/>
        <w:snapToGrid w:val="0"/>
        <w:spacing w:after="156" w:afterLines="50" w:line="288" w:lineRule="auto"/>
        <w:jc w:val="center"/>
        <w:rPr>
          <w:rFonts w:ascii="宋体" w:hAnsi="宋体"/>
          <w:sz w:val="20"/>
          <w:szCs w:val="20"/>
        </w:rPr>
      </w:pPr>
      <w:r>
        <w:rPr>
          <w:rFonts w:hint="eastAsia"/>
          <w:sz w:val="15"/>
          <w:szCs w:val="15"/>
        </w:rPr>
        <w:t>4</w:t>
      </w:r>
      <w:r>
        <w:rPr>
          <w:rFonts w:hint="eastAsia" w:ascii="宋体" w:hAnsi="宋体"/>
          <w:sz w:val="15"/>
          <w:szCs w:val="15"/>
        </w:rPr>
        <w:t>－承压水含水层；</w:t>
      </w:r>
      <w:r>
        <w:rPr>
          <w:rFonts w:hint="eastAsia"/>
          <w:sz w:val="15"/>
          <w:szCs w:val="15"/>
        </w:rPr>
        <w:t>5</w:t>
      </w:r>
      <w:r>
        <w:rPr>
          <w:rFonts w:hint="eastAsia" w:ascii="宋体" w:hAnsi="宋体"/>
          <w:sz w:val="15"/>
          <w:szCs w:val="15"/>
        </w:rPr>
        <w:t>－隔水层</w:t>
      </w:r>
    </w:p>
    <w:p w14:paraId="2A2E1E6A">
      <w:pPr>
        <w:tabs>
          <w:tab w:val="left" w:pos="672"/>
          <w:tab w:val="left" w:pos="1036"/>
          <w:tab w:val="left" w:pos="1620"/>
          <w:tab w:val="left" w:pos="2160"/>
          <w:tab w:val="left" w:pos="7020"/>
        </w:tabs>
        <w:adjustRightInd w:val="0"/>
        <w:snapToGrid w:val="0"/>
        <w:spacing w:line="288" w:lineRule="auto"/>
        <w:rPr>
          <w:rFonts w:ascii="宋体" w:hAnsi="宋体"/>
          <w:sz w:val="20"/>
          <w:szCs w:val="20"/>
        </w:rPr>
      </w:pPr>
      <w:r>
        <w:rPr>
          <w:rFonts w:eastAsia="黑体"/>
          <w:b/>
          <w:bCs/>
          <w:spacing w:val="17"/>
          <w:w w:val="100"/>
          <w:kern w:val="0"/>
          <w:sz w:val="20"/>
          <w:szCs w:val="20"/>
          <w:fitText w:val="503" w:id="1394240768"/>
        </w:rPr>
        <w:t>B.0.</w:t>
      </w:r>
      <w:r>
        <w:rPr>
          <w:rFonts w:eastAsia="黑体"/>
          <w:b/>
          <w:bCs/>
          <w:spacing w:val="2"/>
          <w:w w:val="100"/>
          <w:kern w:val="0"/>
          <w:sz w:val="20"/>
          <w:szCs w:val="20"/>
          <w:fitText w:val="503" w:id="1394240768"/>
        </w:rPr>
        <w:t>2</w:t>
      </w:r>
      <w:r>
        <w:rPr>
          <w:rFonts w:hint="eastAsia" w:ascii="宋体" w:hAnsi="宋体"/>
          <w:sz w:val="20"/>
          <w:szCs w:val="20"/>
        </w:rPr>
        <w:t xml:space="preserve">  悬挂式截水帷幕底端位于碎石土、砂土或粉土含水层时，对均质含水层，地下水渗流的流土稳定性应符合下式规定（图</w:t>
      </w:r>
      <w:r>
        <w:rPr>
          <w:sz w:val="20"/>
          <w:szCs w:val="20"/>
        </w:rPr>
        <w:t>B.0.2</w:t>
      </w:r>
      <w:r>
        <w:rPr>
          <w:rFonts w:hint="eastAsia" w:ascii="宋体" w:hAnsi="宋体"/>
          <w:sz w:val="20"/>
          <w:szCs w:val="20"/>
        </w:rPr>
        <w:t>），对渗透系数不同的非均质含水层，宜采用数值方法进行渗流稳定性分析。</w:t>
      </w:r>
    </w:p>
    <w:p w14:paraId="3778193F">
      <w:pPr>
        <w:adjustRightInd w:val="0"/>
        <w:snapToGrid w:val="0"/>
        <w:spacing w:line="288" w:lineRule="auto"/>
        <w:ind w:firstLine="400" w:firstLineChars="200"/>
        <w:jc w:val="center"/>
        <w:rPr>
          <w:rFonts w:ascii="宋体" w:hAnsi="宋体"/>
          <w:sz w:val="20"/>
          <w:szCs w:val="20"/>
        </w:rPr>
      </w:pPr>
      <w:r>
        <w:rPr>
          <w:rFonts w:hint="eastAsia" w:ascii="宋体" w:hAnsi="宋体"/>
          <w:position w:val="-30"/>
          <w:sz w:val="20"/>
          <w:szCs w:val="20"/>
        </w:rPr>
        <w:object>
          <v:shape id="_x0000_i1125" o:spt="75" type="#_x0000_t75" style="height:31.7pt;width:90.45pt;" o:ole="t" filled="f" o:preferrelative="t" stroked="f" coordsize="21600,21600">
            <v:path/>
            <v:fill on="f" focussize="0,0"/>
            <v:stroke on="f" joinstyle="miter"/>
            <v:imagedata r:id="rId220" o:title=""/>
            <o:lock v:ext="edit" aspectratio="t"/>
            <w10:wrap type="none"/>
            <w10:anchorlock/>
          </v:shape>
          <o:OLEObject Type="Embed" ProgID="Equation.3" ShapeID="_x0000_i1125" DrawAspect="Content" ObjectID="_1468075829" r:id="rId219">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B.0.2</w:t>
      </w:r>
      <w:r>
        <w:rPr>
          <w:rFonts w:hint="eastAsia" w:ascii="宋体" w:hAnsi="宋体"/>
          <w:sz w:val="20"/>
          <w:szCs w:val="20"/>
        </w:rPr>
        <w:t>）</w:t>
      </w:r>
    </w:p>
    <w:p w14:paraId="6090DD50">
      <w:pPr>
        <w:tabs>
          <w:tab w:val="left" w:pos="672"/>
          <w:tab w:val="left" w:pos="1036"/>
          <w:tab w:val="left" w:pos="1620"/>
          <w:tab w:val="left" w:pos="2160"/>
          <w:tab w:val="left" w:pos="7020"/>
        </w:tabs>
        <w:adjustRightInd w:val="0"/>
        <w:snapToGrid w:val="0"/>
        <w:spacing w:line="288" w:lineRule="auto"/>
        <w:ind w:left="1300" w:hanging="1300" w:hangingChars="650"/>
        <w:rPr>
          <w:sz w:val="20"/>
          <w:szCs w:val="20"/>
        </w:rPr>
      </w:pPr>
      <w:r>
        <w:rPr>
          <w:rFonts w:hint="eastAsia" w:ascii="宋体" w:hAnsi="宋体"/>
          <w:sz w:val="20"/>
          <w:szCs w:val="20"/>
        </w:rPr>
        <w:t>式中：</w:t>
      </w:r>
      <w:r>
        <w:rPr>
          <w:i/>
          <w:sz w:val="20"/>
          <w:szCs w:val="20"/>
        </w:rPr>
        <w:t>K</w:t>
      </w:r>
      <w:r>
        <w:rPr>
          <w:sz w:val="20"/>
          <w:szCs w:val="20"/>
          <w:vertAlign w:val="subscript"/>
        </w:rPr>
        <w:t>se2</w:t>
      </w:r>
      <w:r>
        <w:rPr>
          <w:sz w:val="20"/>
          <w:szCs w:val="20"/>
        </w:rPr>
        <w:t>——</w:t>
      </w:r>
      <w:r>
        <w:rPr>
          <w:rFonts w:hAnsi="宋体"/>
          <w:sz w:val="20"/>
          <w:szCs w:val="20"/>
        </w:rPr>
        <w:t>流土稳定性安全系数；安全等级为一、二、三级的支护结构，</w:t>
      </w:r>
      <w:r>
        <w:rPr>
          <w:i/>
          <w:sz w:val="20"/>
          <w:szCs w:val="20"/>
        </w:rPr>
        <w:t>K</w:t>
      </w:r>
      <w:r>
        <w:rPr>
          <w:sz w:val="20"/>
          <w:szCs w:val="20"/>
          <w:vertAlign w:val="subscript"/>
        </w:rPr>
        <w:t>se2</w:t>
      </w:r>
      <w:r>
        <w:rPr>
          <w:rFonts w:hAnsi="宋体"/>
          <w:sz w:val="20"/>
          <w:szCs w:val="20"/>
        </w:rPr>
        <w:t>分别不应小于</w:t>
      </w:r>
      <w:r>
        <w:rPr>
          <w:sz w:val="20"/>
          <w:szCs w:val="20"/>
        </w:rPr>
        <w:t>1.6</w:t>
      </w:r>
      <w:r>
        <w:rPr>
          <w:rFonts w:hAnsi="宋体"/>
          <w:sz w:val="20"/>
          <w:szCs w:val="20"/>
        </w:rPr>
        <w:t>、</w:t>
      </w:r>
      <w:r>
        <w:rPr>
          <w:sz w:val="20"/>
          <w:szCs w:val="20"/>
        </w:rPr>
        <w:t>1.5</w:t>
      </w:r>
      <w:r>
        <w:rPr>
          <w:rFonts w:hAnsi="宋体"/>
          <w:sz w:val="20"/>
          <w:szCs w:val="20"/>
        </w:rPr>
        <w:t>、</w:t>
      </w:r>
      <w:r>
        <w:rPr>
          <w:sz w:val="20"/>
          <w:szCs w:val="20"/>
        </w:rPr>
        <w:t>1.4</w:t>
      </w:r>
      <w:r>
        <w:rPr>
          <w:rFonts w:hAnsi="宋体"/>
          <w:sz w:val="20"/>
          <w:szCs w:val="20"/>
        </w:rPr>
        <w:t>；</w:t>
      </w:r>
    </w:p>
    <w:p w14:paraId="46DB8F7D">
      <w:pPr>
        <w:tabs>
          <w:tab w:val="left" w:pos="672"/>
          <w:tab w:val="left" w:pos="1036"/>
          <w:tab w:val="left" w:pos="1620"/>
          <w:tab w:val="left" w:pos="2160"/>
          <w:tab w:val="left" w:pos="7020"/>
        </w:tabs>
        <w:adjustRightInd w:val="0"/>
        <w:snapToGrid w:val="0"/>
        <w:spacing w:line="288" w:lineRule="auto"/>
        <w:ind w:left="1335" w:leftChars="350" w:hanging="600" w:hangingChars="300"/>
        <w:rPr>
          <w:sz w:val="20"/>
          <w:szCs w:val="20"/>
        </w:rPr>
      </w:pPr>
      <w:r>
        <w:rPr>
          <w:i/>
          <w:sz w:val="20"/>
          <w:szCs w:val="20"/>
        </w:rPr>
        <w:t>l</w:t>
      </w:r>
      <w:r>
        <w:rPr>
          <w:sz w:val="20"/>
          <w:szCs w:val="20"/>
          <w:vertAlign w:val="subscript"/>
        </w:rPr>
        <w:t>d</w:t>
      </w:r>
      <w:r>
        <w:rPr>
          <w:rFonts w:hint="eastAsia"/>
          <w:sz w:val="20"/>
          <w:szCs w:val="20"/>
          <w:vertAlign w:val="subscript"/>
        </w:rPr>
        <w:t xml:space="preserve"> </w:t>
      </w:r>
      <w:r>
        <w:rPr>
          <w:sz w:val="20"/>
          <w:szCs w:val="20"/>
        </w:rPr>
        <w:t>——</w:t>
      </w:r>
      <w:r>
        <w:rPr>
          <w:rFonts w:hAnsi="宋体"/>
          <w:sz w:val="20"/>
          <w:szCs w:val="20"/>
        </w:rPr>
        <w:t>截水帷幕在坑底以下的插入深度（</w:t>
      </w:r>
      <w:r>
        <w:rPr>
          <w:sz w:val="20"/>
          <w:szCs w:val="20"/>
        </w:rPr>
        <w:t>m</w:t>
      </w:r>
      <w:r>
        <w:rPr>
          <w:rFonts w:hAnsi="宋体"/>
          <w:sz w:val="20"/>
          <w:szCs w:val="20"/>
        </w:rPr>
        <w:t>）；</w:t>
      </w:r>
    </w:p>
    <w:p w14:paraId="58277AB4">
      <w:pPr>
        <w:tabs>
          <w:tab w:val="left" w:pos="672"/>
          <w:tab w:val="left" w:pos="1276"/>
          <w:tab w:val="left" w:pos="1620"/>
          <w:tab w:val="left" w:pos="2160"/>
          <w:tab w:val="left" w:pos="7020"/>
        </w:tabs>
        <w:adjustRightInd w:val="0"/>
        <w:snapToGrid w:val="0"/>
        <w:spacing w:line="288" w:lineRule="auto"/>
        <w:ind w:left="1224" w:leftChars="321" w:hanging="550" w:hangingChars="275"/>
        <w:rPr>
          <w:sz w:val="20"/>
          <w:szCs w:val="20"/>
        </w:rPr>
      </w:pPr>
      <w:r>
        <w:rPr>
          <w:i/>
          <w:sz w:val="20"/>
          <w:szCs w:val="20"/>
        </w:rPr>
        <w:t>D</w:t>
      </w:r>
      <w:r>
        <w:rPr>
          <w:sz w:val="20"/>
          <w:szCs w:val="20"/>
          <w:vertAlign w:val="subscript"/>
        </w:rPr>
        <w:t>1</w:t>
      </w:r>
      <w:r>
        <w:rPr>
          <w:sz w:val="20"/>
          <w:szCs w:val="20"/>
        </w:rPr>
        <w:t>——</w:t>
      </w:r>
      <w:r>
        <w:rPr>
          <w:rFonts w:hAnsi="宋体"/>
          <w:spacing w:val="-3"/>
          <w:sz w:val="20"/>
          <w:szCs w:val="20"/>
        </w:rPr>
        <w:t>潜水水面或承压水含水层顶面至基坑底面的土层厚度（</w:t>
      </w:r>
      <w:r>
        <w:rPr>
          <w:spacing w:val="-3"/>
          <w:sz w:val="20"/>
          <w:szCs w:val="20"/>
        </w:rPr>
        <w:t>m</w:t>
      </w:r>
      <w:r>
        <w:rPr>
          <w:rFonts w:hAnsi="宋体"/>
          <w:spacing w:val="-3"/>
          <w:sz w:val="20"/>
          <w:szCs w:val="20"/>
        </w:rPr>
        <w:t>）；</w:t>
      </w:r>
    </w:p>
    <w:p w14:paraId="5DD37C33">
      <w:pPr>
        <w:tabs>
          <w:tab w:val="left" w:pos="672"/>
          <w:tab w:val="left" w:pos="1036"/>
          <w:tab w:val="left" w:pos="1620"/>
          <w:tab w:val="left" w:pos="2160"/>
          <w:tab w:val="left" w:pos="7020"/>
        </w:tabs>
        <w:adjustRightInd w:val="0"/>
        <w:snapToGrid w:val="0"/>
        <w:spacing w:line="288" w:lineRule="auto"/>
        <w:ind w:firstLine="688" w:firstLineChars="344"/>
        <w:rPr>
          <w:sz w:val="20"/>
          <w:szCs w:val="20"/>
        </w:rPr>
      </w:pPr>
      <w:r>
        <w:rPr>
          <w:i/>
          <w:sz w:val="20"/>
          <w:szCs w:val="20"/>
        </w:rPr>
        <w:t>γ</w:t>
      </w:r>
      <w:r>
        <w:rPr>
          <w:sz w:val="20"/>
          <w:szCs w:val="20"/>
          <w:vertAlign w:val="superscript"/>
        </w:rPr>
        <w:t>＇</w:t>
      </w:r>
      <w:r>
        <w:rPr>
          <w:sz w:val="20"/>
          <w:szCs w:val="20"/>
        </w:rPr>
        <w:t>——</w:t>
      </w:r>
      <w:r>
        <w:rPr>
          <w:rFonts w:hAnsi="宋体"/>
          <w:sz w:val="20"/>
          <w:szCs w:val="20"/>
        </w:rPr>
        <w:t>土的浮重度（</w:t>
      </w:r>
      <w:r>
        <w:rPr>
          <w:sz w:val="20"/>
          <w:szCs w:val="20"/>
        </w:rPr>
        <w:t>kN/m</w:t>
      </w:r>
      <w:r>
        <w:rPr>
          <w:sz w:val="20"/>
          <w:szCs w:val="20"/>
          <w:vertAlign w:val="superscript"/>
        </w:rPr>
        <w:t>3</w:t>
      </w:r>
      <w:r>
        <w:rPr>
          <w:rFonts w:hAnsi="宋体"/>
          <w:sz w:val="20"/>
          <w:szCs w:val="20"/>
        </w:rPr>
        <w:t>）；</w:t>
      </w:r>
    </w:p>
    <w:p w14:paraId="44FC7904">
      <w:pPr>
        <w:tabs>
          <w:tab w:val="left" w:pos="672"/>
          <w:tab w:val="left" w:pos="1036"/>
          <w:tab w:val="left" w:pos="1620"/>
          <w:tab w:val="left" w:pos="2160"/>
          <w:tab w:val="left" w:pos="7020"/>
        </w:tabs>
        <w:adjustRightInd w:val="0"/>
        <w:snapToGrid w:val="0"/>
        <w:spacing w:line="288" w:lineRule="auto"/>
        <w:ind w:firstLine="588" w:firstLineChars="294"/>
        <w:rPr>
          <w:sz w:val="20"/>
          <w:szCs w:val="20"/>
        </w:rPr>
      </w:pPr>
      <w:r>
        <w:rPr>
          <w:sz w:val="20"/>
          <w:szCs w:val="20"/>
        </w:rPr>
        <w:t>Δ</w:t>
      </w:r>
      <w:r>
        <w:rPr>
          <w:i/>
          <w:sz w:val="20"/>
          <w:szCs w:val="20"/>
        </w:rPr>
        <w:t>h</w:t>
      </w:r>
      <w:r>
        <w:rPr>
          <w:rFonts w:hint="eastAsia"/>
          <w:i/>
          <w:sz w:val="20"/>
          <w:szCs w:val="20"/>
        </w:rPr>
        <w:t xml:space="preserve"> </w:t>
      </w:r>
      <w:r>
        <w:rPr>
          <w:sz w:val="20"/>
          <w:szCs w:val="20"/>
        </w:rPr>
        <w:t>——</w:t>
      </w:r>
      <w:r>
        <w:rPr>
          <w:rFonts w:hAnsi="宋体"/>
          <w:sz w:val="20"/>
          <w:szCs w:val="20"/>
        </w:rPr>
        <w:t>基坑内外的水头差（</w:t>
      </w:r>
      <w:r>
        <w:rPr>
          <w:sz w:val="20"/>
          <w:szCs w:val="20"/>
        </w:rPr>
        <w:t>m</w:t>
      </w:r>
      <w:r>
        <w:rPr>
          <w:rFonts w:hAnsi="宋体"/>
          <w:sz w:val="20"/>
          <w:szCs w:val="20"/>
        </w:rPr>
        <w:t>）；</w:t>
      </w:r>
    </w:p>
    <w:p w14:paraId="68088C87">
      <w:pPr>
        <w:tabs>
          <w:tab w:val="left" w:pos="672"/>
          <w:tab w:val="left" w:pos="1036"/>
          <w:tab w:val="left" w:pos="1620"/>
          <w:tab w:val="left" w:pos="2160"/>
          <w:tab w:val="left" w:pos="7020"/>
        </w:tabs>
        <w:adjustRightInd w:val="0"/>
        <w:snapToGrid w:val="0"/>
        <w:spacing w:line="288" w:lineRule="auto"/>
        <w:ind w:firstLine="688" w:firstLineChars="344"/>
        <w:rPr>
          <w:sz w:val="20"/>
          <w:szCs w:val="20"/>
        </w:rPr>
      </w:pPr>
      <w:r>
        <w:rPr>
          <w:i/>
          <w:sz w:val="20"/>
          <w:szCs w:val="20"/>
        </w:rPr>
        <w:t>γ</w:t>
      </w:r>
      <w:r>
        <w:rPr>
          <w:i/>
          <w:sz w:val="20"/>
          <w:szCs w:val="20"/>
          <w:vertAlign w:val="subscript"/>
        </w:rPr>
        <w:t>w</w:t>
      </w:r>
      <w:r>
        <w:rPr>
          <w:sz w:val="20"/>
          <w:szCs w:val="20"/>
        </w:rPr>
        <w:t>——</w:t>
      </w:r>
      <w:r>
        <w:rPr>
          <w:rFonts w:hAnsi="宋体"/>
          <w:sz w:val="20"/>
          <w:szCs w:val="20"/>
        </w:rPr>
        <w:t>水的重度（</w:t>
      </w:r>
      <w:r>
        <w:rPr>
          <w:sz w:val="20"/>
          <w:szCs w:val="20"/>
        </w:rPr>
        <w:t>kN/m</w:t>
      </w:r>
      <w:r>
        <w:rPr>
          <w:sz w:val="20"/>
          <w:szCs w:val="20"/>
          <w:vertAlign w:val="superscript"/>
        </w:rPr>
        <w:t>3</w:t>
      </w:r>
      <w:r>
        <w:rPr>
          <w:rFonts w:hAnsi="宋体"/>
          <w:sz w:val="20"/>
          <w:szCs w:val="20"/>
        </w:rPr>
        <w:t>）。</w:t>
      </w:r>
    </w:p>
    <w:p w14:paraId="30B23749">
      <w:pPr>
        <w:adjustRightInd w:val="0"/>
        <w:snapToGrid w:val="0"/>
        <w:spacing w:line="288" w:lineRule="auto"/>
        <w:jc w:val="center"/>
        <w:rPr>
          <w:rFonts w:ascii="宋体" w:hAnsi="宋体"/>
          <w:sz w:val="20"/>
          <w:szCs w:val="20"/>
        </w:rPr>
      </w:pPr>
      <w:r>
        <w:rPr>
          <w:rFonts w:ascii="宋体" w:hAnsi="宋体"/>
          <w:sz w:val="20"/>
          <w:szCs w:val="20"/>
        </w:rPr>
        <w:t xml:space="preserve">            </w:t>
      </w:r>
      <w:r>
        <w:rPr>
          <w:rFonts w:ascii="宋体" w:hAnsi="宋体"/>
          <w:sz w:val="20"/>
          <w:szCs w:val="20"/>
        </w:rPr>
        <w:object>
          <v:shape id="_x0000_i1126" o:spt="75" type="#_x0000_t75" style="height:126.7pt;width:294.35pt;" o:ole="t" filled="f" o:preferrelative="t" stroked="f" coordsize="21600,21600">
            <v:path/>
            <v:fill on="f" focussize="0,0"/>
            <v:stroke on="f" joinstyle="miter"/>
            <v:imagedata r:id="rId222" cropleft="12665f" croptop="16194f" cropright="12708f" cropbottom="8198f" o:title=""/>
            <o:lock v:ext="edit" aspectratio="t"/>
            <w10:wrap type="none"/>
            <w10:anchorlock/>
          </v:shape>
          <o:OLEObject Type="Embed" ProgID="AutoCAD.Drawing.16" ShapeID="_x0000_i1126" DrawAspect="Content" ObjectID="_1468075830" r:id="rId221">
            <o:LockedField>false</o:LockedField>
          </o:OLEObject>
        </w:object>
      </w:r>
    </w:p>
    <w:p w14:paraId="77DE8974">
      <w:pPr>
        <w:adjustRightInd w:val="0"/>
        <w:snapToGrid w:val="0"/>
        <w:spacing w:line="288" w:lineRule="auto"/>
        <w:ind w:firstLine="3539" w:firstLineChars="2350"/>
        <w:rPr>
          <w:rFonts w:ascii="宋体" w:hAnsi="宋体"/>
          <w:b/>
          <w:sz w:val="15"/>
          <w:szCs w:val="15"/>
        </w:rPr>
      </w:pPr>
      <w:r>
        <w:rPr>
          <w:rFonts w:hint="eastAsia" w:ascii="宋体" w:hAnsi="宋体"/>
          <w:b/>
          <w:sz w:val="15"/>
          <w:szCs w:val="15"/>
        </w:rPr>
        <w:t>（</w:t>
      </w:r>
      <w:r>
        <w:rPr>
          <w:b/>
          <w:sz w:val="16"/>
          <w:szCs w:val="16"/>
        </w:rPr>
        <w:t>a</w:t>
      </w:r>
      <w:r>
        <w:rPr>
          <w:rFonts w:hint="eastAsia" w:ascii="宋体" w:hAnsi="宋体"/>
          <w:b/>
          <w:sz w:val="15"/>
          <w:szCs w:val="15"/>
        </w:rPr>
        <w:t xml:space="preserve">）潜水                 </w:t>
      </w:r>
      <w:r>
        <w:rPr>
          <w:rFonts w:ascii="宋体" w:hAnsi="宋体"/>
          <w:b/>
          <w:sz w:val="15"/>
          <w:szCs w:val="15"/>
        </w:rPr>
        <w:t xml:space="preserve"> </w:t>
      </w:r>
      <w:r>
        <w:rPr>
          <w:rFonts w:hint="eastAsia" w:ascii="宋体" w:hAnsi="宋体"/>
          <w:b/>
          <w:sz w:val="15"/>
          <w:szCs w:val="15"/>
        </w:rPr>
        <w:t xml:space="preserve">        （</w:t>
      </w:r>
      <w:r>
        <w:rPr>
          <w:b/>
          <w:sz w:val="15"/>
          <w:szCs w:val="15"/>
        </w:rPr>
        <w:t>b</w:t>
      </w:r>
      <w:r>
        <w:rPr>
          <w:rFonts w:hint="eastAsia" w:ascii="宋体" w:hAnsi="宋体"/>
          <w:b/>
          <w:sz w:val="15"/>
          <w:szCs w:val="15"/>
        </w:rPr>
        <w:t>）  承压水</w:t>
      </w:r>
    </w:p>
    <w:p w14:paraId="7D55243B">
      <w:pPr>
        <w:adjustRightInd w:val="0"/>
        <w:snapToGrid w:val="0"/>
        <w:spacing w:before="156" w:beforeLines="50" w:line="288" w:lineRule="auto"/>
        <w:jc w:val="center"/>
        <w:rPr>
          <w:b/>
          <w:sz w:val="18"/>
          <w:szCs w:val="18"/>
        </w:rPr>
      </w:pPr>
      <w:r>
        <w:rPr>
          <w:rFonts w:hAnsi="宋体"/>
          <w:b/>
          <w:sz w:val="18"/>
          <w:szCs w:val="18"/>
        </w:rPr>
        <w:t>图</w:t>
      </w:r>
      <w:r>
        <w:rPr>
          <w:b/>
          <w:sz w:val="18"/>
          <w:szCs w:val="18"/>
        </w:rPr>
        <w:t xml:space="preserve">B.0.2  </w:t>
      </w:r>
      <w:r>
        <w:rPr>
          <w:rFonts w:hAnsi="宋体"/>
          <w:b/>
          <w:sz w:val="18"/>
          <w:szCs w:val="18"/>
        </w:rPr>
        <w:t>采用悬挂式帷幕截水时的流土稳定性验算</w:t>
      </w:r>
    </w:p>
    <w:p w14:paraId="32945F25">
      <w:pPr>
        <w:adjustRightInd w:val="0"/>
        <w:snapToGrid w:val="0"/>
        <w:spacing w:line="288" w:lineRule="auto"/>
        <w:jc w:val="center"/>
        <w:rPr>
          <w:sz w:val="15"/>
          <w:szCs w:val="15"/>
        </w:rPr>
      </w:pPr>
      <w:r>
        <w:rPr>
          <w:sz w:val="15"/>
          <w:szCs w:val="15"/>
        </w:rPr>
        <w:t>1</w:t>
      </w:r>
      <w:r>
        <w:rPr>
          <w:rFonts w:hAnsi="宋体"/>
          <w:sz w:val="15"/>
          <w:szCs w:val="15"/>
        </w:rPr>
        <w:t>－截水帷幕；</w:t>
      </w:r>
      <w:r>
        <w:rPr>
          <w:sz w:val="15"/>
          <w:szCs w:val="15"/>
        </w:rPr>
        <w:t>2</w:t>
      </w:r>
      <w:r>
        <w:rPr>
          <w:rFonts w:hAnsi="宋体"/>
          <w:sz w:val="15"/>
          <w:szCs w:val="15"/>
        </w:rPr>
        <w:t>－基坑底面；</w:t>
      </w:r>
      <w:r>
        <w:rPr>
          <w:sz w:val="15"/>
          <w:szCs w:val="15"/>
        </w:rPr>
        <w:t>3</w:t>
      </w:r>
      <w:r>
        <w:rPr>
          <w:rFonts w:hAnsi="宋体"/>
          <w:sz w:val="15"/>
          <w:szCs w:val="15"/>
        </w:rPr>
        <w:t>－含水层；</w:t>
      </w:r>
      <w:r>
        <w:rPr>
          <w:sz w:val="15"/>
          <w:szCs w:val="15"/>
        </w:rPr>
        <w:t>4</w:t>
      </w:r>
      <w:r>
        <w:rPr>
          <w:rFonts w:hAnsi="宋体"/>
          <w:sz w:val="15"/>
          <w:szCs w:val="15"/>
        </w:rPr>
        <w:t>－潜水水位；</w:t>
      </w:r>
    </w:p>
    <w:p w14:paraId="12975262">
      <w:pPr>
        <w:adjustRightInd w:val="0"/>
        <w:snapToGrid w:val="0"/>
        <w:spacing w:after="156" w:afterLines="50" w:line="288" w:lineRule="auto"/>
        <w:jc w:val="center"/>
        <w:rPr>
          <w:rFonts w:ascii="宋体" w:hAnsi="宋体"/>
          <w:sz w:val="20"/>
          <w:szCs w:val="20"/>
        </w:rPr>
      </w:pPr>
      <w:r>
        <w:rPr>
          <w:sz w:val="15"/>
          <w:szCs w:val="15"/>
        </w:rPr>
        <w:t>5-</w:t>
      </w:r>
      <w:r>
        <w:rPr>
          <w:rFonts w:hAnsi="宋体"/>
          <w:sz w:val="15"/>
          <w:szCs w:val="15"/>
        </w:rPr>
        <w:t>承压水测管水位；</w:t>
      </w:r>
      <w:r>
        <w:rPr>
          <w:sz w:val="15"/>
          <w:szCs w:val="15"/>
        </w:rPr>
        <w:t xml:space="preserve"> 6</w:t>
      </w:r>
      <w:r>
        <w:rPr>
          <w:rFonts w:hAnsi="宋体"/>
          <w:sz w:val="15"/>
          <w:szCs w:val="15"/>
        </w:rPr>
        <w:t>－承压含水层顶面</w:t>
      </w:r>
    </w:p>
    <w:p w14:paraId="7CB4E92D">
      <w:pPr>
        <w:tabs>
          <w:tab w:val="left" w:pos="672"/>
          <w:tab w:val="left" w:pos="1036"/>
          <w:tab w:val="left" w:pos="1620"/>
          <w:tab w:val="left" w:pos="2160"/>
          <w:tab w:val="left" w:pos="7020"/>
        </w:tabs>
        <w:adjustRightInd w:val="0"/>
        <w:snapToGrid w:val="0"/>
        <w:spacing w:line="288" w:lineRule="auto"/>
        <w:rPr>
          <w:rFonts w:ascii="宋体" w:hAnsi="宋体"/>
          <w:sz w:val="20"/>
          <w:szCs w:val="20"/>
        </w:rPr>
      </w:pPr>
      <w:r>
        <w:rPr>
          <w:b/>
          <w:sz w:val="20"/>
          <w:szCs w:val="20"/>
        </w:rPr>
        <w:t xml:space="preserve">B.0.3 </w:t>
      </w:r>
      <w:r>
        <w:rPr>
          <w:rFonts w:hint="eastAsia" w:ascii="宋体" w:hAnsi="宋体"/>
          <w:sz w:val="20"/>
          <w:szCs w:val="20"/>
        </w:rPr>
        <w:t xml:space="preserve"> 坑底以下为级配不连续的不均匀砂土、碎石土含水层时，应进行土的管涌可能性判别。</w:t>
      </w:r>
    </w:p>
    <w:p w14:paraId="10FE2BAC">
      <w:pPr>
        <w:widowControl/>
        <w:jc w:val="left"/>
        <w:rPr>
          <w:szCs w:val="24"/>
        </w:rPr>
      </w:pPr>
      <w:r>
        <w:br w:type="page"/>
      </w:r>
    </w:p>
    <w:p w14:paraId="02FE89B9">
      <w:pPr>
        <w:pStyle w:val="5"/>
        <w:keepNext w:val="0"/>
        <w:keepLines w:val="0"/>
        <w:adjustRightInd w:val="0"/>
        <w:snapToGrid w:val="0"/>
        <w:spacing w:before="156" w:beforeLines="50" w:after="0" w:line="288" w:lineRule="auto"/>
        <w:jc w:val="center"/>
        <w:rPr>
          <w:rFonts w:ascii="Times New Roman" w:hAnsi="Times New Roman"/>
          <w:b w:val="0"/>
          <w:sz w:val="26"/>
          <w:szCs w:val="26"/>
        </w:rPr>
      </w:pPr>
      <w:bookmarkStart w:id="132" w:name="_Toc468104739"/>
      <w:bookmarkStart w:id="133" w:name="_Toc409425837"/>
      <w:bookmarkStart w:id="134" w:name="_Toc139613761"/>
      <w:r>
        <w:rPr>
          <w:rFonts w:ascii="Times New Roman" w:hAnsi="Times New Roman"/>
          <w:b w:val="0"/>
          <w:sz w:val="26"/>
          <w:szCs w:val="26"/>
        </w:rPr>
        <w:t>附录</w:t>
      </w:r>
      <w:r>
        <w:rPr>
          <w:rFonts w:ascii="Times New Roman" w:hAnsi="Times New Roman"/>
          <w:sz w:val="26"/>
          <w:szCs w:val="26"/>
        </w:rPr>
        <w:t>C</w:t>
      </w:r>
      <w:r>
        <w:rPr>
          <w:rFonts w:ascii="Times New Roman" w:hAnsi="Times New Roman"/>
          <w:b w:val="0"/>
          <w:sz w:val="26"/>
          <w:szCs w:val="26"/>
        </w:rPr>
        <w:t xml:space="preserve">  锚杆钢腰梁按简支梁考虑时选型参考表</w:t>
      </w:r>
      <w:bookmarkEnd w:id="132"/>
      <w:bookmarkEnd w:id="133"/>
      <w:bookmarkEnd w:id="134"/>
    </w:p>
    <w:p w14:paraId="4387DFC4">
      <w:pPr>
        <w:pStyle w:val="2"/>
        <w:ind w:left="0" w:leftChars="0" w:firstLine="0" w:firstLineChars="0"/>
      </w:pPr>
    </w:p>
    <w:tbl>
      <w:tblPr>
        <w:tblStyle w:val="34"/>
        <w:tblW w:w="5000" w:type="pct"/>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34" w:type="dxa"/>
          <w:left w:w="28" w:type="dxa"/>
          <w:bottom w:w="34" w:type="dxa"/>
          <w:right w:w="28" w:type="dxa"/>
        </w:tblCellMar>
      </w:tblPr>
      <w:tblGrid>
        <w:gridCol w:w="1809"/>
        <w:gridCol w:w="2815"/>
        <w:gridCol w:w="2625"/>
        <w:gridCol w:w="2671"/>
      </w:tblGrid>
      <w:tr w14:paraId="0E32C25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Align w:val="center"/>
          </w:tcPr>
          <w:p w14:paraId="76B93799">
            <w:pPr>
              <w:adjustRightInd w:val="0"/>
              <w:snapToGrid w:val="0"/>
              <w:spacing w:line="264" w:lineRule="auto"/>
              <w:jc w:val="center"/>
              <w:rPr>
                <w:sz w:val="15"/>
                <w:szCs w:val="15"/>
              </w:rPr>
            </w:pPr>
            <w:r>
              <w:rPr>
                <w:rFonts w:hAnsi="宋体"/>
                <w:sz w:val="15"/>
                <w:szCs w:val="15"/>
              </w:rPr>
              <w:t>支护桩间距</w:t>
            </w:r>
          </w:p>
          <w:p w14:paraId="6A0829E6">
            <w:pPr>
              <w:adjustRightInd w:val="0"/>
              <w:snapToGrid w:val="0"/>
              <w:spacing w:line="264" w:lineRule="auto"/>
              <w:jc w:val="center"/>
              <w:rPr>
                <w:sz w:val="15"/>
                <w:szCs w:val="15"/>
              </w:rPr>
            </w:pPr>
            <w:r>
              <w:rPr>
                <w:rFonts w:hAnsi="宋体"/>
                <w:sz w:val="15"/>
                <w:szCs w:val="15"/>
              </w:rPr>
              <w:t>（</w:t>
            </w:r>
            <w:r>
              <w:rPr>
                <w:sz w:val="15"/>
                <w:szCs w:val="15"/>
              </w:rPr>
              <w:t>m</w:t>
            </w:r>
            <w:r>
              <w:rPr>
                <w:rFonts w:hAnsi="宋体"/>
                <w:sz w:val="15"/>
                <w:szCs w:val="15"/>
              </w:rPr>
              <w:t>）</w:t>
            </w:r>
          </w:p>
        </w:tc>
        <w:tc>
          <w:tcPr>
            <w:tcW w:w="1419" w:type="pct"/>
            <w:vAlign w:val="center"/>
          </w:tcPr>
          <w:p w14:paraId="42E79729">
            <w:pPr>
              <w:adjustRightInd w:val="0"/>
              <w:snapToGrid w:val="0"/>
              <w:spacing w:line="264" w:lineRule="auto"/>
              <w:jc w:val="center"/>
              <w:rPr>
                <w:sz w:val="15"/>
                <w:szCs w:val="15"/>
              </w:rPr>
            </w:pPr>
            <w:r>
              <w:rPr>
                <w:rFonts w:hAnsi="宋体"/>
                <w:sz w:val="15"/>
                <w:szCs w:val="15"/>
              </w:rPr>
              <w:t>锚杆轴力设计值</w:t>
            </w:r>
            <w:r>
              <w:rPr>
                <w:sz w:val="15"/>
                <w:szCs w:val="15"/>
              </w:rPr>
              <w:t>N</w:t>
            </w:r>
          </w:p>
          <w:p w14:paraId="2B43DFA8">
            <w:pPr>
              <w:adjustRightInd w:val="0"/>
              <w:snapToGrid w:val="0"/>
              <w:spacing w:line="264" w:lineRule="auto"/>
              <w:jc w:val="center"/>
              <w:rPr>
                <w:sz w:val="15"/>
                <w:szCs w:val="15"/>
              </w:rPr>
            </w:pPr>
            <w:r>
              <w:rPr>
                <w:rFonts w:hAnsi="宋体"/>
                <w:sz w:val="15"/>
                <w:szCs w:val="15"/>
              </w:rPr>
              <w:t>（</w:t>
            </w:r>
            <w:r>
              <w:rPr>
                <w:sz w:val="15"/>
                <w:szCs w:val="15"/>
              </w:rPr>
              <w:t>kN</w:t>
            </w:r>
            <w:r>
              <w:rPr>
                <w:rFonts w:hAnsi="宋体"/>
                <w:sz w:val="15"/>
                <w:szCs w:val="15"/>
              </w:rPr>
              <w:t>）</w:t>
            </w:r>
          </w:p>
        </w:tc>
        <w:tc>
          <w:tcPr>
            <w:tcW w:w="1323" w:type="pct"/>
            <w:vAlign w:val="center"/>
          </w:tcPr>
          <w:p w14:paraId="100C9E92">
            <w:pPr>
              <w:adjustRightInd w:val="0"/>
              <w:snapToGrid w:val="0"/>
              <w:spacing w:line="264" w:lineRule="auto"/>
              <w:jc w:val="center"/>
              <w:rPr>
                <w:sz w:val="15"/>
                <w:szCs w:val="15"/>
              </w:rPr>
            </w:pPr>
            <w:r>
              <w:rPr>
                <w:sz w:val="15"/>
                <w:szCs w:val="15"/>
              </w:rPr>
              <w:t>Q235</w:t>
            </w:r>
            <w:r>
              <w:rPr>
                <w:rFonts w:hAnsi="宋体"/>
                <w:sz w:val="15"/>
                <w:szCs w:val="15"/>
              </w:rPr>
              <w:t>热轧普通</w:t>
            </w:r>
          </w:p>
          <w:p w14:paraId="49015CD6">
            <w:pPr>
              <w:adjustRightInd w:val="0"/>
              <w:snapToGrid w:val="0"/>
              <w:spacing w:line="264" w:lineRule="auto"/>
              <w:jc w:val="center"/>
              <w:rPr>
                <w:sz w:val="15"/>
                <w:szCs w:val="15"/>
              </w:rPr>
            </w:pPr>
            <w:r>
              <w:rPr>
                <w:rFonts w:hAnsi="宋体"/>
                <w:sz w:val="15"/>
                <w:szCs w:val="15"/>
              </w:rPr>
              <w:t>工字钢</w:t>
            </w:r>
          </w:p>
        </w:tc>
        <w:tc>
          <w:tcPr>
            <w:tcW w:w="1347" w:type="pct"/>
            <w:vAlign w:val="center"/>
          </w:tcPr>
          <w:p w14:paraId="767739AD">
            <w:pPr>
              <w:adjustRightInd w:val="0"/>
              <w:snapToGrid w:val="0"/>
              <w:spacing w:line="264" w:lineRule="auto"/>
              <w:jc w:val="center"/>
              <w:rPr>
                <w:sz w:val="15"/>
                <w:szCs w:val="15"/>
              </w:rPr>
            </w:pPr>
            <w:r>
              <w:rPr>
                <w:sz w:val="15"/>
                <w:szCs w:val="15"/>
              </w:rPr>
              <w:t>Q235</w:t>
            </w:r>
            <w:r>
              <w:rPr>
                <w:rFonts w:hAnsi="宋体"/>
                <w:sz w:val="15"/>
                <w:szCs w:val="15"/>
              </w:rPr>
              <w:t>热轧普通</w:t>
            </w:r>
          </w:p>
          <w:p w14:paraId="5D40A5A1">
            <w:pPr>
              <w:adjustRightInd w:val="0"/>
              <w:snapToGrid w:val="0"/>
              <w:spacing w:line="264" w:lineRule="auto"/>
              <w:jc w:val="center"/>
              <w:rPr>
                <w:sz w:val="15"/>
                <w:szCs w:val="15"/>
              </w:rPr>
            </w:pPr>
            <w:r>
              <w:rPr>
                <w:rFonts w:hAnsi="宋体"/>
                <w:sz w:val="15"/>
                <w:szCs w:val="15"/>
              </w:rPr>
              <w:t>槽钢</w:t>
            </w:r>
          </w:p>
        </w:tc>
      </w:tr>
      <w:tr w14:paraId="22880D9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restart"/>
            <w:vAlign w:val="center"/>
          </w:tcPr>
          <w:p w14:paraId="2765A777">
            <w:pPr>
              <w:adjustRightInd w:val="0"/>
              <w:snapToGrid w:val="0"/>
              <w:spacing w:line="264" w:lineRule="auto"/>
              <w:jc w:val="center"/>
              <w:rPr>
                <w:sz w:val="15"/>
                <w:szCs w:val="15"/>
              </w:rPr>
            </w:pPr>
            <w:r>
              <w:rPr>
                <w:sz w:val="15"/>
                <w:szCs w:val="15"/>
              </w:rPr>
              <w:t>1.2</w:t>
            </w:r>
          </w:p>
        </w:tc>
        <w:tc>
          <w:tcPr>
            <w:tcW w:w="1419" w:type="pct"/>
            <w:vAlign w:val="center"/>
          </w:tcPr>
          <w:p w14:paraId="759D6D7E">
            <w:pPr>
              <w:adjustRightInd w:val="0"/>
              <w:snapToGrid w:val="0"/>
              <w:spacing w:line="264" w:lineRule="auto"/>
              <w:jc w:val="center"/>
              <w:rPr>
                <w:sz w:val="15"/>
                <w:szCs w:val="15"/>
              </w:rPr>
            </w:pPr>
            <w:r>
              <w:rPr>
                <w:sz w:val="15"/>
                <w:szCs w:val="15"/>
              </w:rPr>
              <w:t>300</w:t>
            </w:r>
          </w:p>
        </w:tc>
        <w:tc>
          <w:tcPr>
            <w:tcW w:w="1323" w:type="pct"/>
            <w:vAlign w:val="center"/>
          </w:tcPr>
          <w:p w14:paraId="4725744F">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18</w:t>
            </w:r>
          </w:p>
        </w:tc>
        <w:tc>
          <w:tcPr>
            <w:tcW w:w="1347" w:type="pct"/>
            <w:vAlign w:val="center"/>
          </w:tcPr>
          <w:p w14:paraId="0846A2D7">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20a</w:t>
            </w:r>
          </w:p>
        </w:tc>
      </w:tr>
      <w:tr w14:paraId="64FCEA1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6204595B">
            <w:pPr>
              <w:adjustRightInd w:val="0"/>
              <w:snapToGrid w:val="0"/>
              <w:spacing w:line="264" w:lineRule="auto"/>
              <w:jc w:val="center"/>
              <w:rPr>
                <w:sz w:val="15"/>
                <w:szCs w:val="15"/>
              </w:rPr>
            </w:pPr>
          </w:p>
        </w:tc>
        <w:tc>
          <w:tcPr>
            <w:tcW w:w="1419" w:type="pct"/>
            <w:vAlign w:val="center"/>
          </w:tcPr>
          <w:p w14:paraId="4DBBC63A">
            <w:pPr>
              <w:adjustRightInd w:val="0"/>
              <w:snapToGrid w:val="0"/>
              <w:spacing w:line="264" w:lineRule="auto"/>
              <w:jc w:val="center"/>
              <w:rPr>
                <w:sz w:val="15"/>
                <w:szCs w:val="15"/>
              </w:rPr>
            </w:pPr>
            <w:r>
              <w:rPr>
                <w:sz w:val="15"/>
                <w:szCs w:val="15"/>
              </w:rPr>
              <w:t>400</w:t>
            </w:r>
          </w:p>
        </w:tc>
        <w:tc>
          <w:tcPr>
            <w:tcW w:w="1323" w:type="pct"/>
            <w:vAlign w:val="center"/>
          </w:tcPr>
          <w:p w14:paraId="12FAE9BC">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20b</w:t>
            </w:r>
          </w:p>
        </w:tc>
        <w:tc>
          <w:tcPr>
            <w:tcW w:w="1347" w:type="pct"/>
            <w:vAlign w:val="center"/>
          </w:tcPr>
          <w:p w14:paraId="7AD4C582">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22b</w:t>
            </w:r>
          </w:p>
        </w:tc>
      </w:tr>
      <w:tr w14:paraId="64038F3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25D2F415">
            <w:pPr>
              <w:adjustRightInd w:val="0"/>
              <w:snapToGrid w:val="0"/>
              <w:spacing w:line="264" w:lineRule="auto"/>
              <w:jc w:val="center"/>
              <w:rPr>
                <w:sz w:val="15"/>
                <w:szCs w:val="15"/>
              </w:rPr>
            </w:pPr>
          </w:p>
        </w:tc>
        <w:tc>
          <w:tcPr>
            <w:tcW w:w="1419" w:type="pct"/>
            <w:vAlign w:val="center"/>
          </w:tcPr>
          <w:p w14:paraId="2432C369">
            <w:pPr>
              <w:adjustRightInd w:val="0"/>
              <w:snapToGrid w:val="0"/>
              <w:spacing w:line="264" w:lineRule="auto"/>
              <w:jc w:val="center"/>
              <w:rPr>
                <w:sz w:val="15"/>
                <w:szCs w:val="15"/>
              </w:rPr>
            </w:pPr>
            <w:r>
              <w:rPr>
                <w:sz w:val="15"/>
                <w:szCs w:val="15"/>
              </w:rPr>
              <w:t>500</w:t>
            </w:r>
          </w:p>
        </w:tc>
        <w:tc>
          <w:tcPr>
            <w:tcW w:w="1323" w:type="pct"/>
            <w:vAlign w:val="center"/>
          </w:tcPr>
          <w:p w14:paraId="73199F62">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22a</w:t>
            </w:r>
          </w:p>
        </w:tc>
        <w:tc>
          <w:tcPr>
            <w:tcW w:w="1347" w:type="pct"/>
            <w:vAlign w:val="center"/>
          </w:tcPr>
          <w:p w14:paraId="7F28FF09">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25b</w:t>
            </w:r>
          </w:p>
        </w:tc>
      </w:tr>
      <w:tr w14:paraId="07B2300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1F9507D4">
            <w:pPr>
              <w:adjustRightInd w:val="0"/>
              <w:snapToGrid w:val="0"/>
              <w:spacing w:line="264" w:lineRule="auto"/>
              <w:jc w:val="center"/>
              <w:rPr>
                <w:sz w:val="15"/>
                <w:szCs w:val="15"/>
              </w:rPr>
            </w:pPr>
          </w:p>
        </w:tc>
        <w:tc>
          <w:tcPr>
            <w:tcW w:w="1419" w:type="pct"/>
            <w:vAlign w:val="center"/>
          </w:tcPr>
          <w:p w14:paraId="5617B226">
            <w:pPr>
              <w:adjustRightInd w:val="0"/>
              <w:snapToGrid w:val="0"/>
              <w:spacing w:line="264" w:lineRule="auto"/>
              <w:jc w:val="center"/>
              <w:rPr>
                <w:sz w:val="15"/>
                <w:szCs w:val="15"/>
              </w:rPr>
            </w:pPr>
            <w:r>
              <w:rPr>
                <w:sz w:val="15"/>
                <w:szCs w:val="15"/>
              </w:rPr>
              <w:t>600</w:t>
            </w:r>
          </w:p>
        </w:tc>
        <w:tc>
          <w:tcPr>
            <w:tcW w:w="1323" w:type="pct"/>
            <w:vAlign w:val="center"/>
          </w:tcPr>
          <w:p w14:paraId="3D0B85F7">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25a</w:t>
            </w:r>
          </w:p>
        </w:tc>
        <w:tc>
          <w:tcPr>
            <w:tcW w:w="1347" w:type="pct"/>
            <w:vAlign w:val="center"/>
          </w:tcPr>
          <w:p w14:paraId="723004B1">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28b</w:t>
            </w:r>
          </w:p>
        </w:tc>
      </w:tr>
      <w:tr w14:paraId="04A2E0BA">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78CA9818">
            <w:pPr>
              <w:adjustRightInd w:val="0"/>
              <w:snapToGrid w:val="0"/>
              <w:spacing w:line="264" w:lineRule="auto"/>
              <w:jc w:val="center"/>
              <w:rPr>
                <w:sz w:val="15"/>
                <w:szCs w:val="15"/>
              </w:rPr>
            </w:pPr>
          </w:p>
        </w:tc>
        <w:tc>
          <w:tcPr>
            <w:tcW w:w="1419" w:type="pct"/>
            <w:vAlign w:val="center"/>
          </w:tcPr>
          <w:p w14:paraId="23DFDB8B">
            <w:pPr>
              <w:adjustRightInd w:val="0"/>
              <w:snapToGrid w:val="0"/>
              <w:spacing w:line="264" w:lineRule="auto"/>
              <w:jc w:val="center"/>
              <w:rPr>
                <w:sz w:val="15"/>
                <w:szCs w:val="15"/>
              </w:rPr>
            </w:pPr>
            <w:r>
              <w:rPr>
                <w:sz w:val="15"/>
                <w:szCs w:val="15"/>
              </w:rPr>
              <w:t>700</w:t>
            </w:r>
          </w:p>
        </w:tc>
        <w:tc>
          <w:tcPr>
            <w:tcW w:w="1323" w:type="pct"/>
            <w:vAlign w:val="center"/>
          </w:tcPr>
          <w:p w14:paraId="38C7E3ED">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25b</w:t>
            </w:r>
          </w:p>
        </w:tc>
        <w:tc>
          <w:tcPr>
            <w:tcW w:w="1347" w:type="pct"/>
            <w:vAlign w:val="center"/>
          </w:tcPr>
          <w:p w14:paraId="11F24330">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28c</w:t>
            </w:r>
          </w:p>
        </w:tc>
      </w:tr>
      <w:tr w14:paraId="1681599E">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restart"/>
            <w:vAlign w:val="center"/>
          </w:tcPr>
          <w:p w14:paraId="14029E86">
            <w:pPr>
              <w:adjustRightInd w:val="0"/>
              <w:snapToGrid w:val="0"/>
              <w:spacing w:line="264" w:lineRule="auto"/>
              <w:jc w:val="center"/>
              <w:rPr>
                <w:sz w:val="15"/>
                <w:szCs w:val="15"/>
              </w:rPr>
            </w:pPr>
            <w:r>
              <w:rPr>
                <w:sz w:val="15"/>
                <w:szCs w:val="15"/>
              </w:rPr>
              <w:t>1.4</w:t>
            </w:r>
          </w:p>
        </w:tc>
        <w:tc>
          <w:tcPr>
            <w:tcW w:w="1419" w:type="pct"/>
            <w:vAlign w:val="center"/>
          </w:tcPr>
          <w:p w14:paraId="35E6DE84">
            <w:pPr>
              <w:adjustRightInd w:val="0"/>
              <w:snapToGrid w:val="0"/>
              <w:spacing w:line="264" w:lineRule="auto"/>
              <w:jc w:val="center"/>
              <w:rPr>
                <w:sz w:val="15"/>
                <w:szCs w:val="15"/>
              </w:rPr>
            </w:pPr>
            <w:r>
              <w:rPr>
                <w:sz w:val="15"/>
                <w:szCs w:val="15"/>
              </w:rPr>
              <w:t>300</w:t>
            </w:r>
          </w:p>
        </w:tc>
        <w:tc>
          <w:tcPr>
            <w:tcW w:w="1323" w:type="pct"/>
            <w:vAlign w:val="center"/>
          </w:tcPr>
          <w:p w14:paraId="52280BF6">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20a</w:t>
            </w:r>
          </w:p>
        </w:tc>
        <w:tc>
          <w:tcPr>
            <w:tcW w:w="1347" w:type="pct"/>
            <w:vAlign w:val="center"/>
          </w:tcPr>
          <w:p w14:paraId="1129C87D">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22a</w:t>
            </w:r>
          </w:p>
        </w:tc>
      </w:tr>
      <w:tr w14:paraId="32B4543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28B5290B">
            <w:pPr>
              <w:adjustRightInd w:val="0"/>
              <w:snapToGrid w:val="0"/>
              <w:spacing w:line="264" w:lineRule="auto"/>
              <w:jc w:val="center"/>
              <w:rPr>
                <w:sz w:val="15"/>
                <w:szCs w:val="15"/>
              </w:rPr>
            </w:pPr>
          </w:p>
        </w:tc>
        <w:tc>
          <w:tcPr>
            <w:tcW w:w="1419" w:type="pct"/>
            <w:vAlign w:val="center"/>
          </w:tcPr>
          <w:p w14:paraId="46FD6CA6">
            <w:pPr>
              <w:adjustRightInd w:val="0"/>
              <w:snapToGrid w:val="0"/>
              <w:spacing w:line="264" w:lineRule="auto"/>
              <w:jc w:val="center"/>
              <w:rPr>
                <w:sz w:val="15"/>
                <w:szCs w:val="15"/>
              </w:rPr>
            </w:pPr>
            <w:r>
              <w:rPr>
                <w:sz w:val="15"/>
                <w:szCs w:val="15"/>
              </w:rPr>
              <w:t>400</w:t>
            </w:r>
          </w:p>
        </w:tc>
        <w:tc>
          <w:tcPr>
            <w:tcW w:w="1323" w:type="pct"/>
            <w:vAlign w:val="center"/>
          </w:tcPr>
          <w:p w14:paraId="201A0BA0">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22a</w:t>
            </w:r>
          </w:p>
        </w:tc>
        <w:tc>
          <w:tcPr>
            <w:tcW w:w="1347" w:type="pct"/>
            <w:vAlign w:val="center"/>
          </w:tcPr>
          <w:p w14:paraId="217A3C76">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25b</w:t>
            </w:r>
          </w:p>
        </w:tc>
      </w:tr>
      <w:tr w14:paraId="17B0808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42F2408D">
            <w:pPr>
              <w:adjustRightInd w:val="0"/>
              <w:snapToGrid w:val="0"/>
              <w:spacing w:line="264" w:lineRule="auto"/>
              <w:jc w:val="center"/>
              <w:rPr>
                <w:sz w:val="15"/>
                <w:szCs w:val="15"/>
              </w:rPr>
            </w:pPr>
          </w:p>
        </w:tc>
        <w:tc>
          <w:tcPr>
            <w:tcW w:w="1419" w:type="pct"/>
            <w:vAlign w:val="center"/>
          </w:tcPr>
          <w:p w14:paraId="075B4904">
            <w:pPr>
              <w:adjustRightInd w:val="0"/>
              <w:snapToGrid w:val="0"/>
              <w:spacing w:line="264" w:lineRule="auto"/>
              <w:jc w:val="center"/>
              <w:rPr>
                <w:sz w:val="15"/>
                <w:szCs w:val="15"/>
              </w:rPr>
            </w:pPr>
            <w:r>
              <w:rPr>
                <w:sz w:val="15"/>
                <w:szCs w:val="15"/>
              </w:rPr>
              <w:t>500</w:t>
            </w:r>
          </w:p>
        </w:tc>
        <w:tc>
          <w:tcPr>
            <w:tcW w:w="1323" w:type="pct"/>
            <w:vAlign w:val="center"/>
          </w:tcPr>
          <w:p w14:paraId="2AE1B299">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25a</w:t>
            </w:r>
          </w:p>
        </w:tc>
        <w:tc>
          <w:tcPr>
            <w:tcW w:w="1347" w:type="pct"/>
            <w:vAlign w:val="center"/>
          </w:tcPr>
          <w:p w14:paraId="5500BE6D">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28b</w:t>
            </w:r>
          </w:p>
        </w:tc>
      </w:tr>
      <w:tr w14:paraId="563E329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3EC05614">
            <w:pPr>
              <w:adjustRightInd w:val="0"/>
              <w:snapToGrid w:val="0"/>
              <w:spacing w:line="264" w:lineRule="auto"/>
              <w:jc w:val="center"/>
              <w:rPr>
                <w:sz w:val="15"/>
                <w:szCs w:val="15"/>
              </w:rPr>
            </w:pPr>
          </w:p>
        </w:tc>
        <w:tc>
          <w:tcPr>
            <w:tcW w:w="1419" w:type="pct"/>
            <w:vAlign w:val="center"/>
          </w:tcPr>
          <w:p w14:paraId="4FFB1AF9">
            <w:pPr>
              <w:adjustRightInd w:val="0"/>
              <w:snapToGrid w:val="0"/>
              <w:spacing w:line="264" w:lineRule="auto"/>
              <w:jc w:val="center"/>
              <w:rPr>
                <w:sz w:val="15"/>
                <w:szCs w:val="15"/>
              </w:rPr>
            </w:pPr>
            <w:r>
              <w:rPr>
                <w:sz w:val="15"/>
                <w:szCs w:val="15"/>
              </w:rPr>
              <w:t>600</w:t>
            </w:r>
          </w:p>
        </w:tc>
        <w:tc>
          <w:tcPr>
            <w:tcW w:w="1323" w:type="pct"/>
            <w:vAlign w:val="center"/>
          </w:tcPr>
          <w:p w14:paraId="39A87685">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25b</w:t>
            </w:r>
          </w:p>
        </w:tc>
        <w:tc>
          <w:tcPr>
            <w:tcW w:w="1347" w:type="pct"/>
            <w:vAlign w:val="center"/>
          </w:tcPr>
          <w:p w14:paraId="5ED5ADFD">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32a</w:t>
            </w:r>
          </w:p>
        </w:tc>
      </w:tr>
      <w:tr w14:paraId="67E9CFE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08DC8E23">
            <w:pPr>
              <w:adjustRightInd w:val="0"/>
              <w:snapToGrid w:val="0"/>
              <w:spacing w:line="264" w:lineRule="auto"/>
              <w:jc w:val="center"/>
              <w:rPr>
                <w:sz w:val="15"/>
                <w:szCs w:val="15"/>
              </w:rPr>
            </w:pPr>
          </w:p>
        </w:tc>
        <w:tc>
          <w:tcPr>
            <w:tcW w:w="1419" w:type="pct"/>
            <w:vAlign w:val="center"/>
          </w:tcPr>
          <w:p w14:paraId="02682198">
            <w:pPr>
              <w:adjustRightInd w:val="0"/>
              <w:snapToGrid w:val="0"/>
              <w:spacing w:line="264" w:lineRule="auto"/>
              <w:jc w:val="center"/>
              <w:rPr>
                <w:sz w:val="15"/>
                <w:szCs w:val="15"/>
              </w:rPr>
            </w:pPr>
            <w:r>
              <w:rPr>
                <w:sz w:val="15"/>
                <w:szCs w:val="15"/>
              </w:rPr>
              <w:t>700</w:t>
            </w:r>
          </w:p>
        </w:tc>
        <w:tc>
          <w:tcPr>
            <w:tcW w:w="1323" w:type="pct"/>
            <w:vAlign w:val="center"/>
          </w:tcPr>
          <w:p w14:paraId="7BDF435B">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28a</w:t>
            </w:r>
          </w:p>
        </w:tc>
        <w:tc>
          <w:tcPr>
            <w:tcW w:w="1347" w:type="pct"/>
            <w:vAlign w:val="center"/>
          </w:tcPr>
          <w:p w14:paraId="31ACDEFB">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32b</w:t>
            </w:r>
          </w:p>
        </w:tc>
      </w:tr>
      <w:tr w14:paraId="70F56CEE">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restart"/>
            <w:vAlign w:val="center"/>
          </w:tcPr>
          <w:p w14:paraId="7B3C2D4B">
            <w:pPr>
              <w:adjustRightInd w:val="0"/>
              <w:snapToGrid w:val="0"/>
              <w:spacing w:line="264" w:lineRule="auto"/>
              <w:jc w:val="center"/>
              <w:rPr>
                <w:sz w:val="15"/>
                <w:szCs w:val="15"/>
              </w:rPr>
            </w:pPr>
            <w:r>
              <w:rPr>
                <w:sz w:val="15"/>
                <w:szCs w:val="15"/>
              </w:rPr>
              <w:t>1.5</w:t>
            </w:r>
          </w:p>
        </w:tc>
        <w:tc>
          <w:tcPr>
            <w:tcW w:w="1419" w:type="pct"/>
            <w:vAlign w:val="center"/>
          </w:tcPr>
          <w:p w14:paraId="709E96F2">
            <w:pPr>
              <w:adjustRightInd w:val="0"/>
              <w:snapToGrid w:val="0"/>
              <w:spacing w:line="264" w:lineRule="auto"/>
              <w:jc w:val="center"/>
              <w:rPr>
                <w:sz w:val="15"/>
                <w:szCs w:val="15"/>
              </w:rPr>
            </w:pPr>
            <w:r>
              <w:rPr>
                <w:sz w:val="15"/>
                <w:szCs w:val="15"/>
              </w:rPr>
              <w:t>300</w:t>
            </w:r>
          </w:p>
        </w:tc>
        <w:tc>
          <w:tcPr>
            <w:tcW w:w="1323" w:type="pct"/>
            <w:vAlign w:val="center"/>
          </w:tcPr>
          <w:p w14:paraId="201747EB">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20a</w:t>
            </w:r>
          </w:p>
        </w:tc>
        <w:tc>
          <w:tcPr>
            <w:tcW w:w="1347" w:type="pct"/>
            <w:vAlign w:val="center"/>
          </w:tcPr>
          <w:p w14:paraId="117DBAFB">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22b</w:t>
            </w:r>
          </w:p>
        </w:tc>
      </w:tr>
      <w:tr w14:paraId="4BE352A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2FB107D6">
            <w:pPr>
              <w:adjustRightInd w:val="0"/>
              <w:snapToGrid w:val="0"/>
              <w:spacing w:line="264" w:lineRule="auto"/>
              <w:jc w:val="center"/>
              <w:rPr>
                <w:sz w:val="15"/>
                <w:szCs w:val="15"/>
              </w:rPr>
            </w:pPr>
          </w:p>
        </w:tc>
        <w:tc>
          <w:tcPr>
            <w:tcW w:w="1419" w:type="pct"/>
            <w:vAlign w:val="center"/>
          </w:tcPr>
          <w:p w14:paraId="0CF5976E">
            <w:pPr>
              <w:adjustRightInd w:val="0"/>
              <w:snapToGrid w:val="0"/>
              <w:spacing w:line="264" w:lineRule="auto"/>
              <w:jc w:val="center"/>
              <w:rPr>
                <w:sz w:val="15"/>
                <w:szCs w:val="15"/>
              </w:rPr>
            </w:pPr>
            <w:r>
              <w:rPr>
                <w:sz w:val="15"/>
                <w:szCs w:val="15"/>
              </w:rPr>
              <w:t>400</w:t>
            </w:r>
          </w:p>
        </w:tc>
        <w:tc>
          <w:tcPr>
            <w:tcW w:w="1323" w:type="pct"/>
            <w:vAlign w:val="center"/>
          </w:tcPr>
          <w:p w14:paraId="27089639">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22a</w:t>
            </w:r>
          </w:p>
        </w:tc>
        <w:tc>
          <w:tcPr>
            <w:tcW w:w="1347" w:type="pct"/>
            <w:vAlign w:val="center"/>
          </w:tcPr>
          <w:p w14:paraId="20869222">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25c</w:t>
            </w:r>
          </w:p>
        </w:tc>
      </w:tr>
      <w:tr w14:paraId="0503B7D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757987BB">
            <w:pPr>
              <w:adjustRightInd w:val="0"/>
              <w:snapToGrid w:val="0"/>
              <w:spacing w:line="264" w:lineRule="auto"/>
              <w:jc w:val="center"/>
              <w:rPr>
                <w:sz w:val="15"/>
                <w:szCs w:val="15"/>
              </w:rPr>
            </w:pPr>
          </w:p>
        </w:tc>
        <w:tc>
          <w:tcPr>
            <w:tcW w:w="1419" w:type="pct"/>
            <w:vAlign w:val="center"/>
          </w:tcPr>
          <w:p w14:paraId="0B36DD21">
            <w:pPr>
              <w:adjustRightInd w:val="0"/>
              <w:snapToGrid w:val="0"/>
              <w:spacing w:line="264" w:lineRule="auto"/>
              <w:jc w:val="center"/>
              <w:rPr>
                <w:sz w:val="15"/>
                <w:szCs w:val="15"/>
              </w:rPr>
            </w:pPr>
            <w:r>
              <w:rPr>
                <w:sz w:val="15"/>
                <w:szCs w:val="15"/>
              </w:rPr>
              <w:t>500</w:t>
            </w:r>
          </w:p>
        </w:tc>
        <w:tc>
          <w:tcPr>
            <w:tcW w:w="1323" w:type="pct"/>
            <w:vAlign w:val="center"/>
          </w:tcPr>
          <w:p w14:paraId="35E11BE9">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25a</w:t>
            </w:r>
          </w:p>
        </w:tc>
        <w:tc>
          <w:tcPr>
            <w:tcW w:w="1347" w:type="pct"/>
            <w:vAlign w:val="center"/>
          </w:tcPr>
          <w:p w14:paraId="3F6DABC2">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28c</w:t>
            </w:r>
          </w:p>
        </w:tc>
      </w:tr>
      <w:tr w14:paraId="62467E8F">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345E4251">
            <w:pPr>
              <w:adjustRightInd w:val="0"/>
              <w:snapToGrid w:val="0"/>
              <w:spacing w:line="264" w:lineRule="auto"/>
              <w:jc w:val="center"/>
              <w:rPr>
                <w:sz w:val="15"/>
                <w:szCs w:val="15"/>
              </w:rPr>
            </w:pPr>
          </w:p>
        </w:tc>
        <w:tc>
          <w:tcPr>
            <w:tcW w:w="1419" w:type="pct"/>
            <w:vAlign w:val="center"/>
          </w:tcPr>
          <w:p w14:paraId="5ACCC7A7">
            <w:pPr>
              <w:adjustRightInd w:val="0"/>
              <w:snapToGrid w:val="0"/>
              <w:spacing w:line="264" w:lineRule="auto"/>
              <w:jc w:val="center"/>
              <w:rPr>
                <w:sz w:val="15"/>
                <w:szCs w:val="15"/>
              </w:rPr>
            </w:pPr>
            <w:r>
              <w:rPr>
                <w:sz w:val="15"/>
                <w:szCs w:val="15"/>
              </w:rPr>
              <w:t>600</w:t>
            </w:r>
          </w:p>
        </w:tc>
        <w:tc>
          <w:tcPr>
            <w:tcW w:w="1323" w:type="pct"/>
            <w:vAlign w:val="center"/>
          </w:tcPr>
          <w:p w14:paraId="374DA49A">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28a</w:t>
            </w:r>
          </w:p>
        </w:tc>
        <w:tc>
          <w:tcPr>
            <w:tcW w:w="1347" w:type="pct"/>
            <w:vAlign w:val="center"/>
          </w:tcPr>
          <w:p w14:paraId="21A1694C">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32a</w:t>
            </w:r>
          </w:p>
        </w:tc>
      </w:tr>
      <w:tr w14:paraId="6D746C1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5B0FFF05">
            <w:pPr>
              <w:adjustRightInd w:val="0"/>
              <w:snapToGrid w:val="0"/>
              <w:spacing w:line="264" w:lineRule="auto"/>
              <w:jc w:val="center"/>
              <w:rPr>
                <w:sz w:val="15"/>
                <w:szCs w:val="15"/>
              </w:rPr>
            </w:pPr>
          </w:p>
        </w:tc>
        <w:tc>
          <w:tcPr>
            <w:tcW w:w="1419" w:type="pct"/>
            <w:vAlign w:val="center"/>
          </w:tcPr>
          <w:p w14:paraId="5DE0F112">
            <w:pPr>
              <w:adjustRightInd w:val="0"/>
              <w:snapToGrid w:val="0"/>
              <w:spacing w:line="264" w:lineRule="auto"/>
              <w:jc w:val="center"/>
              <w:rPr>
                <w:sz w:val="15"/>
                <w:szCs w:val="15"/>
              </w:rPr>
            </w:pPr>
            <w:r>
              <w:rPr>
                <w:sz w:val="15"/>
                <w:szCs w:val="15"/>
              </w:rPr>
              <w:t>700</w:t>
            </w:r>
          </w:p>
        </w:tc>
        <w:tc>
          <w:tcPr>
            <w:tcW w:w="1323" w:type="pct"/>
            <w:vAlign w:val="center"/>
          </w:tcPr>
          <w:p w14:paraId="653C518D">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28b</w:t>
            </w:r>
          </w:p>
        </w:tc>
        <w:tc>
          <w:tcPr>
            <w:tcW w:w="1347" w:type="pct"/>
            <w:vAlign w:val="center"/>
          </w:tcPr>
          <w:p w14:paraId="140F3CB8">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32c</w:t>
            </w:r>
          </w:p>
        </w:tc>
      </w:tr>
      <w:tr w14:paraId="4C9D35B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restart"/>
            <w:vAlign w:val="center"/>
          </w:tcPr>
          <w:p w14:paraId="7B784C71">
            <w:pPr>
              <w:adjustRightInd w:val="0"/>
              <w:snapToGrid w:val="0"/>
              <w:spacing w:line="264" w:lineRule="auto"/>
              <w:jc w:val="center"/>
              <w:rPr>
                <w:sz w:val="15"/>
                <w:szCs w:val="15"/>
              </w:rPr>
            </w:pPr>
            <w:r>
              <w:rPr>
                <w:sz w:val="15"/>
                <w:szCs w:val="15"/>
              </w:rPr>
              <w:t>1.6</w:t>
            </w:r>
          </w:p>
        </w:tc>
        <w:tc>
          <w:tcPr>
            <w:tcW w:w="1419" w:type="pct"/>
            <w:vAlign w:val="center"/>
          </w:tcPr>
          <w:p w14:paraId="116AC81C">
            <w:pPr>
              <w:adjustRightInd w:val="0"/>
              <w:snapToGrid w:val="0"/>
              <w:spacing w:line="264" w:lineRule="auto"/>
              <w:jc w:val="center"/>
              <w:rPr>
                <w:sz w:val="15"/>
                <w:szCs w:val="15"/>
              </w:rPr>
            </w:pPr>
            <w:r>
              <w:rPr>
                <w:sz w:val="15"/>
                <w:szCs w:val="15"/>
              </w:rPr>
              <w:t>300</w:t>
            </w:r>
          </w:p>
        </w:tc>
        <w:tc>
          <w:tcPr>
            <w:tcW w:w="1323" w:type="pct"/>
            <w:vAlign w:val="center"/>
          </w:tcPr>
          <w:p w14:paraId="66D4526F">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20b</w:t>
            </w:r>
          </w:p>
        </w:tc>
        <w:tc>
          <w:tcPr>
            <w:tcW w:w="1347" w:type="pct"/>
            <w:vAlign w:val="center"/>
          </w:tcPr>
          <w:p w14:paraId="150BC6DB">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25a</w:t>
            </w:r>
          </w:p>
        </w:tc>
      </w:tr>
      <w:tr w14:paraId="0A44DF80">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7D3DED5E">
            <w:pPr>
              <w:adjustRightInd w:val="0"/>
              <w:snapToGrid w:val="0"/>
              <w:spacing w:line="264" w:lineRule="auto"/>
              <w:jc w:val="center"/>
              <w:rPr>
                <w:sz w:val="15"/>
                <w:szCs w:val="15"/>
              </w:rPr>
            </w:pPr>
          </w:p>
        </w:tc>
        <w:tc>
          <w:tcPr>
            <w:tcW w:w="1419" w:type="pct"/>
            <w:vAlign w:val="center"/>
          </w:tcPr>
          <w:p w14:paraId="0FFBA7A5">
            <w:pPr>
              <w:adjustRightInd w:val="0"/>
              <w:snapToGrid w:val="0"/>
              <w:spacing w:line="264" w:lineRule="auto"/>
              <w:jc w:val="center"/>
              <w:rPr>
                <w:sz w:val="15"/>
                <w:szCs w:val="15"/>
              </w:rPr>
            </w:pPr>
            <w:r>
              <w:rPr>
                <w:sz w:val="15"/>
                <w:szCs w:val="15"/>
              </w:rPr>
              <w:t>400</w:t>
            </w:r>
          </w:p>
        </w:tc>
        <w:tc>
          <w:tcPr>
            <w:tcW w:w="1323" w:type="pct"/>
            <w:vAlign w:val="center"/>
          </w:tcPr>
          <w:p w14:paraId="107B07A9">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22b</w:t>
            </w:r>
          </w:p>
        </w:tc>
        <w:tc>
          <w:tcPr>
            <w:tcW w:w="1347" w:type="pct"/>
            <w:vAlign w:val="center"/>
          </w:tcPr>
          <w:p w14:paraId="7F50F297">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28a</w:t>
            </w:r>
          </w:p>
        </w:tc>
      </w:tr>
      <w:tr w14:paraId="0DF49C78">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2CB5641E">
            <w:pPr>
              <w:adjustRightInd w:val="0"/>
              <w:snapToGrid w:val="0"/>
              <w:spacing w:line="264" w:lineRule="auto"/>
              <w:jc w:val="center"/>
              <w:rPr>
                <w:sz w:val="15"/>
                <w:szCs w:val="15"/>
              </w:rPr>
            </w:pPr>
          </w:p>
        </w:tc>
        <w:tc>
          <w:tcPr>
            <w:tcW w:w="1419" w:type="pct"/>
            <w:vAlign w:val="center"/>
          </w:tcPr>
          <w:p w14:paraId="64749A71">
            <w:pPr>
              <w:adjustRightInd w:val="0"/>
              <w:snapToGrid w:val="0"/>
              <w:spacing w:line="264" w:lineRule="auto"/>
              <w:jc w:val="center"/>
              <w:rPr>
                <w:sz w:val="15"/>
                <w:szCs w:val="15"/>
              </w:rPr>
            </w:pPr>
            <w:r>
              <w:rPr>
                <w:sz w:val="15"/>
                <w:szCs w:val="15"/>
              </w:rPr>
              <w:t>500</w:t>
            </w:r>
          </w:p>
        </w:tc>
        <w:tc>
          <w:tcPr>
            <w:tcW w:w="1323" w:type="pct"/>
            <w:vAlign w:val="center"/>
          </w:tcPr>
          <w:p w14:paraId="70A3A568">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25b</w:t>
            </w:r>
          </w:p>
        </w:tc>
        <w:tc>
          <w:tcPr>
            <w:tcW w:w="1347" w:type="pct"/>
            <w:vAlign w:val="center"/>
          </w:tcPr>
          <w:p w14:paraId="16DD3743">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32a</w:t>
            </w:r>
          </w:p>
        </w:tc>
      </w:tr>
      <w:tr w14:paraId="09B3E98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71ECCC6C">
            <w:pPr>
              <w:adjustRightInd w:val="0"/>
              <w:snapToGrid w:val="0"/>
              <w:spacing w:line="264" w:lineRule="auto"/>
              <w:jc w:val="center"/>
              <w:rPr>
                <w:sz w:val="15"/>
                <w:szCs w:val="15"/>
              </w:rPr>
            </w:pPr>
          </w:p>
        </w:tc>
        <w:tc>
          <w:tcPr>
            <w:tcW w:w="1419" w:type="pct"/>
            <w:vAlign w:val="center"/>
          </w:tcPr>
          <w:p w14:paraId="5CA200A3">
            <w:pPr>
              <w:adjustRightInd w:val="0"/>
              <w:snapToGrid w:val="0"/>
              <w:spacing w:line="264" w:lineRule="auto"/>
              <w:jc w:val="center"/>
              <w:rPr>
                <w:sz w:val="15"/>
                <w:szCs w:val="15"/>
              </w:rPr>
            </w:pPr>
            <w:r>
              <w:rPr>
                <w:sz w:val="15"/>
                <w:szCs w:val="15"/>
              </w:rPr>
              <w:t>600</w:t>
            </w:r>
          </w:p>
        </w:tc>
        <w:tc>
          <w:tcPr>
            <w:tcW w:w="1323" w:type="pct"/>
            <w:vAlign w:val="center"/>
          </w:tcPr>
          <w:p w14:paraId="54334E7E">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28a</w:t>
            </w:r>
          </w:p>
        </w:tc>
        <w:tc>
          <w:tcPr>
            <w:tcW w:w="1347" w:type="pct"/>
            <w:vAlign w:val="center"/>
          </w:tcPr>
          <w:p w14:paraId="30EBC09B">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32b</w:t>
            </w:r>
          </w:p>
        </w:tc>
      </w:tr>
      <w:tr w14:paraId="11831D2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50361F83">
            <w:pPr>
              <w:adjustRightInd w:val="0"/>
              <w:snapToGrid w:val="0"/>
              <w:spacing w:line="264" w:lineRule="auto"/>
              <w:jc w:val="center"/>
              <w:rPr>
                <w:sz w:val="15"/>
                <w:szCs w:val="15"/>
              </w:rPr>
            </w:pPr>
          </w:p>
        </w:tc>
        <w:tc>
          <w:tcPr>
            <w:tcW w:w="1419" w:type="pct"/>
            <w:vAlign w:val="center"/>
          </w:tcPr>
          <w:p w14:paraId="0D1C5CFE">
            <w:pPr>
              <w:adjustRightInd w:val="0"/>
              <w:snapToGrid w:val="0"/>
              <w:spacing w:line="264" w:lineRule="auto"/>
              <w:jc w:val="center"/>
              <w:rPr>
                <w:sz w:val="15"/>
                <w:szCs w:val="15"/>
              </w:rPr>
            </w:pPr>
            <w:r>
              <w:rPr>
                <w:sz w:val="15"/>
                <w:szCs w:val="15"/>
              </w:rPr>
              <w:t>700</w:t>
            </w:r>
          </w:p>
        </w:tc>
        <w:tc>
          <w:tcPr>
            <w:tcW w:w="1323" w:type="pct"/>
            <w:vAlign w:val="center"/>
          </w:tcPr>
          <w:p w14:paraId="57B06AB9">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28b</w:t>
            </w:r>
          </w:p>
        </w:tc>
        <w:tc>
          <w:tcPr>
            <w:tcW w:w="1347" w:type="pct"/>
            <w:vAlign w:val="center"/>
          </w:tcPr>
          <w:p w14:paraId="51074A4D">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32c</w:t>
            </w:r>
          </w:p>
        </w:tc>
      </w:tr>
      <w:tr w14:paraId="74D5D0A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restart"/>
            <w:vAlign w:val="center"/>
          </w:tcPr>
          <w:p w14:paraId="777B21F3">
            <w:pPr>
              <w:adjustRightInd w:val="0"/>
              <w:snapToGrid w:val="0"/>
              <w:spacing w:line="264" w:lineRule="auto"/>
              <w:jc w:val="center"/>
              <w:rPr>
                <w:sz w:val="15"/>
                <w:szCs w:val="15"/>
              </w:rPr>
            </w:pPr>
            <w:r>
              <w:rPr>
                <w:sz w:val="15"/>
                <w:szCs w:val="15"/>
              </w:rPr>
              <w:t>1.8</w:t>
            </w:r>
          </w:p>
        </w:tc>
        <w:tc>
          <w:tcPr>
            <w:tcW w:w="1419" w:type="pct"/>
            <w:vAlign w:val="center"/>
          </w:tcPr>
          <w:p w14:paraId="3EB72B6D">
            <w:pPr>
              <w:adjustRightInd w:val="0"/>
              <w:snapToGrid w:val="0"/>
              <w:spacing w:line="264" w:lineRule="auto"/>
              <w:jc w:val="center"/>
              <w:rPr>
                <w:sz w:val="15"/>
                <w:szCs w:val="15"/>
              </w:rPr>
            </w:pPr>
            <w:r>
              <w:rPr>
                <w:sz w:val="15"/>
                <w:szCs w:val="15"/>
              </w:rPr>
              <w:t>300</w:t>
            </w:r>
          </w:p>
        </w:tc>
        <w:tc>
          <w:tcPr>
            <w:tcW w:w="1323" w:type="pct"/>
            <w:vAlign w:val="center"/>
          </w:tcPr>
          <w:p w14:paraId="4B0BDCD2">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22a</w:t>
            </w:r>
          </w:p>
        </w:tc>
        <w:tc>
          <w:tcPr>
            <w:tcW w:w="1347" w:type="pct"/>
            <w:vAlign w:val="center"/>
          </w:tcPr>
          <w:p w14:paraId="056573BC">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25b</w:t>
            </w:r>
          </w:p>
        </w:tc>
      </w:tr>
      <w:tr w14:paraId="72FCDC6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2C6FA58E">
            <w:pPr>
              <w:adjustRightInd w:val="0"/>
              <w:snapToGrid w:val="0"/>
              <w:spacing w:line="264" w:lineRule="auto"/>
              <w:jc w:val="center"/>
              <w:rPr>
                <w:sz w:val="15"/>
                <w:szCs w:val="15"/>
              </w:rPr>
            </w:pPr>
          </w:p>
        </w:tc>
        <w:tc>
          <w:tcPr>
            <w:tcW w:w="1419" w:type="pct"/>
            <w:vAlign w:val="center"/>
          </w:tcPr>
          <w:p w14:paraId="592F9CAE">
            <w:pPr>
              <w:adjustRightInd w:val="0"/>
              <w:snapToGrid w:val="0"/>
              <w:spacing w:line="264" w:lineRule="auto"/>
              <w:jc w:val="center"/>
              <w:rPr>
                <w:sz w:val="15"/>
                <w:szCs w:val="15"/>
              </w:rPr>
            </w:pPr>
            <w:r>
              <w:rPr>
                <w:sz w:val="15"/>
                <w:szCs w:val="15"/>
              </w:rPr>
              <w:t>400</w:t>
            </w:r>
          </w:p>
        </w:tc>
        <w:tc>
          <w:tcPr>
            <w:tcW w:w="1323" w:type="pct"/>
            <w:vAlign w:val="center"/>
          </w:tcPr>
          <w:p w14:paraId="2FA21087">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25a</w:t>
            </w:r>
          </w:p>
        </w:tc>
        <w:tc>
          <w:tcPr>
            <w:tcW w:w="1347" w:type="pct"/>
            <w:vAlign w:val="center"/>
          </w:tcPr>
          <w:p w14:paraId="7F558950">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28c</w:t>
            </w:r>
          </w:p>
        </w:tc>
      </w:tr>
      <w:tr w14:paraId="1985437F">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378AB908">
            <w:pPr>
              <w:adjustRightInd w:val="0"/>
              <w:snapToGrid w:val="0"/>
              <w:spacing w:line="264" w:lineRule="auto"/>
              <w:jc w:val="center"/>
              <w:rPr>
                <w:sz w:val="15"/>
                <w:szCs w:val="15"/>
              </w:rPr>
            </w:pPr>
          </w:p>
        </w:tc>
        <w:tc>
          <w:tcPr>
            <w:tcW w:w="1419" w:type="pct"/>
            <w:vAlign w:val="center"/>
          </w:tcPr>
          <w:p w14:paraId="582461B4">
            <w:pPr>
              <w:adjustRightInd w:val="0"/>
              <w:snapToGrid w:val="0"/>
              <w:spacing w:line="264" w:lineRule="auto"/>
              <w:jc w:val="center"/>
              <w:rPr>
                <w:sz w:val="15"/>
                <w:szCs w:val="15"/>
              </w:rPr>
            </w:pPr>
            <w:r>
              <w:rPr>
                <w:sz w:val="15"/>
                <w:szCs w:val="15"/>
              </w:rPr>
              <w:t>500</w:t>
            </w:r>
          </w:p>
        </w:tc>
        <w:tc>
          <w:tcPr>
            <w:tcW w:w="1323" w:type="pct"/>
            <w:vAlign w:val="center"/>
          </w:tcPr>
          <w:p w14:paraId="21767138">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28a</w:t>
            </w:r>
          </w:p>
        </w:tc>
        <w:tc>
          <w:tcPr>
            <w:tcW w:w="1347" w:type="pct"/>
            <w:vAlign w:val="center"/>
          </w:tcPr>
          <w:p w14:paraId="0B6DAA14">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32a</w:t>
            </w:r>
          </w:p>
        </w:tc>
      </w:tr>
      <w:tr w14:paraId="2409BBD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41E3834F">
            <w:pPr>
              <w:adjustRightInd w:val="0"/>
              <w:snapToGrid w:val="0"/>
              <w:spacing w:line="264" w:lineRule="auto"/>
              <w:jc w:val="center"/>
              <w:rPr>
                <w:sz w:val="15"/>
                <w:szCs w:val="15"/>
              </w:rPr>
            </w:pPr>
          </w:p>
        </w:tc>
        <w:tc>
          <w:tcPr>
            <w:tcW w:w="1419" w:type="pct"/>
            <w:vAlign w:val="center"/>
          </w:tcPr>
          <w:p w14:paraId="5AE22A42">
            <w:pPr>
              <w:adjustRightInd w:val="0"/>
              <w:snapToGrid w:val="0"/>
              <w:spacing w:line="264" w:lineRule="auto"/>
              <w:jc w:val="center"/>
              <w:rPr>
                <w:sz w:val="15"/>
                <w:szCs w:val="15"/>
              </w:rPr>
            </w:pPr>
            <w:r>
              <w:rPr>
                <w:sz w:val="15"/>
                <w:szCs w:val="15"/>
              </w:rPr>
              <w:t>600</w:t>
            </w:r>
          </w:p>
        </w:tc>
        <w:tc>
          <w:tcPr>
            <w:tcW w:w="1323" w:type="pct"/>
            <w:vAlign w:val="center"/>
          </w:tcPr>
          <w:p w14:paraId="5713B9C2">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32a</w:t>
            </w:r>
          </w:p>
        </w:tc>
        <w:tc>
          <w:tcPr>
            <w:tcW w:w="1347" w:type="pct"/>
            <w:vAlign w:val="center"/>
          </w:tcPr>
          <w:p w14:paraId="7FEC4A1D">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32c</w:t>
            </w:r>
          </w:p>
        </w:tc>
      </w:tr>
      <w:tr w14:paraId="3824700E">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34" w:type="dxa"/>
            <w:left w:w="28" w:type="dxa"/>
            <w:bottom w:w="34" w:type="dxa"/>
            <w:right w:w="28" w:type="dxa"/>
          </w:tblCellMar>
        </w:tblPrEx>
        <w:trPr>
          <w:jc w:val="center"/>
        </w:trPr>
        <w:tc>
          <w:tcPr>
            <w:tcW w:w="912" w:type="pct"/>
            <w:vMerge w:val="continue"/>
            <w:vAlign w:val="center"/>
          </w:tcPr>
          <w:p w14:paraId="3D7307B9">
            <w:pPr>
              <w:adjustRightInd w:val="0"/>
              <w:snapToGrid w:val="0"/>
              <w:spacing w:line="264" w:lineRule="auto"/>
              <w:jc w:val="center"/>
              <w:rPr>
                <w:sz w:val="15"/>
                <w:szCs w:val="15"/>
              </w:rPr>
            </w:pPr>
          </w:p>
        </w:tc>
        <w:tc>
          <w:tcPr>
            <w:tcW w:w="1419" w:type="pct"/>
            <w:vAlign w:val="center"/>
          </w:tcPr>
          <w:p w14:paraId="00E743F3">
            <w:pPr>
              <w:adjustRightInd w:val="0"/>
              <w:snapToGrid w:val="0"/>
              <w:spacing w:line="264" w:lineRule="auto"/>
              <w:jc w:val="center"/>
              <w:rPr>
                <w:sz w:val="15"/>
                <w:szCs w:val="15"/>
              </w:rPr>
            </w:pPr>
            <w:r>
              <w:rPr>
                <w:sz w:val="15"/>
                <w:szCs w:val="15"/>
              </w:rPr>
              <w:t>700</w:t>
            </w:r>
          </w:p>
        </w:tc>
        <w:tc>
          <w:tcPr>
            <w:tcW w:w="1323" w:type="pct"/>
            <w:vAlign w:val="center"/>
          </w:tcPr>
          <w:p w14:paraId="688BC72E">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32a</w:t>
            </w:r>
          </w:p>
        </w:tc>
        <w:tc>
          <w:tcPr>
            <w:tcW w:w="1347" w:type="pct"/>
            <w:vAlign w:val="center"/>
          </w:tcPr>
          <w:p w14:paraId="35DEC740">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36a</w:t>
            </w:r>
          </w:p>
        </w:tc>
      </w:tr>
      <w:tr w14:paraId="4946FA65">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912" w:type="pct"/>
            <w:vMerge w:val="restart"/>
            <w:vAlign w:val="center"/>
          </w:tcPr>
          <w:p w14:paraId="2D7DBC23">
            <w:pPr>
              <w:adjustRightInd w:val="0"/>
              <w:snapToGrid w:val="0"/>
              <w:spacing w:line="264" w:lineRule="auto"/>
              <w:jc w:val="center"/>
              <w:rPr>
                <w:sz w:val="15"/>
                <w:szCs w:val="15"/>
              </w:rPr>
            </w:pPr>
            <w:r>
              <w:rPr>
                <w:sz w:val="15"/>
                <w:szCs w:val="15"/>
              </w:rPr>
              <w:t>2.0</w:t>
            </w:r>
          </w:p>
        </w:tc>
        <w:tc>
          <w:tcPr>
            <w:tcW w:w="1419" w:type="pct"/>
            <w:vAlign w:val="center"/>
          </w:tcPr>
          <w:p w14:paraId="71E53AB0">
            <w:pPr>
              <w:adjustRightInd w:val="0"/>
              <w:snapToGrid w:val="0"/>
              <w:spacing w:line="264" w:lineRule="auto"/>
              <w:jc w:val="center"/>
              <w:rPr>
                <w:sz w:val="15"/>
                <w:szCs w:val="15"/>
              </w:rPr>
            </w:pPr>
            <w:r>
              <w:rPr>
                <w:sz w:val="15"/>
                <w:szCs w:val="15"/>
              </w:rPr>
              <w:t>300</w:t>
            </w:r>
          </w:p>
        </w:tc>
        <w:tc>
          <w:tcPr>
            <w:tcW w:w="1323" w:type="pct"/>
            <w:vAlign w:val="center"/>
          </w:tcPr>
          <w:p w14:paraId="26A3279F">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22b</w:t>
            </w:r>
          </w:p>
        </w:tc>
        <w:tc>
          <w:tcPr>
            <w:tcW w:w="1347" w:type="pct"/>
            <w:vAlign w:val="center"/>
          </w:tcPr>
          <w:p w14:paraId="6C83E3C1">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28a</w:t>
            </w:r>
          </w:p>
        </w:tc>
      </w:tr>
      <w:tr w14:paraId="081ECD6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912" w:type="pct"/>
            <w:vMerge w:val="continue"/>
            <w:vAlign w:val="center"/>
          </w:tcPr>
          <w:p w14:paraId="4B7BAA60">
            <w:pPr>
              <w:adjustRightInd w:val="0"/>
              <w:snapToGrid w:val="0"/>
              <w:spacing w:line="264" w:lineRule="auto"/>
              <w:jc w:val="center"/>
              <w:rPr>
                <w:sz w:val="15"/>
                <w:szCs w:val="15"/>
              </w:rPr>
            </w:pPr>
          </w:p>
        </w:tc>
        <w:tc>
          <w:tcPr>
            <w:tcW w:w="1419" w:type="pct"/>
            <w:vAlign w:val="center"/>
          </w:tcPr>
          <w:p w14:paraId="4D37B98C">
            <w:pPr>
              <w:adjustRightInd w:val="0"/>
              <w:snapToGrid w:val="0"/>
              <w:spacing w:line="264" w:lineRule="auto"/>
              <w:jc w:val="center"/>
              <w:rPr>
                <w:sz w:val="15"/>
                <w:szCs w:val="15"/>
              </w:rPr>
            </w:pPr>
            <w:r>
              <w:rPr>
                <w:sz w:val="15"/>
                <w:szCs w:val="15"/>
              </w:rPr>
              <w:t>400</w:t>
            </w:r>
          </w:p>
        </w:tc>
        <w:tc>
          <w:tcPr>
            <w:tcW w:w="1323" w:type="pct"/>
            <w:vAlign w:val="center"/>
          </w:tcPr>
          <w:p w14:paraId="52046C43">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25b</w:t>
            </w:r>
          </w:p>
        </w:tc>
        <w:tc>
          <w:tcPr>
            <w:tcW w:w="1347" w:type="pct"/>
            <w:vAlign w:val="center"/>
          </w:tcPr>
          <w:p w14:paraId="69A97E2B">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32a</w:t>
            </w:r>
          </w:p>
        </w:tc>
      </w:tr>
      <w:tr w14:paraId="50A0BE6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912" w:type="pct"/>
            <w:vMerge w:val="continue"/>
            <w:vAlign w:val="center"/>
          </w:tcPr>
          <w:p w14:paraId="5E865293">
            <w:pPr>
              <w:adjustRightInd w:val="0"/>
              <w:snapToGrid w:val="0"/>
              <w:spacing w:line="264" w:lineRule="auto"/>
              <w:jc w:val="center"/>
              <w:rPr>
                <w:sz w:val="15"/>
                <w:szCs w:val="15"/>
              </w:rPr>
            </w:pPr>
          </w:p>
        </w:tc>
        <w:tc>
          <w:tcPr>
            <w:tcW w:w="1419" w:type="pct"/>
            <w:vAlign w:val="center"/>
          </w:tcPr>
          <w:p w14:paraId="252D6926">
            <w:pPr>
              <w:adjustRightInd w:val="0"/>
              <w:snapToGrid w:val="0"/>
              <w:spacing w:line="264" w:lineRule="auto"/>
              <w:jc w:val="center"/>
              <w:rPr>
                <w:sz w:val="15"/>
                <w:szCs w:val="15"/>
              </w:rPr>
            </w:pPr>
            <w:r>
              <w:rPr>
                <w:sz w:val="15"/>
                <w:szCs w:val="15"/>
              </w:rPr>
              <w:t>500</w:t>
            </w:r>
          </w:p>
        </w:tc>
        <w:tc>
          <w:tcPr>
            <w:tcW w:w="1323" w:type="pct"/>
            <w:vAlign w:val="center"/>
          </w:tcPr>
          <w:p w14:paraId="7EEBCB95">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28b</w:t>
            </w:r>
          </w:p>
        </w:tc>
        <w:tc>
          <w:tcPr>
            <w:tcW w:w="1347" w:type="pct"/>
            <w:vAlign w:val="center"/>
          </w:tcPr>
          <w:p w14:paraId="56339016">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32c</w:t>
            </w:r>
          </w:p>
        </w:tc>
      </w:tr>
      <w:tr w14:paraId="45EA4BE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912" w:type="pct"/>
            <w:vMerge w:val="continue"/>
            <w:vAlign w:val="center"/>
          </w:tcPr>
          <w:p w14:paraId="2ED34A3D">
            <w:pPr>
              <w:adjustRightInd w:val="0"/>
              <w:snapToGrid w:val="0"/>
              <w:spacing w:line="264" w:lineRule="auto"/>
              <w:jc w:val="center"/>
              <w:rPr>
                <w:sz w:val="15"/>
                <w:szCs w:val="15"/>
              </w:rPr>
            </w:pPr>
          </w:p>
        </w:tc>
        <w:tc>
          <w:tcPr>
            <w:tcW w:w="1419" w:type="pct"/>
            <w:vAlign w:val="center"/>
          </w:tcPr>
          <w:p w14:paraId="3D1E09F3">
            <w:pPr>
              <w:adjustRightInd w:val="0"/>
              <w:snapToGrid w:val="0"/>
              <w:spacing w:line="264" w:lineRule="auto"/>
              <w:jc w:val="center"/>
              <w:rPr>
                <w:sz w:val="15"/>
                <w:szCs w:val="15"/>
              </w:rPr>
            </w:pPr>
            <w:r>
              <w:rPr>
                <w:sz w:val="15"/>
                <w:szCs w:val="15"/>
              </w:rPr>
              <w:t>600</w:t>
            </w:r>
          </w:p>
        </w:tc>
        <w:tc>
          <w:tcPr>
            <w:tcW w:w="1323" w:type="pct"/>
            <w:vAlign w:val="center"/>
          </w:tcPr>
          <w:p w14:paraId="569873F8">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32a</w:t>
            </w:r>
          </w:p>
        </w:tc>
        <w:tc>
          <w:tcPr>
            <w:tcW w:w="1347" w:type="pct"/>
            <w:vAlign w:val="center"/>
          </w:tcPr>
          <w:p w14:paraId="100F6F09">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36a</w:t>
            </w:r>
          </w:p>
        </w:tc>
      </w:tr>
      <w:tr w14:paraId="3DF647F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912" w:type="pct"/>
            <w:vMerge w:val="continue"/>
            <w:vAlign w:val="center"/>
          </w:tcPr>
          <w:p w14:paraId="2052680C">
            <w:pPr>
              <w:adjustRightInd w:val="0"/>
              <w:snapToGrid w:val="0"/>
              <w:spacing w:line="264" w:lineRule="auto"/>
              <w:jc w:val="center"/>
              <w:rPr>
                <w:sz w:val="15"/>
                <w:szCs w:val="15"/>
              </w:rPr>
            </w:pPr>
          </w:p>
        </w:tc>
        <w:tc>
          <w:tcPr>
            <w:tcW w:w="1419" w:type="pct"/>
            <w:vAlign w:val="center"/>
          </w:tcPr>
          <w:p w14:paraId="2368C451">
            <w:pPr>
              <w:adjustRightInd w:val="0"/>
              <w:snapToGrid w:val="0"/>
              <w:spacing w:line="264" w:lineRule="auto"/>
              <w:jc w:val="center"/>
              <w:rPr>
                <w:sz w:val="15"/>
                <w:szCs w:val="15"/>
              </w:rPr>
            </w:pPr>
            <w:r>
              <w:rPr>
                <w:sz w:val="15"/>
                <w:szCs w:val="15"/>
              </w:rPr>
              <w:t>700</w:t>
            </w:r>
          </w:p>
        </w:tc>
        <w:tc>
          <w:tcPr>
            <w:tcW w:w="1323" w:type="pct"/>
            <w:vAlign w:val="center"/>
          </w:tcPr>
          <w:p w14:paraId="01A49A43">
            <w:pPr>
              <w:adjustRightInd w:val="0"/>
              <w:snapToGrid w:val="0"/>
              <w:spacing w:line="264" w:lineRule="auto"/>
              <w:jc w:val="center"/>
              <w:rPr>
                <w:sz w:val="15"/>
                <w:szCs w:val="15"/>
              </w:rPr>
            </w:pPr>
            <w:r>
              <w:rPr>
                <w:sz w:val="15"/>
                <w:szCs w:val="15"/>
              </w:rPr>
              <w:t>2×</w:t>
            </w:r>
            <w:r>
              <w:rPr>
                <w:rFonts w:hAnsi="宋体"/>
                <w:sz w:val="15"/>
                <w:szCs w:val="15"/>
              </w:rPr>
              <w:t>Ⅰ</w:t>
            </w:r>
            <w:r>
              <w:rPr>
                <w:sz w:val="15"/>
                <w:szCs w:val="15"/>
              </w:rPr>
              <w:t>32c</w:t>
            </w:r>
          </w:p>
        </w:tc>
        <w:tc>
          <w:tcPr>
            <w:tcW w:w="1347" w:type="pct"/>
            <w:vAlign w:val="center"/>
          </w:tcPr>
          <w:p w14:paraId="3606480C">
            <w:pPr>
              <w:adjustRightInd w:val="0"/>
              <w:snapToGrid w:val="0"/>
              <w:spacing w:line="264" w:lineRule="auto"/>
              <w:jc w:val="center"/>
              <w:rPr>
                <w:sz w:val="15"/>
                <w:szCs w:val="15"/>
              </w:rPr>
            </w:pPr>
            <w:r>
              <w:rPr>
                <w:sz w:val="15"/>
                <w:szCs w:val="15"/>
              </w:rPr>
              <w:t>2×</w:t>
            </w:r>
            <w:r>
              <w:rPr>
                <w:rFonts w:hAnsi="宋体"/>
                <w:sz w:val="15"/>
                <w:szCs w:val="15"/>
              </w:rPr>
              <w:t>［</w:t>
            </w:r>
            <w:r>
              <w:rPr>
                <w:sz w:val="15"/>
                <w:szCs w:val="15"/>
              </w:rPr>
              <w:t>36c</w:t>
            </w:r>
          </w:p>
        </w:tc>
      </w:tr>
    </w:tbl>
    <w:p w14:paraId="030098C8">
      <w:pPr>
        <w:widowControl/>
        <w:jc w:val="left"/>
        <w:rPr>
          <w:rFonts w:ascii="宋体" w:hAnsi="宋体"/>
          <w:b/>
          <w:sz w:val="20"/>
          <w:szCs w:val="20"/>
        </w:rPr>
      </w:pPr>
      <w:r>
        <w:rPr>
          <w:rFonts w:ascii="宋体" w:hAnsi="宋体"/>
          <w:b/>
          <w:sz w:val="20"/>
          <w:szCs w:val="20"/>
        </w:rPr>
        <w:br w:type="page"/>
      </w:r>
    </w:p>
    <w:p w14:paraId="317B930E">
      <w:pPr>
        <w:pStyle w:val="5"/>
        <w:keepNext w:val="0"/>
        <w:keepLines w:val="0"/>
        <w:adjustRightInd w:val="0"/>
        <w:snapToGrid w:val="0"/>
        <w:spacing w:before="156" w:beforeLines="50" w:after="0" w:line="288" w:lineRule="auto"/>
        <w:jc w:val="center"/>
        <w:rPr>
          <w:rFonts w:ascii="黑体" w:hAnsi="黑体"/>
          <w:b w:val="0"/>
          <w:sz w:val="26"/>
          <w:szCs w:val="26"/>
        </w:rPr>
      </w:pPr>
      <w:bookmarkStart w:id="135" w:name="_Toc139613762"/>
      <w:r>
        <w:rPr>
          <w:rFonts w:hint="eastAsia" w:ascii="黑体" w:hAnsi="黑体"/>
          <w:b w:val="0"/>
          <w:sz w:val="26"/>
          <w:szCs w:val="26"/>
        </w:rPr>
        <w:t>附录</w:t>
      </w:r>
      <w:r>
        <w:rPr>
          <w:rFonts w:ascii="Times New Roman" w:hAnsi="Times New Roman"/>
          <w:sz w:val="26"/>
          <w:szCs w:val="26"/>
        </w:rPr>
        <w:t>D</w:t>
      </w:r>
      <w:r>
        <w:rPr>
          <w:rFonts w:hint="eastAsia" w:ascii="黑体" w:hAnsi="黑体"/>
          <w:b w:val="0"/>
          <w:sz w:val="26"/>
          <w:szCs w:val="26"/>
        </w:rPr>
        <w:t xml:space="preserve">  单位工程量碳排放量</w:t>
      </w:r>
      <w:bookmarkEnd w:id="135"/>
    </w:p>
    <w:p w14:paraId="4339320B">
      <w:pPr>
        <w:pStyle w:val="6"/>
      </w:pPr>
    </w:p>
    <w:p w14:paraId="28E60951">
      <w:pPr>
        <w:spacing w:line="288" w:lineRule="auto"/>
        <w:contextualSpacing/>
        <w:rPr>
          <w:bCs/>
          <w:sz w:val="20"/>
          <w:szCs w:val="20"/>
        </w:rPr>
      </w:pPr>
      <w:r>
        <w:rPr>
          <w:b/>
          <w:sz w:val="20"/>
          <w:szCs w:val="20"/>
        </w:rPr>
        <w:t>D.0.1</w:t>
      </w:r>
      <w:r>
        <w:rPr>
          <w:bCs/>
          <w:sz w:val="20"/>
          <w:szCs w:val="20"/>
        </w:rPr>
        <w:t xml:space="preserve">  单位工程量碳排放的</w:t>
      </w:r>
      <w:r>
        <w:rPr>
          <w:rFonts w:hint="eastAsia"/>
          <w:bCs/>
          <w:sz w:val="20"/>
          <w:szCs w:val="20"/>
        </w:rPr>
        <w:t>施工过程分部分项从开工起至基槽回填完工止，包括支护施工、土方开挖、地下水控制、基坑监测、基坑维护、基槽回填和拆除，具体计算阶段包括：</w:t>
      </w:r>
      <w:r>
        <w:rPr>
          <w:bCs/>
          <w:sz w:val="20"/>
          <w:szCs w:val="20"/>
        </w:rPr>
        <w:t>建材生产阶段、建材运输阶段、施工阶段、使用阶段、拆除阶段。当该施工步骤不涉及上述某些阶段时，该阶段碳排放量为</w:t>
      </w:r>
      <w:r>
        <w:rPr>
          <w:rFonts w:hint="eastAsia"/>
          <w:bCs/>
          <w:sz w:val="20"/>
          <w:szCs w:val="20"/>
        </w:rPr>
        <w:t>零</w:t>
      </w:r>
      <w:r>
        <w:rPr>
          <w:bCs/>
          <w:sz w:val="20"/>
          <w:szCs w:val="20"/>
        </w:rPr>
        <w:t>。</w:t>
      </w:r>
      <w:r>
        <w:rPr>
          <w:rFonts w:hint="eastAsia"/>
          <w:sz w:val="20"/>
          <w:szCs w:val="20"/>
        </w:rPr>
        <w:t>第</w:t>
      </w:r>
      <w:r>
        <w:rPr>
          <w:sz w:val="20"/>
          <w:szCs w:val="20"/>
        </w:rPr>
        <w:t>D.0.11</w:t>
      </w:r>
      <w:r>
        <w:rPr>
          <w:rFonts w:hint="eastAsia"/>
          <w:sz w:val="20"/>
          <w:szCs w:val="20"/>
        </w:rPr>
        <w:t>条中</w:t>
      </w:r>
      <w:r>
        <w:rPr>
          <w:bCs/>
          <w:sz w:val="20"/>
          <w:szCs w:val="20"/>
        </w:rPr>
        <w:t>未包含的特殊情况，可按下式计算：</w:t>
      </w:r>
    </w:p>
    <w:p w14:paraId="39B26621">
      <w:pPr>
        <w:pStyle w:val="13"/>
        <w:spacing w:line="288" w:lineRule="auto"/>
        <w:ind w:left="420" w:firstLine="420"/>
        <w:contextualSpacing/>
        <w:jc w:val="center"/>
        <w:rPr>
          <w:bCs/>
          <w:iCs/>
          <w:color w:val="auto"/>
          <w:spacing w:val="-2"/>
          <w:sz w:val="20"/>
          <w:szCs w:val="36"/>
        </w:rPr>
      </w:pPr>
      <m:oMath>
        <m:sSub>
          <m:sSubPr>
            <m:ctrlPr>
              <w:rPr>
                <w:rFonts w:ascii="Cambria Math" w:hAnsi="Cambria Math"/>
                <w:bCs/>
                <w:iCs/>
                <w:color w:val="auto"/>
                <w:spacing w:val="-7"/>
                <w:sz w:val="20"/>
                <w:szCs w:val="20"/>
              </w:rPr>
            </m:ctrlPr>
          </m:sSubPr>
          <m:e>
            <m:r>
              <m:rPr>
                <m:sty m:val="p"/>
              </m:rPr>
              <w:rPr>
                <w:rFonts w:ascii="Cambria Math" w:hAnsi="Cambria Math"/>
                <w:color w:val="auto"/>
                <w:spacing w:val="-7"/>
                <w:sz w:val="20"/>
                <w:szCs w:val="20"/>
              </w:rPr>
              <m:t>C</m:t>
            </m:r>
            <m:ctrlPr>
              <w:rPr>
                <w:rFonts w:ascii="Cambria Math" w:hAnsi="Cambria Math"/>
                <w:bCs/>
                <w:iCs/>
                <w:color w:val="auto"/>
                <w:spacing w:val="-7"/>
                <w:sz w:val="20"/>
                <w:szCs w:val="20"/>
              </w:rPr>
            </m:ctrlPr>
          </m:e>
          <m:sub>
            <m:r>
              <m:rPr>
                <m:sty m:val="p"/>
              </m:rPr>
              <w:rPr>
                <w:rFonts w:ascii="Cambria Math" w:hAnsi="Cambria Math"/>
                <w:color w:val="auto"/>
                <w:spacing w:val="-7"/>
                <w:sz w:val="20"/>
                <w:szCs w:val="20"/>
              </w:rPr>
              <m:t>u</m:t>
            </m:r>
            <m:ctrlPr>
              <w:rPr>
                <w:rFonts w:ascii="Cambria Math" w:hAnsi="Cambria Math"/>
                <w:bCs/>
                <w:iCs/>
                <w:color w:val="auto"/>
                <w:spacing w:val="-7"/>
                <w:sz w:val="20"/>
                <w:szCs w:val="20"/>
              </w:rPr>
            </m:ctrlPr>
          </m:sub>
        </m:sSub>
        <m:r>
          <m:rPr>
            <m:sty m:val="p"/>
          </m:rPr>
          <w:rPr>
            <w:rFonts w:ascii="Cambria Math" w:hAnsi="Cambria Math"/>
            <w:color w:val="auto"/>
            <w:spacing w:val="-7"/>
            <w:sz w:val="20"/>
            <w:szCs w:val="20"/>
          </w:rPr>
          <m:t>=</m:t>
        </m:r>
        <m:sSub>
          <m:sSubPr>
            <m:ctrlPr>
              <w:rPr>
                <w:rFonts w:ascii="Cambria Math" w:hAnsi="Cambria Math"/>
                <w:bCs/>
                <w:iCs/>
                <w:color w:val="auto"/>
                <w:spacing w:val="-2"/>
                <w:sz w:val="20"/>
                <w:szCs w:val="20"/>
              </w:rPr>
            </m:ctrlPr>
          </m:sSubPr>
          <m:e>
            <m:r>
              <m:rPr>
                <m:sty m:val="p"/>
              </m:rPr>
              <w:rPr>
                <w:rFonts w:ascii="Cambria Math" w:hAnsi="Cambria Math"/>
                <w:color w:val="auto"/>
                <w:spacing w:val="-2"/>
                <w:sz w:val="20"/>
                <w:szCs w:val="20"/>
              </w:rPr>
              <m:t>C</m:t>
            </m:r>
            <m:ctrlPr>
              <w:rPr>
                <w:rFonts w:ascii="Cambria Math" w:hAnsi="Cambria Math"/>
                <w:bCs/>
                <w:iCs/>
                <w:color w:val="auto"/>
                <w:spacing w:val="-2"/>
                <w:sz w:val="20"/>
                <w:szCs w:val="20"/>
              </w:rPr>
            </m:ctrlPr>
          </m:e>
          <m:sub>
            <m:r>
              <m:rPr>
                <m:sty m:val="p"/>
              </m:rPr>
              <w:rPr>
                <w:rFonts w:ascii="Cambria Math" w:hAnsi="Cambria Math"/>
                <w:color w:val="auto"/>
                <w:spacing w:val="-2"/>
                <w:sz w:val="20"/>
                <w:szCs w:val="20"/>
              </w:rPr>
              <m:t>up</m:t>
            </m:r>
            <m:ctrlPr>
              <w:rPr>
                <w:rFonts w:ascii="Cambria Math" w:hAnsi="Cambria Math"/>
                <w:bCs/>
                <w:iCs/>
                <w:color w:val="auto"/>
                <w:spacing w:val="-2"/>
                <w:sz w:val="20"/>
                <w:szCs w:val="20"/>
              </w:rPr>
            </m:ctrlPr>
          </m:sub>
        </m:sSub>
        <m:r>
          <m:rPr>
            <m:sty m:val="p"/>
          </m:rPr>
          <w:rPr>
            <w:rFonts w:ascii="Cambria Math" w:hAnsi="Cambria Math"/>
            <w:color w:val="auto"/>
            <w:spacing w:val="-2"/>
            <w:sz w:val="20"/>
            <w:szCs w:val="20"/>
          </w:rPr>
          <m:t>+</m:t>
        </m:r>
        <m:sSub>
          <m:sSubPr>
            <m:ctrlPr>
              <w:rPr>
                <w:rFonts w:ascii="Cambria Math" w:hAnsi="Cambria Math"/>
                <w:bCs/>
                <w:color w:val="auto"/>
                <w:spacing w:val="-2"/>
                <w:sz w:val="20"/>
                <w:szCs w:val="20"/>
              </w:rPr>
            </m:ctrlPr>
          </m:sSubPr>
          <m:e>
            <m:r>
              <m:rPr>
                <m:sty m:val="p"/>
              </m:rPr>
              <w:rPr>
                <w:rFonts w:ascii="Cambria Math" w:hAnsi="Cambria Math"/>
                <w:color w:val="auto"/>
                <w:spacing w:val="-2"/>
                <w:sz w:val="20"/>
                <w:szCs w:val="20"/>
              </w:rPr>
              <m:t>C</m:t>
            </m:r>
            <m:ctrlPr>
              <w:rPr>
                <w:rFonts w:ascii="Cambria Math" w:hAnsi="Cambria Math"/>
                <w:bCs/>
                <w:color w:val="auto"/>
                <w:spacing w:val="-2"/>
                <w:sz w:val="20"/>
                <w:szCs w:val="20"/>
              </w:rPr>
            </m:ctrlPr>
          </m:e>
          <m:sub>
            <m:r>
              <m:rPr>
                <m:sty m:val="p"/>
              </m:rPr>
              <w:rPr>
                <w:rFonts w:ascii="Cambria Math" w:hAnsi="Cambria Math"/>
                <w:color w:val="auto"/>
                <w:spacing w:val="-2"/>
                <w:sz w:val="20"/>
                <w:szCs w:val="20"/>
              </w:rPr>
              <m:t>ut</m:t>
            </m:r>
            <m:ctrlPr>
              <w:rPr>
                <w:rFonts w:ascii="Cambria Math" w:hAnsi="Cambria Math"/>
                <w:bCs/>
                <w:color w:val="auto"/>
                <w:spacing w:val="-2"/>
                <w:sz w:val="20"/>
                <w:szCs w:val="20"/>
              </w:rPr>
            </m:ctrlPr>
          </m:sub>
        </m:sSub>
        <m:r>
          <m:rPr/>
          <w:rPr>
            <w:rFonts w:ascii="Cambria Math" w:hAnsi="Cambria Math"/>
            <w:color w:val="auto"/>
            <w:spacing w:val="-7"/>
            <w:sz w:val="20"/>
            <w:szCs w:val="20"/>
          </w:rPr>
          <m:t>+</m:t>
        </m:r>
        <m:sSub>
          <m:sSubPr>
            <m:ctrlPr>
              <w:rPr>
                <w:rFonts w:ascii="Cambria Math" w:hAnsi="Cambria Math"/>
                <w:bCs/>
                <w:iCs/>
                <w:color w:val="auto"/>
                <w:spacing w:val="-2"/>
                <w:sz w:val="20"/>
                <w:szCs w:val="20"/>
              </w:rPr>
            </m:ctrlPr>
          </m:sSubPr>
          <m:e>
            <m:r>
              <m:rPr>
                <m:sty m:val="p"/>
              </m:rPr>
              <w:rPr>
                <w:rFonts w:ascii="Cambria Math" w:hAnsi="Cambria Math"/>
                <w:color w:val="auto"/>
                <w:spacing w:val="-2"/>
                <w:sz w:val="20"/>
                <w:szCs w:val="20"/>
              </w:rPr>
              <m:t>C</m:t>
            </m:r>
            <m:ctrlPr>
              <w:rPr>
                <w:rFonts w:ascii="Cambria Math" w:hAnsi="Cambria Math"/>
                <w:bCs/>
                <w:iCs/>
                <w:color w:val="auto"/>
                <w:spacing w:val="-2"/>
                <w:sz w:val="20"/>
                <w:szCs w:val="20"/>
              </w:rPr>
            </m:ctrlPr>
          </m:e>
          <m:sub>
            <m:r>
              <m:rPr>
                <m:sty m:val="p"/>
              </m:rPr>
              <w:rPr>
                <w:rFonts w:ascii="Cambria Math" w:hAnsi="Cambria Math"/>
                <w:color w:val="auto"/>
                <w:spacing w:val="-2"/>
                <w:sz w:val="20"/>
                <w:szCs w:val="20"/>
              </w:rPr>
              <m:t>uc</m:t>
            </m:r>
            <m:ctrlPr>
              <w:rPr>
                <w:rFonts w:ascii="Cambria Math" w:hAnsi="Cambria Math"/>
                <w:bCs/>
                <w:iCs/>
                <w:color w:val="auto"/>
                <w:spacing w:val="-2"/>
                <w:sz w:val="20"/>
                <w:szCs w:val="20"/>
              </w:rPr>
            </m:ctrlPr>
          </m:sub>
        </m:sSub>
        <m:r>
          <m:rPr/>
          <w:rPr>
            <w:rFonts w:ascii="Cambria Math" w:hAnsi="Cambria Math"/>
            <w:color w:val="auto"/>
            <w:spacing w:val="-2"/>
            <w:sz w:val="20"/>
            <w:szCs w:val="20"/>
          </w:rPr>
          <m:t>+</m:t>
        </m:r>
        <m:sSub>
          <m:sSubPr>
            <m:ctrlPr>
              <w:rPr>
                <w:rFonts w:ascii="Cambria Math" w:hAnsi="Cambria Math"/>
                <w:bCs/>
                <w:iCs/>
                <w:color w:val="auto"/>
                <w:spacing w:val="-2"/>
                <w:sz w:val="20"/>
                <w:szCs w:val="20"/>
              </w:rPr>
            </m:ctrlPr>
          </m:sSubPr>
          <m:e>
            <m:r>
              <m:rPr>
                <m:sty m:val="p"/>
              </m:rPr>
              <w:rPr>
                <w:rFonts w:ascii="Cambria Math" w:hAnsi="Cambria Math"/>
                <w:color w:val="auto"/>
                <w:spacing w:val="-2"/>
                <w:sz w:val="20"/>
                <w:szCs w:val="20"/>
              </w:rPr>
              <m:t>C</m:t>
            </m:r>
            <m:ctrlPr>
              <w:rPr>
                <w:rFonts w:ascii="Cambria Math" w:hAnsi="Cambria Math"/>
                <w:bCs/>
                <w:iCs/>
                <w:color w:val="auto"/>
                <w:spacing w:val="-2"/>
                <w:sz w:val="20"/>
                <w:szCs w:val="20"/>
              </w:rPr>
            </m:ctrlPr>
          </m:e>
          <m:sub>
            <m:r>
              <m:rPr>
                <m:sty m:val="p"/>
              </m:rPr>
              <w:rPr>
                <w:rFonts w:ascii="Cambria Math" w:hAnsi="Cambria Math"/>
                <w:color w:val="auto"/>
                <w:spacing w:val="-2"/>
                <w:sz w:val="20"/>
                <w:szCs w:val="20"/>
              </w:rPr>
              <m:t>uo</m:t>
            </m:r>
            <m:ctrlPr>
              <w:rPr>
                <w:rFonts w:ascii="Cambria Math" w:hAnsi="Cambria Math"/>
                <w:bCs/>
                <w:iCs/>
                <w:color w:val="auto"/>
                <w:spacing w:val="-2"/>
                <w:sz w:val="20"/>
                <w:szCs w:val="20"/>
              </w:rPr>
            </m:ctrlPr>
          </m:sub>
        </m:sSub>
        <m:r>
          <m:rPr/>
          <w:rPr>
            <w:rFonts w:ascii="Cambria Math" w:hAnsi="Cambria Math"/>
            <w:color w:val="auto"/>
            <w:spacing w:val="-2"/>
            <w:sz w:val="20"/>
            <w:szCs w:val="20"/>
          </w:rPr>
          <m:t>+</m:t>
        </m:r>
        <m:sSub>
          <m:sSubPr>
            <m:ctrlPr>
              <w:rPr>
                <w:rFonts w:ascii="Cambria Math" w:hAnsi="Cambria Math"/>
                <w:bCs/>
                <w:iCs/>
                <w:color w:val="auto"/>
                <w:spacing w:val="-2"/>
                <w:sz w:val="20"/>
                <w:szCs w:val="20"/>
              </w:rPr>
            </m:ctrlPr>
          </m:sSubPr>
          <m:e>
            <m:r>
              <m:rPr>
                <m:sty m:val="p"/>
              </m:rPr>
              <w:rPr>
                <w:rFonts w:ascii="Cambria Math" w:hAnsi="Cambria Math"/>
                <w:color w:val="auto"/>
                <w:spacing w:val="-2"/>
                <w:sz w:val="20"/>
                <w:szCs w:val="20"/>
              </w:rPr>
              <m:t>C</m:t>
            </m:r>
            <m:ctrlPr>
              <w:rPr>
                <w:rFonts w:ascii="Cambria Math" w:hAnsi="Cambria Math"/>
                <w:bCs/>
                <w:iCs/>
                <w:color w:val="auto"/>
                <w:spacing w:val="-2"/>
                <w:sz w:val="20"/>
                <w:szCs w:val="20"/>
              </w:rPr>
            </m:ctrlPr>
          </m:e>
          <m:sub>
            <m:r>
              <m:rPr>
                <m:sty m:val="p"/>
              </m:rPr>
              <w:rPr>
                <w:rFonts w:ascii="Cambria Math" w:hAnsi="Cambria Math"/>
                <w:color w:val="auto"/>
                <w:spacing w:val="-2"/>
                <w:sz w:val="20"/>
                <w:szCs w:val="20"/>
              </w:rPr>
              <m:t>ud</m:t>
            </m:r>
            <m:ctrlPr>
              <w:rPr>
                <w:rFonts w:ascii="Cambria Math" w:hAnsi="Cambria Math"/>
                <w:bCs/>
                <w:iCs/>
                <w:color w:val="auto"/>
                <w:spacing w:val="-2"/>
                <w:sz w:val="20"/>
                <w:szCs w:val="20"/>
              </w:rPr>
            </m:ctrlPr>
          </m:sub>
        </m:sSub>
      </m:oMath>
      <w:r>
        <w:rPr>
          <w:bCs/>
          <w:iCs/>
          <w:color w:val="auto"/>
          <w:spacing w:val="-2"/>
          <w:sz w:val="20"/>
          <w:szCs w:val="20"/>
        </w:rPr>
        <w:t xml:space="preserve">            </w:t>
      </w:r>
      <w:r>
        <w:rPr>
          <w:bCs/>
          <w:iCs/>
          <w:color w:val="auto"/>
          <w:spacing w:val="-2"/>
        </w:rPr>
        <w:t xml:space="preserve">   </w:t>
      </w:r>
      <w:r>
        <w:rPr>
          <w:bCs/>
          <w:iCs/>
          <w:color w:val="auto"/>
          <w:spacing w:val="-2"/>
          <w:sz w:val="20"/>
          <w:szCs w:val="36"/>
        </w:rPr>
        <w:t xml:space="preserve"> （D.0.1）</w:t>
      </w:r>
    </w:p>
    <w:p w14:paraId="12403496">
      <w:pPr>
        <w:pStyle w:val="13"/>
        <w:spacing w:line="288" w:lineRule="auto"/>
        <w:ind w:firstLine="400" w:firstLineChars="200"/>
        <w:contextualSpacing/>
        <w:rPr>
          <w:bCs/>
          <w:color w:val="auto"/>
          <w:sz w:val="20"/>
          <w:szCs w:val="20"/>
        </w:rPr>
      </w:pPr>
      <w:r>
        <w:rPr>
          <w:bCs/>
          <w:color w:val="auto"/>
          <w:sz w:val="20"/>
          <w:szCs w:val="20"/>
        </w:rPr>
        <w:t>式中：</w:t>
      </w:r>
      <w:r>
        <w:rPr>
          <w:color w:val="auto"/>
          <w:sz w:val="20"/>
          <w:szCs w:val="22"/>
        </w:rPr>
        <w:t>C</w:t>
      </w:r>
      <w:r>
        <w:rPr>
          <w:color w:val="auto"/>
          <w:sz w:val="20"/>
          <w:szCs w:val="22"/>
          <w:vertAlign w:val="subscript"/>
        </w:rPr>
        <w:t>u</w:t>
      </w:r>
      <w:r>
        <w:rPr>
          <w:color w:val="auto"/>
          <w:sz w:val="20"/>
          <w:szCs w:val="22"/>
        </w:rPr>
        <w:t>——</w:t>
      </w:r>
      <w:bookmarkStart w:id="136" w:name="_Hlk128487187"/>
      <w:r>
        <w:rPr>
          <w:color w:val="auto"/>
          <w:sz w:val="20"/>
          <w:szCs w:val="22"/>
        </w:rPr>
        <w:t>单位工程量</w:t>
      </w:r>
      <w:bookmarkEnd w:id="136"/>
      <w:r>
        <w:rPr>
          <w:rFonts w:hint="eastAsia"/>
          <w:color w:val="auto"/>
          <w:sz w:val="20"/>
          <w:szCs w:val="22"/>
        </w:rPr>
        <w:t>碳排放因子</w:t>
      </w:r>
      <w:r>
        <w:rPr>
          <w:color w:val="auto"/>
          <w:sz w:val="20"/>
          <w:szCs w:val="22"/>
        </w:rPr>
        <w:t>（kgCO</w:t>
      </w:r>
      <w:r>
        <w:rPr>
          <w:color w:val="auto"/>
          <w:sz w:val="20"/>
          <w:szCs w:val="22"/>
          <w:vertAlign w:val="subscript"/>
        </w:rPr>
        <w:t>2</w:t>
      </w:r>
      <w:r>
        <w:rPr>
          <w:color w:val="auto"/>
          <w:sz w:val="20"/>
          <w:szCs w:val="22"/>
        </w:rPr>
        <w:t xml:space="preserve">e/工程量计量单位）； </w:t>
      </w:r>
    </w:p>
    <w:p w14:paraId="0F7C8B86">
      <w:pPr>
        <w:pStyle w:val="13"/>
        <w:spacing w:line="288" w:lineRule="auto"/>
        <w:ind w:firstLine="1000" w:firstLineChars="500"/>
        <w:contextualSpacing/>
        <w:rPr>
          <w:color w:val="auto"/>
          <w:sz w:val="20"/>
          <w:szCs w:val="22"/>
        </w:rPr>
      </w:pPr>
      <w:r>
        <w:rPr>
          <w:color w:val="auto"/>
          <w:sz w:val="20"/>
          <w:szCs w:val="22"/>
        </w:rPr>
        <w:t>C</w:t>
      </w:r>
      <w:r>
        <w:rPr>
          <w:color w:val="auto"/>
          <w:sz w:val="20"/>
          <w:szCs w:val="22"/>
          <w:vertAlign w:val="subscript"/>
        </w:rPr>
        <w:t>up</w:t>
      </w:r>
      <w:r>
        <w:rPr>
          <w:color w:val="auto"/>
          <w:sz w:val="20"/>
          <w:szCs w:val="22"/>
        </w:rPr>
        <w:t>——单位工程量建材生产阶段碳排放量（kgCO</w:t>
      </w:r>
      <w:r>
        <w:rPr>
          <w:color w:val="auto"/>
          <w:sz w:val="20"/>
          <w:szCs w:val="22"/>
          <w:vertAlign w:val="subscript"/>
        </w:rPr>
        <w:t>2</w:t>
      </w:r>
      <w:r>
        <w:rPr>
          <w:color w:val="auto"/>
          <w:sz w:val="20"/>
          <w:szCs w:val="22"/>
        </w:rPr>
        <w:t>e/工程量计量单位）</w:t>
      </w:r>
      <w:r>
        <w:rPr>
          <w:rFonts w:hint="eastAsia"/>
          <w:color w:val="auto"/>
          <w:sz w:val="20"/>
          <w:szCs w:val="22"/>
        </w:rPr>
        <w:t>，按第D.</w:t>
      </w:r>
      <w:r>
        <w:rPr>
          <w:color w:val="auto"/>
          <w:sz w:val="20"/>
          <w:szCs w:val="22"/>
        </w:rPr>
        <w:t>0.6</w:t>
      </w:r>
      <w:r>
        <w:rPr>
          <w:rFonts w:hint="eastAsia"/>
          <w:color w:val="auto"/>
          <w:sz w:val="20"/>
          <w:szCs w:val="22"/>
        </w:rPr>
        <w:t>条计算</w:t>
      </w:r>
      <w:r>
        <w:rPr>
          <w:color w:val="auto"/>
          <w:sz w:val="20"/>
          <w:szCs w:val="22"/>
        </w:rPr>
        <w:t>；</w:t>
      </w:r>
    </w:p>
    <w:p w14:paraId="700960CB">
      <w:pPr>
        <w:pStyle w:val="13"/>
        <w:spacing w:line="288" w:lineRule="auto"/>
        <w:ind w:firstLine="1000" w:firstLineChars="500"/>
        <w:contextualSpacing/>
        <w:rPr>
          <w:color w:val="auto"/>
          <w:sz w:val="20"/>
          <w:szCs w:val="22"/>
        </w:rPr>
      </w:pPr>
      <w:r>
        <w:rPr>
          <w:color w:val="auto"/>
          <w:sz w:val="20"/>
          <w:szCs w:val="22"/>
        </w:rPr>
        <w:t>C</w:t>
      </w:r>
      <w:r>
        <w:rPr>
          <w:color w:val="auto"/>
          <w:sz w:val="20"/>
          <w:szCs w:val="22"/>
          <w:vertAlign w:val="subscript"/>
        </w:rPr>
        <w:t>ut</w:t>
      </w:r>
      <w:r>
        <w:rPr>
          <w:color w:val="auto"/>
          <w:sz w:val="20"/>
          <w:szCs w:val="22"/>
        </w:rPr>
        <w:t>——单位工程量建材运输阶段碳排放量（kgCO</w:t>
      </w:r>
      <w:r>
        <w:rPr>
          <w:color w:val="auto"/>
          <w:sz w:val="20"/>
          <w:szCs w:val="22"/>
          <w:vertAlign w:val="subscript"/>
        </w:rPr>
        <w:t>2</w:t>
      </w:r>
      <w:r>
        <w:rPr>
          <w:color w:val="auto"/>
          <w:sz w:val="20"/>
          <w:szCs w:val="22"/>
        </w:rPr>
        <w:t>e/工程量计量单位）</w:t>
      </w:r>
      <w:r>
        <w:rPr>
          <w:rFonts w:hint="eastAsia"/>
          <w:color w:val="auto"/>
          <w:sz w:val="20"/>
          <w:szCs w:val="22"/>
        </w:rPr>
        <w:t>，按第D.</w:t>
      </w:r>
      <w:r>
        <w:rPr>
          <w:color w:val="auto"/>
          <w:sz w:val="20"/>
          <w:szCs w:val="22"/>
        </w:rPr>
        <w:t>0.10</w:t>
      </w:r>
      <w:r>
        <w:rPr>
          <w:rFonts w:hint="eastAsia"/>
          <w:color w:val="auto"/>
          <w:sz w:val="20"/>
          <w:szCs w:val="22"/>
        </w:rPr>
        <w:t>条计算</w:t>
      </w:r>
      <w:r>
        <w:rPr>
          <w:color w:val="auto"/>
          <w:sz w:val="20"/>
          <w:szCs w:val="22"/>
        </w:rPr>
        <w:t>；</w:t>
      </w:r>
    </w:p>
    <w:p w14:paraId="4CAAF696">
      <w:pPr>
        <w:pStyle w:val="13"/>
        <w:spacing w:line="288" w:lineRule="auto"/>
        <w:ind w:firstLine="1000" w:firstLineChars="500"/>
        <w:contextualSpacing/>
        <w:rPr>
          <w:color w:val="auto"/>
          <w:sz w:val="20"/>
          <w:szCs w:val="22"/>
        </w:rPr>
      </w:pPr>
      <w:r>
        <w:rPr>
          <w:color w:val="auto"/>
          <w:sz w:val="20"/>
          <w:szCs w:val="22"/>
        </w:rPr>
        <w:t>C</w:t>
      </w:r>
      <w:r>
        <w:rPr>
          <w:color w:val="auto"/>
          <w:sz w:val="20"/>
          <w:szCs w:val="22"/>
          <w:vertAlign w:val="subscript"/>
        </w:rPr>
        <w:t>uc</w:t>
      </w:r>
      <w:r>
        <w:rPr>
          <w:color w:val="auto"/>
          <w:sz w:val="20"/>
          <w:szCs w:val="22"/>
        </w:rPr>
        <w:t>——单位工程量施工阶段碳排放量（kgCO</w:t>
      </w:r>
      <w:r>
        <w:rPr>
          <w:color w:val="auto"/>
          <w:sz w:val="20"/>
          <w:szCs w:val="22"/>
          <w:vertAlign w:val="subscript"/>
        </w:rPr>
        <w:t>2</w:t>
      </w:r>
      <w:r>
        <w:rPr>
          <w:color w:val="auto"/>
          <w:sz w:val="20"/>
          <w:szCs w:val="22"/>
        </w:rPr>
        <w:t>e/工程量计量单位）</w:t>
      </w:r>
      <w:r>
        <w:rPr>
          <w:rFonts w:hint="eastAsia"/>
          <w:color w:val="auto"/>
          <w:sz w:val="20"/>
          <w:szCs w:val="22"/>
        </w:rPr>
        <w:t>，按第D.</w:t>
      </w:r>
      <w:r>
        <w:rPr>
          <w:color w:val="auto"/>
          <w:sz w:val="20"/>
          <w:szCs w:val="22"/>
        </w:rPr>
        <w:t>0.7</w:t>
      </w:r>
      <w:r>
        <w:rPr>
          <w:rFonts w:hint="eastAsia"/>
          <w:color w:val="auto"/>
          <w:sz w:val="20"/>
          <w:szCs w:val="22"/>
        </w:rPr>
        <w:t>条计算</w:t>
      </w:r>
      <w:r>
        <w:rPr>
          <w:color w:val="auto"/>
          <w:sz w:val="20"/>
          <w:szCs w:val="22"/>
        </w:rPr>
        <w:t>；</w:t>
      </w:r>
    </w:p>
    <w:p w14:paraId="5547F4B0">
      <w:pPr>
        <w:pStyle w:val="13"/>
        <w:spacing w:line="288" w:lineRule="auto"/>
        <w:ind w:firstLine="1000" w:firstLineChars="500"/>
        <w:contextualSpacing/>
        <w:rPr>
          <w:color w:val="auto"/>
          <w:sz w:val="20"/>
          <w:szCs w:val="22"/>
        </w:rPr>
      </w:pPr>
      <w:r>
        <w:rPr>
          <w:color w:val="auto"/>
          <w:sz w:val="20"/>
          <w:szCs w:val="22"/>
        </w:rPr>
        <w:t>C</w:t>
      </w:r>
      <w:r>
        <w:rPr>
          <w:color w:val="auto"/>
          <w:sz w:val="20"/>
          <w:szCs w:val="22"/>
          <w:vertAlign w:val="subscript"/>
        </w:rPr>
        <w:t>uo</w:t>
      </w:r>
      <w:r>
        <w:rPr>
          <w:color w:val="auto"/>
          <w:sz w:val="20"/>
          <w:szCs w:val="22"/>
        </w:rPr>
        <w:t>——单位工程量</w:t>
      </w:r>
      <w:r>
        <w:rPr>
          <w:rFonts w:hint="eastAsia"/>
          <w:color w:val="auto"/>
          <w:sz w:val="20"/>
          <w:szCs w:val="22"/>
        </w:rPr>
        <w:t>使用</w:t>
      </w:r>
      <w:r>
        <w:rPr>
          <w:color w:val="auto"/>
          <w:sz w:val="20"/>
          <w:szCs w:val="22"/>
        </w:rPr>
        <w:t>阶段碳排放量（kgCO</w:t>
      </w:r>
      <w:r>
        <w:rPr>
          <w:color w:val="auto"/>
          <w:sz w:val="20"/>
          <w:szCs w:val="22"/>
          <w:vertAlign w:val="subscript"/>
        </w:rPr>
        <w:t>2</w:t>
      </w:r>
      <w:r>
        <w:rPr>
          <w:color w:val="auto"/>
          <w:sz w:val="20"/>
          <w:szCs w:val="22"/>
        </w:rPr>
        <w:t>e/工程量计量单位）</w:t>
      </w:r>
      <w:r>
        <w:rPr>
          <w:rFonts w:hint="eastAsia"/>
          <w:color w:val="auto"/>
          <w:sz w:val="20"/>
          <w:szCs w:val="22"/>
        </w:rPr>
        <w:t>，按第D.</w:t>
      </w:r>
      <w:r>
        <w:rPr>
          <w:color w:val="auto"/>
          <w:sz w:val="20"/>
          <w:szCs w:val="22"/>
        </w:rPr>
        <w:t>0.8</w:t>
      </w:r>
      <w:r>
        <w:rPr>
          <w:rFonts w:hint="eastAsia"/>
          <w:color w:val="auto"/>
          <w:sz w:val="20"/>
          <w:szCs w:val="22"/>
        </w:rPr>
        <w:t>条计算</w:t>
      </w:r>
      <w:r>
        <w:rPr>
          <w:color w:val="auto"/>
          <w:sz w:val="20"/>
          <w:szCs w:val="22"/>
        </w:rPr>
        <w:t>；</w:t>
      </w:r>
    </w:p>
    <w:p w14:paraId="49288FF7">
      <w:pPr>
        <w:pStyle w:val="13"/>
        <w:spacing w:line="288" w:lineRule="auto"/>
        <w:ind w:firstLine="1000" w:firstLineChars="500"/>
        <w:contextualSpacing/>
        <w:rPr>
          <w:color w:val="auto"/>
          <w:sz w:val="20"/>
          <w:szCs w:val="22"/>
        </w:rPr>
      </w:pPr>
      <w:r>
        <w:rPr>
          <w:color w:val="auto"/>
          <w:sz w:val="20"/>
          <w:szCs w:val="22"/>
        </w:rPr>
        <w:t>C</w:t>
      </w:r>
      <w:r>
        <w:rPr>
          <w:color w:val="auto"/>
          <w:sz w:val="20"/>
          <w:szCs w:val="22"/>
          <w:vertAlign w:val="subscript"/>
        </w:rPr>
        <w:t>ud</w:t>
      </w:r>
      <w:r>
        <w:rPr>
          <w:color w:val="auto"/>
          <w:sz w:val="20"/>
          <w:szCs w:val="22"/>
        </w:rPr>
        <w:t>——单位工程量拆除阶段碳排放量（kgCO</w:t>
      </w:r>
      <w:r>
        <w:rPr>
          <w:color w:val="auto"/>
          <w:sz w:val="20"/>
          <w:szCs w:val="22"/>
          <w:vertAlign w:val="subscript"/>
        </w:rPr>
        <w:t>2</w:t>
      </w:r>
      <w:r>
        <w:rPr>
          <w:color w:val="auto"/>
          <w:sz w:val="20"/>
          <w:szCs w:val="22"/>
        </w:rPr>
        <w:t>e/工程量计量单位）</w:t>
      </w:r>
      <w:r>
        <w:rPr>
          <w:rFonts w:hint="eastAsia"/>
          <w:color w:val="auto"/>
          <w:sz w:val="20"/>
          <w:szCs w:val="22"/>
        </w:rPr>
        <w:t>，按第D.</w:t>
      </w:r>
      <w:r>
        <w:rPr>
          <w:color w:val="auto"/>
          <w:sz w:val="20"/>
          <w:szCs w:val="22"/>
        </w:rPr>
        <w:t>0.9</w:t>
      </w:r>
      <w:r>
        <w:rPr>
          <w:rFonts w:hint="eastAsia"/>
          <w:color w:val="auto"/>
          <w:sz w:val="20"/>
          <w:szCs w:val="22"/>
        </w:rPr>
        <w:t>条计算。</w:t>
      </w:r>
    </w:p>
    <w:p w14:paraId="2CB2BCE3">
      <w:pPr>
        <w:spacing w:line="288" w:lineRule="auto"/>
        <w:contextualSpacing/>
        <w:rPr>
          <w:sz w:val="20"/>
          <w:szCs w:val="20"/>
        </w:rPr>
      </w:pPr>
      <w:r>
        <w:rPr>
          <w:b/>
          <w:sz w:val="20"/>
          <w:szCs w:val="20"/>
        </w:rPr>
        <w:t>D.0.2</w:t>
      </w:r>
      <w:r>
        <w:rPr>
          <w:bCs/>
          <w:sz w:val="20"/>
          <w:szCs w:val="20"/>
        </w:rPr>
        <w:t xml:space="preserve">  </w:t>
      </w:r>
      <w:r>
        <w:rPr>
          <w:sz w:val="20"/>
          <w:szCs w:val="20"/>
        </w:rPr>
        <w:t>单位工程量材料消耗按照</w:t>
      </w:r>
      <w:r>
        <w:rPr>
          <w:rFonts w:hint="eastAsia"/>
          <w:sz w:val="20"/>
          <w:szCs w:val="20"/>
        </w:rPr>
        <w:t>现行建设工程计价依据中规定的预算消耗量标准进行</w:t>
      </w:r>
      <w:r>
        <w:rPr>
          <w:sz w:val="20"/>
          <w:szCs w:val="20"/>
        </w:rPr>
        <w:t>计算</w:t>
      </w:r>
      <w:r>
        <w:rPr>
          <w:rFonts w:hint="eastAsia"/>
          <w:sz w:val="20"/>
          <w:szCs w:val="20"/>
        </w:rPr>
        <w:t>。</w:t>
      </w:r>
    </w:p>
    <w:p w14:paraId="1046880A">
      <w:pPr>
        <w:spacing w:line="288" w:lineRule="auto"/>
        <w:contextualSpacing/>
        <w:rPr>
          <w:sz w:val="20"/>
          <w:szCs w:val="20"/>
        </w:rPr>
      </w:pPr>
      <w:r>
        <w:rPr>
          <w:b/>
          <w:sz w:val="20"/>
          <w:szCs w:val="20"/>
        </w:rPr>
        <w:t>D.0.3</w:t>
      </w:r>
      <w:r>
        <w:rPr>
          <w:bCs/>
          <w:sz w:val="20"/>
          <w:szCs w:val="20"/>
        </w:rPr>
        <w:t xml:space="preserve">  </w:t>
      </w:r>
      <w:r>
        <w:rPr>
          <w:sz w:val="20"/>
          <w:szCs w:val="20"/>
        </w:rPr>
        <w:t>碳排放量调整系数主要考虑了地层岩土性质，构件反复利用等其它条件对碳排放量的影响，可根据具体情况选用。</w:t>
      </w:r>
    </w:p>
    <w:p w14:paraId="0B586C31">
      <w:pPr>
        <w:spacing w:line="288" w:lineRule="auto"/>
        <w:contextualSpacing/>
        <w:rPr>
          <w:b/>
          <w:sz w:val="28"/>
          <w:szCs w:val="28"/>
        </w:rPr>
      </w:pPr>
      <w:r>
        <w:rPr>
          <w:b/>
          <w:sz w:val="20"/>
          <w:szCs w:val="20"/>
        </w:rPr>
        <w:t xml:space="preserve">D.0.4  </w:t>
      </w:r>
      <w:r>
        <w:rPr>
          <w:sz w:val="20"/>
          <w:szCs w:val="20"/>
        </w:rPr>
        <w:t>基坑工程中涉及的常见碳排放因子主要按照建筑碳排放计算标准（GBT 51366-2019）计算。列于附录E中。</w:t>
      </w:r>
    </w:p>
    <w:p w14:paraId="60817FC3">
      <w:pPr>
        <w:spacing w:line="288" w:lineRule="auto"/>
        <w:contextualSpacing/>
        <w:rPr>
          <w:sz w:val="20"/>
          <w:szCs w:val="20"/>
        </w:rPr>
      </w:pPr>
      <w:r>
        <w:rPr>
          <w:b/>
          <w:sz w:val="20"/>
          <w:szCs w:val="20"/>
        </w:rPr>
        <w:t>D.0.5</w:t>
      </w:r>
      <w:r>
        <w:rPr>
          <w:sz w:val="20"/>
          <w:szCs w:val="20"/>
        </w:rPr>
        <w:t xml:space="preserve">  基坑工程碳排放量</w:t>
      </w:r>
      <w:r>
        <w:rPr>
          <w:rFonts w:hint="eastAsia"/>
          <w:sz w:val="20"/>
          <w:szCs w:val="20"/>
        </w:rPr>
        <w:t>宜</w:t>
      </w:r>
      <w:r>
        <w:rPr>
          <w:sz w:val="20"/>
          <w:szCs w:val="20"/>
        </w:rPr>
        <w:t>按本</w:t>
      </w:r>
      <w:r>
        <w:rPr>
          <w:rFonts w:hint="eastAsia"/>
          <w:sz w:val="20"/>
          <w:szCs w:val="20"/>
        </w:rPr>
        <w:t>规程</w:t>
      </w:r>
      <w:r>
        <w:rPr>
          <w:sz w:val="20"/>
          <w:szCs w:val="20"/>
        </w:rPr>
        <w:t>提供的方法和数据</w:t>
      </w:r>
      <w:r>
        <w:rPr>
          <w:rFonts w:hint="eastAsia"/>
          <w:sz w:val="20"/>
          <w:szCs w:val="20"/>
        </w:rPr>
        <w:t>进行计算</w:t>
      </w:r>
      <w:r>
        <w:rPr>
          <w:sz w:val="20"/>
          <w:szCs w:val="20"/>
        </w:rPr>
        <w:t>，宜采用基于本</w:t>
      </w:r>
      <w:r>
        <w:rPr>
          <w:rFonts w:hint="eastAsia"/>
          <w:sz w:val="20"/>
          <w:szCs w:val="20"/>
        </w:rPr>
        <w:t>规程</w:t>
      </w:r>
      <w:r>
        <w:rPr>
          <w:sz w:val="20"/>
          <w:szCs w:val="20"/>
        </w:rPr>
        <w:t>计算方法和数据开发的基坑工程碳排量计算软件</w:t>
      </w:r>
      <w:r>
        <w:rPr>
          <w:rFonts w:hint="eastAsia"/>
          <w:sz w:val="20"/>
          <w:szCs w:val="20"/>
        </w:rPr>
        <w:t>计算</w:t>
      </w:r>
      <w:r>
        <w:rPr>
          <w:sz w:val="20"/>
          <w:szCs w:val="20"/>
        </w:rPr>
        <w:t>。</w:t>
      </w:r>
    </w:p>
    <w:p w14:paraId="37FE3A5B">
      <w:pPr>
        <w:spacing w:line="288" w:lineRule="auto"/>
        <w:contextualSpacing/>
        <w:rPr>
          <w:sz w:val="20"/>
          <w:szCs w:val="20"/>
        </w:rPr>
      </w:pPr>
      <w:r>
        <w:rPr>
          <w:b/>
          <w:sz w:val="20"/>
          <w:szCs w:val="20"/>
        </w:rPr>
        <w:t xml:space="preserve">D.0.6 </w:t>
      </w:r>
      <w:r>
        <w:rPr>
          <w:sz w:val="20"/>
          <w:szCs w:val="20"/>
        </w:rPr>
        <w:t xml:space="preserve"> 建材生产阶段碳排放量计算应包含</w:t>
      </w:r>
      <w:r>
        <w:rPr>
          <w:rFonts w:hint="eastAsia"/>
          <w:sz w:val="20"/>
          <w:szCs w:val="20"/>
        </w:rPr>
        <w:t>支护结构</w:t>
      </w:r>
      <w:r>
        <w:rPr>
          <w:sz w:val="20"/>
          <w:szCs w:val="20"/>
        </w:rPr>
        <w:t>材料、止水结构材料、支撑与换撑结构材料、拉锚结构材料、冠梁腰梁材料、护坡护面材料、降水结构材料、附属设施材料的碳排放量。建筑材料消耗量包括净用量和损耗量，损耗量包括从工地仓库、现场集中堆放地点或现场加工地点至操作或安装地点的运输损耗、施工操作损耗和施工现场堆放损耗。</w:t>
      </w:r>
      <w:r>
        <w:rPr>
          <w:rFonts w:hint="eastAsia"/>
          <w:sz w:val="20"/>
          <w:szCs w:val="20"/>
        </w:rPr>
        <w:t>建材生产阶段</w:t>
      </w:r>
      <w:r>
        <w:rPr>
          <w:sz w:val="20"/>
          <w:szCs w:val="20"/>
        </w:rPr>
        <w:t>碳排放量应按下式计算：</w:t>
      </w:r>
    </w:p>
    <w:p w14:paraId="1A0BBE3D">
      <w:pPr>
        <w:pStyle w:val="13"/>
        <w:spacing w:line="288" w:lineRule="auto"/>
        <w:ind w:left="420" w:firstLine="420"/>
        <w:contextualSpacing/>
        <w:jc w:val="center"/>
        <w:rPr>
          <w:bCs/>
          <w:iCs/>
          <w:color w:val="auto"/>
          <w:spacing w:val="-14"/>
          <w:sz w:val="13"/>
          <w:szCs w:val="22"/>
        </w:rPr>
      </w:pPr>
      <m:oMath>
        <m:sSub>
          <m:sSubPr>
            <m:ctrlPr>
              <w:rPr>
                <w:rFonts w:ascii="Cambria Math" w:hAnsi="Cambria Math"/>
                <w:bCs/>
                <w:iCs/>
                <w:color w:val="auto"/>
                <w:spacing w:val="-2"/>
                <w:sz w:val="20"/>
                <w:szCs w:val="36"/>
              </w:rPr>
            </m:ctrlPr>
          </m:sSubPr>
          <m:e>
            <m:r>
              <m:rPr>
                <m:sty m:val="p"/>
              </m:rPr>
              <w:rPr>
                <w:rFonts w:ascii="Cambria Math" w:hAnsi="Cambria Math"/>
                <w:color w:val="auto"/>
                <w:spacing w:val="-2"/>
                <w:sz w:val="20"/>
                <w:szCs w:val="36"/>
              </w:rPr>
              <m:t>C</m:t>
            </m:r>
            <m:ctrlPr>
              <w:rPr>
                <w:rFonts w:ascii="Cambria Math" w:hAnsi="Cambria Math"/>
                <w:bCs/>
                <w:iCs/>
                <w:color w:val="auto"/>
                <w:spacing w:val="-2"/>
                <w:sz w:val="20"/>
                <w:szCs w:val="36"/>
              </w:rPr>
            </m:ctrlPr>
          </m:e>
          <m:sub>
            <m:r>
              <m:rPr>
                <m:sty m:val="p"/>
              </m:rPr>
              <w:rPr>
                <w:rFonts w:ascii="Cambria Math" w:hAnsi="Cambria Math"/>
                <w:color w:val="auto"/>
                <w:spacing w:val="-2"/>
                <w:sz w:val="20"/>
                <w:szCs w:val="36"/>
              </w:rPr>
              <m:t>up</m:t>
            </m:r>
            <m:ctrlPr>
              <w:rPr>
                <w:rFonts w:ascii="Cambria Math" w:hAnsi="Cambria Math"/>
                <w:bCs/>
                <w:iCs/>
                <w:color w:val="auto"/>
                <w:spacing w:val="-2"/>
                <w:sz w:val="20"/>
                <w:szCs w:val="36"/>
              </w:rPr>
            </m:ctrlPr>
          </m:sub>
        </m:sSub>
        <m:r>
          <m:rPr>
            <m:sty m:val="p"/>
          </m:rPr>
          <w:rPr>
            <w:rFonts w:ascii="Cambria Math" w:hAnsi="Cambria Math"/>
            <w:color w:val="auto"/>
            <w:spacing w:val="-2"/>
            <w:sz w:val="20"/>
            <w:szCs w:val="36"/>
          </w:rPr>
          <m:t>=</m:t>
        </m:r>
        <m:nary>
          <m:naryPr>
            <m:chr m:val="∑"/>
            <m:ctrlPr>
              <w:rPr>
                <w:rFonts w:ascii="Cambria Math" w:hAnsi="Cambria Math"/>
                <w:bCs/>
                <w:i/>
                <w:iCs/>
                <w:color w:val="auto"/>
                <w:spacing w:val="-2"/>
                <w:sz w:val="20"/>
                <w:szCs w:val="36"/>
              </w:rPr>
            </m:ctrlPr>
          </m:naryPr>
          <m:sub>
            <m:r>
              <m:rPr/>
              <w:rPr>
                <w:rFonts w:ascii="Cambria Math" w:hAnsi="Cambria Math"/>
                <w:color w:val="auto"/>
                <w:spacing w:val="-2"/>
                <w:sz w:val="20"/>
                <w:szCs w:val="36"/>
              </w:rPr>
              <m:t>i=1</m:t>
            </m:r>
            <m:ctrlPr>
              <w:rPr>
                <w:rFonts w:ascii="Cambria Math" w:hAnsi="Cambria Math"/>
                <w:bCs/>
                <w:i/>
                <w:iCs/>
                <w:color w:val="auto"/>
                <w:spacing w:val="-2"/>
                <w:sz w:val="20"/>
                <w:szCs w:val="36"/>
              </w:rPr>
            </m:ctrlPr>
          </m:sub>
          <m:sup>
            <m:r>
              <m:rPr/>
              <w:rPr>
                <w:rFonts w:ascii="Cambria Math" w:hAnsi="Cambria Math"/>
                <w:color w:val="auto"/>
                <w:spacing w:val="-2"/>
                <w:sz w:val="20"/>
                <w:szCs w:val="36"/>
              </w:rPr>
              <m:t>n</m:t>
            </m:r>
            <m:ctrlPr>
              <w:rPr>
                <w:rFonts w:ascii="Cambria Math" w:hAnsi="Cambria Math"/>
                <w:bCs/>
                <w:i/>
                <w:iCs/>
                <w:color w:val="auto"/>
                <w:spacing w:val="-2"/>
                <w:sz w:val="20"/>
                <w:szCs w:val="36"/>
              </w:rPr>
            </m:ctrlPr>
          </m:sup>
          <m:e>
            <m:sSub>
              <m:sSubPr>
                <m:ctrlPr>
                  <w:rPr>
                    <w:rFonts w:ascii="Cambria Math" w:hAnsi="Cambria Math"/>
                    <w:bCs/>
                    <w:iCs/>
                    <w:color w:val="auto"/>
                    <w:spacing w:val="-2"/>
                    <w:sz w:val="20"/>
                    <w:szCs w:val="36"/>
                  </w:rPr>
                </m:ctrlPr>
              </m:sSubPr>
              <m:e>
                <m:r>
                  <m:rPr>
                    <m:sty m:val="p"/>
                  </m:rPr>
                  <w:rPr>
                    <w:rFonts w:ascii="Cambria Math" w:hAnsi="Cambria Math"/>
                    <w:color w:val="auto"/>
                    <w:spacing w:val="-2"/>
                    <w:sz w:val="20"/>
                    <w:szCs w:val="36"/>
                  </w:rPr>
                  <m:t>m</m:t>
                </m:r>
                <m:ctrlPr>
                  <w:rPr>
                    <w:rFonts w:ascii="Cambria Math" w:hAnsi="Cambria Math"/>
                    <w:bCs/>
                    <w:iCs/>
                    <w:color w:val="auto"/>
                    <w:spacing w:val="-2"/>
                    <w:sz w:val="20"/>
                    <w:szCs w:val="36"/>
                  </w:rPr>
                </m:ctrlPr>
              </m:e>
              <m:sub>
                <m:r>
                  <m:rPr>
                    <m:sty m:val="p"/>
                  </m:rPr>
                  <w:rPr>
                    <w:rFonts w:ascii="Cambria Math" w:hAnsi="Cambria Math"/>
                    <w:color w:val="auto"/>
                    <w:spacing w:val="-2"/>
                    <w:sz w:val="20"/>
                    <w:szCs w:val="36"/>
                  </w:rPr>
                  <m:t>i</m:t>
                </m:r>
                <m:ctrlPr>
                  <w:rPr>
                    <w:rFonts w:ascii="Cambria Math" w:hAnsi="Cambria Math"/>
                    <w:bCs/>
                    <w:iCs/>
                    <w:color w:val="auto"/>
                    <w:spacing w:val="-2"/>
                    <w:sz w:val="20"/>
                    <w:szCs w:val="36"/>
                  </w:rPr>
                </m:ctrlPr>
              </m:sub>
            </m:sSub>
            <m:r>
              <m:rPr>
                <m:sty m:val="p"/>
              </m:rPr>
              <w:rPr>
                <w:rFonts w:ascii="Cambria Math" w:hAnsi="Cambria Math"/>
                <w:color w:val="auto"/>
                <w:spacing w:val="-2"/>
                <w:sz w:val="20"/>
                <w:szCs w:val="36"/>
              </w:rPr>
              <m:t>×</m:t>
            </m:r>
            <m:sSub>
              <m:sSubPr>
                <m:ctrlPr>
                  <w:rPr>
                    <w:rFonts w:ascii="Cambria Math" w:hAnsi="Cambria Math"/>
                    <w:bCs/>
                    <w:iCs/>
                    <w:color w:val="auto"/>
                    <w:spacing w:val="-2"/>
                    <w:sz w:val="20"/>
                    <w:szCs w:val="36"/>
                  </w:rPr>
                </m:ctrlPr>
              </m:sSubPr>
              <m:e>
                <m:r>
                  <m:rPr>
                    <m:sty m:val="p"/>
                  </m:rPr>
                  <w:rPr>
                    <w:rFonts w:ascii="Cambria Math" w:hAnsi="Cambria Math"/>
                    <w:color w:val="auto"/>
                    <w:spacing w:val="-2"/>
                    <w:sz w:val="20"/>
                    <w:szCs w:val="36"/>
                  </w:rPr>
                  <m:t>EF</m:t>
                </m:r>
                <m:ctrlPr>
                  <w:rPr>
                    <w:rFonts w:ascii="Cambria Math" w:hAnsi="Cambria Math"/>
                    <w:bCs/>
                    <w:iCs/>
                    <w:color w:val="auto"/>
                    <w:spacing w:val="-2"/>
                    <w:sz w:val="20"/>
                    <w:szCs w:val="36"/>
                  </w:rPr>
                </m:ctrlPr>
              </m:e>
              <m:sub>
                <m:r>
                  <m:rPr>
                    <m:sty m:val="p"/>
                  </m:rPr>
                  <w:rPr>
                    <w:rFonts w:ascii="Cambria Math" w:hAnsi="Cambria Math"/>
                    <w:color w:val="auto"/>
                    <w:spacing w:val="-2"/>
                    <w:sz w:val="20"/>
                    <w:szCs w:val="36"/>
                  </w:rPr>
                  <m:t>i</m:t>
                </m:r>
                <m:ctrlPr>
                  <w:rPr>
                    <w:rFonts w:ascii="Cambria Math" w:hAnsi="Cambria Math"/>
                    <w:bCs/>
                    <w:iCs/>
                    <w:color w:val="auto"/>
                    <w:spacing w:val="-2"/>
                    <w:sz w:val="20"/>
                    <w:szCs w:val="36"/>
                  </w:rPr>
                </m:ctrlPr>
              </m:sub>
            </m:sSub>
            <m:ctrlPr>
              <w:rPr>
                <w:rFonts w:ascii="Cambria Math" w:hAnsi="Cambria Math"/>
                <w:bCs/>
                <w:i/>
                <w:iCs/>
                <w:color w:val="auto"/>
                <w:spacing w:val="-2"/>
                <w:sz w:val="20"/>
                <w:szCs w:val="36"/>
              </w:rPr>
            </m:ctrlPr>
          </m:e>
        </m:nary>
      </m:oMath>
      <w:r>
        <w:rPr>
          <w:bCs/>
          <w:iCs/>
          <w:color w:val="auto"/>
          <w:spacing w:val="-2"/>
          <w:sz w:val="16"/>
          <w:szCs w:val="28"/>
        </w:rPr>
        <w:t xml:space="preserve">      </w:t>
      </w:r>
      <w:r>
        <w:rPr>
          <w:bCs/>
          <w:iCs/>
          <w:color w:val="auto"/>
          <w:spacing w:val="-2"/>
          <w:sz w:val="13"/>
          <w:szCs w:val="22"/>
        </w:rPr>
        <w:t xml:space="preserve">           </w:t>
      </w:r>
      <w:r>
        <w:rPr>
          <w:bCs/>
          <w:iCs/>
          <w:color w:val="auto"/>
          <w:spacing w:val="-2"/>
          <w:sz w:val="18"/>
          <w:szCs w:val="32"/>
        </w:rPr>
        <w:t xml:space="preserve"> （</w:t>
      </w:r>
      <w:r>
        <w:rPr>
          <w:bCs/>
          <w:iCs/>
          <w:color w:val="auto"/>
          <w:spacing w:val="-2"/>
          <w:sz w:val="20"/>
          <w:szCs w:val="36"/>
        </w:rPr>
        <w:t>D.0.6</w:t>
      </w:r>
      <w:r>
        <w:rPr>
          <w:bCs/>
          <w:iCs/>
          <w:color w:val="auto"/>
          <w:spacing w:val="-2"/>
          <w:sz w:val="18"/>
          <w:szCs w:val="32"/>
        </w:rPr>
        <w:t>）</w:t>
      </w:r>
    </w:p>
    <w:p w14:paraId="1409C493">
      <w:pPr>
        <w:pStyle w:val="13"/>
        <w:spacing w:line="288" w:lineRule="auto"/>
        <w:ind w:firstLine="400" w:firstLineChars="200"/>
        <w:contextualSpacing/>
        <w:rPr>
          <w:color w:val="auto"/>
          <w:sz w:val="20"/>
          <w:szCs w:val="22"/>
        </w:rPr>
      </w:pPr>
      <w:r>
        <w:rPr>
          <w:color w:val="auto"/>
          <w:sz w:val="20"/>
          <w:szCs w:val="36"/>
        </w:rPr>
        <w:t>式中：</w:t>
      </w:r>
      <w:r>
        <w:rPr>
          <w:color w:val="auto"/>
          <w:sz w:val="20"/>
          <w:szCs w:val="22"/>
        </w:rPr>
        <w:t>C</w:t>
      </w:r>
      <w:r>
        <w:rPr>
          <w:color w:val="auto"/>
          <w:sz w:val="20"/>
          <w:szCs w:val="22"/>
          <w:vertAlign w:val="subscript"/>
        </w:rPr>
        <w:t>up</w:t>
      </w:r>
      <w:r>
        <w:rPr>
          <w:color w:val="auto"/>
          <w:sz w:val="20"/>
          <w:szCs w:val="22"/>
        </w:rPr>
        <w:t xml:space="preserve"> ——单位工程量建材生产阶段碳排放量（kgCO</w:t>
      </w:r>
      <w:r>
        <w:rPr>
          <w:color w:val="auto"/>
          <w:sz w:val="20"/>
          <w:szCs w:val="22"/>
          <w:vertAlign w:val="subscript"/>
        </w:rPr>
        <w:t>2</w:t>
      </w:r>
      <w:r>
        <w:rPr>
          <w:color w:val="auto"/>
          <w:sz w:val="20"/>
          <w:szCs w:val="22"/>
        </w:rPr>
        <w:t>e/工程量计量单位）；</w:t>
      </w:r>
    </w:p>
    <w:p w14:paraId="7919E78F">
      <w:pPr>
        <w:pStyle w:val="13"/>
        <w:spacing w:line="288" w:lineRule="auto"/>
        <w:ind w:firstLine="1000" w:firstLineChars="500"/>
        <w:contextualSpacing/>
        <w:rPr>
          <w:color w:val="auto"/>
          <w:sz w:val="20"/>
          <w:szCs w:val="22"/>
        </w:rPr>
      </w:pPr>
      <w:r>
        <w:rPr>
          <w:color w:val="auto"/>
          <w:sz w:val="20"/>
          <w:szCs w:val="22"/>
        </w:rPr>
        <w:t>m</w:t>
      </w:r>
      <w:r>
        <w:rPr>
          <w:color w:val="auto"/>
          <w:sz w:val="20"/>
          <w:szCs w:val="22"/>
          <w:vertAlign w:val="subscript"/>
        </w:rPr>
        <w:t>i</w:t>
      </w:r>
      <w:r>
        <w:rPr>
          <w:color w:val="auto"/>
          <w:sz w:val="20"/>
          <w:szCs w:val="22"/>
        </w:rPr>
        <w:t>——单位工程量第i种建材消耗量（参见工程预算定额）；</w:t>
      </w:r>
    </w:p>
    <w:p w14:paraId="25709D2A">
      <w:pPr>
        <w:pStyle w:val="13"/>
        <w:spacing w:line="288" w:lineRule="auto"/>
        <w:ind w:firstLine="1000" w:firstLineChars="500"/>
        <w:contextualSpacing/>
        <w:rPr>
          <w:color w:val="auto"/>
          <w:sz w:val="20"/>
          <w:szCs w:val="22"/>
        </w:rPr>
      </w:pPr>
      <w:r>
        <w:rPr>
          <w:color w:val="auto"/>
          <w:sz w:val="20"/>
          <w:szCs w:val="22"/>
        </w:rPr>
        <w:t>EF</w:t>
      </w:r>
      <w:r>
        <w:rPr>
          <w:color w:val="auto"/>
          <w:sz w:val="20"/>
          <w:szCs w:val="22"/>
          <w:vertAlign w:val="subscript"/>
        </w:rPr>
        <w:t>i</w:t>
      </w:r>
      <w:r>
        <w:rPr>
          <w:color w:val="auto"/>
          <w:sz w:val="20"/>
          <w:szCs w:val="22"/>
        </w:rPr>
        <w:t>—— 第i种建材碳排放因子（kgCO</w:t>
      </w:r>
      <w:r>
        <w:rPr>
          <w:color w:val="auto"/>
          <w:sz w:val="20"/>
          <w:szCs w:val="22"/>
          <w:vertAlign w:val="subscript"/>
        </w:rPr>
        <w:t>2</w:t>
      </w:r>
      <w:r>
        <w:rPr>
          <w:color w:val="auto"/>
          <w:sz w:val="20"/>
          <w:szCs w:val="22"/>
        </w:rPr>
        <w:t>e/单位建材数量）</w:t>
      </w:r>
      <w:r>
        <w:rPr>
          <w:rFonts w:hint="eastAsia"/>
          <w:color w:val="auto"/>
          <w:sz w:val="20"/>
          <w:szCs w:val="22"/>
        </w:rPr>
        <w:t>，按本规程附录E取值</w:t>
      </w:r>
      <w:r>
        <w:rPr>
          <w:color w:val="auto"/>
          <w:sz w:val="20"/>
          <w:szCs w:val="22"/>
        </w:rPr>
        <w:t>。</w:t>
      </w:r>
    </w:p>
    <w:p w14:paraId="74EB197D">
      <w:pPr>
        <w:spacing w:line="288" w:lineRule="auto"/>
        <w:contextualSpacing/>
        <w:rPr>
          <w:sz w:val="20"/>
          <w:szCs w:val="20"/>
        </w:rPr>
      </w:pPr>
      <w:r>
        <w:rPr>
          <w:b/>
          <w:sz w:val="20"/>
          <w:szCs w:val="20"/>
        </w:rPr>
        <w:t>D.0.7</w:t>
      </w:r>
      <w:r>
        <w:rPr>
          <w:sz w:val="20"/>
          <w:szCs w:val="20"/>
        </w:rPr>
        <w:t xml:space="preserve">  基坑施工阶段碳排放计算应包含施工产生的碳排放与临时设施产生的碳排放量。若定额中缺乏施工机械的能源数据，可使用施工机械台班数量和单位台班能耗的乘积。</w:t>
      </w:r>
      <w:r>
        <w:rPr>
          <w:rFonts w:hint="eastAsia"/>
          <w:sz w:val="20"/>
          <w:szCs w:val="20"/>
        </w:rPr>
        <w:t>基坑施工阶段</w:t>
      </w:r>
      <w:r>
        <w:rPr>
          <w:sz w:val="20"/>
          <w:szCs w:val="20"/>
        </w:rPr>
        <w:t>碳排放</w:t>
      </w:r>
      <w:r>
        <w:rPr>
          <w:rFonts w:hint="eastAsia"/>
          <w:sz w:val="20"/>
          <w:szCs w:val="20"/>
        </w:rPr>
        <w:t>量</w:t>
      </w:r>
      <w:r>
        <w:rPr>
          <w:sz w:val="20"/>
          <w:szCs w:val="20"/>
        </w:rPr>
        <w:t>应按下式计算：</w:t>
      </w:r>
    </w:p>
    <w:p w14:paraId="736A5050">
      <w:pPr>
        <w:pStyle w:val="13"/>
        <w:spacing w:line="288" w:lineRule="auto"/>
        <w:ind w:left="420" w:firstLine="420"/>
        <w:contextualSpacing/>
        <w:jc w:val="center"/>
        <w:rPr>
          <w:bCs/>
          <w:iCs/>
          <w:color w:val="auto"/>
          <w:spacing w:val="-14"/>
          <w:sz w:val="13"/>
          <w:szCs w:val="22"/>
        </w:rPr>
      </w:pPr>
      <m:oMath>
        <m:sSub>
          <m:sSubPr>
            <m:ctrlPr>
              <w:rPr>
                <w:rFonts w:ascii="Cambria Math" w:hAnsi="Cambria Math"/>
                <w:bCs/>
                <w:iCs/>
                <w:color w:val="auto"/>
                <w:spacing w:val="-2"/>
                <w:sz w:val="20"/>
                <w:szCs w:val="36"/>
              </w:rPr>
            </m:ctrlPr>
          </m:sSubPr>
          <m:e>
            <m:r>
              <m:rPr>
                <m:sty m:val="p"/>
              </m:rPr>
              <w:rPr>
                <w:rFonts w:ascii="Cambria Math" w:hAnsi="Cambria Math"/>
                <w:color w:val="auto"/>
                <w:spacing w:val="-2"/>
                <w:sz w:val="20"/>
                <w:szCs w:val="36"/>
              </w:rPr>
              <m:t>C</m:t>
            </m:r>
            <m:ctrlPr>
              <w:rPr>
                <w:rFonts w:ascii="Cambria Math" w:hAnsi="Cambria Math"/>
                <w:bCs/>
                <w:iCs/>
                <w:color w:val="auto"/>
                <w:spacing w:val="-2"/>
                <w:sz w:val="20"/>
                <w:szCs w:val="36"/>
              </w:rPr>
            </m:ctrlPr>
          </m:e>
          <m:sub>
            <m:r>
              <m:rPr>
                <m:sty m:val="p"/>
              </m:rPr>
              <w:rPr>
                <w:rFonts w:ascii="Cambria Math" w:hAnsi="Cambria Math"/>
                <w:color w:val="auto"/>
                <w:spacing w:val="-2"/>
                <w:sz w:val="20"/>
                <w:szCs w:val="36"/>
              </w:rPr>
              <m:t>uc</m:t>
            </m:r>
            <m:ctrlPr>
              <w:rPr>
                <w:rFonts w:ascii="Cambria Math" w:hAnsi="Cambria Math"/>
                <w:bCs/>
                <w:iCs/>
                <w:color w:val="auto"/>
                <w:spacing w:val="-2"/>
                <w:sz w:val="20"/>
                <w:szCs w:val="36"/>
              </w:rPr>
            </m:ctrlPr>
          </m:sub>
        </m:sSub>
        <m:r>
          <m:rPr>
            <m:sty m:val="p"/>
          </m:rPr>
          <w:rPr>
            <w:rFonts w:ascii="Cambria Math" w:hAnsi="Cambria Math"/>
            <w:color w:val="auto"/>
            <w:spacing w:val="-2"/>
            <w:sz w:val="20"/>
            <w:szCs w:val="36"/>
          </w:rPr>
          <m:t>=</m:t>
        </m:r>
        <m:nary>
          <m:naryPr>
            <m:chr m:val="∑"/>
            <m:ctrlPr>
              <w:rPr>
                <w:rFonts w:ascii="Cambria Math" w:hAnsi="Cambria Math"/>
                <w:bCs/>
                <w:iCs/>
                <w:color w:val="auto"/>
                <w:spacing w:val="-2"/>
                <w:sz w:val="20"/>
                <w:szCs w:val="36"/>
              </w:rPr>
            </m:ctrlPr>
          </m:naryPr>
          <m:sub>
            <m:r>
              <m:rPr>
                <m:sty m:val="p"/>
              </m:rPr>
              <w:rPr>
                <w:rFonts w:ascii="Cambria Math" w:hAnsi="Cambria Math"/>
                <w:color w:val="auto"/>
                <w:spacing w:val="-2"/>
                <w:sz w:val="20"/>
                <w:szCs w:val="36"/>
              </w:rPr>
              <m:t>j=1</m:t>
            </m:r>
            <m:ctrlPr>
              <w:rPr>
                <w:rFonts w:ascii="Cambria Math" w:hAnsi="Cambria Math"/>
                <w:bCs/>
                <w:iCs/>
                <w:color w:val="auto"/>
                <w:spacing w:val="-2"/>
                <w:sz w:val="20"/>
                <w:szCs w:val="36"/>
              </w:rPr>
            </m:ctrlPr>
          </m:sub>
          <m:sup>
            <m:r>
              <m:rPr>
                <m:sty m:val="p"/>
              </m:rPr>
              <w:rPr>
                <w:rFonts w:ascii="Cambria Math" w:hAnsi="Cambria Math"/>
                <w:color w:val="auto"/>
                <w:spacing w:val="-2"/>
                <w:sz w:val="20"/>
                <w:szCs w:val="36"/>
              </w:rPr>
              <m:t>n</m:t>
            </m:r>
            <m:ctrlPr>
              <w:rPr>
                <w:rFonts w:ascii="Cambria Math" w:hAnsi="Cambria Math"/>
                <w:bCs/>
                <w:iCs/>
                <w:color w:val="auto"/>
                <w:spacing w:val="-2"/>
                <w:sz w:val="20"/>
                <w:szCs w:val="36"/>
              </w:rPr>
            </m:ctrlPr>
          </m:sup>
          <m:e>
            <m:sSub>
              <m:sSubPr>
                <m:ctrlPr>
                  <w:rPr>
                    <w:rFonts w:ascii="Cambria Math" w:hAnsi="Cambria Math"/>
                    <w:bCs/>
                    <w:i/>
                    <w:iCs/>
                    <w:color w:val="auto"/>
                    <w:spacing w:val="-2"/>
                    <w:sz w:val="20"/>
                    <w:szCs w:val="36"/>
                  </w:rPr>
                </m:ctrlPr>
              </m:sSubPr>
              <m:e>
                <m:r>
                  <m:rPr/>
                  <w:rPr>
                    <w:rFonts w:ascii="Cambria Math" w:hAnsi="Cambria Math"/>
                    <w:color w:val="auto"/>
                    <w:spacing w:val="-2"/>
                    <w:sz w:val="20"/>
                    <w:szCs w:val="36"/>
                  </w:rPr>
                  <m:t>e</m:t>
                </m:r>
                <m:ctrlPr>
                  <w:rPr>
                    <w:rFonts w:ascii="Cambria Math" w:hAnsi="Cambria Math"/>
                    <w:bCs/>
                    <w:i/>
                    <w:iCs/>
                    <w:color w:val="auto"/>
                    <w:spacing w:val="-2"/>
                    <w:sz w:val="20"/>
                    <w:szCs w:val="36"/>
                  </w:rPr>
                </m:ctrlPr>
              </m:e>
              <m:sub>
                <m:r>
                  <m:rPr/>
                  <w:rPr>
                    <w:rFonts w:ascii="Cambria Math" w:hAnsi="Cambria Math"/>
                    <w:color w:val="auto"/>
                    <w:spacing w:val="-2"/>
                    <w:sz w:val="20"/>
                    <w:szCs w:val="36"/>
                  </w:rPr>
                  <m:t>j</m:t>
                </m:r>
                <m:ctrlPr>
                  <w:rPr>
                    <w:rFonts w:ascii="Cambria Math" w:hAnsi="Cambria Math"/>
                    <w:bCs/>
                    <w:i/>
                    <w:iCs/>
                    <w:color w:val="auto"/>
                    <w:spacing w:val="-2"/>
                    <w:sz w:val="20"/>
                    <w:szCs w:val="36"/>
                  </w:rPr>
                </m:ctrlPr>
              </m:sub>
            </m:sSub>
            <m:ctrlPr>
              <w:rPr>
                <w:rFonts w:ascii="Cambria Math" w:hAnsi="Cambria Math"/>
                <w:bCs/>
                <w:iCs/>
                <w:color w:val="auto"/>
                <w:spacing w:val="-2"/>
                <w:sz w:val="20"/>
                <w:szCs w:val="36"/>
              </w:rPr>
            </m:ctrlPr>
          </m:e>
        </m:nary>
        <m:sSub>
          <m:sSubPr>
            <m:ctrlPr>
              <w:rPr>
                <w:rFonts w:ascii="Cambria Math" w:hAnsi="Cambria Math"/>
                <w:bCs/>
                <w:iCs/>
                <w:color w:val="auto"/>
                <w:spacing w:val="-2"/>
                <w:sz w:val="20"/>
                <w:szCs w:val="36"/>
              </w:rPr>
            </m:ctrlPr>
          </m:sSubPr>
          <m:e>
            <m:r>
              <m:rPr>
                <m:sty m:val="p"/>
              </m:rPr>
              <w:rPr>
                <w:rFonts w:ascii="Cambria Math" w:hAnsi="Cambria Math"/>
                <w:color w:val="auto"/>
                <w:spacing w:val="-2"/>
                <w:sz w:val="20"/>
                <w:szCs w:val="36"/>
              </w:rPr>
              <m:t>×EF</m:t>
            </m:r>
            <m:ctrlPr>
              <w:rPr>
                <w:rFonts w:ascii="Cambria Math" w:hAnsi="Cambria Math"/>
                <w:bCs/>
                <w:iCs/>
                <w:color w:val="auto"/>
                <w:spacing w:val="-2"/>
                <w:sz w:val="20"/>
                <w:szCs w:val="36"/>
              </w:rPr>
            </m:ctrlPr>
          </m:e>
          <m:sub>
            <m:r>
              <m:rPr>
                <m:sty m:val="p"/>
              </m:rPr>
              <w:rPr>
                <w:rFonts w:ascii="Cambria Math" w:hAnsi="Cambria Math"/>
                <w:color w:val="auto"/>
                <w:spacing w:val="-2"/>
                <w:sz w:val="20"/>
                <w:szCs w:val="36"/>
              </w:rPr>
              <m:t>j</m:t>
            </m:r>
            <m:ctrlPr>
              <w:rPr>
                <w:rFonts w:ascii="Cambria Math" w:hAnsi="Cambria Math"/>
                <w:bCs/>
                <w:iCs/>
                <w:color w:val="auto"/>
                <w:spacing w:val="-2"/>
                <w:sz w:val="20"/>
                <w:szCs w:val="36"/>
              </w:rPr>
            </m:ctrlPr>
          </m:sub>
        </m:sSub>
        <m:r>
          <m:rPr>
            <m:sty m:val="p"/>
          </m:rPr>
          <w:rPr>
            <w:rFonts w:ascii="Cambria Math" w:hAnsi="Cambria Math"/>
            <w:color w:val="auto"/>
            <w:spacing w:val="-2"/>
            <w:sz w:val="20"/>
            <w:szCs w:val="36"/>
          </w:rPr>
          <m:t>+</m:t>
        </m:r>
        <m:sSub>
          <m:sSubPr>
            <m:ctrlPr>
              <w:rPr>
                <w:rFonts w:ascii="Cambria Math" w:hAnsi="Cambria Math"/>
                <w:bCs/>
                <w:iCs/>
                <w:color w:val="auto"/>
                <w:spacing w:val="-2"/>
                <w:sz w:val="20"/>
                <w:szCs w:val="36"/>
              </w:rPr>
            </m:ctrlPr>
          </m:sSubPr>
          <m:e>
            <m:r>
              <m:rPr/>
              <w:rPr>
                <w:rFonts w:ascii="Cambria Math" w:hAnsi="Cambria Math"/>
                <w:color w:val="auto"/>
                <w:spacing w:val="-2"/>
                <w:sz w:val="20"/>
                <w:szCs w:val="36"/>
              </w:rPr>
              <m:t>C</m:t>
            </m:r>
            <m:ctrlPr>
              <w:rPr>
                <w:rFonts w:ascii="Cambria Math" w:hAnsi="Cambria Math"/>
                <w:bCs/>
                <w:iCs/>
                <w:color w:val="auto"/>
                <w:spacing w:val="-2"/>
                <w:sz w:val="20"/>
                <w:szCs w:val="36"/>
              </w:rPr>
            </m:ctrlPr>
          </m:e>
          <m:sub>
            <m:r>
              <m:rPr/>
              <w:rPr>
                <w:rFonts w:ascii="Cambria Math" w:hAnsi="Cambria Math"/>
                <w:color w:val="auto"/>
                <w:spacing w:val="-2"/>
                <w:sz w:val="20"/>
                <w:szCs w:val="36"/>
              </w:rPr>
              <m:t>ucl</m:t>
            </m:r>
            <m:ctrlPr>
              <w:rPr>
                <w:rFonts w:ascii="Cambria Math" w:hAnsi="Cambria Math"/>
                <w:bCs/>
                <w:iCs/>
                <w:color w:val="auto"/>
                <w:spacing w:val="-2"/>
                <w:sz w:val="20"/>
                <w:szCs w:val="36"/>
              </w:rPr>
            </m:ctrlPr>
          </m:sub>
        </m:sSub>
      </m:oMath>
      <w:r>
        <w:rPr>
          <w:bCs/>
          <w:iCs/>
          <w:color w:val="auto"/>
          <w:spacing w:val="-2"/>
          <w:sz w:val="20"/>
          <w:szCs w:val="36"/>
        </w:rPr>
        <w:t xml:space="preserve">  </w:t>
      </w:r>
      <w:r>
        <w:rPr>
          <w:bCs/>
          <w:iCs/>
          <w:color w:val="auto"/>
          <w:spacing w:val="-2"/>
          <w:sz w:val="18"/>
          <w:szCs w:val="32"/>
        </w:rPr>
        <w:t xml:space="preserve"> </w:t>
      </w:r>
      <w:r>
        <w:rPr>
          <w:bCs/>
          <w:iCs/>
          <w:color w:val="auto"/>
          <w:spacing w:val="-2"/>
          <w:sz w:val="16"/>
          <w:szCs w:val="28"/>
        </w:rPr>
        <w:t xml:space="preserve">   </w:t>
      </w:r>
      <w:r>
        <w:rPr>
          <w:bCs/>
          <w:iCs/>
          <w:color w:val="auto"/>
          <w:spacing w:val="-2"/>
          <w:sz w:val="18"/>
          <w:szCs w:val="32"/>
        </w:rPr>
        <w:t xml:space="preserve"> （</w:t>
      </w:r>
      <w:r>
        <w:rPr>
          <w:bCs/>
          <w:iCs/>
          <w:color w:val="auto"/>
          <w:spacing w:val="-2"/>
          <w:sz w:val="20"/>
          <w:szCs w:val="36"/>
        </w:rPr>
        <w:t>D.0.7-1</w:t>
      </w:r>
      <w:r>
        <w:rPr>
          <w:bCs/>
          <w:iCs/>
          <w:color w:val="auto"/>
          <w:spacing w:val="-2"/>
          <w:sz w:val="18"/>
          <w:szCs w:val="32"/>
        </w:rPr>
        <w:t>）</w:t>
      </w:r>
    </w:p>
    <w:p w14:paraId="683D6A21">
      <w:pPr>
        <w:pStyle w:val="13"/>
        <w:spacing w:line="288" w:lineRule="auto"/>
        <w:ind w:left="420" w:firstLine="420"/>
        <w:contextualSpacing/>
        <w:jc w:val="center"/>
        <w:rPr>
          <w:bCs/>
          <w:iCs/>
          <w:color w:val="auto"/>
          <w:spacing w:val="-2"/>
          <w:sz w:val="18"/>
          <w:szCs w:val="32"/>
        </w:rPr>
      </w:pPr>
      <m:oMath>
        <m:sSub>
          <m:sSubPr>
            <m:ctrlPr>
              <w:rPr>
                <w:rFonts w:ascii="Cambria Math" w:hAnsi="Cambria Math"/>
                <w:bCs/>
                <w:i/>
                <w:iCs/>
                <w:color w:val="auto"/>
                <w:spacing w:val="-2"/>
                <w:sz w:val="20"/>
                <w:szCs w:val="36"/>
              </w:rPr>
            </m:ctrlPr>
          </m:sSubPr>
          <m:e>
            <m:r>
              <m:rPr/>
              <w:rPr>
                <w:rFonts w:ascii="Cambria Math" w:hAnsi="Cambria Math"/>
                <w:color w:val="auto"/>
                <w:spacing w:val="-2"/>
                <w:sz w:val="20"/>
                <w:szCs w:val="36"/>
              </w:rPr>
              <m:t>e</m:t>
            </m:r>
            <m:ctrlPr>
              <w:rPr>
                <w:rFonts w:ascii="Cambria Math" w:hAnsi="Cambria Math"/>
                <w:bCs/>
                <w:i/>
                <w:iCs/>
                <w:color w:val="auto"/>
                <w:spacing w:val="-2"/>
                <w:sz w:val="20"/>
                <w:szCs w:val="36"/>
              </w:rPr>
            </m:ctrlPr>
          </m:e>
          <m:sub>
            <m:r>
              <m:rPr/>
              <w:rPr>
                <w:rFonts w:ascii="Cambria Math" w:hAnsi="Cambria Math"/>
                <w:color w:val="auto"/>
                <w:spacing w:val="-2"/>
                <w:sz w:val="20"/>
                <w:szCs w:val="36"/>
              </w:rPr>
              <m:t>j</m:t>
            </m:r>
            <m:ctrlPr>
              <w:rPr>
                <w:rFonts w:ascii="Cambria Math" w:hAnsi="Cambria Math"/>
                <w:bCs/>
                <w:i/>
                <w:iCs/>
                <w:color w:val="auto"/>
                <w:spacing w:val="-2"/>
                <w:sz w:val="20"/>
                <w:szCs w:val="36"/>
              </w:rPr>
            </m:ctrlPr>
          </m:sub>
        </m:sSub>
        <m:r>
          <m:rPr>
            <m:sty m:val="p"/>
          </m:rPr>
          <w:rPr>
            <w:rFonts w:ascii="Cambria Math" w:hAnsi="Cambria Math"/>
            <w:color w:val="auto"/>
            <w:spacing w:val="-2"/>
            <w:sz w:val="20"/>
            <w:szCs w:val="36"/>
          </w:rPr>
          <m:t>=</m:t>
        </m:r>
        <m:nary>
          <m:naryPr>
            <m:chr m:val="∑"/>
            <m:ctrlPr>
              <w:rPr>
                <w:rFonts w:ascii="Cambria Math" w:hAnsi="Cambria Math"/>
                <w:bCs/>
                <w:iCs/>
                <w:color w:val="auto"/>
                <w:spacing w:val="-2"/>
                <w:sz w:val="20"/>
                <w:szCs w:val="36"/>
              </w:rPr>
            </m:ctrlPr>
          </m:naryPr>
          <m:sub>
            <m:r>
              <m:rPr>
                <m:sty m:val="p"/>
              </m:rPr>
              <w:rPr>
                <w:rFonts w:ascii="Cambria Math" w:hAnsi="Cambria Math"/>
                <w:color w:val="auto"/>
                <w:spacing w:val="-2"/>
                <w:sz w:val="20"/>
                <w:szCs w:val="36"/>
              </w:rPr>
              <m:t>j=1</m:t>
            </m:r>
            <m:ctrlPr>
              <w:rPr>
                <w:rFonts w:ascii="Cambria Math" w:hAnsi="Cambria Math"/>
                <w:bCs/>
                <w:iCs/>
                <w:color w:val="auto"/>
                <w:spacing w:val="-2"/>
                <w:sz w:val="20"/>
                <w:szCs w:val="36"/>
              </w:rPr>
            </m:ctrlPr>
          </m:sub>
          <m:sup>
            <m:r>
              <m:rPr>
                <m:sty m:val="p"/>
              </m:rPr>
              <w:rPr>
                <w:rFonts w:ascii="Cambria Math" w:hAnsi="Cambria Math"/>
                <w:color w:val="auto"/>
                <w:spacing w:val="-2"/>
                <w:sz w:val="20"/>
                <w:szCs w:val="36"/>
              </w:rPr>
              <m:t>n</m:t>
            </m:r>
            <m:ctrlPr>
              <w:rPr>
                <w:rFonts w:ascii="Cambria Math" w:hAnsi="Cambria Math"/>
                <w:bCs/>
                <w:iCs/>
                <w:color w:val="auto"/>
                <w:spacing w:val="-2"/>
                <w:sz w:val="20"/>
                <w:szCs w:val="36"/>
              </w:rPr>
            </m:ctrlPr>
          </m:sup>
          <m:e>
            <m:sSub>
              <m:sSubPr>
                <m:ctrlPr>
                  <w:rPr>
                    <w:rFonts w:ascii="Cambria Math" w:hAnsi="Cambria Math"/>
                    <w:bCs/>
                    <w:iCs/>
                    <w:color w:val="auto"/>
                    <w:spacing w:val="-2"/>
                    <w:sz w:val="20"/>
                    <w:szCs w:val="36"/>
                  </w:rPr>
                </m:ctrlPr>
              </m:sSubPr>
              <m:e>
                <m:r>
                  <m:rPr>
                    <m:sty m:val="p"/>
                  </m:rPr>
                  <w:rPr>
                    <w:rFonts w:ascii="Cambria Math" w:hAnsi="Cambria Math"/>
                    <w:color w:val="auto"/>
                    <w:spacing w:val="-2"/>
                    <w:sz w:val="20"/>
                    <w:szCs w:val="36"/>
                  </w:rPr>
                  <m:t>T</m:t>
                </m:r>
                <m:ctrlPr>
                  <w:rPr>
                    <w:rFonts w:ascii="Cambria Math" w:hAnsi="Cambria Math"/>
                    <w:bCs/>
                    <w:iCs/>
                    <w:color w:val="auto"/>
                    <w:spacing w:val="-2"/>
                    <w:sz w:val="20"/>
                    <w:szCs w:val="36"/>
                  </w:rPr>
                </m:ctrlPr>
              </m:e>
              <m:sub>
                <m:r>
                  <m:rPr>
                    <m:sty m:val="p"/>
                  </m:rPr>
                  <w:rPr>
                    <w:rFonts w:ascii="Cambria Math" w:hAnsi="Cambria Math"/>
                    <w:color w:val="auto"/>
                    <w:spacing w:val="-2"/>
                    <w:sz w:val="20"/>
                    <w:szCs w:val="36"/>
                  </w:rPr>
                  <m:t>j</m:t>
                </m:r>
                <m:ctrlPr>
                  <w:rPr>
                    <w:rFonts w:ascii="Cambria Math" w:hAnsi="Cambria Math"/>
                    <w:bCs/>
                    <w:iCs/>
                    <w:color w:val="auto"/>
                    <w:spacing w:val="-2"/>
                    <w:sz w:val="20"/>
                    <w:szCs w:val="36"/>
                  </w:rPr>
                </m:ctrlPr>
              </m:sub>
            </m:sSub>
            <m:r>
              <m:rPr>
                <m:sty m:val="p"/>
              </m:rPr>
              <w:rPr>
                <w:rFonts w:ascii="Cambria Math" w:hAnsi="Cambria Math"/>
                <w:color w:val="auto"/>
                <w:spacing w:val="-2"/>
                <w:sz w:val="20"/>
                <w:szCs w:val="36"/>
              </w:rPr>
              <m:t>×</m:t>
            </m:r>
            <m:sSub>
              <m:sSubPr>
                <m:ctrlPr>
                  <w:rPr>
                    <w:rFonts w:ascii="Cambria Math" w:hAnsi="Cambria Math"/>
                    <w:bCs/>
                    <w:iCs/>
                    <w:color w:val="auto"/>
                    <w:spacing w:val="-2"/>
                    <w:sz w:val="20"/>
                    <w:szCs w:val="36"/>
                  </w:rPr>
                </m:ctrlPr>
              </m:sSubPr>
              <m:e>
                <m:r>
                  <m:rPr>
                    <m:sty m:val="p"/>
                  </m:rPr>
                  <w:rPr>
                    <w:rFonts w:ascii="Cambria Math" w:hAnsi="Cambria Math"/>
                    <w:color w:val="auto"/>
                    <w:spacing w:val="-2"/>
                    <w:sz w:val="20"/>
                    <w:szCs w:val="36"/>
                  </w:rPr>
                  <m:t>R</m:t>
                </m:r>
                <m:ctrlPr>
                  <w:rPr>
                    <w:rFonts w:ascii="Cambria Math" w:hAnsi="Cambria Math"/>
                    <w:bCs/>
                    <w:iCs/>
                    <w:color w:val="auto"/>
                    <w:spacing w:val="-2"/>
                    <w:sz w:val="20"/>
                    <w:szCs w:val="36"/>
                  </w:rPr>
                </m:ctrlPr>
              </m:e>
              <m:sub>
                <m:r>
                  <m:rPr>
                    <m:sty m:val="p"/>
                  </m:rPr>
                  <w:rPr>
                    <w:rFonts w:ascii="Cambria Math" w:hAnsi="Cambria Math"/>
                    <w:color w:val="auto"/>
                    <w:spacing w:val="-2"/>
                    <w:sz w:val="20"/>
                    <w:szCs w:val="36"/>
                  </w:rPr>
                  <m:t>j</m:t>
                </m:r>
                <m:ctrlPr>
                  <w:rPr>
                    <w:rFonts w:ascii="Cambria Math" w:hAnsi="Cambria Math"/>
                    <w:bCs/>
                    <w:iCs/>
                    <w:color w:val="auto"/>
                    <w:spacing w:val="-2"/>
                    <w:sz w:val="20"/>
                    <w:szCs w:val="36"/>
                  </w:rPr>
                </m:ctrlPr>
              </m:sub>
            </m:sSub>
            <m:ctrlPr>
              <w:rPr>
                <w:rFonts w:ascii="Cambria Math" w:hAnsi="Cambria Math"/>
                <w:bCs/>
                <w:iCs/>
                <w:color w:val="auto"/>
                <w:spacing w:val="-2"/>
                <w:sz w:val="20"/>
                <w:szCs w:val="36"/>
              </w:rPr>
            </m:ctrlPr>
          </m:e>
        </m:nary>
      </m:oMath>
      <w:r>
        <w:rPr>
          <w:bCs/>
          <w:iCs/>
          <w:color w:val="auto"/>
          <w:spacing w:val="-2"/>
          <w:sz w:val="20"/>
          <w:szCs w:val="36"/>
        </w:rPr>
        <w:t xml:space="preserve">   </w:t>
      </w:r>
      <w:r>
        <w:rPr>
          <w:bCs/>
          <w:iCs/>
          <w:color w:val="auto"/>
          <w:spacing w:val="-2"/>
          <w:sz w:val="16"/>
          <w:szCs w:val="28"/>
        </w:rPr>
        <w:t xml:space="preserve">      </w:t>
      </w:r>
      <w:r>
        <w:rPr>
          <w:bCs/>
          <w:iCs/>
          <w:color w:val="auto"/>
          <w:spacing w:val="-2"/>
          <w:sz w:val="13"/>
          <w:szCs w:val="22"/>
        </w:rPr>
        <w:t xml:space="preserve">         </w:t>
      </w:r>
      <w:r>
        <w:rPr>
          <w:bCs/>
          <w:iCs/>
          <w:color w:val="auto"/>
          <w:spacing w:val="-2"/>
          <w:sz w:val="18"/>
          <w:szCs w:val="32"/>
        </w:rPr>
        <w:t xml:space="preserve"> （</w:t>
      </w:r>
      <w:r>
        <w:rPr>
          <w:bCs/>
          <w:iCs/>
          <w:color w:val="auto"/>
          <w:spacing w:val="-2"/>
          <w:sz w:val="20"/>
          <w:szCs w:val="36"/>
        </w:rPr>
        <w:t>D.0.7-2</w:t>
      </w:r>
      <w:r>
        <w:rPr>
          <w:bCs/>
          <w:iCs/>
          <w:color w:val="auto"/>
          <w:spacing w:val="-2"/>
          <w:sz w:val="18"/>
          <w:szCs w:val="32"/>
        </w:rPr>
        <w:t>）</w:t>
      </w:r>
    </w:p>
    <w:p w14:paraId="35B420C0">
      <w:pPr>
        <w:pStyle w:val="13"/>
        <w:spacing w:line="288" w:lineRule="auto"/>
        <w:ind w:firstLine="400" w:firstLineChars="200"/>
        <w:contextualSpacing/>
        <w:rPr>
          <w:color w:val="auto"/>
          <w:sz w:val="16"/>
          <w:szCs w:val="28"/>
        </w:rPr>
      </w:pPr>
      <w:r>
        <w:rPr>
          <w:color w:val="auto"/>
          <w:sz w:val="20"/>
          <w:szCs w:val="36"/>
        </w:rPr>
        <w:t>式中：</w:t>
      </w:r>
      <w:r>
        <w:rPr>
          <w:color w:val="auto"/>
          <w:sz w:val="16"/>
          <w:szCs w:val="28"/>
        </w:rPr>
        <w:t xml:space="preserve"> </w:t>
      </w:r>
      <w:r>
        <w:rPr>
          <w:color w:val="auto"/>
          <w:sz w:val="20"/>
          <w:szCs w:val="20"/>
        </w:rPr>
        <w:t>C</w:t>
      </w:r>
      <w:r>
        <w:rPr>
          <w:color w:val="auto"/>
          <w:sz w:val="20"/>
          <w:szCs w:val="20"/>
          <w:vertAlign w:val="subscript"/>
        </w:rPr>
        <w:t>uc</w:t>
      </w:r>
      <w:r>
        <w:rPr>
          <w:color w:val="auto"/>
          <w:sz w:val="20"/>
          <w:szCs w:val="20"/>
        </w:rPr>
        <w:t>——单位工程量建造阶段碳排放量（kgCO</w:t>
      </w:r>
      <w:r>
        <w:rPr>
          <w:color w:val="auto"/>
          <w:sz w:val="20"/>
          <w:szCs w:val="20"/>
          <w:vertAlign w:val="subscript"/>
        </w:rPr>
        <w:t>2</w:t>
      </w:r>
      <w:r>
        <w:rPr>
          <w:color w:val="auto"/>
          <w:sz w:val="20"/>
          <w:szCs w:val="20"/>
        </w:rPr>
        <w:t>e/工程量计量单位）；</w:t>
      </w:r>
    </w:p>
    <w:p w14:paraId="6219A6C1">
      <w:pPr>
        <w:pStyle w:val="13"/>
        <w:spacing w:line="288" w:lineRule="auto"/>
        <w:ind w:left="708" w:leftChars="337" w:firstLine="400" w:firstLineChars="200"/>
        <w:contextualSpacing/>
        <w:rPr>
          <w:color w:val="auto"/>
          <w:sz w:val="20"/>
          <w:szCs w:val="20"/>
        </w:rPr>
      </w:pPr>
      <w:r>
        <w:rPr>
          <w:color w:val="auto"/>
          <w:sz w:val="20"/>
          <w:szCs w:val="20"/>
        </w:rPr>
        <w:t>e</w:t>
      </w:r>
      <w:r>
        <w:rPr>
          <w:rFonts w:hint="eastAsia"/>
          <w:color w:val="auto"/>
          <w:sz w:val="20"/>
          <w:szCs w:val="20"/>
          <w:vertAlign w:val="subscript"/>
        </w:rPr>
        <w:t>j</w:t>
      </w:r>
      <w:r>
        <w:rPr>
          <w:color w:val="auto"/>
          <w:sz w:val="20"/>
          <w:szCs w:val="20"/>
          <w:vertAlign w:val="subscript"/>
        </w:rPr>
        <w:t xml:space="preserve">  </w:t>
      </w:r>
      <w:r>
        <w:rPr>
          <w:color w:val="auto"/>
          <w:sz w:val="20"/>
          <w:szCs w:val="20"/>
        </w:rPr>
        <w:t>——单位工程量建造阶段j类施工机械能源投入量（kw·h或kg）；</w:t>
      </w:r>
    </w:p>
    <w:p w14:paraId="6A54D1F5">
      <w:pPr>
        <w:pStyle w:val="13"/>
        <w:spacing w:line="288" w:lineRule="auto"/>
        <w:ind w:left="708" w:leftChars="337" w:firstLine="400" w:firstLineChars="200"/>
        <w:contextualSpacing/>
        <w:rPr>
          <w:color w:val="auto"/>
          <w:sz w:val="20"/>
          <w:szCs w:val="20"/>
        </w:rPr>
      </w:pPr>
      <w:r>
        <w:rPr>
          <w:color w:val="auto"/>
          <w:sz w:val="20"/>
          <w:szCs w:val="20"/>
        </w:rPr>
        <w:t>EF</w:t>
      </w:r>
      <w:r>
        <w:rPr>
          <w:color w:val="auto"/>
          <w:sz w:val="20"/>
          <w:szCs w:val="20"/>
          <w:vertAlign w:val="subscript"/>
        </w:rPr>
        <w:t>j</w:t>
      </w:r>
      <w:r>
        <w:rPr>
          <w:color w:val="auto"/>
          <w:sz w:val="20"/>
          <w:szCs w:val="20"/>
        </w:rPr>
        <w:t>——单位工程量建造阶段j类施工机械能源的碳排放因子（kgCO</w:t>
      </w:r>
      <w:r>
        <w:rPr>
          <w:color w:val="auto"/>
          <w:sz w:val="20"/>
          <w:szCs w:val="20"/>
          <w:vertAlign w:val="subscript"/>
        </w:rPr>
        <w:t>2</w:t>
      </w:r>
      <w:r>
        <w:rPr>
          <w:color w:val="auto"/>
          <w:sz w:val="20"/>
          <w:szCs w:val="20"/>
        </w:rPr>
        <w:t>e/能源计量单位）</w:t>
      </w:r>
      <w:r>
        <w:rPr>
          <w:rFonts w:hint="eastAsia"/>
          <w:color w:val="auto"/>
          <w:sz w:val="20"/>
          <w:szCs w:val="20"/>
        </w:rPr>
        <w:t>，</w:t>
      </w:r>
      <w:r>
        <w:rPr>
          <w:rFonts w:hint="eastAsia"/>
          <w:color w:val="auto"/>
          <w:sz w:val="20"/>
          <w:szCs w:val="22"/>
        </w:rPr>
        <w:t>按本规程附录E取值；</w:t>
      </w:r>
    </w:p>
    <w:p w14:paraId="7A2123D1">
      <w:pPr>
        <w:pStyle w:val="13"/>
        <w:spacing w:line="288" w:lineRule="auto"/>
        <w:ind w:left="708" w:leftChars="337" w:firstLine="400" w:firstLineChars="200"/>
        <w:contextualSpacing/>
        <w:rPr>
          <w:color w:val="auto"/>
          <w:sz w:val="20"/>
          <w:szCs w:val="20"/>
        </w:rPr>
      </w:pPr>
      <w:r>
        <w:rPr>
          <w:color w:val="auto"/>
          <w:sz w:val="20"/>
          <w:szCs w:val="20"/>
        </w:rPr>
        <w:t>C</w:t>
      </w:r>
      <w:r>
        <w:rPr>
          <w:color w:val="auto"/>
          <w:sz w:val="20"/>
          <w:szCs w:val="20"/>
          <w:vertAlign w:val="subscript"/>
        </w:rPr>
        <w:t>ucl</w:t>
      </w:r>
      <w:r>
        <w:rPr>
          <w:color w:val="auto"/>
          <w:sz w:val="20"/>
          <w:szCs w:val="20"/>
        </w:rPr>
        <w:t>——单位工程量建造阶段临时设施碳排放量（kgCO</w:t>
      </w:r>
      <w:r>
        <w:rPr>
          <w:color w:val="auto"/>
          <w:sz w:val="20"/>
          <w:szCs w:val="20"/>
          <w:vertAlign w:val="subscript"/>
        </w:rPr>
        <w:t>2</w:t>
      </w:r>
      <w:r>
        <w:rPr>
          <w:color w:val="auto"/>
          <w:sz w:val="20"/>
          <w:szCs w:val="20"/>
        </w:rPr>
        <w:t>e/工程量计量单位）</w:t>
      </w:r>
      <w:r>
        <w:rPr>
          <w:rFonts w:hint="eastAsia"/>
          <w:color w:val="auto"/>
          <w:sz w:val="20"/>
          <w:szCs w:val="20"/>
        </w:rPr>
        <w:t>，可依据临时设施类型，根据定额按照现行国家标准《建筑碳排放计算标准》（GB/T 51366-2019）计算</w:t>
      </w:r>
      <w:r>
        <w:rPr>
          <w:color w:val="auto"/>
          <w:sz w:val="20"/>
          <w:szCs w:val="20"/>
        </w:rPr>
        <w:t>；</w:t>
      </w:r>
    </w:p>
    <w:p w14:paraId="4982081E">
      <w:pPr>
        <w:spacing w:line="288" w:lineRule="auto"/>
        <w:ind w:left="708" w:leftChars="337" w:firstLine="400" w:firstLineChars="200"/>
        <w:contextualSpacing/>
        <w:rPr>
          <w:sz w:val="20"/>
          <w:szCs w:val="20"/>
        </w:rPr>
      </w:pPr>
      <w:r>
        <w:rPr>
          <w:sz w:val="20"/>
          <w:szCs w:val="20"/>
        </w:rPr>
        <w:t>T</w:t>
      </w:r>
      <w:r>
        <w:rPr>
          <w:sz w:val="20"/>
          <w:szCs w:val="20"/>
          <w:vertAlign w:val="subscript"/>
        </w:rPr>
        <w:t xml:space="preserve">j  </w:t>
      </w:r>
      <w:r>
        <w:rPr>
          <w:sz w:val="20"/>
          <w:szCs w:val="20"/>
        </w:rPr>
        <w:t>——第j类施工机械的台班数量（台班）；</w:t>
      </w:r>
    </w:p>
    <w:p w14:paraId="0A5BD52C">
      <w:pPr>
        <w:spacing w:line="288" w:lineRule="auto"/>
        <w:ind w:left="708" w:leftChars="337" w:firstLine="400" w:firstLineChars="200"/>
        <w:contextualSpacing/>
        <w:rPr>
          <w:sz w:val="20"/>
          <w:szCs w:val="20"/>
        </w:rPr>
      </w:pPr>
      <w:r>
        <w:rPr>
          <w:sz w:val="20"/>
          <w:szCs w:val="20"/>
        </w:rPr>
        <w:t>R</w:t>
      </w:r>
      <w:r>
        <w:rPr>
          <w:sz w:val="20"/>
          <w:szCs w:val="20"/>
          <w:vertAlign w:val="subscript"/>
        </w:rPr>
        <w:t>j</w:t>
      </w:r>
      <w:r>
        <w:rPr>
          <w:sz w:val="20"/>
          <w:szCs w:val="20"/>
        </w:rPr>
        <w:t xml:space="preserve">  ——第j类施工机械单位台班能耗（kw·h或kg/台班）。</w:t>
      </w:r>
    </w:p>
    <w:p w14:paraId="597330C4">
      <w:pPr>
        <w:spacing w:line="288" w:lineRule="auto"/>
        <w:contextualSpacing/>
        <w:rPr>
          <w:sz w:val="20"/>
          <w:szCs w:val="20"/>
        </w:rPr>
      </w:pPr>
      <w:r>
        <w:rPr>
          <w:b/>
          <w:sz w:val="20"/>
          <w:szCs w:val="20"/>
        </w:rPr>
        <w:t xml:space="preserve">D.0.8  </w:t>
      </w:r>
      <w:r>
        <w:rPr>
          <w:sz w:val="20"/>
          <w:szCs w:val="20"/>
        </w:rPr>
        <w:t>基坑使用阶段碳排放计算应包含运行产生的碳排放量。若没有使用阶段产生的能源数据，可选择使用阶段机械台班数量和单位台班能耗的乘积。</w:t>
      </w:r>
      <w:r>
        <w:rPr>
          <w:rFonts w:hint="eastAsia"/>
          <w:sz w:val="20"/>
          <w:szCs w:val="20"/>
        </w:rPr>
        <w:t>基坑</w:t>
      </w:r>
      <w:r>
        <w:rPr>
          <w:sz w:val="20"/>
          <w:szCs w:val="20"/>
        </w:rPr>
        <w:t>使用阶段碳排放</w:t>
      </w:r>
      <w:r>
        <w:rPr>
          <w:rFonts w:hint="eastAsia"/>
          <w:sz w:val="20"/>
          <w:szCs w:val="20"/>
        </w:rPr>
        <w:t>量</w:t>
      </w:r>
      <w:r>
        <w:rPr>
          <w:sz w:val="20"/>
          <w:szCs w:val="20"/>
        </w:rPr>
        <w:t>应按下式计算：</w:t>
      </w:r>
    </w:p>
    <w:p w14:paraId="0B36689E">
      <w:pPr>
        <w:pStyle w:val="13"/>
        <w:spacing w:line="288" w:lineRule="auto"/>
        <w:ind w:firstLine="400"/>
        <w:contextualSpacing/>
        <w:jc w:val="center"/>
        <w:rPr>
          <w:bCs/>
          <w:iCs/>
          <w:color w:val="auto"/>
          <w:spacing w:val="-2"/>
          <w:sz w:val="13"/>
          <w:szCs w:val="22"/>
        </w:rPr>
      </w:pPr>
      <w:r>
        <w:rPr>
          <w:bCs/>
          <w:iCs/>
          <w:color w:val="auto"/>
          <w:spacing w:val="-2"/>
          <w:sz w:val="18"/>
          <w:szCs w:val="32"/>
        </w:rPr>
        <w:t xml:space="preserve">    </w:t>
      </w:r>
      <w:r>
        <w:rPr>
          <w:bCs/>
          <w:iCs/>
          <w:color w:val="auto"/>
          <w:spacing w:val="-2"/>
          <w:sz w:val="18"/>
          <w:szCs w:val="32"/>
        </w:rPr>
        <w:tab/>
      </w:r>
      <w:r>
        <w:rPr>
          <w:rFonts w:hint="eastAsia"/>
          <w:bCs/>
          <w:iCs/>
          <w:color w:val="auto"/>
          <w:spacing w:val="-2"/>
          <w:sz w:val="18"/>
          <w:szCs w:val="32"/>
        </w:rPr>
        <w:t xml:space="preserve"> </w:t>
      </w:r>
      <w:r>
        <w:rPr>
          <w:bCs/>
          <w:iCs/>
          <w:color w:val="auto"/>
          <w:spacing w:val="-2"/>
          <w:sz w:val="18"/>
          <w:szCs w:val="32"/>
        </w:rPr>
        <w:t xml:space="preserve"> </w:t>
      </w:r>
      <m:oMath>
        <m:sSub>
          <m:sSubPr>
            <m:ctrlPr>
              <w:rPr>
                <w:rFonts w:ascii="Cambria Math" w:hAnsi="Cambria Math"/>
                <w:bCs/>
                <w:iCs/>
                <w:color w:val="auto"/>
                <w:spacing w:val="-2"/>
                <w:sz w:val="18"/>
                <w:szCs w:val="32"/>
              </w:rPr>
            </m:ctrlPr>
          </m:sSubPr>
          <m:e>
            <m:r>
              <m:rPr>
                <m:sty m:val="p"/>
              </m:rPr>
              <w:rPr>
                <w:rFonts w:ascii="Cambria Math" w:hAnsi="Cambria Math"/>
                <w:color w:val="auto"/>
                <w:spacing w:val="-2"/>
                <w:sz w:val="18"/>
                <w:szCs w:val="32"/>
              </w:rPr>
              <m:t>C</m:t>
            </m:r>
            <m:ctrlPr>
              <w:rPr>
                <w:rFonts w:ascii="Cambria Math" w:hAnsi="Cambria Math"/>
                <w:bCs/>
                <w:iCs/>
                <w:color w:val="auto"/>
                <w:spacing w:val="-2"/>
                <w:sz w:val="18"/>
                <w:szCs w:val="32"/>
              </w:rPr>
            </m:ctrlPr>
          </m:e>
          <m:sub>
            <m:r>
              <m:rPr>
                <m:sty m:val="p"/>
              </m:rPr>
              <w:rPr>
                <w:rFonts w:ascii="Cambria Math" w:hAnsi="Cambria Math"/>
                <w:color w:val="auto"/>
                <w:spacing w:val="-2"/>
                <w:sz w:val="18"/>
                <w:szCs w:val="32"/>
              </w:rPr>
              <m:t>uo</m:t>
            </m:r>
            <m:ctrlPr>
              <w:rPr>
                <w:rFonts w:ascii="Cambria Math" w:hAnsi="Cambria Math"/>
                <w:bCs/>
                <w:iCs/>
                <w:color w:val="auto"/>
                <w:spacing w:val="-2"/>
                <w:sz w:val="18"/>
                <w:szCs w:val="32"/>
              </w:rPr>
            </m:ctrlPr>
          </m:sub>
        </m:sSub>
        <m:r>
          <m:rPr>
            <m:sty m:val="p"/>
          </m:rPr>
          <w:rPr>
            <w:rFonts w:ascii="Cambria Math" w:hAnsi="Cambria Math"/>
            <w:color w:val="auto"/>
            <w:spacing w:val="-2"/>
            <w:sz w:val="18"/>
            <w:szCs w:val="32"/>
          </w:rPr>
          <m:t>=</m:t>
        </m:r>
        <m:nary>
          <m:naryPr>
            <m:chr m:val="∑"/>
            <m:ctrlPr>
              <w:rPr>
                <w:rFonts w:ascii="Cambria Math" w:hAnsi="Cambria Math"/>
                <w:bCs/>
                <w:iCs/>
                <w:color w:val="auto"/>
                <w:spacing w:val="-2"/>
                <w:sz w:val="18"/>
                <w:szCs w:val="32"/>
              </w:rPr>
            </m:ctrlPr>
          </m:naryPr>
          <m:sub>
            <m:r>
              <m:rPr>
                <m:sty m:val="p"/>
              </m:rPr>
              <w:rPr>
                <w:rFonts w:ascii="Cambria Math" w:hAnsi="Cambria Math"/>
                <w:color w:val="auto"/>
                <w:spacing w:val="-2"/>
                <w:sz w:val="18"/>
                <w:szCs w:val="32"/>
              </w:rPr>
              <m:t>j=1</m:t>
            </m:r>
            <m:ctrlPr>
              <w:rPr>
                <w:rFonts w:ascii="Cambria Math" w:hAnsi="Cambria Math"/>
                <w:bCs/>
                <w:iCs/>
                <w:color w:val="auto"/>
                <w:spacing w:val="-2"/>
                <w:sz w:val="18"/>
                <w:szCs w:val="32"/>
              </w:rPr>
            </m:ctrlPr>
          </m:sub>
          <m:sup>
            <m:r>
              <m:rPr>
                <m:sty m:val="p"/>
              </m:rPr>
              <w:rPr>
                <w:rFonts w:ascii="Cambria Math" w:hAnsi="Cambria Math"/>
                <w:color w:val="auto"/>
                <w:spacing w:val="-2"/>
                <w:sz w:val="18"/>
                <w:szCs w:val="32"/>
              </w:rPr>
              <m:t>n</m:t>
            </m:r>
            <m:ctrlPr>
              <w:rPr>
                <w:rFonts w:ascii="Cambria Math" w:hAnsi="Cambria Math"/>
                <w:bCs/>
                <w:iCs/>
                <w:color w:val="auto"/>
                <w:spacing w:val="-2"/>
                <w:sz w:val="18"/>
                <w:szCs w:val="32"/>
              </w:rPr>
            </m:ctrlPr>
          </m:sup>
          <m:e>
            <m:sSub>
              <m:sSubPr>
                <m:ctrlPr>
                  <w:rPr>
                    <w:rFonts w:ascii="Cambria Math" w:hAnsi="Cambria Math"/>
                    <w:bCs/>
                    <w:i/>
                    <w:iCs/>
                    <w:color w:val="auto"/>
                    <w:spacing w:val="-2"/>
                    <w:sz w:val="18"/>
                    <w:szCs w:val="32"/>
                  </w:rPr>
                </m:ctrlPr>
              </m:sSubPr>
              <m:e>
                <m:r>
                  <m:rPr/>
                  <w:rPr>
                    <w:rFonts w:ascii="Cambria Math" w:hAnsi="Cambria Math"/>
                    <w:color w:val="auto"/>
                    <w:spacing w:val="-2"/>
                    <w:sz w:val="18"/>
                    <w:szCs w:val="32"/>
                  </w:rPr>
                  <m:t>e</m:t>
                </m:r>
                <m:ctrlPr>
                  <w:rPr>
                    <w:rFonts w:ascii="Cambria Math" w:hAnsi="Cambria Math"/>
                    <w:bCs/>
                    <w:i/>
                    <w:iCs/>
                    <w:color w:val="auto"/>
                    <w:spacing w:val="-2"/>
                    <w:sz w:val="18"/>
                    <w:szCs w:val="32"/>
                  </w:rPr>
                </m:ctrlPr>
              </m:e>
              <m:sub>
                <m:r>
                  <m:rPr/>
                  <w:rPr>
                    <w:rFonts w:ascii="Cambria Math" w:hAnsi="Cambria Math"/>
                    <w:color w:val="auto"/>
                    <w:spacing w:val="-2"/>
                    <w:sz w:val="18"/>
                    <w:szCs w:val="32"/>
                  </w:rPr>
                  <m:t>j</m:t>
                </m:r>
                <m:ctrlPr>
                  <w:rPr>
                    <w:rFonts w:ascii="Cambria Math" w:hAnsi="Cambria Math"/>
                    <w:bCs/>
                    <w:i/>
                    <w:iCs/>
                    <w:color w:val="auto"/>
                    <w:spacing w:val="-2"/>
                    <w:sz w:val="18"/>
                    <w:szCs w:val="32"/>
                  </w:rPr>
                </m:ctrlPr>
              </m:sub>
            </m:sSub>
            <m:ctrlPr>
              <w:rPr>
                <w:rFonts w:ascii="Cambria Math" w:hAnsi="Cambria Math"/>
                <w:bCs/>
                <w:iCs/>
                <w:color w:val="auto"/>
                <w:spacing w:val="-2"/>
                <w:sz w:val="18"/>
                <w:szCs w:val="32"/>
              </w:rPr>
            </m:ctrlPr>
          </m:e>
        </m:nary>
        <m:sSub>
          <m:sSubPr>
            <m:ctrlPr>
              <w:rPr>
                <w:rFonts w:ascii="Cambria Math" w:hAnsi="Cambria Math"/>
                <w:bCs/>
                <w:iCs/>
                <w:color w:val="auto"/>
                <w:spacing w:val="-2"/>
                <w:sz w:val="18"/>
                <w:szCs w:val="32"/>
              </w:rPr>
            </m:ctrlPr>
          </m:sSubPr>
          <m:e>
            <m:r>
              <m:rPr>
                <m:sty m:val="p"/>
              </m:rPr>
              <w:rPr>
                <w:rFonts w:ascii="Cambria Math" w:hAnsi="Cambria Math"/>
                <w:color w:val="auto"/>
                <w:spacing w:val="-2"/>
                <w:sz w:val="18"/>
                <w:szCs w:val="32"/>
              </w:rPr>
              <m:t>×EF</m:t>
            </m:r>
            <m:ctrlPr>
              <w:rPr>
                <w:rFonts w:ascii="Cambria Math" w:hAnsi="Cambria Math"/>
                <w:bCs/>
                <w:iCs/>
                <w:color w:val="auto"/>
                <w:spacing w:val="-2"/>
                <w:sz w:val="18"/>
                <w:szCs w:val="32"/>
              </w:rPr>
            </m:ctrlPr>
          </m:e>
          <m:sub>
            <m:r>
              <m:rPr>
                <m:sty m:val="p"/>
              </m:rPr>
              <w:rPr>
                <w:rFonts w:ascii="Cambria Math" w:hAnsi="Cambria Math"/>
                <w:color w:val="auto"/>
                <w:spacing w:val="-2"/>
                <w:sz w:val="18"/>
                <w:szCs w:val="32"/>
              </w:rPr>
              <m:t>j</m:t>
            </m:r>
            <m:ctrlPr>
              <w:rPr>
                <w:rFonts w:ascii="Cambria Math" w:hAnsi="Cambria Math"/>
                <w:bCs/>
                <w:iCs/>
                <w:color w:val="auto"/>
                <w:spacing w:val="-2"/>
                <w:sz w:val="18"/>
                <w:szCs w:val="32"/>
              </w:rPr>
            </m:ctrlPr>
          </m:sub>
        </m:sSub>
      </m:oMath>
      <w:r>
        <w:rPr>
          <w:bCs/>
          <w:iCs/>
          <w:color w:val="auto"/>
          <w:spacing w:val="-2"/>
          <w:sz w:val="18"/>
          <w:szCs w:val="32"/>
        </w:rPr>
        <w:t xml:space="preserve">      </w:t>
      </w:r>
      <w:r>
        <w:rPr>
          <w:bCs/>
          <w:iCs/>
          <w:color w:val="auto"/>
          <w:spacing w:val="-2"/>
          <w:sz w:val="13"/>
          <w:szCs w:val="22"/>
        </w:rPr>
        <w:t xml:space="preserve">           </w:t>
      </w:r>
      <w:r>
        <w:rPr>
          <w:bCs/>
          <w:iCs/>
          <w:color w:val="auto"/>
          <w:spacing w:val="-2"/>
          <w:sz w:val="18"/>
          <w:szCs w:val="32"/>
        </w:rPr>
        <w:t>（</w:t>
      </w:r>
      <w:r>
        <w:rPr>
          <w:bCs/>
          <w:iCs/>
          <w:color w:val="auto"/>
          <w:spacing w:val="-2"/>
          <w:sz w:val="20"/>
          <w:szCs w:val="36"/>
        </w:rPr>
        <w:t>D.0.8-1</w:t>
      </w:r>
      <w:r>
        <w:rPr>
          <w:bCs/>
          <w:iCs/>
          <w:color w:val="auto"/>
          <w:spacing w:val="-2"/>
          <w:sz w:val="18"/>
          <w:szCs w:val="32"/>
        </w:rPr>
        <w:t>）</w:t>
      </w:r>
    </w:p>
    <w:p w14:paraId="66E21E40">
      <w:pPr>
        <w:pStyle w:val="13"/>
        <w:spacing w:line="288" w:lineRule="auto"/>
        <w:ind w:firstLine="400"/>
        <w:contextualSpacing/>
        <w:jc w:val="center"/>
        <w:rPr>
          <w:bCs/>
          <w:iCs/>
          <w:color w:val="auto"/>
          <w:spacing w:val="-2"/>
          <w:sz w:val="18"/>
          <w:szCs w:val="32"/>
        </w:rPr>
      </w:pPr>
      <w:r>
        <w:rPr>
          <w:bCs/>
          <w:iCs/>
          <w:color w:val="auto"/>
          <w:spacing w:val="-2"/>
          <w:sz w:val="18"/>
          <w:szCs w:val="32"/>
        </w:rPr>
        <w:t xml:space="preserve"> </w:t>
      </w:r>
      <w:r>
        <w:rPr>
          <w:rFonts w:hint="eastAsia"/>
          <w:bCs/>
          <w:iCs/>
          <w:color w:val="auto"/>
          <w:spacing w:val="-2"/>
          <w:sz w:val="18"/>
          <w:szCs w:val="32"/>
        </w:rPr>
        <w:t xml:space="preserve"> </w:t>
      </w:r>
      <w:r>
        <w:rPr>
          <w:bCs/>
          <w:iCs/>
          <w:color w:val="auto"/>
          <w:spacing w:val="-2"/>
          <w:sz w:val="18"/>
          <w:szCs w:val="32"/>
        </w:rPr>
        <w:t xml:space="preserve">     </w:t>
      </w:r>
      <m:oMath>
        <m:sSub>
          <m:sSubPr>
            <m:ctrlPr>
              <w:rPr>
                <w:rFonts w:ascii="Cambria Math" w:hAnsi="Cambria Math"/>
                <w:bCs/>
                <w:i/>
                <w:iCs/>
                <w:color w:val="auto"/>
                <w:spacing w:val="-2"/>
                <w:sz w:val="18"/>
                <w:szCs w:val="32"/>
              </w:rPr>
            </m:ctrlPr>
          </m:sSubPr>
          <m:e>
            <m:r>
              <m:rPr/>
              <w:rPr>
                <w:rFonts w:ascii="Cambria Math" w:hAnsi="Cambria Math"/>
                <w:color w:val="auto"/>
                <w:spacing w:val="-2"/>
                <w:sz w:val="18"/>
                <w:szCs w:val="32"/>
              </w:rPr>
              <m:t>e</m:t>
            </m:r>
            <m:ctrlPr>
              <w:rPr>
                <w:rFonts w:ascii="Cambria Math" w:hAnsi="Cambria Math"/>
                <w:bCs/>
                <w:i/>
                <w:iCs/>
                <w:color w:val="auto"/>
                <w:spacing w:val="-2"/>
                <w:sz w:val="18"/>
                <w:szCs w:val="32"/>
              </w:rPr>
            </m:ctrlPr>
          </m:e>
          <m:sub>
            <m:r>
              <m:rPr/>
              <w:rPr>
                <w:rFonts w:ascii="Cambria Math" w:hAnsi="Cambria Math"/>
                <w:color w:val="auto"/>
                <w:spacing w:val="-2"/>
                <w:sz w:val="18"/>
                <w:szCs w:val="32"/>
              </w:rPr>
              <m:t>j</m:t>
            </m:r>
            <m:ctrlPr>
              <w:rPr>
                <w:rFonts w:ascii="Cambria Math" w:hAnsi="Cambria Math"/>
                <w:bCs/>
                <w:i/>
                <w:iCs/>
                <w:color w:val="auto"/>
                <w:spacing w:val="-2"/>
                <w:sz w:val="18"/>
                <w:szCs w:val="32"/>
              </w:rPr>
            </m:ctrlPr>
          </m:sub>
        </m:sSub>
        <m:r>
          <m:rPr>
            <m:sty m:val="p"/>
          </m:rPr>
          <w:rPr>
            <w:rFonts w:ascii="Cambria Math" w:hAnsi="Cambria Math"/>
            <w:color w:val="auto"/>
            <w:spacing w:val="-2"/>
            <w:sz w:val="18"/>
            <w:szCs w:val="32"/>
          </w:rPr>
          <m:t>=</m:t>
        </m:r>
        <m:nary>
          <m:naryPr>
            <m:chr m:val="∑"/>
            <m:ctrlPr>
              <w:rPr>
                <w:rFonts w:ascii="Cambria Math" w:hAnsi="Cambria Math"/>
                <w:bCs/>
                <w:iCs/>
                <w:color w:val="auto"/>
                <w:spacing w:val="-2"/>
                <w:sz w:val="18"/>
                <w:szCs w:val="32"/>
              </w:rPr>
            </m:ctrlPr>
          </m:naryPr>
          <m:sub>
            <m:r>
              <m:rPr>
                <m:sty m:val="p"/>
              </m:rPr>
              <w:rPr>
                <w:rFonts w:ascii="Cambria Math" w:hAnsi="Cambria Math"/>
                <w:color w:val="auto"/>
                <w:spacing w:val="-2"/>
                <w:sz w:val="18"/>
                <w:szCs w:val="32"/>
              </w:rPr>
              <m:t>j=1</m:t>
            </m:r>
            <m:ctrlPr>
              <w:rPr>
                <w:rFonts w:ascii="Cambria Math" w:hAnsi="Cambria Math"/>
                <w:bCs/>
                <w:iCs/>
                <w:color w:val="auto"/>
                <w:spacing w:val="-2"/>
                <w:sz w:val="18"/>
                <w:szCs w:val="32"/>
              </w:rPr>
            </m:ctrlPr>
          </m:sub>
          <m:sup>
            <m:r>
              <m:rPr>
                <m:sty m:val="p"/>
              </m:rPr>
              <w:rPr>
                <w:rFonts w:ascii="Cambria Math" w:hAnsi="Cambria Math"/>
                <w:color w:val="auto"/>
                <w:spacing w:val="-2"/>
                <w:sz w:val="18"/>
                <w:szCs w:val="32"/>
              </w:rPr>
              <m:t>n</m:t>
            </m:r>
            <m:ctrlPr>
              <w:rPr>
                <w:rFonts w:ascii="Cambria Math" w:hAnsi="Cambria Math"/>
                <w:bCs/>
                <w:iCs/>
                <w:color w:val="auto"/>
                <w:spacing w:val="-2"/>
                <w:sz w:val="18"/>
                <w:szCs w:val="32"/>
              </w:rPr>
            </m:ctrlPr>
          </m:sup>
          <m:e>
            <m:sSub>
              <m:sSubPr>
                <m:ctrlPr>
                  <w:rPr>
                    <w:rFonts w:ascii="Cambria Math" w:hAnsi="Cambria Math"/>
                    <w:bCs/>
                    <w:iCs/>
                    <w:color w:val="auto"/>
                    <w:spacing w:val="-2"/>
                    <w:sz w:val="18"/>
                    <w:szCs w:val="32"/>
                  </w:rPr>
                </m:ctrlPr>
              </m:sSubPr>
              <m:e>
                <m:r>
                  <m:rPr>
                    <m:sty m:val="p"/>
                  </m:rPr>
                  <w:rPr>
                    <w:rFonts w:ascii="Cambria Math" w:hAnsi="Cambria Math"/>
                    <w:color w:val="auto"/>
                    <w:spacing w:val="-2"/>
                    <w:sz w:val="18"/>
                    <w:szCs w:val="32"/>
                  </w:rPr>
                  <m:t>T</m:t>
                </m:r>
                <m:ctrlPr>
                  <w:rPr>
                    <w:rFonts w:ascii="Cambria Math" w:hAnsi="Cambria Math"/>
                    <w:bCs/>
                    <w:iCs/>
                    <w:color w:val="auto"/>
                    <w:spacing w:val="-2"/>
                    <w:sz w:val="18"/>
                    <w:szCs w:val="32"/>
                  </w:rPr>
                </m:ctrlPr>
              </m:e>
              <m:sub>
                <m:r>
                  <m:rPr>
                    <m:sty m:val="p"/>
                  </m:rPr>
                  <w:rPr>
                    <w:rFonts w:ascii="Cambria Math" w:hAnsi="Cambria Math"/>
                    <w:color w:val="auto"/>
                    <w:spacing w:val="-2"/>
                    <w:sz w:val="18"/>
                    <w:szCs w:val="32"/>
                  </w:rPr>
                  <m:t>j</m:t>
                </m:r>
                <m:ctrlPr>
                  <w:rPr>
                    <w:rFonts w:ascii="Cambria Math" w:hAnsi="Cambria Math"/>
                    <w:bCs/>
                    <w:iCs/>
                    <w:color w:val="auto"/>
                    <w:spacing w:val="-2"/>
                    <w:sz w:val="18"/>
                    <w:szCs w:val="32"/>
                  </w:rPr>
                </m:ctrlPr>
              </m:sub>
            </m:sSub>
            <m:r>
              <m:rPr>
                <m:sty m:val="p"/>
              </m:rPr>
              <w:rPr>
                <w:rFonts w:ascii="Cambria Math" w:hAnsi="Cambria Math"/>
                <w:color w:val="auto"/>
                <w:spacing w:val="-2"/>
                <w:sz w:val="18"/>
                <w:szCs w:val="32"/>
              </w:rPr>
              <m:t>×</m:t>
            </m:r>
            <m:sSub>
              <m:sSubPr>
                <m:ctrlPr>
                  <w:rPr>
                    <w:rFonts w:ascii="Cambria Math" w:hAnsi="Cambria Math"/>
                    <w:bCs/>
                    <w:iCs/>
                    <w:color w:val="auto"/>
                    <w:spacing w:val="-2"/>
                    <w:sz w:val="18"/>
                    <w:szCs w:val="32"/>
                  </w:rPr>
                </m:ctrlPr>
              </m:sSubPr>
              <m:e>
                <m:r>
                  <m:rPr>
                    <m:sty m:val="p"/>
                  </m:rPr>
                  <w:rPr>
                    <w:rFonts w:ascii="Cambria Math" w:hAnsi="Cambria Math"/>
                    <w:color w:val="auto"/>
                    <w:spacing w:val="-2"/>
                    <w:sz w:val="18"/>
                    <w:szCs w:val="32"/>
                  </w:rPr>
                  <m:t>R</m:t>
                </m:r>
                <m:ctrlPr>
                  <w:rPr>
                    <w:rFonts w:ascii="Cambria Math" w:hAnsi="Cambria Math"/>
                    <w:bCs/>
                    <w:iCs/>
                    <w:color w:val="auto"/>
                    <w:spacing w:val="-2"/>
                    <w:sz w:val="18"/>
                    <w:szCs w:val="32"/>
                  </w:rPr>
                </m:ctrlPr>
              </m:e>
              <m:sub>
                <m:r>
                  <m:rPr>
                    <m:sty m:val="p"/>
                  </m:rPr>
                  <w:rPr>
                    <w:rFonts w:ascii="Cambria Math" w:hAnsi="Cambria Math"/>
                    <w:color w:val="auto"/>
                    <w:spacing w:val="-2"/>
                    <w:sz w:val="18"/>
                    <w:szCs w:val="32"/>
                  </w:rPr>
                  <m:t>j</m:t>
                </m:r>
                <m:ctrlPr>
                  <w:rPr>
                    <w:rFonts w:ascii="Cambria Math" w:hAnsi="Cambria Math"/>
                    <w:bCs/>
                    <w:iCs/>
                    <w:color w:val="auto"/>
                    <w:spacing w:val="-2"/>
                    <w:sz w:val="18"/>
                    <w:szCs w:val="32"/>
                  </w:rPr>
                </m:ctrlPr>
              </m:sub>
            </m:sSub>
            <m:ctrlPr>
              <w:rPr>
                <w:rFonts w:ascii="Cambria Math" w:hAnsi="Cambria Math"/>
                <w:bCs/>
                <w:iCs/>
                <w:color w:val="auto"/>
                <w:spacing w:val="-2"/>
                <w:sz w:val="18"/>
                <w:szCs w:val="32"/>
              </w:rPr>
            </m:ctrlPr>
          </m:e>
        </m:nary>
      </m:oMath>
      <w:r>
        <w:rPr>
          <w:bCs/>
          <w:iCs/>
          <w:color w:val="auto"/>
          <w:spacing w:val="-2"/>
          <w:sz w:val="18"/>
          <w:szCs w:val="32"/>
        </w:rPr>
        <w:t xml:space="preserve">  </w:t>
      </w:r>
      <w:r>
        <w:rPr>
          <w:bCs/>
          <w:iCs/>
          <w:color w:val="auto"/>
          <w:spacing w:val="-2"/>
          <w:sz w:val="11"/>
          <w:szCs w:val="21"/>
        </w:rPr>
        <w:t xml:space="preserve">  </w:t>
      </w:r>
      <w:r>
        <w:rPr>
          <w:bCs/>
          <w:iCs/>
          <w:color w:val="auto"/>
          <w:spacing w:val="-2"/>
          <w:sz w:val="13"/>
          <w:szCs w:val="22"/>
        </w:rPr>
        <w:t xml:space="preserve">                  </w:t>
      </w:r>
      <w:r>
        <w:rPr>
          <w:bCs/>
          <w:iCs/>
          <w:color w:val="auto"/>
          <w:spacing w:val="-2"/>
          <w:sz w:val="18"/>
          <w:szCs w:val="32"/>
        </w:rPr>
        <w:t>（</w:t>
      </w:r>
      <w:r>
        <w:rPr>
          <w:bCs/>
          <w:iCs/>
          <w:color w:val="auto"/>
          <w:spacing w:val="-2"/>
          <w:sz w:val="20"/>
          <w:szCs w:val="36"/>
        </w:rPr>
        <w:t>D.0.8-2</w:t>
      </w:r>
      <w:r>
        <w:rPr>
          <w:bCs/>
          <w:iCs/>
          <w:color w:val="auto"/>
          <w:spacing w:val="-2"/>
          <w:sz w:val="18"/>
          <w:szCs w:val="32"/>
        </w:rPr>
        <w:t>）</w:t>
      </w:r>
    </w:p>
    <w:p w14:paraId="520C3396">
      <w:pPr>
        <w:pStyle w:val="13"/>
        <w:spacing w:line="288" w:lineRule="auto"/>
        <w:ind w:firstLine="400" w:firstLineChars="200"/>
        <w:contextualSpacing/>
        <w:rPr>
          <w:color w:val="auto"/>
          <w:sz w:val="16"/>
          <w:szCs w:val="28"/>
        </w:rPr>
      </w:pPr>
      <w:r>
        <w:rPr>
          <w:color w:val="auto"/>
          <w:sz w:val="20"/>
          <w:szCs w:val="36"/>
        </w:rPr>
        <w:t>式中：</w:t>
      </w:r>
      <w:r>
        <w:rPr>
          <w:color w:val="auto"/>
          <w:sz w:val="16"/>
          <w:szCs w:val="28"/>
        </w:rPr>
        <w:t xml:space="preserve"> </w:t>
      </w:r>
      <w:r>
        <w:rPr>
          <w:color w:val="auto"/>
          <w:sz w:val="20"/>
          <w:szCs w:val="20"/>
        </w:rPr>
        <w:t>C</w:t>
      </w:r>
      <w:r>
        <w:rPr>
          <w:color w:val="auto"/>
          <w:sz w:val="20"/>
          <w:szCs w:val="20"/>
          <w:vertAlign w:val="subscript"/>
        </w:rPr>
        <w:t>uo</w:t>
      </w:r>
      <w:r>
        <w:rPr>
          <w:color w:val="auto"/>
          <w:sz w:val="20"/>
          <w:szCs w:val="20"/>
        </w:rPr>
        <w:t>——使用阶段单位工程量碳排放量（kgCO</w:t>
      </w:r>
      <w:r>
        <w:rPr>
          <w:color w:val="auto"/>
          <w:sz w:val="20"/>
          <w:szCs w:val="20"/>
          <w:vertAlign w:val="subscript"/>
        </w:rPr>
        <w:t>2</w:t>
      </w:r>
      <w:r>
        <w:rPr>
          <w:color w:val="auto"/>
          <w:sz w:val="20"/>
          <w:szCs w:val="20"/>
        </w:rPr>
        <w:t>e/工程量计量单位）；</w:t>
      </w:r>
    </w:p>
    <w:p w14:paraId="57D3DEEB">
      <w:pPr>
        <w:pStyle w:val="13"/>
        <w:spacing w:line="288" w:lineRule="auto"/>
        <w:ind w:left="708" w:leftChars="337" w:firstLine="400" w:firstLineChars="200"/>
        <w:contextualSpacing/>
        <w:rPr>
          <w:color w:val="auto"/>
          <w:sz w:val="20"/>
          <w:szCs w:val="20"/>
        </w:rPr>
      </w:pPr>
      <w:r>
        <w:rPr>
          <w:color w:val="auto"/>
          <w:sz w:val="20"/>
          <w:szCs w:val="20"/>
        </w:rPr>
        <w:t>e</w:t>
      </w:r>
      <w:r>
        <w:rPr>
          <w:color w:val="auto"/>
          <w:sz w:val="20"/>
          <w:szCs w:val="20"/>
          <w:vertAlign w:val="subscript"/>
        </w:rPr>
        <w:t>j</w:t>
      </w:r>
      <w:r>
        <w:rPr>
          <w:color w:val="auto"/>
          <w:sz w:val="20"/>
          <w:szCs w:val="20"/>
        </w:rPr>
        <w:t>——使用阶段单位工程量j类施工机械能源投入量（kw·h或kg）；</w:t>
      </w:r>
    </w:p>
    <w:p w14:paraId="0169AC16">
      <w:pPr>
        <w:pStyle w:val="13"/>
        <w:spacing w:line="288" w:lineRule="auto"/>
        <w:ind w:left="708" w:leftChars="337" w:firstLine="400" w:firstLineChars="200"/>
        <w:contextualSpacing/>
        <w:rPr>
          <w:color w:val="auto"/>
          <w:sz w:val="20"/>
          <w:szCs w:val="20"/>
        </w:rPr>
      </w:pPr>
      <w:r>
        <w:rPr>
          <w:color w:val="auto"/>
          <w:sz w:val="20"/>
          <w:szCs w:val="20"/>
        </w:rPr>
        <w:t>EF</w:t>
      </w:r>
      <w:r>
        <w:rPr>
          <w:color w:val="auto"/>
          <w:sz w:val="20"/>
          <w:szCs w:val="20"/>
          <w:vertAlign w:val="subscript"/>
        </w:rPr>
        <w:t>j</w:t>
      </w:r>
      <w:r>
        <w:rPr>
          <w:color w:val="auto"/>
          <w:sz w:val="20"/>
          <w:szCs w:val="20"/>
        </w:rPr>
        <w:t>——使用阶段单位工程量j类施工机械能源的碳排放因子（kgCO</w:t>
      </w:r>
      <w:r>
        <w:rPr>
          <w:color w:val="auto"/>
          <w:sz w:val="20"/>
          <w:szCs w:val="20"/>
          <w:vertAlign w:val="subscript"/>
        </w:rPr>
        <w:t>2</w:t>
      </w:r>
      <w:r>
        <w:rPr>
          <w:color w:val="auto"/>
          <w:sz w:val="20"/>
          <w:szCs w:val="20"/>
        </w:rPr>
        <w:t>e/能源计量单位）</w:t>
      </w:r>
      <w:r>
        <w:rPr>
          <w:rFonts w:hint="eastAsia"/>
          <w:color w:val="auto"/>
          <w:sz w:val="20"/>
          <w:szCs w:val="20"/>
        </w:rPr>
        <w:t>，</w:t>
      </w:r>
      <w:r>
        <w:rPr>
          <w:rFonts w:hint="eastAsia"/>
          <w:color w:val="auto"/>
          <w:sz w:val="20"/>
          <w:szCs w:val="22"/>
        </w:rPr>
        <w:t>按本规程附录E取值；</w:t>
      </w:r>
    </w:p>
    <w:p w14:paraId="626E31F9">
      <w:pPr>
        <w:spacing w:line="288" w:lineRule="auto"/>
        <w:ind w:left="708" w:leftChars="337" w:firstLine="400" w:firstLineChars="200"/>
        <w:contextualSpacing/>
        <w:rPr>
          <w:sz w:val="20"/>
          <w:szCs w:val="20"/>
        </w:rPr>
      </w:pPr>
      <w:r>
        <w:rPr>
          <w:sz w:val="20"/>
          <w:szCs w:val="20"/>
        </w:rPr>
        <w:t>T</w:t>
      </w:r>
      <w:r>
        <w:rPr>
          <w:sz w:val="20"/>
          <w:szCs w:val="20"/>
          <w:vertAlign w:val="subscript"/>
        </w:rPr>
        <w:t>j</w:t>
      </w:r>
      <w:r>
        <w:rPr>
          <w:sz w:val="20"/>
          <w:szCs w:val="20"/>
        </w:rPr>
        <w:t>——第j类施工机械的台班数量（台班）；</w:t>
      </w:r>
    </w:p>
    <w:p w14:paraId="4354847D">
      <w:pPr>
        <w:pStyle w:val="13"/>
        <w:spacing w:line="288" w:lineRule="auto"/>
        <w:ind w:left="708" w:leftChars="337" w:firstLine="400" w:firstLineChars="200"/>
        <w:contextualSpacing/>
        <w:rPr>
          <w:color w:val="auto"/>
          <w:sz w:val="20"/>
          <w:szCs w:val="20"/>
        </w:rPr>
      </w:pPr>
      <w:r>
        <w:rPr>
          <w:color w:val="auto"/>
          <w:sz w:val="20"/>
          <w:szCs w:val="20"/>
        </w:rPr>
        <w:t>R</w:t>
      </w:r>
      <w:r>
        <w:rPr>
          <w:color w:val="auto"/>
          <w:sz w:val="20"/>
          <w:szCs w:val="20"/>
          <w:vertAlign w:val="subscript"/>
        </w:rPr>
        <w:t>j</w:t>
      </w:r>
      <w:r>
        <w:rPr>
          <w:color w:val="auto"/>
          <w:sz w:val="20"/>
          <w:szCs w:val="20"/>
        </w:rPr>
        <w:t>——第j类施工机械单位台班能耗（kw·h或kg/台班）。</w:t>
      </w:r>
    </w:p>
    <w:p w14:paraId="58F404AD">
      <w:pPr>
        <w:spacing w:line="288" w:lineRule="auto"/>
        <w:contextualSpacing/>
        <w:rPr>
          <w:sz w:val="20"/>
          <w:szCs w:val="20"/>
        </w:rPr>
      </w:pPr>
      <w:r>
        <w:rPr>
          <w:b/>
          <w:sz w:val="20"/>
          <w:szCs w:val="20"/>
        </w:rPr>
        <w:t>D.0.9</w:t>
      </w:r>
      <w:r>
        <w:rPr>
          <w:sz w:val="20"/>
          <w:szCs w:val="20"/>
        </w:rPr>
        <w:t xml:space="preserve"> 基坑支护拆除阶段碳排放计算应包含</w:t>
      </w:r>
      <w:r>
        <w:rPr>
          <w:rFonts w:hint="eastAsia"/>
          <w:sz w:val="20"/>
          <w:szCs w:val="20"/>
        </w:rPr>
        <w:t>支护结构</w:t>
      </w:r>
      <w:r>
        <w:rPr>
          <w:sz w:val="20"/>
          <w:szCs w:val="20"/>
        </w:rPr>
        <w:t>拔除与外运、支撑结构拆除与外运和拆除临时设施产生的碳排放量。支撑爆破拆除、静力破损拆除及机械整体性拆除的能源用量应根据拆除专项方案确定。拆除后的垃圾外运产生的能源用量应按现行</w:t>
      </w:r>
      <w:r>
        <w:rPr>
          <w:rFonts w:hint="eastAsia"/>
          <w:sz w:val="20"/>
          <w:szCs w:val="20"/>
        </w:rPr>
        <w:t>国家标准《建筑碳排放计算标准》（GB/T 51366-2019）的</w:t>
      </w:r>
      <w:r>
        <w:rPr>
          <w:sz w:val="20"/>
          <w:szCs w:val="20"/>
        </w:rPr>
        <w:t>相关规定计算。若没有拆除机械所产生的能源数据，可使用拆除机械台班数量和单位台班能耗的乘积。</w:t>
      </w:r>
      <w:r>
        <w:rPr>
          <w:rFonts w:hint="eastAsia"/>
          <w:sz w:val="20"/>
          <w:szCs w:val="20"/>
        </w:rPr>
        <w:t>基坑支护拆除阶段</w:t>
      </w:r>
      <w:r>
        <w:rPr>
          <w:sz w:val="20"/>
          <w:szCs w:val="20"/>
        </w:rPr>
        <w:t>碳排放</w:t>
      </w:r>
      <w:r>
        <w:rPr>
          <w:rFonts w:hint="eastAsia"/>
          <w:sz w:val="20"/>
          <w:szCs w:val="20"/>
        </w:rPr>
        <w:t>量</w:t>
      </w:r>
      <w:r>
        <w:rPr>
          <w:sz w:val="20"/>
          <w:szCs w:val="20"/>
        </w:rPr>
        <w:t>应按下式计算：</w:t>
      </w:r>
    </w:p>
    <w:p w14:paraId="2EAC1F36">
      <w:pPr>
        <w:pStyle w:val="13"/>
        <w:spacing w:line="288" w:lineRule="auto"/>
        <w:contextualSpacing/>
        <w:jc w:val="center"/>
        <w:rPr>
          <w:bCs/>
          <w:iCs/>
          <w:color w:val="auto"/>
          <w:spacing w:val="-2"/>
          <w:sz w:val="18"/>
          <w:szCs w:val="32"/>
        </w:rPr>
      </w:pPr>
      <w:r>
        <w:rPr>
          <w:rFonts w:hint="eastAsia"/>
          <w:bCs/>
          <w:iCs/>
          <w:color w:val="auto"/>
          <w:spacing w:val="-2"/>
          <w:sz w:val="20"/>
          <w:szCs w:val="36"/>
        </w:rPr>
        <w:t xml:space="preserve"> </w:t>
      </w:r>
      <w:r>
        <w:rPr>
          <w:bCs/>
          <w:iCs/>
          <w:color w:val="auto"/>
          <w:spacing w:val="-2"/>
          <w:sz w:val="20"/>
          <w:szCs w:val="36"/>
        </w:rPr>
        <w:t xml:space="preserve">   </w:t>
      </w:r>
      <w:r>
        <w:rPr>
          <w:bCs/>
          <w:iCs/>
          <w:color w:val="auto"/>
          <w:spacing w:val="-2"/>
          <w:sz w:val="20"/>
          <w:szCs w:val="36"/>
        </w:rPr>
        <w:tab/>
      </w:r>
      <w:r>
        <w:rPr>
          <w:bCs/>
          <w:iCs/>
          <w:color w:val="auto"/>
          <w:spacing w:val="-2"/>
          <w:sz w:val="20"/>
          <w:szCs w:val="36"/>
        </w:rPr>
        <w:tab/>
      </w:r>
      <w:r>
        <w:rPr>
          <w:bCs/>
          <w:iCs/>
          <w:color w:val="auto"/>
          <w:spacing w:val="-2"/>
          <w:sz w:val="20"/>
          <w:szCs w:val="36"/>
        </w:rPr>
        <w:tab/>
      </w:r>
      <m:oMath>
        <m:sSub>
          <m:sSubPr>
            <m:ctrlPr>
              <w:rPr>
                <w:rFonts w:ascii="Cambria Math" w:hAnsi="Cambria Math"/>
                <w:bCs/>
                <w:iCs/>
                <w:color w:val="auto"/>
                <w:spacing w:val="-2"/>
                <w:sz w:val="20"/>
                <w:szCs w:val="36"/>
              </w:rPr>
            </m:ctrlPr>
          </m:sSubPr>
          <m:e>
            <m:r>
              <m:rPr>
                <m:sty m:val="p"/>
              </m:rPr>
              <w:rPr>
                <w:rFonts w:ascii="Cambria Math" w:hAnsi="Cambria Math"/>
                <w:color w:val="auto"/>
                <w:spacing w:val="-2"/>
                <w:sz w:val="20"/>
                <w:szCs w:val="36"/>
              </w:rPr>
              <m:t>C</m:t>
            </m:r>
            <m:ctrlPr>
              <w:rPr>
                <w:rFonts w:ascii="Cambria Math" w:hAnsi="Cambria Math"/>
                <w:bCs/>
                <w:iCs/>
                <w:color w:val="auto"/>
                <w:spacing w:val="-2"/>
                <w:sz w:val="20"/>
                <w:szCs w:val="36"/>
              </w:rPr>
            </m:ctrlPr>
          </m:e>
          <m:sub>
            <m:r>
              <m:rPr>
                <m:sty m:val="p"/>
              </m:rPr>
              <w:rPr>
                <w:rFonts w:ascii="Cambria Math" w:hAnsi="Cambria Math"/>
                <w:color w:val="auto"/>
                <w:spacing w:val="-2"/>
                <w:sz w:val="20"/>
                <w:szCs w:val="36"/>
              </w:rPr>
              <m:t>ud</m:t>
            </m:r>
            <m:ctrlPr>
              <w:rPr>
                <w:rFonts w:ascii="Cambria Math" w:hAnsi="Cambria Math"/>
                <w:bCs/>
                <w:iCs/>
                <w:color w:val="auto"/>
                <w:spacing w:val="-2"/>
                <w:sz w:val="20"/>
                <w:szCs w:val="36"/>
              </w:rPr>
            </m:ctrlPr>
          </m:sub>
        </m:sSub>
        <m:r>
          <m:rPr>
            <m:sty m:val="p"/>
          </m:rPr>
          <w:rPr>
            <w:rFonts w:ascii="Cambria Math" w:hAnsi="Cambria Math"/>
            <w:color w:val="auto"/>
            <w:spacing w:val="-2"/>
            <w:sz w:val="20"/>
            <w:szCs w:val="36"/>
          </w:rPr>
          <m:t>=</m:t>
        </m:r>
        <m:nary>
          <m:naryPr>
            <m:chr m:val="∑"/>
            <m:ctrlPr>
              <w:rPr>
                <w:rFonts w:ascii="Cambria Math" w:hAnsi="Cambria Math"/>
                <w:bCs/>
                <w:iCs/>
                <w:color w:val="auto"/>
                <w:spacing w:val="-2"/>
                <w:sz w:val="20"/>
                <w:szCs w:val="36"/>
              </w:rPr>
            </m:ctrlPr>
          </m:naryPr>
          <m:sub>
            <m:r>
              <m:rPr>
                <m:sty m:val="p"/>
              </m:rPr>
              <w:rPr>
                <w:rFonts w:ascii="Cambria Math" w:hAnsi="Cambria Math"/>
                <w:color w:val="auto"/>
                <w:spacing w:val="-2"/>
                <w:sz w:val="20"/>
                <w:szCs w:val="36"/>
              </w:rPr>
              <m:t>j=1</m:t>
            </m:r>
            <m:ctrlPr>
              <w:rPr>
                <w:rFonts w:ascii="Cambria Math" w:hAnsi="Cambria Math"/>
                <w:bCs/>
                <w:iCs/>
                <w:color w:val="auto"/>
                <w:spacing w:val="-2"/>
                <w:sz w:val="20"/>
                <w:szCs w:val="36"/>
              </w:rPr>
            </m:ctrlPr>
          </m:sub>
          <m:sup>
            <m:r>
              <m:rPr>
                <m:sty m:val="p"/>
              </m:rPr>
              <w:rPr>
                <w:rFonts w:ascii="Cambria Math" w:hAnsi="Cambria Math"/>
                <w:color w:val="auto"/>
                <w:spacing w:val="-2"/>
                <w:sz w:val="20"/>
                <w:szCs w:val="36"/>
              </w:rPr>
              <m:t>n</m:t>
            </m:r>
            <m:ctrlPr>
              <w:rPr>
                <w:rFonts w:ascii="Cambria Math" w:hAnsi="Cambria Math"/>
                <w:bCs/>
                <w:iCs/>
                <w:color w:val="auto"/>
                <w:spacing w:val="-2"/>
                <w:sz w:val="20"/>
                <w:szCs w:val="36"/>
              </w:rPr>
            </m:ctrlPr>
          </m:sup>
          <m:e>
            <m:sSub>
              <m:sSubPr>
                <m:ctrlPr>
                  <w:rPr>
                    <w:rFonts w:ascii="Cambria Math" w:hAnsi="Cambria Math"/>
                    <w:bCs/>
                    <w:i/>
                    <w:iCs/>
                    <w:color w:val="auto"/>
                    <w:spacing w:val="-2"/>
                    <w:sz w:val="20"/>
                    <w:szCs w:val="36"/>
                  </w:rPr>
                </m:ctrlPr>
              </m:sSubPr>
              <m:e>
                <m:r>
                  <m:rPr/>
                  <w:rPr>
                    <w:rFonts w:ascii="Cambria Math" w:hAnsi="Cambria Math"/>
                    <w:color w:val="auto"/>
                    <w:spacing w:val="-2"/>
                    <w:sz w:val="20"/>
                    <w:szCs w:val="36"/>
                  </w:rPr>
                  <m:t>e</m:t>
                </m:r>
                <m:ctrlPr>
                  <w:rPr>
                    <w:rFonts w:ascii="Cambria Math" w:hAnsi="Cambria Math"/>
                    <w:bCs/>
                    <w:i/>
                    <w:iCs/>
                    <w:color w:val="auto"/>
                    <w:spacing w:val="-2"/>
                    <w:sz w:val="20"/>
                    <w:szCs w:val="36"/>
                  </w:rPr>
                </m:ctrlPr>
              </m:e>
              <m:sub>
                <m:r>
                  <m:rPr/>
                  <w:rPr>
                    <w:rFonts w:ascii="Cambria Math" w:hAnsi="Cambria Math"/>
                    <w:color w:val="auto"/>
                    <w:spacing w:val="-2"/>
                    <w:sz w:val="20"/>
                    <w:szCs w:val="36"/>
                  </w:rPr>
                  <m:t>j</m:t>
                </m:r>
                <m:ctrlPr>
                  <w:rPr>
                    <w:rFonts w:ascii="Cambria Math" w:hAnsi="Cambria Math"/>
                    <w:bCs/>
                    <w:i/>
                    <w:iCs/>
                    <w:color w:val="auto"/>
                    <w:spacing w:val="-2"/>
                    <w:sz w:val="20"/>
                    <w:szCs w:val="36"/>
                  </w:rPr>
                </m:ctrlPr>
              </m:sub>
            </m:sSub>
            <m:ctrlPr>
              <w:rPr>
                <w:rFonts w:ascii="Cambria Math" w:hAnsi="Cambria Math"/>
                <w:bCs/>
                <w:iCs/>
                <w:color w:val="auto"/>
                <w:spacing w:val="-2"/>
                <w:sz w:val="20"/>
                <w:szCs w:val="36"/>
              </w:rPr>
            </m:ctrlPr>
          </m:e>
        </m:nary>
        <m:sSub>
          <m:sSubPr>
            <m:ctrlPr>
              <w:rPr>
                <w:rFonts w:ascii="Cambria Math" w:hAnsi="Cambria Math"/>
                <w:bCs/>
                <w:iCs/>
                <w:color w:val="auto"/>
                <w:spacing w:val="-2"/>
                <w:sz w:val="20"/>
                <w:szCs w:val="36"/>
              </w:rPr>
            </m:ctrlPr>
          </m:sSubPr>
          <m:e>
            <m:r>
              <m:rPr>
                <m:sty m:val="p"/>
              </m:rPr>
              <w:rPr>
                <w:rFonts w:ascii="Cambria Math" w:hAnsi="Cambria Math"/>
                <w:color w:val="auto"/>
                <w:spacing w:val="-2"/>
                <w:sz w:val="20"/>
                <w:szCs w:val="36"/>
              </w:rPr>
              <m:t>×EF</m:t>
            </m:r>
            <m:ctrlPr>
              <w:rPr>
                <w:rFonts w:ascii="Cambria Math" w:hAnsi="Cambria Math"/>
                <w:bCs/>
                <w:iCs/>
                <w:color w:val="auto"/>
                <w:spacing w:val="-2"/>
                <w:sz w:val="20"/>
                <w:szCs w:val="36"/>
              </w:rPr>
            </m:ctrlPr>
          </m:e>
          <m:sub>
            <m:r>
              <m:rPr>
                <m:sty m:val="p"/>
              </m:rPr>
              <w:rPr>
                <w:rFonts w:ascii="Cambria Math" w:hAnsi="Cambria Math"/>
                <w:color w:val="auto"/>
                <w:spacing w:val="-2"/>
                <w:sz w:val="20"/>
                <w:szCs w:val="36"/>
              </w:rPr>
              <m:t>j</m:t>
            </m:r>
            <m:ctrlPr>
              <w:rPr>
                <w:rFonts w:ascii="Cambria Math" w:hAnsi="Cambria Math"/>
                <w:bCs/>
                <w:iCs/>
                <w:color w:val="auto"/>
                <w:spacing w:val="-2"/>
                <w:sz w:val="20"/>
                <w:szCs w:val="36"/>
              </w:rPr>
            </m:ctrlPr>
          </m:sub>
        </m:sSub>
        <m:r>
          <m:rPr>
            <m:sty m:val="p"/>
          </m:rPr>
          <w:rPr>
            <w:rFonts w:ascii="Cambria Math" w:hAnsi="Cambria Math"/>
            <w:color w:val="auto"/>
            <w:spacing w:val="-2"/>
            <w:sz w:val="20"/>
            <w:szCs w:val="36"/>
          </w:rPr>
          <m:t>+</m:t>
        </m:r>
        <m:sSub>
          <m:sSubPr>
            <m:ctrlPr>
              <w:rPr>
                <w:rFonts w:ascii="Cambria Math" w:hAnsi="Cambria Math"/>
                <w:bCs/>
                <w:iCs/>
                <w:color w:val="auto"/>
                <w:spacing w:val="-2"/>
                <w:sz w:val="20"/>
                <w:szCs w:val="36"/>
              </w:rPr>
            </m:ctrlPr>
          </m:sSubPr>
          <m:e>
            <m:r>
              <m:rPr/>
              <w:rPr>
                <w:rFonts w:ascii="Cambria Math" w:hAnsi="Cambria Math"/>
                <w:color w:val="auto"/>
                <w:spacing w:val="-2"/>
                <w:sz w:val="20"/>
                <w:szCs w:val="36"/>
              </w:rPr>
              <m:t>C</m:t>
            </m:r>
            <m:ctrlPr>
              <w:rPr>
                <w:rFonts w:ascii="Cambria Math" w:hAnsi="Cambria Math"/>
                <w:bCs/>
                <w:iCs/>
                <w:color w:val="auto"/>
                <w:spacing w:val="-2"/>
                <w:sz w:val="20"/>
                <w:szCs w:val="36"/>
              </w:rPr>
            </m:ctrlPr>
          </m:e>
          <m:sub>
            <m:r>
              <m:rPr/>
              <w:rPr>
                <w:rFonts w:ascii="Cambria Math" w:hAnsi="Cambria Math"/>
                <w:color w:val="auto"/>
                <w:spacing w:val="-2"/>
                <w:sz w:val="20"/>
                <w:szCs w:val="36"/>
              </w:rPr>
              <m:t>udl</m:t>
            </m:r>
            <m:ctrlPr>
              <w:rPr>
                <w:rFonts w:ascii="Cambria Math" w:hAnsi="Cambria Math"/>
                <w:bCs/>
                <w:iCs/>
                <w:color w:val="auto"/>
                <w:spacing w:val="-2"/>
                <w:sz w:val="20"/>
                <w:szCs w:val="36"/>
              </w:rPr>
            </m:ctrlPr>
          </m:sub>
        </m:sSub>
      </m:oMath>
      <w:r>
        <w:rPr>
          <w:bCs/>
          <w:iCs/>
          <w:color w:val="auto"/>
          <w:spacing w:val="-2"/>
          <w:sz w:val="20"/>
          <w:szCs w:val="36"/>
        </w:rPr>
        <w:t xml:space="preserve">    </w:t>
      </w:r>
      <w:r>
        <w:rPr>
          <w:bCs/>
          <w:iCs/>
          <w:color w:val="auto"/>
          <w:spacing w:val="-2"/>
          <w:sz w:val="18"/>
          <w:szCs w:val="32"/>
        </w:rPr>
        <w:t xml:space="preserve">         （</w:t>
      </w:r>
      <w:r>
        <w:rPr>
          <w:bCs/>
          <w:iCs/>
          <w:color w:val="auto"/>
          <w:spacing w:val="-2"/>
          <w:sz w:val="20"/>
          <w:szCs w:val="36"/>
        </w:rPr>
        <w:t>D.0.9-1</w:t>
      </w:r>
      <w:r>
        <w:rPr>
          <w:bCs/>
          <w:iCs/>
          <w:color w:val="auto"/>
          <w:spacing w:val="-2"/>
          <w:sz w:val="18"/>
          <w:szCs w:val="32"/>
        </w:rPr>
        <w:t>）</w:t>
      </w:r>
    </w:p>
    <w:p w14:paraId="5782EDAE">
      <w:pPr>
        <w:pStyle w:val="13"/>
        <w:spacing w:line="288" w:lineRule="auto"/>
        <w:ind w:left="840" w:firstLine="420"/>
        <w:contextualSpacing/>
        <w:jc w:val="center"/>
        <w:rPr>
          <w:bCs/>
          <w:iCs/>
          <w:color w:val="auto"/>
          <w:spacing w:val="-2"/>
          <w:sz w:val="18"/>
          <w:szCs w:val="32"/>
        </w:rPr>
      </w:pPr>
      <w:r>
        <w:rPr>
          <w:rFonts w:hint="eastAsia"/>
          <w:bCs/>
          <w:iCs/>
          <w:color w:val="auto"/>
          <w:spacing w:val="-2"/>
          <w:sz w:val="20"/>
          <w:szCs w:val="36"/>
        </w:rPr>
        <w:t xml:space="preserve"> </w:t>
      </w:r>
      <m:oMath>
        <m:sSub>
          <m:sSubPr>
            <m:ctrlPr>
              <w:rPr>
                <w:rFonts w:ascii="Cambria Math" w:hAnsi="Cambria Math"/>
                <w:bCs/>
                <w:i/>
                <w:iCs/>
                <w:color w:val="auto"/>
                <w:spacing w:val="-2"/>
                <w:sz w:val="20"/>
                <w:szCs w:val="36"/>
              </w:rPr>
            </m:ctrlPr>
          </m:sSubPr>
          <m:e>
            <m:r>
              <m:rPr/>
              <w:rPr>
                <w:rFonts w:ascii="Cambria Math" w:hAnsi="Cambria Math"/>
                <w:color w:val="auto"/>
                <w:spacing w:val="-2"/>
                <w:sz w:val="20"/>
                <w:szCs w:val="36"/>
              </w:rPr>
              <m:t>e</m:t>
            </m:r>
            <m:ctrlPr>
              <w:rPr>
                <w:rFonts w:ascii="Cambria Math" w:hAnsi="Cambria Math"/>
                <w:bCs/>
                <w:i/>
                <w:iCs/>
                <w:color w:val="auto"/>
                <w:spacing w:val="-2"/>
                <w:sz w:val="20"/>
                <w:szCs w:val="36"/>
              </w:rPr>
            </m:ctrlPr>
          </m:e>
          <m:sub>
            <m:r>
              <m:rPr/>
              <w:rPr>
                <w:rFonts w:ascii="Cambria Math" w:hAnsi="Cambria Math"/>
                <w:color w:val="auto"/>
                <w:spacing w:val="-2"/>
                <w:sz w:val="20"/>
                <w:szCs w:val="36"/>
              </w:rPr>
              <m:t>j</m:t>
            </m:r>
            <m:ctrlPr>
              <w:rPr>
                <w:rFonts w:ascii="Cambria Math" w:hAnsi="Cambria Math"/>
                <w:bCs/>
                <w:i/>
                <w:iCs/>
                <w:color w:val="auto"/>
                <w:spacing w:val="-2"/>
                <w:sz w:val="20"/>
                <w:szCs w:val="36"/>
              </w:rPr>
            </m:ctrlPr>
          </m:sub>
        </m:sSub>
        <m:r>
          <m:rPr>
            <m:sty m:val="p"/>
          </m:rPr>
          <w:rPr>
            <w:rFonts w:ascii="Cambria Math" w:hAnsi="Cambria Math"/>
            <w:color w:val="auto"/>
            <w:spacing w:val="-2"/>
            <w:sz w:val="20"/>
            <w:szCs w:val="36"/>
          </w:rPr>
          <m:t>=</m:t>
        </m:r>
        <m:nary>
          <m:naryPr>
            <m:chr m:val="∑"/>
            <m:ctrlPr>
              <w:rPr>
                <w:rFonts w:ascii="Cambria Math" w:hAnsi="Cambria Math"/>
                <w:bCs/>
                <w:iCs/>
                <w:color w:val="auto"/>
                <w:spacing w:val="-2"/>
                <w:sz w:val="20"/>
                <w:szCs w:val="36"/>
              </w:rPr>
            </m:ctrlPr>
          </m:naryPr>
          <m:sub>
            <m:r>
              <m:rPr>
                <m:sty m:val="p"/>
              </m:rPr>
              <w:rPr>
                <w:rFonts w:ascii="Cambria Math" w:hAnsi="Cambria Math"/>
                <w:color w:val="auto"/>
                <w:spacing w:val="-2"/>
                <w:sz w:val="20"/>
                <w:szCs w:val="36"/>
              </w:rPr>
              <m:t>j=1</m:t>
            </m:r>
            <m:ctrlPr>
              <w:rPr>
                <w:rFonts w:ascii="Cambria Math" w:hAnsi="Cambria Math"/>
                <w:bCs/>
                <w:iCs/>
                <w:color w:val="auto"/>
                <w:spacing w:val="-2"/>
                <w:sz w:val="20"/>
                <w:szCs w:val="36"/>
              </w:rPr>
            </m:ctrlPr>
          </m:sub>
          <m:sup>
            <m:r>
              <m:rPr>
                <m:sty m:val="p"/>
              </m:rPr>
              <w:rPr>
                <w:rFonts w:ascii="Cambria Math" w:hAnsi="Cambria Math"/>
                <w:color w:val="auto"/>
                <w:spacing w:val="-2"/>
                <w:sz w:val="20"/>
                <w:szCs w:val="36"/>
              </w:rPr>
              <m:t>n</m:t>
            </m:r>
            <m:ctrlPr>
              <w:rPr>
                <w:rFonts w:ascii="Cambria Math" w:hAnsi="Cambria Math"/>
                <w:bCs/>
                <w:iCs/>
                <w:color w:val="auto"/>
                <w:spacing w:val="-2"/>
                <w:sz w:val="20"/>
                <w:szCs w:val="36"/>
              </w:rPr>
            </m:ctrlPr>
          </m:sup>
          <m:e>
            <m:sSub>
              <m:sSubPr>
                <m:ctrlPr>
                  <w:rPr>
                    <w:rFonts w:ascii="Cambria Math" w:hAnsi="Cambria Math"/>
                    <w:bCs/>
                    <w:iCs/>
                    <w:color w:val="auto"/>
                    <w:spacing w:val="-2"/>
                    <w:sz w:val="20"/>
                    <w:szCs w:val="36"/>
                  </w:rPr>
                </m:ctrlPr>
              </m:sSubPr>
              <m:e>
                <m:r>
                  <m:rPr>
                    <m:sty m:val="p"/>
                  </m:rPr>
                  <w:rPr>
                    <w:rFonts w:ascii="Cambria Math" w:hAnsi="Cambria Math"/>
                    <w:color w:val="auto"/>
                    <w:spacing w:val="-2"/>
                    <w:sz w:val="20"/>
                    <w:szCs w:val="36"/>
                  </w:rPr>
                  <m:t>T</m:t>
                </m:r>
                <m:ctrlPr>
                  <w:rPr>
                    <w:rFonts w:ascii="Cambria Math" w:hAnsi="Cambria Math"/>
                    <w:bCs/>
                    <w:iCs/>
                    <w:color w:val="auto"/>
                    <w:spacing w:val="-2"/>
                    <w:sz w:val="20"/>
                    <w:szCs w:val="36"/>
                  </w:rPr>
                </m:ctrlPr>
              </m:e>
              <m:sub>
                <m:r>
                  <m:rPr>
                    <m:sty m:val="p"/>
                  </m:rPr>
                  <w:rPr>
                    <w:rFonts w:ascii="Cambria Math" w:hAnsi="Cambria Math"/>
                    <w:color w:val="auto"/>
                    <w:spacing w:val="-2"/>
                    <w:sz w:val="20"/>
                    <w:szCs w:val="36"/>
                  </w:rPr>
                  <m:t>j</m:t>
                </m:r>
                <m:ctrlPr>
                  <w:rPr>
                    <w:rFonts w:ascii="Cambria Math" w:hAnsi="Cambria Math"/>
                    <w:bCs/>
                    <w:iCs/>
                    <w:color w:val="auto"/>
                    <w:spacing w:val="-2"/>
                    <w:sz w:val="20"/>
                    <w:szCs w:val="36"/>
                  </w:rPr>
                </m:ctrlPr>
              </m:sub>
            </m:sSub>
            <m:r>
              <m:rPr>
                <m:sty m:val="p"/>
              </m:rPr>
              <w:rPr>
                <w:rFonts w:ascii="Cambria Math" w:hAnsi="Cambria Math"/>
                <w:color w:val="auto"/>
                <w:spacing w:val="-2"/>
                <w:sz w:val="20"/>
                <w:szCs w:val="36"/>
              </w:rPr>
              <m:t>×</m:t>
            </m:r>
            <m:sSub>
              <m:sSubPr>
                <m:ctrlPr>
                  <w:rPr>
                    <w:rFonts w:ascii="Cambria Math" w:hAnsi="Cambria Math"/>
                    <w:bCs/>
                    <w:iCs/>
                    <w:color w:val="auto"/>
                    <w:spacing w:val="-2"/>
                    <w:sz w:val="20"/>
                    <w:szCs w:val="36"/>
                  </w:rPr>
                </m:ctrlPr>
              </m:sSubPr>
              <m:e>
                <m:r>
                  <m:rPr>
                    <m:sty m:val="p"/>
                  </m:rPr>
                  <w:rPr>
                    <w:rFonts w:ascii="Cambria Math" w:hAnsi="Cambria Math"/>
                    <w:color w:val="auto"/>
                    <w:spacing w:val="-2"/>
                    <w:sz w:val="20"/>
                    <w:szCs w:val="36"/>
                  </w:rPr>
                  <m:t>R</m:t>
                </m:r>
                <m:ctrlPr>
                  <w:rPr>
                    <w:rFonts w:ascii="Cambria Math" w:hAnsi="Cambria Math"/>
                    <w:bCs/>
                    <w:iCs/>
                    <w:color w:val="auto"/>
                    <w:spacing w:val="-2"/>
                    <w:sz w:val="20"/>
                    <w:szCs w:val="36"/>
                  </w:rPr>
                </m:ctrlPr>
              </m:e>
              <m:sub>
                <m:r>
                  <m:rPr>
                    <m:sty m:val="p"/>
                  </m:rPr>
                  <w:rPr>
                    <w:rFonts w:ascii="Cambria Math" w:hAnsi="Cambria Math"/>
                    <w:color w:val="auto"/>
                    <w:spacing w:val="-2"/>
                    <w:sz w:val="20"/>
                    <w:szCs w:val="36"/>
                  </w:rPr>
                  <m:t>j</m:t>
                </m:r>
                <m:ctrlPr>
                  <w:rPr>
                    <w:rFonts w:ascii="Cambria Math" w:hAnsi="Cambria Math"/>
                    <w:bCs/>
                    <w:iCs/>
                    <w:color w:val="auto"/>
                    <w:spacing w:val="-2"/>
                    <w:sz w:val="20"/>
                    <w:szCs w:val="36"/>
                  </w:rPr>
                </m:ctrlPr>
              </m:sub>
            </m:sSub>
            <m:ctrlPr>
              <w:rPr>
                <w:rFonts w:ascii="Cambria Math" w:hAnsi="Cambria Math"/>
                <w:bCs/>
                <w:iCs/>
                <w:color w:val="auto"/>
                <w:spacing w:val="-2"/>
                <w:sz w:val="20"/>
                <w:szCs w:val="36"/>
              </w:rPr>
            </m:ctrlPr>
          </m:e>
        </m:nary>
      </m:oMath>
      <w:r>
        <w:rPr>
          <w:bCs/>
          <w:iCs/>
          <w:color w:val="auto"/>
          <w:spacing w:val="-2"/>
          <w:sz w:val="18"/>
          <w:szCs w:val="32"/>
        </w:rPr>
        <w:t xml:space="preserve">                      （</w:t>
      </w:r>
      <w:r>
        <w:rPr>
          <w:bCs/>
          <w:iCs/>
          <w:color w:val="auto"/>
          <w:spacing w:val="-2"/>
          <w:sz w:val="20"/>
          <w:szCs w:val="36"/>
        </w:rPr>
        <w:t>D.0.9-2</w:t>
      </w:r>
      <w:r>
        <w:rPr>
          <w:bCs/>
          <w:iCs/>
          <w:color w:val="auto"/>
          <w:spacing w:val="-2"/>
          <w:sz w:val="18"/>
          <w:szCs w:val="32"/>
        </w:rPr>
        <w:t>）</w:t>
      </w:r>
    </w:p>
    <w:p w14:paraId="10E7B0C6">
      <w:pPr>
        <w:pStyle w:val="13"/>
        <w:spacing w:line="288" w:lineRule="auto"/>
        <w:ind w:firstLine="400" w:firstLineChars="200"/>
        <w:contextualSpacing/>
        <w:rPr>
          <w:color w:val="auto"/>
          <w:sz w:val="16"/>
          <w:szCs w:val="28"/>
        </w:rPr>
      </w:pPr>
      <w:r>
        <w:rPr>
          <w:color w:val="auto"/>
          <w:sz w:val="20"/>
          <w:szCs w:val="36"/>
        </w:rPr>
        <w:t>式中：</w:t>
      </w:r>
      <w:r>
        <w:rPr>
          <w:color w:val="auto"/>
          <w:sz w:val="16"/>
          <w:szCs w:val="28"/>
        </w:rPr>
        <w:t xml:space="preserve"> </w:t>
      </w:r>
      <w:r>
        <w:rPr>
          <w:color w:val="auto"/>
          <w:sz w:val="20"/>
          <w:szCs w:val="20"/>
        </w:rPr>
        <w:t>C</w:t>
      </w:r>
      <w:r>
        <w:rPr>
          <w:color w:val="auto"/>
          <w:sz w:val="20"/>
          <w:szCs w:val="20"/>
          <w:vertAlign w:val="subscript"/>
        </w:rPr>
        <w:t>ud</w:t>
      </w:r>
      <w:r>
        <w:rPr>
          <w:color w:val="auto"/>
          <w:sz w:val="20"/>
          <w:szCs w:val="20"/>
        </w:rPr>
        <w:t>——拆除阶段单位工程量碳排放量（kgCO</w:t>
      </w:r>
      <w:r>
        <w:rPr>
          <w:color w:val="auto"/>
          <w:sz w:val="20"/>
          <w:szCs w:val="20"/>
          <w:vertAlign w:val="subscript"/>
        </w:rPr>
        <w:t>2e</w:t>
      </w:r>
      <w:r>
        <w:rPr>
          <w:color w:val="auto"/>
          <w:sz w:val="20"/>
          <w:szCs w:val="20"/>
        </w:rPr>
        <w:t>/工程量计量单位）；</w:t>
      </w:r>
    </w:p>
    <w:p w14:paraId="00749983">
      <w:pPr>
        <w:pStyle w:val="13"/>
        <w:spacing w:line="288" w:lineRule="auto"/>
        <w:ind w:left="708" w:leftChars="337" w:firstLine="400" w:firstLineChars="200"/>
        <w:contextualSpacing/>
        <w:rPr>
          <w:color w:val="auto"/>
          <w:sz w:val="20"/>
          <w:szCs w:val="20"/>
        </w:rPr>
      </w:pPr>
      <w:r>
        <w:rPr>
          <w:color w:val="auto"/>
          <w:sz w:val="20"/>
          <w:szCs w:val="20"/>
        </w:rPr>
        <w:t>e</w:t>
      </w:r>
      <w:r>
        <w:rPr>
          <w:color w:val="auto"/>
          <w:sz w:val="20"/>
          <w:szCs w:val="20"/>
          <w:vertAlign w:val="subscript"/>
        </w:rPr>
        <w:t xml:space="preserve">j  </w:t>
      </w:r>
      <w:r>
        <w:rPr>
          <w:color w:val="auto"/>
          <w:sz w:val="20"/>
          <w:szCs w:val="20"/>
        </w:rPr>
        <w:t>——拆除阶段j类施工机械能源投入量（kw·h或kg）；</w:t>
      </w:r>
    </w:p>
    <w:p w14:paraId="52F596E7">
      <w:pPr>
        <w:pStyle w:val="13"/>
        <w:spacing w:line="288" w:lineRule="auto"/>
        <w:ind w:left="708" w:leftChars="337" w:firstLine="400" w:firstLineChars="200"/>
        <w:contextualSpacing/>
        <w:rPr>
          <w:color w:val="auto"/>
          <w:sz w:val="20"/>
          <w:szCs w:val="20"/>
        </w:rPr>
      </w:pPr>
      <w:r>
        <w:rPr>
          <w:color w:val="auto"/>
          <w:sz w:val="20"/>
          <w:szCs w:val="20"/>
        </w:rPr>
        <w:t>EF</w:t>
      </w:r>
      <w:r>
        <w:rPr>
          <w:color w:val="auto"/>
          <w:sz w:val="20"/>
          <w:szCs w:val="20"/>
          <w:vertAlign w:val="subscript"/>
        </w:rPr>
        <w:t>j</w:t>
      </w:r>
      <w:r>
        <w:rPr>
          <w:color w:val="auto"/>
          <w:sz w:val="20"/>
          <w:szCs w:val="20"/>
        </w:rPr>
        <w:t>——拆除阶段单位工程量j类施工机械能源的碳排放因子（kgCO</w:t>
      </w:r>
      <w:r>
        <w:rPr>
          <w:color w:val="auto"/>
          <w:sz w:val="20"/>
          <w:szCs w:val="20"/>
          <w:vertAlign w:val="subscript"/>
        </w:rPr>
        <w:t>2</w:t>
      </w:r>
      <w:r>
        <w:rPr>
          <w:color w:val="auto"/>
          <w:sz w:val="20"/>
          <w:szCs w:val="20"/>
        </w:rPr>
        <w:t>e/能源计量单位）</w:t>
      </w:r>
      <w:r>
        <w:rPr>
          <w:rFonts w:hint="eastAsia"/>
          <w:color w:val="auto"/>
          <w:sz w:val="20"/>
          <w:szCs w:val="20"/>
        </w:rPr>
        <w:t>，</w:t>
      </w:r>
      <w:r>
        <w:rPr>
          <w:rFonts w:hint="eastAsia"/>
          <w:color w:val="auto"/>
          <w:sz w:val="20"/>
          <w:szCs w:val="22"/>
        </w:rPr>
        <w:t>按照附录E取值；</w:t>
      </w:r>
    </w:p>
    <w:p w14:paraId="0E43C01E">
      <w:pPr>
        <w:pStyle w:val="13"/>
        <w:spacing w:line="288" w:lineRule="auto"/>
        <w:ind w:left="708" w:leftChars="337" w:firstLine="400" w:firstLineChars="200"/>
        <w:contextualSpacing/>
        <w:rPr>
          <w:color w:val="auto"/>
          <w:sz w:val="20"/>
          <w:szCs w:val="20"/>
          <w:vertAlign w:val="subscript"/>
        </w:rPr>
      </w:pPr>
      <w:r>
        <w:rPr>
          <w:color w:val="auto"/>
          <w:sz w:val="20"/>
          <w:szCs w:val="20"/>
        </w:rPr>
        <w:t>C</w:t>
      </w:r>
      <w:r>
        <w:rPr>
          <w:color w:val="auto"/>
          <w:sz w:val="20"/>
          <w:szCs w:val="20"/>
          <w:vertAlign w:val="subscript"/>
        </w:rPr>
        <w:t>udl</w:t>
      </w:r>
      <w:r>
        <w:rPr>
          <w:color w:val="auto"/>
          <w:sz w:val="20"/>
          <w:szCs w:val="20"/>
        </w:rPr>
        <w:t>——拆除阶段单位工程量临时设施碳排放量（kgCO</w:t>
      </w:r>
      <w:r>
        <w:rPr>
          <w:color w:val="auto"/>
          <w:sz w:val="20"/>
          <w:szCs w:val="20"/>
          <w:vertAlign w:val="subscript"/>
        </w:rPr>
        <w:t>2</w:t>
      </w:r>
      <w:r>
        <w:rPr>
          <w:color w:val="auto"/>
          <w:sz w:val="20"/>
          <w:szCs w:val="20"/>
        </w:rPr>
        <w:t>e/工程量计量单位）</w:t>
      </w:r>
      <w:r>
        <w:rPr>
          <w:rFonts w:hint="eastAsia"/>
          <w:color w:val="auto"/>
          <w:sz w:val="20"/>
          <w:szCs w:val="20"/>
        </w:rPr>
        <w:t>，可依据临时设施类型，根据定额按照现行国家标准《建筑碳排放计算标准》（GB/T 51366-2019）计算</w:t>
      </w:r>
      <w:r>
        <w:rPr>
          <w:color w:val="auto"/>
          <w:sz w:val="20"/>
          <w:szCs w:val="20"/>
        </w:rPr>
        <w:t>；</w:t>
      </w:r>
    </w:p>
    <w:p w14:paraId="3BDF6B5B">
      <w:pPr>
        <w:spacing w:line="288" w:lineRule="auto"/>
        <w:ind w:left="708" w:leftChars="337" w:firstLine="400" w:firstLineChars="200"/>
        <w:contextualSpacing/>
        <w:rPr>
          <w:sz w:val="20"/>
          <w:szCs w:val="20"/>
        </w:rPr>
      </w:pPr>
      <w:r>
        <w:rPr>
          <w:sz w:val="20"/>
          <w:szCs w:val="20"/>
        </w:rPr>
        <w:t>T</w:t>
      </w:r>
      <w:r>
        <w:rPr>
          <w:sz w:val="20"/>
          <w:szCs w:val="20"/>
          <w:vertAlign w:val="subscript"/>
        </w:rPr>
        <w:t xml:space="preserve">j  </w:t>
      </w:r>
      <w:r>
        <w:rPr>
          <w:sz w:val="20"/>
          <w:szCs w:val="20"/>
        </w:rPr>
        <w:t>——第j类施工机械的台班数量（台班）；</w:t>
      </w:r>
    </w:p>
    <w:p w14:paraId="21B0FE87">
      <w:pPr>
        <w:spacing w:line="288" w:lineRule="auto"/>
        <w:ind w:left="708" w:leftChars="337" w:firstLine="400" w:firstLineChars="200"/>
        <w:contextualSpacing/>
        <w:rPr>
          <w:sz w:val="20"/>
          <w:szCs w:val="20"/>
        </w:rPr>
      </w:pPr>
      <w:r>
        <w:rPr>
          <w:sz w:val="20"/>
          <w:szCs w:val="20"/>
        </w:rPr>
        <w:t>R</w:t>
      </w:r>
      <w:r>
        <w:rPr>
          <w:sz w:val="20"/>
          <w:szCs w:val="20"/>
          <w:vertAlign w:val="subscript"/>
        </w:rPr>
        <w:t xml:space="preserve">j  </w:t>
      </w:r>
      <w:r>
        <w:rPr>
          <w:sz w:val="20"/>
          <w:szCs w:val="20"/>
        </w:rPr>
        <w:t>——第j类施工机械单位台班能耗（kw·h或kg/台班）。</w:t>
      </w:r>
    </w:p>
    <w:p w14:paraId="7410B795">
      <w:pPr>
        <w:spacing w:line="288" w:lineRule="auto"/>
        <w:contextualSpacing/>
        <w:rPr>
          <w:sz w:val="20"/>
          <w:szCs w:val="20"/>
        </w:rPr>
      </w:pPr>
      <w:r>
        <w:rPr>
          <w:b/>
          <w:sz w:val="20"/>
          <w:szCs w:val="20"/>
        </w:rPr>
        <w:t>D.0.10</w:t>
      </w:r>
      <w:r>
        <w:rPr>
          <w:sz w:val="20"/>
          <w:szCs w:val="20"/>
        </w:rPr>
        <w:t xml:space="preserve">  建材运输阶段碳排放计算应包含成品、半成品材料运输的碳排放量。主要建材的运输距离宜优先采用实际的建材运输距离。当建材实际运输距离未知时，混凝土的默认运输距离应为40km，其它建材的默认运输距离值应为500km</w:t>
      </w:r>
      <w:r>
        <w:rPr>
          <w:rFonts w:hint="eastAsia"/>
          <w:sz w:val="20"/>
          <w:szCs w:val="20"/>
        </w:rPr>
        <w:t>，或根据具体支护工程估计</w:t>
      </w:r>
      <w:r>
        <w:rPr>
          <w:sz w:val="20"/>
          <w:szCs w:val="20"/>
        </w:rPr>
        <w:t>。建材运输阶段碳排放</w:t>
      </w:r>
      <w:r>
        <w:rPr>
          <w:rFonts w:hint="eastAsia"/>
          <w:sz w:val="20"/>
          <w:szCs w:val="20"/>
        </w:rPr>
        <w:t>量</w:t>
      </w:r>
      <w:r>
        <w:rPr>
          <w:sz w:val="20"/>
          <w:szCs w:val="20"/>
        </w:rPr>
        <w:t>应按下式计算：</w:t>
      </w:r>
    </w:p>
    <w:p w14:paraId="3743C6D9">
      <w:pPr>
        <w:spacing w:line="288" w:lineRule="auto"/>
        <w:contextualSpacing/>
        <w:jc w:val="center"/>
        <w:rPr>
          <w:sz w:val="20"/>
          <w:szCs w:val="20"/>
        </w:rPr>
      </w:pPr>
      <m:oMath>
        <m:sSub>
          <m:sSubPr>
            <m:ctrlPr>
              <w:rPr>
                <w:rFonts w:ascii="Cambria Math" w:hAnsi="Cambria Math"/>
                <w:bCs/>
                <w:iCs/>
                <w:spacing w:val="-7"/>
                <w:sz w:val="20"/>
                <w:szCs w:val="36"/>
              </w:rPr>
            </m:ctrlPr>
          </m:sSubPr>
          <m:e>
            <m:r>
              <m:rPr>
                <m:sty m:val="p"/>
              </m:rPr>
              <w:rPr>
                <w:rFonts w:ascii="Cambria Math" w:hAnsi="Cambria Math"/>
                <w:spacing w:val="-7"/>
                <w:sz w:val="20"/>
                <w:szCs w:val="36"/>
              </w:rPr>
              <m:t>C</m:t>
            </m:r>
            <m:ctrlPr>
              <w:rPr>
                <w:rFonts w:ascii="Cambria Math" w:hAnsi="Cambria Math"/>
                <w:bCs/>
                <w:iCs/>
                <w:spacing w:val="-7"/>
                <w:sz w:val="20"/>
                <w:szCs w:val="36"/>
              </w:rPr>
            </m:ctrlPr>
          </m:e>
          <m:sub>
            <m:r>
              <m:rPr>
                <m:sty m:val="p"/>
              </m:rPr>
              <w:rPr>
                <w:rFonts w:ascii="Cambria Math" w:hAnsi="Cambria Math"/>
                <w:spacing w:val="-7"/>
                <w:sz w:val="20"/>
                <w:szCs w:val="36"/>
              </w:rPr>
              <m:t>ut</m:t>
            </m:r>
            <m:ctrlPr>
              <w:rPr>
                <w:rFonts w:ascii="Cambria Math" w:hAnsi="Cambria Math"/>
                <w:bCs/>
                <w:iCs/>
                <w:spacing w:val="-7"/>
                <w:sz w:val="20"/>
                <w:szCs w:val="36"/>
              </w:rPr>
            </m:ctrlPr>
          </m:sub>
        </m:sSub>
        <m:r>
          <m:rPr>
            <m:sty m:val="p"/>
          </m:rPr>
          <w:rPr>
            <w:rFonts w:ascii="Cambria Math" w:hAnsi="Cambria Math"/>
            <w:spacing w:val="-7"/>
            <w:sz w:val="20"/>
            <w:szCs w:val="36"/>
          </w:rPr>
          <m:t>=</m:t>
        </m:r>
        <m:nary>
          <m:naryPr>
            <m:chr m:val="∑"/>
            <m:ctrlPr>
              <w:rPr>
                <w:rFonts w:ascii="Cambria Math" w:hAnsi="Cambria Math"/>
                <w:bCs/>
                <w:i/>
                <w:iCs/>
                <w:spacing w:val="-7"/>
                <w:sz w:val="20"/>
                <w:szCs w:val="36"/>
              </w:rPr>
            </m:ctrlPr>
          </m:naryPr>
          <m:sub>
            <m:r>
              <m:rPr/>
              <w:rPr>
                <w:rFonts w:ascii="Cambria Math" w:hAnsi="Cambria Math"/>
                <w:spacing w:val="-7"/>
                <w:sz w:val="20"/>
                <w:szCs w:val="36"/>
              </w:rPr>
              <m:t>i=1</m:t>
            </m:r>
            <m:ctrlPr>
              <w:rPr>
                <w:rFonts w:ascii="Cambria Math" w:hAnsi="Cambria Math"/>
                <w:bCs/>
                <w:i/>
                <w:iCs/>
                <w:spacing w:val="-7"/>
                <w:sz w:val="20"/>
                <w:szCs w:val="36"/>
              </w:rPr>
            </m:ctrlPr>
          </m:sub>
          <m:sup>
            <m:r>
              <m:rPr/>
              <w:rPr>
                <w:rFonts w:ascii="Cambria Math" w:hAnsi="Cambria Math"/>
                <w:spacing w:val="-7"/>
                <w:sz w:val="20"/>
                <w:szCs w:val="36"/>
              </w:rPr>
              <m:t>n</m:t>
            </m:r>
            <m:ctrlPr>
              <w:rPr>
                <w:rFonts w:ascii="Cambria Math" w:hAnsi="Cambria Math"/>
                <w:bCs/>
                <w:i/>
                <w:iCs/>
                <w:spacing w:val="-7"/>
                <w:sz w:val="20"/>
                <w:szCs w:val="36"/>
              </w:rPr>
            </m:ctrlPr>
          </m:sup>
          <m:e>
            <m:sSub>
              <m:sSubPr>
                <m:ctrlPr>
                  <w:rPr>
                    <w:rFonts w:ascii="Cambria Math" w:hAnsi="Cambria Math"/>
                    <w:bCs/>
                    <w:iCs/>
                    <w:spacing w:val="-2"/>
                    <w:sz w:val="20"/>
                    <w:szCs w:val="36"/>
                  </w:rPr>
                </m:ctrlPr>
              </m:sSubPr>
              <m:e>
                <m:r>
                  <m:rPr>
                    <m:sty m:val="p"/>
                  </m:rPr>
                  <w:rPr>
                    <w:rFonts w:ascii="Cambria Math" w:hAnsi="Cambria Math"/>
                    <w:spacing w:val="-2"/>
                    <w:sz w:val="20"/>
                    <w:szCs w:val="36"/>
                  </w:rPr>
                  <m:t>m</m:t>
                </m:r>
                <m:ctrlPr>
                  <w:rPr>
                    <w:rFonts w:ascii="Cambria Math" w:hAnsi="Cambria Math"/>
                    <w:bCs/>
                    <w:iCs/>
                    <w:spacing w:val="-2"/>
                    <w:sz w:val="20"/>
                    <w:szCs w:val="36"/>
                  </w:rPr>
                </m:ctrlPr>
              </m:e>
              <m:sub>
                <m:r>
                  <m:rPr>
                    <m:sty m:val="p"/>
                  </m:rPr>
                  <w:rPr>
                    <w:rFonts w:ascii="Cambria Math" w:hAnsi="Cambria Math"/>
                    <w:spacing w:val="-2"/>
                    <w:sz w:val="20"/>
                    <w:szCs w:val="36"/>
                  </w:rPr>
                  <m:t>i</m:t>
                </m:r>
                <m:ctrlPr>
                  <w:rPr>
                    <w:rFonts w:ascii="Cambria Math" w:hAnsi="Cambria Math"/>
                    <w:bCs/>
                    <w:iCs/>
                    <w:spacing w:val="-2"/>
                    <w:sz w:val="20"/>
                    <w:szCs w:val="36"/>
                  </w:rPr>
                </m:ctrlPr>
              </m:sub>
            </m:sSub>
            <m:r>
              <m:rPr>
                <m:sty m:val="p"/>
              </m:rPr>
              <w:rPr>
                <w:rFonts w:ascii="Cambria Math" w:hAnsi="Cambria Math"/>
                <w:spacing w:val="-7"/>
                <w:sz w:val="20"/>
                <w:szCs w:val="36"/>
              </w:rPr>
              <m:t>×</m:t>
            </m:r>
            <m:sSub>
              <m:sSubPr>
                <m:ctrlPr>
                  <w:rPr>
                    <w:rFonts w:ascii="Cambria Math" w:hAnsi="Cambria Math"/>
                    <w:bCs/>
                    <w:iCs/>
                    <w:spacing w:val="-7"/>
                    <w:sz w:val="20"/>
                    <w:szCs w:val="36"/>
                  </w:rPr>
                </m:ctrlPr>
              </m:sSubPr>
              <m:e>
                <m:r>
                  <m:rPr>
                    <m:sty m:val="p"/>
                  </m:rPr>
                  <w:rPr>
                    <w:rFonts w:ascii="Cambria Math" w:hAnsi="Cambria Math"/>
                    <w:spacing w:val="-7"/>
                    <w:sz w:val="20"/>
                    <w:szCs w:val="36"/>
                  </w:rPr>
                  <m:t>D</m:t>
                </m:r>
                <m:ctrlPr>
                  <w:rPr>
                    <w:rFonts w:ascii="Cambria Math" w:hAnsi="Cambria Math"/>
                    <w:bCs/>
                    <w:iCs/>
                    <w:spacing w:val="-7"/>
                    <w:sz w:val="20"/>
                    <w:szCs w:val="36"/>
                  </w:rPr>
                </m:ctrlPr>
              </m:e>
              <m:sub>
                <m:r>
                  <m:rPr>
                    <m:sty m:val="p"/>
                  </m:rPr>
                  <w:rPr>
                    <w:rFonts w:ascii="Cambria Math" w:hAnsi="Cambria Math"/>
                    <w:spacing w:val="-7"/>
                    <w:sz w:val="20"/>
                    <w:szCs w:val="36"/>
                  </w:rPr>
                  <m:t>i</m:t>
                </m:r>
                <m:ctrlPr>
                  <w:rPr>
                    <w:rFonts w:ascii="Cambria Math" w:hAnsi="Cambria Math"/>
                    <w:bCs/>
                    <w:iCs/>
                    <w:spacing w:val="-7"/>
                    <w:sz w:val="20"/>
                    <w:szCs w:val="36"/>
                  </w:rPr>
                </m:ctrlPr>
              </m:sub>
            </m:sSub>
            <m:r>
              <m:rPr>
                <m:sty m:val="p"/>
              </m:rPr>
              <w:rPr>
                <w:rFonts w:ascii="Cambria Math" w:hAnsi="Cambria Math"/>
                <w:spacing w:val="-7"/>
                <w:sz w:val="20"/>
                <w:szCs w:val="36"/>
              </w:rPr>
              <m:t>×</m:t>
            </m:r>
            <m:sSub>
              <m:sSubPr>
                <m:ctrlPr>
                  <w:rPr>
                    <w:rFonts w:ascii="Cambria Math" w:hAnsi="Cambria Math"/>
                    <w:bCs/>
                    <w:iCs/>
                    <w:spacing w:val="-7"/>
                    <w:sz w:val="20"/>
                    <w:szCs w:val="36"/>
                  </w:rPr>
                </m:ctrlPr>
              </m:sSubPr>
              <m:e>
                <m:r>
                  <m:rPr>
                    <m:sty m:val="p"/>
                  </m:rPr>
                  <w:rPr>
                    <w:rFonts w:ascii="Cambria Math" w:hAnsi="Cambria Math"/>
                    <w:spacing w:val="-7"/>
                    <w:sz w:val="20"/>
                    <w:szCs w:val="36"/>
                  </w:rPr>
                  <m:t>T</m:t>
                </m:r>
                <m:ctrlPr>
                  <w:rPr>
                    <w:rFonts w:ascii="Cambria Math" w:hAnsi="Cambria Math"/>
                    <w:bCs/>
                    <w:iCs/>
                    <w:spacing w:val="-7"/>
                    <w:sz w:val="20"/>
                    <w:szCs w:val="36"/>
                  </w:rPr>
                </m:ctrlPr>
              </m:e>
              <m:sub>
                <m:r>
                  <m:rPr>
                    <m:sty m:val="p"/>
                  </m:rPr>
                  <w:rPr>
                    <w:rFonts w:ascii="Cambria Math" w:hAnsi="Cambria Math"/>
                    <w:spacing w:val="-7"/>
                    <w:sz w:val="20"/>
                    <w:szCs w:val="36"/>
                  </w:rPr>
                  <m:t>i</m:t>
                </m:r>
                <m:ctrlPr>
                  <w:rPr>
                    <w:rFonts w:ascii="Cambria Math" w:hAnsi="Cambria Math"/>
                    <w:bCs/>
                    <w:iCs/>
                    <w:spacing w:val="-7"/>
                    <w:sz w:val="20"/>
                    <w:szCs w:val="36"/>
                  </w:rPr>
                </m:ctrlPr>
              </m:sub>
            </m:sSub>
            <m:ctrlPr>
              <w:rPr>
                <w:rFonts w:ascii="Cambria Math" w:hAnsi="Cambria Math"/>
                <w:bCs/>
                <w:i/>
                <w:iCs/>
                <w:spacing w:val="-7"/>
                <w:sz w:val="20"/>
                <w:szCs w:val="36"/>
              </w:rPr>
            </m:ctrlPr>
          </m:e>
        </m:nary>
      </m:oMath>
      <w:r>
        <w:rPr>
          <w:bCs/>
          <w:iCs/>
          <w:spacing w:val="-7"/>
          <w:sz w:val="20"/>
          <w:szCs w:val="36"/>
        </w:rPr>
        <w:t xml:space="preserve">    </w:t>
      </w:r>
      <w:r>
        <w:rPr>
          <w:bCs/>
          <w:iCs/>
          <w:spacing w:val="-7"/>
          <w:sz w:val="18"/>
          <w:szCs w:val="32"/>
        </w:rPr>
        <w:t xml:space="preserve"> （</w:t>
      </w:r>
      <w:r>
        <w:rPr>
          <w:bCs/>
          <w:iCs/>
          <w:spacing w:val="-2"/>
          <w:sz w:val="20"/>
          <w:szCs w:val="36"/>
        </w:rPr>
        <w:t>D.0.10</w:t>
      </w:r>
      <w:r>
        <w:rPr>
          <w:bCs/>
          <w:iCs/>
          <w:spacing w:val="-7"/>
          <w:sz w:val="18"/>
          <w:szCs w:val="32"/>
        </w:rPr>
        <w:t>）</w:t>
      </w:r>
    </w:p>
    <w:p w14:paraId="2FD878F0">
      <w:pPr>
        <w:pStyle w:val="13"/>
        <w:spacing w:line="288" w:lineRule="auto"/>
        <w:contextualSpacing/>
        <w:rPr>
          <w:color w:val="auto"/>
          <w:spacing w:val="-2"/>
          <w:sz w:val="20"/>
          <w:szCs w:val="36"/>
        </w:rPr>
      </w:pPr>
      <w:r>
        <w:rPr>
          <w:color w:val="auto"/>
          <w:spacing w:val="-2"/>
          <w:sz w:val="20"/>
          <w:szCs w:val="36"/>
        </w:rPr>
        <w:t>式中：</w:t>
      </w:r>
      <w:r>
        <w:rPr>
          <w:color w:val="auto"/>
          <w:sz w:val="20"/>
          <w:szCs w:val="22"/>
        </w:rPr>
        <w:t>C</w:t>
      </w:r>
      <w:r>
        <w:rPr>
          <w:color w:val="auto"/>
          <w:sz w:val="20"/>
          <w:szCs w:val="22"/>
          <w:vertAlign w:val="subscript"/>
        </w:rPr>
        <w:t>ut</w:t>
      </w:r>
      <w:r>
        <w:rPr>
          <w:color w:val="auto"/>
          <w:sz w:val="20"/>
          <w:szCs w:val="22"/>
        </w:rPr>
        <w:t>——建材运输阶段单位工程量碳排放量（kgCO</w:t>
      </w:r>
      <w:r>
        <w:rPr>
          <w:color w:val="auto"/>
          <w:sz w:val="20"/>
          <w:szCs w:val="20"/>
          <w:vertAlign w:val="subscript"/>
        </w:rPr>
        <w:t>2</w:t>
      </w:r>
      <w:r>
        <w:rPr>
          <w:color w:val="auto"/>
          <w:sz w:val="20"/>
          <w:szCs w:val="20"/>
        </w:rPr>
        <w:t>e/</w:t>
      </w:r>
      <w:r>
        <w:rPr>
          <w:color w:val="auto"/>
          <w:sz w:val="20"/>
          <w:szCs w:val="22"/>
        </w:rPr>
        <w:t>工程量计量单位）；</w:t>
      </w:r>
    </w:p>
    <w:p w14:paraId="7D75946A">
      <w:pPr>
        <w:pStyle w:val="13"/>
        <w:spacing w:line="288" w:lineRule="auto"/>
        <w:ind w:firstLine="600" w:firstLineChars="300"/>
        <w:contextualSpacing/>
        <w:rPr>
          <w:color w:val="auto"/>
          <w:sz w:val="20"/>
          <w:szCs w:val="22"/>
        </w:rPr>
      </w:pPr>
      <w:r>
        <w:rPr>
          <w:color w:val="auto"/>
          <w:sz w:val="20"/>
          <w:szCs w:val="22"/>
        </w:rPr>
        <w:t>m</w:t>
      </w:r>
      <w:r>
        <w:rPr>
          <w:color w:val="auto"/>
          <w:sz w:val="20"/>
          <w:szCs w:val="22"/>
          <w:vertAlign w:val="subscript"/>
        </w:rPr>
        <w:t>i</w:t>
      </w:r>
      <w:r>
        <w:rPr>
          <w:color w:val="auto"/>
          <w:sz w:val="20"/>
          <w:szCs w:val="22"/>
        </w:rPr>
        <w:t xml:space="preserve">  ——单位工程量第i种建材消耗量（t）（参见工程预算定额）；</w:t>
      </w:r>
    </w:p>
    <w:p w14:paraId="6FC6D04B">
      <w:pPr>
        <w:pStyle w:val="13"/>
        <w:spacing w:line="288" w:lineRule="auto"/>
        <w:ind w:firstLine="600" w:firstLineChars="300"/>
        <w:contextualSpacing/>
        <w:rPr>
          <w:color w:val="auto"/>
          <w:sz w:val="20"/>
          <w:szCs w:val="22"/>
        </w:rPr>
      </w:pPr>
      <w:r>
        <w:rPr>
          <w:color w:val="auto"/>
          <w:sz w:val="20"/>
          <w:szCs w:val="22"/>
        </w:rPr>
        <w:t>D</w:t>
      </w:r>
      <w:r>
        <w:rPr>
          <w:color w:val="auto"/>
          <w:sz w:val="20"/>
          <w:szCs w:val="22"/>
          <w:vertAlign w:val="subscript"/>
        </w:rPr>
        <w:t>i</w:t>
      </w:r>
      <w:r>
        <w:rPr>
          <w:color w:val="auto"/>
          <w:sz w:val="20"/>
          <w:szCs w:val="22"/>
        </w:rPr>
        <w:t xml:space="preserve">  ——单位工程量第i种建材平均运输距离（km）；</w:t>
      </w:r>
    </w:p>
    <w:p w14:paraId="5E48A160">
      <w:pPr>
        <w:pStyle w:val="13"/>
        <w:spacing w:line="288" w:lineRule="auto"/>
        <w:ind w:firstLine="600" w:firstLineChars="300"/>
        <w:contextualSpacing/>
        <w:rPr>
          <w:color w:val="auto"/>
          <w:sz w:val="20"/>
          <w:szCs w:val="22"/>
        </w:rPr>
      </w:pPr>
      <w:r>
        <w:rPr>
          <w:color w:val="auto"/>
          <w:sz w:val="20"/>
          <w:szCs w:val="22"/>
        </w:rPr>
        <w:t>T</w:t>
      </w:r>
      <w:r>
        <w:rPr>
          <w:color w:val="auto"/>
          <w:sz w:val="20"/>
          <w:szCs w:val="22"/>
          <w:vertAlign w:val="subscript"/>
        </w:rPr>
        <w:t>i</w:t>
      </w:r>
      <w:r>
        <w:rPr>
          <w:color w:val="auto"/>
          <w:sz w:val="20"/>
          <w:szCs w:val="22"/>
        </w:rPr>
        <w:t xml:space="preserve">  ——单位工程量第i种建材的运输方式下，单位重量运输距离的碳排放因子（kgCO</w:t>
      </w:r>
      <w:r>
        <w:rPr>
          <w:color w:val="auto"/>
          <w:sz w:val="20"/>
          <w:szCs w:val="22"/>
          <w:vertAlign w:val="subscript"/>
        </w:rPr>
        <w:t>2</w:t>
      </w:r>
      <w:r>
        <w:rPr>
          <w:color w:val="auto"/>
          <w:sz w:val="20"/>
          <w:szCs w:val="22"/>
        </w:rPr>
        <w:t>e/t·km）</w:t>
      </w:r>
      <w:r>
        <w:rPr>
          <w:rFonts w:hint="eastAsia"/>
          <w:color w:val="auto"/>
          <w:sz w:val="20"/>
          <w:szCs w:val="22"/>
        </w:rPr>
        <w:t>。</w:t>
      </w:r>
    </w:p>
    <w:p w14:paraId="2305C6AD">
      <w:pPr>
        <w:spacing w:line="288" w:lineRule="auto"/>
        <w:contextualSpacing/>
        <w:rPr>
          <w:sz w:val="20"/>
          <w:szCs w:val="20"/>
        </w:rPr>
      </w:pPr>
      <w:r>
        <w:rPr>
          <w:b/>
          <w:sz w:val="20"/>
          <w:szCs w:val="20"/>
        </w:rPr>
        <w:t>D.0.11</w:t>
      </w:r>
      <w:r>
        <w:rPr>
          <w:sz w:val="20"/>
          <w:szCs w:val="20"/>
        </w:rPr>
        <w:t xml:space="preserve">  </w:t>
      </w:r>
      <w:r>
        <w:rPr>
          <w:rFonts w:hint="eastAsia"/>
          <w:sz w:val="20"/>
          <w:szCs w:val="20"/>
        </w:rPr>
        <w:t>表D.</w:t>
      </w:r>
      <w:r>
        <w:rPr>
          <w:sz w:val="20"/>
          <w:szCs w:val="20"/>
        </w:rPr>
        <w:t>0.11-1~</w:t>
      </w:r>
      <w:r>
        <w:rPr>
          <w:rFonts w:hint="eastAsia"/>
          <w:sz w:val="20"/>
          <w:szCs w:val="20"/>
        </w:rPr>
        <w:t>D</w:t>
      </w:r>
      <w:r>
        <w:rPr>
          <w:sz w:val="20"/>
          <w:szCs w:val="20"/>
        </w:rPr>
        <w:t>.0.11-5具体计算过程</w:t>
      </w:r>
      <w:r>
        <w:rPr>
          <w:rFonts w:hint="eastAsia"/>
          <w:sz w:val="20"/>
          <w:szCs w:val="20"/>
        </w:rPr>
        <w:t>见</w:t>
      </w:r>
      <w:r>
        <w:rPr>
          <w:sz w:val="20"/>
          <w:szCs w:val="20"/>
        </w:rPr>
        <w:t>D.0.6至D.0.10。</w:t>
      </w:r>
    </w:p>
    <w:p w14:paraId="0C6D1028">
      <w:pPr>
        <w:spacing w:line="276" w:lineRule="auto"/>
        <w:jc w:val="center"/>
        <w:rPr>
          <w:b/>
          <w:sz w:val="20"/>
          <w:szCs w:val="20"/>
        </w:rPr>
      </w:pPr>
      <w:r>
        <w:rPr>
          <w:b/>
          <w:sz w:val="20"/>
          <w:szCs w:val="20"/>
        </w:rPr>
        <w:t>表D.0.11-1  土方工程碳排放量计算用表</w:t>
      </w:r>
    </w:p>
    <w:tbl>
      <w:tblPr>
        <w:tblStyle w:val="34"/>
        <w:tblW w:w="5000" w:type="pct"/>
        <w:jc w:val="center"/>
        <w:tblLayout w:type="autofit"/>
        <w:tblCellMar>
          <w:top w:w="0" w:type="dxa"/>
          <w:left w:w="108" w:type="dxa"/>
          <w:bottom w:w="0" w:type="dxa"/>
          <w:right w:w="108" w:type="dxa"/>
        </w:tblCellMar>
      </w:tblPr>
      <w:tblGrid>
        <w:gridCol w:w="672"/>
        <w:gridCol w:w="1061"/>
        <w:gridCol w:w="1549"/>
        <w:gridCol w:w="1930"/>
        <w:gridCol w:w="1236"/>
        <w:gridCol w:w="1883"/>
        <w:gridCol w:w="1049"/>
        <w:gridCol w:w="700"/>
      </w:tblGrid>
      <w:tr w14:paraId="40C07971">
        <w:tblPrEx>
          <w:tblCellMar>
            <w:top w:w="0" w:type="dxa"/>
            <w:left w:w="108" w:type="dxa"/>
            <w:bottom w:w="0" w:type="dxa"/>
            <w:right w:w="108" w:type="dxa"/>
          </w:tblCellMar>
        </w:tblPrEx>
        <w:trPr>
          <w:trHeight w:val="530" w:hRule="atLeast"/>
          <w:jc w:val="center"/>
        </w:trPr>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14:paraId="698AC7BF">
            <w:pPr>
              <w:jc w:val="center"/>
              <w:rPr>
                <w:sz w:val="18"/>
                <w:szCs w:val="18"/>
              </w:rPr>
            </w:pPr>
            <w:r>
              <w:rPr>
                <w:sz w:val="18"/>
                <w:szCs w:val="18"/>
              </w:rPr>
              <w:t>序号</w:t>
            </w:r>
          </w:p>
        </w:tc>
        <w:tc>
          <w:tcPr>
            <w:tcW w:w="526" w:type="pct"/>
            <w:tcBorders>
              <w:top w:val="single" w:color="auto" w:sz="4" w:space="0"/>
              <w:left w:val="nil"/>
              <w:bottom w:val="single" w:color="auto" w:sz="4" w:space="0"/>
              <w:right w:val="single" w:color="auto" w:sz="4" w:space="0"/>
            </w:tcBorders>
            <w:shd w:val="clear" w:color="auto" w:fill="auto"/>
            <w:vAlign w:val="center"/>
          </w:tcPr>
          <w:p w14:paraId="0C22DC18">
            <w:pPr>
              <w:jc w:val="center"/>
              <w:rPr>
                <w:sz w:val="18"/>
                <w:szCs w:val="18"/>
              </w:rPr>
            </w:pPr>
            <w:r>
              <w:rPr>
                <w:sz w:val="18"/>
                <w:szCs w:val="18"/>
              </w:rPr>
              <w:t>定额编号</w:t>
            </w:r>
          </w:p>
        </w:tc>
        <w:tc>
          <w:tcPr>
            <w:tcW w:w="768" w:type="pct"/>
            <w:tcBorders>
              <w:top w:val="single" w:color="auto" w:sz="4" w:space="0"/>
              <w:left w:val="nil"/>
              <w:bottom w:val="single" w:color="auto" w:sz="4" w:space="0"/>
              <w:right w:val="single" w:color="auto" w:sz="4" w:space="0"/>
            </w:tcBorders>
            <w:shd w:val="clear" w:color="auto" w:fill="auto"/>
            <w:vAlign w:val="center"/>
          </w:tcPr>
          <w:p w14:paraId="1AEFA265">
            <w:pPr>
              <w:jc w:val="center"/>
              <w:rPr>
                <w:sz w:val="18"/>
                <w:szCs w:val="18"/>
              </w:rPr>
            </w:pPr>
            <w:r>
              <w:rPr>
                <w:rFonts w:hint="eastAsia"/>
                <w:sz w:val="18"/>
                <w:szCs w:val="18"/>
              </w:rPr>
              <w:t>项目</w:t>
            </w:r>
          </w:p>
        </w:tc>
        <w:tc>
          <w:tcPr>
            <w:tcW w:w="957" w:type="pct"/>
            <w:tcBorders>
              <w:top w:val="single" w:color="auto" w:sz="4" w:space="0"/>
              <w:left w:val="nil"/>
              <w:bottom w:val="single" w:color="auto" w:sz="4" w:space="0"/>
              <w:right w:val="single" w:color="auto" w:sz="4" w:space="0"/>
            </w:tcBorders>
            <w:shd w:val="clear" w:color="auto" w:fill="auto"/>
            <w:vAlign w:val="center"/>
          </w:tcPr>
          <w:p w14:paraId="0CF1F50C">
            <w:pPr>
              <w:jc w:val="center"/>
              <w:rPr>
                <w:sz w:val="18"/>
                <w:szCs w:val="18"/>
              </w:rPr>
            </w:pPr>
            <w:r>
              <w:rPr>
                <w:sz w:val="18"/>
                <w:szCs w:val="18"/>
              </w:rPr>
              <w:t>特征</w:t>
            </w:r>
          </w:p>
        </w:tc>
        <w:tc>
          <w:tcPr>
            <w:tcW w:w="613" w:type="pct"/>
            <w:tcBorders>
              <w:top w:val="single" w:color="auto" w:sz="4" w:space="0"/>
              <w:left w:val="nil"/>
              <w:bottom w:val="single" w:color="auto" w:sz="4" w:space="0"/>
              <w:right w:val="single" w:color="auto" w:sz="4" w:space="0"/>
            </w:tcBorders>
            <w:shd w:val="clear" w:color="auto" w:fill="auto"/>
            <w:vAlign w:val="center"/>
          </w:tcPr>
          <w:p w14:paraId="5E151F23">
            <w:pPr>
              <w:jc w:val="center"/>
              <w:rPr>
                <w:sz w:val="18"/>
                <w:szCs w:val="18"/>
              </w:rPr>
            </w:pPr>
            <w:r>
              <w:rPr>
                <w:sz w:val="18"/>
                <w:szCs w:val="18"/>
              </w:rPr>
              <w:t>单位工程量碳排放因子</w:t>
            </w:r>
          </w:p>
        </w:tc>
        <w:tc>
          <w:tcPr>
            <w:tcW w:w="934" w:type="pct"/>
            <w:tcBorders>
              <w:top w:val="single" w:color="auto" w:sz="4" w:space="0"/>
              <w:left w:val="nil"/>
              <w:bottom w:val="single" w:color="auto" w:sz="4" w:space="0"/>
              <w:right w:val="single" w:color="auto" w:sz="4" w:space="0"/>
            </w:tcBorders>
            <w:shd w:val="clear" w:color="auto" w:fill="auto"/>
            <w:vAlign w:val="center"/>
          </w:tcPr>
          <w:p w14:paraId="421512B6">
            <w:pPr>
              <w:jc w:val="center"/>
              <w:rPr>
                <w:sz w:val="18"/>
                <w:szCs w:val="18"/>
              </w:rPr>
            </w:pPr>
            <w:r>
              <w:rPr>
                <w:sz w:val="18"/>
                <w:szCs w:val="18"/>
              </w:rPr>
              <w:t>单位</w:t>
            </w:r>
          </w:p>
        </w:tc>
        <w:tc>
          <w:tcPr>
            <w:tcW w:w="520" w:type="pct"/>
            <w:tcBorders>
              <w:top w:val="single" w:color="auto" w:sz="4" w:space="0"/>
              <w:left w:val="nil"/>
              <w:bottom w:val="single" w:color="auto" w:sz="4" w:space="0"/>
              <w:right w:val="single" w:color="auto" w:sz="4" w:space="0"/>
            </w:tcBorders>
            <w:shd w:val="clear" w:color="auto" w:fill="auto"/>
            <w:vAlign w:val="center"/>
          </w:tcPr>
          <w:p w14:paraId="50C8EB12">
            <w:pPr>
              <w:jc w:val="center"/>
              <w:rPr>
                <w:sz w:val="18"/>
                <w:szCs w:val="18"/>
              </w:rPr>
            </w:pPr>
            <w:r>
              <w:rPr>
                <w:sz w:val="18"/>
                <w:szCs w:val="18"/>
              </w:rPr>
              <w:t>调整系数</w:t>
            </w:r>
          </w:p>
        </w:tc>
        <w:tc>
          <w:tcPr>
            <w:tcW w:w="347" w:type="pct"/>
            <w:tcBorders>
              <w:top w:val="single" w:color="auto" w:sz="4" w:space="0"/>
              <w:left w:val="nil"/>
              <w:bottom w:val="single" w:color="auto" w:sz="4" w:space="0"/>
              <w:right w:val="single" w:color="auto" w:sz="4" w:space="0"/>
            </w:tcBorders>
            <w:shd w:val="clear" w:color="auto" w:fill="auto"/>
            <w:vAlign w:val="center"/>
          </w:tcPr>
          <w:p w14:paraId="408225A5">
            <w:pPr>
              <w:jc w:val="center"/>
              <w:rPr>
                <w:sz w:val="18"/>
                <w:szCs w:val="18"/>
              </w:rPr>
            </w:pPr>
            <w:r>
              <w:rPr>
                <w:sz w:val="18"/>
                <w:szCs w:val="18"/>
              </w:rPr>
              <w:t>备注</w:t>
            </w:r>
          </w:p>
        </w:tc>
      </w:tr>
      <w:tr w14:paraId="4A2BF6E3">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2F7C9A9A">
            <w:pPr>
              <w:jc w:val="center"/>
              <w:rPr>
                <w:sz w:val="18"/>
                <w:szCs w:val="18"/>
              </w:rPr>
            </w:pPr>
            <w:r>
              <w:rPr>
                <w:sz w:val="18"/>
                <w:szCs w:val="18"/>
              </w:rPr>
              <w:t>1</w:t>
            </w:r>
          </w:p>
        </w:tc>
        <w:tc>
          <w:tcPr>
            <w:tcW w:w="526" w:type="pct"/>
            <w:tcBorders>
              <w:top w:val="nil"/>
              <w:left w:val="nil"/>
              <w:bottom w:val="single" w:color="auto" w:sz="4" w:space="0"/>
              <w:right w:val="single" w:color="auto" w:sz="4" w:space="0"/>
            </w:tcBorders>
            <w:shd w:val="clear" w:color="auto" w:fill="auto"/>
            <w:vAlign w:val="center"/>
          </w:tcPr>
          <w:p w14:paraId="45228DB4">
            <w:pPr>
              <w:jc w:val="center"/>
              <w:rPr>
                <w:sz w:val="18"/>
                <w:szCs w:val="18"/>
              </w:rPr>
            </w:pPr>
            <w:r>
              <w:rPr>
                <w:sz w:val="18"/>
                <w:szCs w:val="18"/>
              </w:rPr>
              <w:t>1-2</w:t>
            </w:r>
          </w:p>
        </w:tc>
        <w:tc>
          <w:tcPr>
            <w:tcW w:w="768" w:type="pct"/>
            <w:vMerge w:val="restart"/>
            <w:tcBorders>
              <w:top w:val="nil"/>
              <w:left w:val="single" w:color="auto" w:sz="4" w:space="0"/>
              <w:bottom w:val="single" w:color="000000" w:sz="4" w:space="0"/>
              <w:right w:val="single" w:color="auto" w:sz="4" w:space="0"/>
            </w:tcBorders>
            <w:shd w:val="clear" w:color="auto" w:fill="auto"/>
            <w:vAlign w:val="center"/>
          </w:tcPr>
          <w:p w14:paraId="25C63ABC">
            <w:pPr>
              <w:jc w:val="center"/>
              <w:rPr>
                <w:sz w:val="18"/>
                <w:szCs w:val="18"/>
              </w:rPr>
            </w:pPr>
            <w:r>
              <w:rPr>
                <w:sz w:val="18"/>
                <w:szCs w:val="18"/>
              </w:rPr>
              <w:t>平整场地</w:t>
            </w:r>
          </w:p>
        </w:tc>
        <w:tc>
          <w:tcPr>
            <w:tcW w:w="957" w:type="pct"/>
            <w:tcBorders>
              <w:top w:val="nil"/>
              <w:left w:val="nil"/>
              <w:bottom w:val="single" w:color="auto" w:sz="4" w:space="0"/>
              <w:right w:val="single" w:color="auto" w:sz="4" w:space="0"/>
            </w:tcBorders>
            <w:shd w:val="clear" w:color="auto" w:fill="auto"/>
            <w:vAlign w:val="center"/>
          </w:tcPr>
          <w:p w14:paraId="0AFF8077">
            <w:pPr>
              <w:jc w:val="center"/>
              <w:rPr>
                <w:sz w:val="18"/>
                <w:szCs w:val="18"/>
              </w:rPr>
            </w:pPr>
            <w:r>
              <w:rPr>
                <w:sz w:val="18"/>
                <w:szCs w:val="18"/>
              </w:rPr>
              <w:t>机械平整场地</w:t>
            </w:r>
          </w:p>
        </w:tc>
        <w:tc>
          <w:tcPr>
            <w:tcW w:w="613" w:type="pct"/>
            <w:tcBorders>
              <w:top w:val="nil"/>
              <w:left w:val="nil"/>
              <w:bottom w:val="single" w:color="auto" w:sz="4" w:space="0"/>
              <w:right w:val="single" w:color="auto" w:sz="4" w:space="0"/>
            </w:tcBorders>
            <w:shd w:val="clear" w:color="auto" w:fill="auto"/>
            <w:vAlign w:val="center"/>
          </w:tcPr>
          <w:p w14:paraId="25F0F2DE">
            <w:pPr>
              <w:jc w:val="center"/>
              <w:rPr>
                <w:sz w:val="18"/>
                <w:szCs w:val="18"/>
              </w:rPr>
            </w:pPr>
            <w:r>
              <w:rPr>
                <w:sz w:val="18"/>
                <w:szCs w:val="18"/>
              </w:rPr>
              <w:t xml:space="preserve">0.25 </w:t>
            </w:r>
          </w:p>
        </w:tc>
        <w:tc>
          <w:tcPr>
            <w:tcW w:w="934" w:type="pct"/>
            <w:tcBorders>
              <w:top w:val="nil"/>
              <w:left w:val="nil"/>
              <w:bottom w:val="single" w:color="auto" w:sz="4" w:space="0"/>
              <w:right w:val="single" w:color="auto" w:sz="4" w:space="0"/>
            </w:tcBorders>
            <w:shd w:val="clear" w:color="auto" w:fill="auto"/>
            <w:vAlign w:val="center"/>
          </w:tcPr>
          <w:p w14:paraId="416CB066">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520" w:type="pct"/>
            <w:tcBorders>
              <w:top w:val="nil"/>
              <w:left w:val="nil"/>
              <w:bottom w:val="single" w:color="auto" w:sz="4" w:space="0"/>
              <w:right w:val="single" w:color="auto" w:sz="4" w:space="0"/>
            </w:tcBorders>
            <w:shd w:val="clear" w:color="auto" w:fill="auto"/>
            <w:vAlign w:val="center"/>
          </w:tcPr>
          <w:p w14:paraId="0F85BA9F">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0DF01C74">
            <w:pPr>
              <w:jc w:val="center"/>
              <w:rPr>
                <w:sz w:val="18"/>
                <w:szCs w:val="18"/>
              </w:rPr>
            </w:pPr>
            <w:r>
              <w:rPr>
                <w:sz w:val="18"/>
                <w:szCs w:val="18"/>
              </w:rPr>
              <w:t>/</w:t>
            </w:r>
          </w:p>
        </w:tc>
      </w:tr>
      <w:tr w14:paraId="276710D1">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7B1A4C0F">
            <w:pPr>
              <w:jc w:val="center"/>
              <w:rPr>
                <w:sz w:val="18"/>
                <w:szCs w:val="18"/>
              </w:rPr>
            </w:pPr>
            <w:r>
              <w:rPr>
                <w:sz w:val="18"/>
                <w:szCs w:val="18"/>
              </w:rPr>
              <w:t>2</w:t>
            </w:r>
          </w:p>
        </w:tc>
        <w:tc>
          <w:tcPr>
            <w:tcW w:w="526" w:type="pct"/>
            <w:tcBorders>
              <w:top w:val="nil"/>
              <w:left w:val="nil"/>
              <w:bottom w:val="single" w:color="auto" w:sz="4" w:space="0"/>
              <w:right w:val="single" w:color="auto" w:sz="4" w:space="0"/>
            </w:tcBorders>
            <w:shd w:val="clear" w:color="auto" w:fill="auto"/>
            <w:vAlign w:val="center"/>
          </w:tcPr>
          <w:p w14:paraId="60258D11">
            <w:pPr>
              <w:jc w:val="center"/>
              <w:rPr>
                <w:sz w:val="18"/>
                <w:szCs w:val="18"/>
              </w:rPr>
            </w:pPr>
            <w:r>
              <w:rPr>
                <w:sz w:val="18"/>
                <w:szCs w:val="18"/>
              </w:rPr>
              <w:t>1-3</w:t>
            </w:r>
          </w:p>
        </w:tc>
        <w:tc>
          <w:tcPr>
            <w:tcW w:w="768" w:type="pct"/>
            <w:vMerge w:val="continue"/>
            <w:tcBorders>
              <w:top w:val="nil"/>
              <w:left w:val="single" w:color="auto" w:sz="4" w:space="0"/>
              <w:bottom w:val="single" w:color="000000" w:sz="4" w:space="0"/>
              <w:right w:val="single" w:color="auto" w:sz="4" w:space="0"/>
            </w:tcBorders>
            <w:vAlign w:val="center"/>
          </w:tcPr>
          <w:p w14:paraId="0D1A6915">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3ADCBDDB">
            <w:pPr>
              <w:jc w:val="center"/>
              <w:rPr>
                <w:sz w:val="18"/>
                <w:szCs w:val="18"/>
              </w:rPr>
            </w:pPr>
            <w:r>
              <w:rPr>
                <w:sz w:val="18"/>
                <w:szCs w:val="18"/>
              </w:rPr>
              <w:t>场地碾压</w:t>
            </w:r>
          </w:p>
        </w:tc>
        <w:tc>
          <w:tcPr>
            <w:tcW w:w="613" w:type="pct"/>
            <w:tcBorders>
              <w:top w:val="nil"/>
              <w:left w:val="nil"/>
              <w:bottom w:val="single" w:color="auto" w:sz="4" w:space="0"/>
              <w:right w:val="single" w:color="auto" w:sz="4" w:space="0"/>
            </w:tcBorders>
            <w:shd w:val="clear" w:color="auto" w:fill="auto"/>
            <w:vAlign w:val="center"/>
          </w:tcPr>
          <w:p w14:paraId="089BC303">
            <w:pPr>
              <w:jc w:val="center"/>
              <w:rPr>
                <w:sz w:val="18"/>
                <w:szCs w:val="18"/>
              </w:rPr>
            </w:pPr>
            <w:r>
              <w:rPr>
                <w:sz w:val="18"/>
                <w:szCs w:val="18"/>
              </w:rPr>
              <w:t xml:space="preserve">0.02 </w:t>
            </w:r>
          </w:p>
        </w:tc>
        <w:tc>
          <w:tcPr>
            <w:tcW w:w="934" w:type="pct"/>
            <w:tcBorders>
              <w:top w:val="nil"/>
              <w:left w:val="nil"/>
              <w:bottom w:val="single" w:color="auto" w:sz="4" w:space="0"/>
              <w:right w:val="single" w:color="auto" w:sz="4" w:space="0"/>
            </w:tcBorders>
            <w:shd w:val="clear" w:color="auto" w:fill="auto"/>
            <w:vAlign w:val="center"/>
          </w:tcPr>
          <w:p w14:paraId="0147C94E">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520" w:type="pct"/>
            <w:tcBorders>
              <w:top w:val="nil"/>
              <w:left w:val="nil"/>
              <w:bottom w:val="single" w:color="auto" w:sz="4" w:space="0"/>
              <w:right w:val="single" w:color="auto" w:sz="4" w:space="0"/>
            </w:tcBorders>
            <w:shd w:val="clear" w:color="auto" w:fill="auto"/>
            <w:vAlign w:val="center"/>
          </w:tcPr>
          <w:p w14:paraId="1F04E048">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3117684E">
            <w:pPr>
              <w:jc w:val="center"/>
              <w:rPr>
                <w:sz w:val="18"/>
                <w:szCs w:val="18"/>
              </w:rPr>
            </w:pPr>
            <w:r>
              <w:rPr>
                <w:sz w:val="18"/>
                <w:szCs w:val="18"/>
              </w:rPr>
              <w:t>/</w:t>
            </w:r>
          </w:p>
        </w:tc>
      </w:tr>
      <w:tr w14:paraId="5F7D26E6">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49088546">
            <w:pPr>
              <w:jc w:val="center"/>
              <w:rPr>
                <w:sz w:val="18"/>
                <w:szCs w:val="18"/>
              </w:rPr>
            </w:pPr>
            <w:r>
              <w:rPr>
                <w:sz w:val="18"/>
                <w:szCs w:val="18"/>
              </w:rPr>
              <w:t>3</w:t>
            </w:r>
          </w:p>
        </w:tc>
        <w:tc>
          <w:tcPr>
            <w:tcW w:w="526" w:type="pct"/>
            <w:tcBorders>
              <w:top w:val="nil"/>
              <w:left w:val="nil"/>
              <w:bottom w:val="single" w:color="auto" w:sz="4" w:space="0"/>
              <w:right w:val="single" w:color="auto" w:sz="4" w:space="0"/>
            </w:tcBorders>
            <w:shd w:val="clear" w:color="auto" w:fill="auto"/>
            <w:vAlign w:val="center"/>
          </w:tcPr>
          <w:p w14:paraId="6897B8D6">
            <w:pPr>
              <w:jc w:val="center"/>
              <w:rPr>
                <w:sz w:val="18"/>
                <w:szCs w:val="18"/>
              </w:rPr>
            </w:pPr>
            <w:r>
              <w:rPr>
                <w:sz w:val="18"/>
                <w:szCs w:val="18"/>
              </w:rPr>
              <w:t>1-4</w:t>
            </w:r>
          </w:p>
        </w:tc>
        <w:tc>
          <w:tcPr>
            <w:tcW w:w="768" w:type="pct"/>
            <w:vMerge w:val="continue"/>
            <w:tcBorders>
              <w:top w:val="nil"/>
              <w:left w:val="single" w:color="auto" w:sz="4" w:space="0"/>
              <w:bottom w:val="single" w:color="000000" w:sz="4" w:space="0"/>
              <w:right w:val="single" w:color="auto" w:sz="4" w:space="0"/>
            </w:tcBorders>
            <w:vAlign w:val="center"/>
          </w:tcPr>
          <w:p w14:paraId="31DD0E2F">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0C26E457">
            <w:pPr>
              <w:jc w:val="center"/>
              <w:rPr>
                <w:sz w:val="18"/>
                <w:szCs w:val="18"/>
              </w:rPr>
            </w:pPr>
            <w:r>
              <w:rPr>
                <w:sz w:val="18"/>
                <w:szCs w:val="18"/>
              </w:rPr>
              <w:t>原土打夯</w:t>
            </w:r>
          </w:p>
        </w:tc>
        <w:tc>
          <w:tcPr>
            <w:tcW w:w="613" w:type="pct"/>
            <w:tcBorders>
              <w:top w:val="nil"/>
              <w:left w:val="nil"/>
              <w:bottom w:val="single" w:color="auto" w:sz="4" w:space="0"/>
              <w:right w:val="single" w:color="auto" w:sz="4" w:space="0"/>
            </w:tcBorders>
            <w:shd w:val="clear" w:color="auto" w:fill="auto"/>
            <w:vAlign w:val="center"/>
          </w:tcPr>
          <w:p w14:paraId="2D12C3F4">
            <w:pPr>
              <w:jc w:val="center"/>
              <w:rPr>
                <w:sz w:val="18"/>
                <w:szCs w:val="18"/>
              </w:rPr>
            </w:pPr>
            <w:r>
              <w:rPr>
                <w:sz w:val="18"/>
                <w:szCs w:val="18"/>
              </w:rPr>
              <w:t xml:space="preserve">0.09 </w:t>
            </w:r>
          </w:p>
        </w:tc>
        <w:tc>
          <w:tcPr>
            <w:tcW w:w="934" w:type="pct"/>
            <w:tcBorders>
              <w:top w:val="nil"/>
              <w:left w:val="nil"/>
              <w:bottom w:val="single" w:color="auto" w:sz="4" w:space="0"/>
              <w:right w:val="single" w:color="auto" w:sz="4" w:space="0"/>
            </w:tcBorders>
            <w:shd w:val="clear" w:color="auto" w:fill="auto"/>
            <w:vAlign w:val="center"/>
          </w:tcPr>
          <w:p w14:paraId="733902F1">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520" w:type="pct"/>
            <w:tcBorders>
              <w:top w:val="nil"/>
              <w:left w:val="nil"/>
              <w:bottom w:val="single" w:color="auto" w:sz="4" w:space="0"/>
              <w:right w:val="single" w:color="auto" w:sz="4" w:space="0"/>
            </w:tcBorders>
            <w:shd w:val="clear" w:color="auto" w:fill="auto"/>
            <w:vAlign w:val="center"/>
          </w:tcPr>
          <w:p w14:paraId="6CD80C76">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0A863FDB">
            <w:pPr>
              <w:jc w:val="center"/>
              <w:rPr>
                <w:sz w:val="18"/>
                <w:szCs w:val="18"/>
              </w:rPr>
            </w:pPr>
            <w:r>
              <w:rPr>
                <w:sz w:val="18"/>
                <w:szCs w:val="18"/>
              </w:rPr>
              <w:t>/</w:t>
            </w:r>
          </w:p>
        </w:tc>
      </w:tr>
      <w:tr w14:paraId="30479FE8">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6B169D92">
            <w:pPr>
              <w:jc w:val="center"/>
              <w:rPr>
                <w:sz w:val="18"/>
                <w:szCs w:val="18"/>
              </w:rPr>
            </w:pPr>
            <w:r>
              <w:rPr>
                <w:sz w:val="18"/>
                <w:szCs w:val="18"/>
              </w:rPr>
              <w:t>4</w:t>
            </w:r>
          </w:p>
        </w:tc>
        <w:tc>
          <w:tcPr>
            <w:tcW w:w="526" w:type="pct"/>
            <w:tcBorders>
              <w:top w:val="nil"/>
              <w:left w:val="nil"/>
              <w:bottom w:val="single" w:color="auto" w:sz="4" w:space="0"/>
              <w:right w:val="single" w:color="auto" w:sz="4" w:space="0"/>
            </w:tcBorders>
            <w:shd w:val="clear" w:color="auto" w:fill="auto"/>
            <w:vAlign w:val="center"/>
          </w:tcPr>
          <w:p w14:paraId="4E9127B7">
            <w:pPr>
              <w:jc w:val="center"/>
              <w:rPr>
                <w:sz w:val="18"/>
                <w:szCs w:val="18"/>
              </w:rPr>
            </w:pPr>
            <w:r>
              <w:rPr>
                <w:sz w:val="18"/>
                <w:szCs w:val="18"/>
              </w:rPr>
              <w:t>1-5</w:t>
            </w:r>
          </w:p>
        </w:tc>
        <w:tc>
          <w:tcPr>
            <w:tcW w:w="768" w:type="pct"/>
            <w:vMerge w:val="restart"/>
            <w:tcBorders>
              <w:top w:val="nil"/>
              <w:left w:val="single" w:color="auto" w:sz="4" w:space="0"/>
              <w:bottom w:val="single" w:color="000000" w:sz="4" w:space="0"/>
              <w:right w:val="single" w:color="auto" w:sz="4" w:space="0"/>
            </w:tcBorders>
            <w:shd w:val="clear" w:color="auto" w:fill="auto"/>
            <w:vAlign w:val="center"/>
          </w:tcPr>
          <w:p w14:paraId="1CA43952">
            <w:pPr>
              <w:jc w:val="center"/>
              <w:rPr>
                <w:sz w:val="18"/>
                <w:szCs w:val="18"/>
              </w:rPr>
            </w:pPr>
            <w:r>
              <w:rPr>
                <w:sz w:val="18"/>
                <w:szCs w:val="18"/>
              </w:rPr>
              <w:t>挖一般土方</w:t>
            </w:r>
          </w:p>
        </w:tc>
        <w:tc>
          <w:tcPr>
            <w:tcW w:w="957" w:type="pct"/>
            <w:tcBorders>
              <w:top w:val="nil"/>
              <w:left w:val="nil"/>
              <w:bottom w:val="single" w:color="auto" w:sz="4" w:space="0"/>
              <w:right w:val="single" w:color="auto" w:sz="4" w:space="0"/>
            </w:tcBorders>
            <w:shd w:val="clear" w:color="auto" w:fill="auto"/>
            <w:vAlign w:val="center"/>
          </w:tcPr>
          <w:p w14:paraId="3D7B2688">
            <w:pPr>
              <w:jc w:val="center"/>
              <w:rPr>
                <w:sz w:val="18"/>
                <w:szCs w:val="18"/>
              </w:rPr>
            </w:pPr>
            <w:r>
              <w:rPr>
                <w:sz w:val="18"/>
                <w:szCs w:val="18"/>
              </w:rPr>
              <w:t>人工挖土方（一、二类土）</w:t>
            </w:r>
          </w:p>
        </w:tc>
        <w:tc>
          <w:tcPr>
            <w:tcW w:w="613" w:type="pct"/>
            <w:tcBorders>
              <w:top w:val="nil"/>
              <w:left w:val="nil"/>
              <w:bottom w:val="single" w:color="auto" w:sz="4" w:space="0"/>
              <w:right w:val="single" w:color="auto" w:sz="4" w:space="0"/>
            </w:tcBorders>
            <w:shd w:val="clear" w:color="auto" w:fill="auto"/>
            <w:vAlign w:val="center"/>
          </w:tcPr>
          <w:p w14:paraId="7B445AE6">
            <w:pPr>
              <w:jc w:val="center"/>
              <w:rPr>
                <w:sz w:val="18"/>
                <w:szCs w:val="18"/>
              </w:rPr>
            </w:pPr>
            <w:r>
              <w:rPr>
                <w:sz w:val="18"/>
                <w:szCs w:val="18"/>
              </w:rPr>
              <w:t xml:space="preserve">0.35 </w:t>
            </w:r>
          </w:p>
        </w:tc>
        <w:tc>
          <w:tcPr>
            <w:tcW w:w="934" w:type="pct"/>
            <w:tcBorders>
              <w:top w:val="nil"/>
              <w:left w:val="nil"/>
              <w:bottom w:val="single" w:color="auto" w:sz="4" w:space="0"/>
              <w:right w:val="single" w:color="auto" w:sz="4" w:space="0"/>
            </w:tcBorders>
            <w:shd w:val="clear" w:color="auto" w:fill="auto"/>
            <w:vAlign w:val="center"/>
          </w:tcPr>
          <w:p w14:paraId="5326031C">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6EA8A440">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5B7C7B7E">
            <w:pPr>
              <w:jc w:val="center"/>
              <w:rPr>
                <w:sz w:val="18"/>
                <w:szCs w:val="18"/>
              </w:rPr>
            </w:pPr>
            <w:r>
              <w:rPr>
                <w:sz w:val="18"/>
                <w:szCs w:val="18"/>
              </w:rPr>
              <w:t>/</w:t>
            </w:r>
          </w:p>
        </w:tc>
      </w:tr>
      <w:tr w14:paraId="2DF657D5">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4BB3E22A">
            <w:pPr>
              <w:jc w:val="center"/>
              <w:rPr>
                <w:sz w:val="18"/>
                <w:szCs w:val="18"/>
              </w:rPr>
            </w:pPr>
            <w:r>
              <w:rPr>
                <w:sz w:val="18"/>
                <w:szCs w:val="18"/>
              </w:rPr>
              <w:t>5</w:t>
            </w:r>
          </w:p>
        </w:tc>
        <w:tc>
          <w:tcPr>
            <w:tcW w:w="526" w:type="pct"/>
            <w:tcBorders>
              <w:top w:val="nil"/>
              <w:left w:val="nil"/>
              <w:bottom w:val="single" w:color="auto" w:sz="4" w:space="0"/>
              <w:right w:val="single" w:color="auto" w:sz="4" w:space="0"/>
            </w:tcBorders>
            <w:shd w:val="clear" w:color="auto" w:fill="auto"/>
            <w:vAlign w:val="center"/>
          </w:tcPr>
          <w:p w14:paraId="72F390DE">
            <w:pPr>
              <w:jc w:val="center"/>
              <w:rPr>
                <w:sz w:val="18"/>
                <w:szCs w:val="18"/>
              </w:rPr>
            </w:pPr>
            <w:r>
              <w:rPr>
                <w:sz w:val="18"/>
                <w:szCs w:val="18"/>
              </w:rPr>
              <w:t>1-6</w:t>
            </w:r>
          </w:p>
        </w:tc>
        <w:tc>
          <w:tcPr>
            <w:tcW w:w="768" w:type="pct"/>
            <w:vMerge w:val="continue"/>
            <w:tcBorders>
              <w:top w:val="nil"/>
              <w:left w:val="single" w:color="auto" w:sz="4" w:space="0"/>
              <w:bottom w:val="single" w:color="000000" w:sz="4" w:space="0"/>
              <w:right w:val="single" w:color="auto" w:sz="4" w:space="0"/>
            </w:tcBorders>
            <w:vAlign w:val="center"/>
          </w:tcPr>
          <w:p w14:paraId="779086ED">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434D4CE8">
            <w:pPr>
              <w:jc w:val="center"/>
              <w:rPr>
                <w:sz w:val="18"/>
                <w:szCs w:val="18"/>
              </w:rPr>
            </w:pPr>
            <w:r>
              <w:rPr>
                <w:sz w:val="18"/>
                <w:szCs w:val="18"/>
              </w:rPr>
              <w:t>人工挖土方（三类土）</w:t>
            </w:r>
          </w:p>
        </w:tc>
        <w:tc>
          <w:tcPr>
            <w:tcW w:w="613" w:type="pct"/>
            <w:tcBorders>
              <w:top w:val="nil"/>
              <w:left w:val="nil"/>
              <w:bottom w:val="single" w:color="auto" w:sz="4" w:space="0"/>
              <w:right w:val="single" w:color="auto" w:sz="4" w:space="0"/>
            </w:tcBorders>
            <w:shd w:val="clear" w:color="auto" w:fill="auto"/>
            <w:vAlign w:val="center"/>
          </w:tcPr>
          <w:p w14:paraId="6A9DB4E4">
            <w:pPr>
              <w:jc w:val="center"/>
              <w:rPr>
                <w:sz w:val="18"/>
                <w:szCs w:val="18"/>
              </w:rPr>
            </w:pPr>
            <w:r>
              <w:rPr>
                <w:sz w:val="18"/>
                <w:szCs w:val="18"/>
              </w:rPr>
              <w:t xml:space="preserve">0.43 </w:t>
            </w:r>
          </w:p>
        </w:tc>
        <w:tc>
          <w:tcPr>
            <w:tcW w:w="934" w:type="pct"/>
            <w:tcBorders>
              <w:top w:val="nil"/>
              <w:left w:val="nil"/>
              <w:bottom w:val="single" w:color="auto" w:sz="4" w:space="0"/>
              <w:right w:val="single" w:color="auto" w:sz="4" w:space="0"/>
            </w:tcBorders>
            <w:shd w:val="clear" w:color="auto" w:fill="auto"/>
            <w:vAlign w:val="center"/>
          </w:tcPr>
          <w:p w14:paraId="73F953BC">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7DE80DC0">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6CCE16D1">
            <w:pPr>
              <w:jc w:val="center"/>
              <w:rPr>
                <w:sz w:val="18"/>
                <w:szCs w:val="18"/>
              </w:rPr>
            </w:pPr>
            <w:r>
              <w:rPr>
                <w:sz w:val="18"/>
                <w:szCs w:val="18"/>
              </w:rPr>
              <w:t>/</w:t>
            </w:r>
          </w:p>
        </w:tc>
      </w:tr>
      <w:tr w14:paraId="473C1F23">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3A3533EE">
            <w:pPr>
              <w:jc w:val="center"/>
              <w:rPr>
                <w:sz w:val="18"/>
                <w:szCs w:val="18"/>
              </w:rPr>
            </w:pPr>
            <w:r>
              <w:rPr>
                <w:sz w:val="18"/>
                <w:szCs w:val="18"/>
              </w:rPr>
              <w:t>6</w:t>
            </w:r>
          </w:p>
        </w:tc>
        <w:tc>
          <w:tcPr>
            <w:tcW w:w="526" w:type="pct"/>
            <w:tcBorders>
              <w:top w:val="nil"/>
              <w:left w:val="nil"/>
              <w:bottom w:val="single" w:color="auto" w:sz="4" w:space="0"/>
              <w:right w:val="single" w:color="auto" w:sz="4" w:space="0"/>
            </w:tcBorders>
            <w:shd w:val="clear" w:color="auto" w:fill="auto"/>
            <w:vAlign w:val="center"/>
          </w:tcPr>
          <w:p w14:paraId="7EFB1F6A">
            <w:pPr>
              <w:jc w:val="center"/>
              <w:rPr>
                <w:sz w:val="18"/>
                <w:szCs w:val="18"/>
              </w:rPr>
            </w:pPr>
            <w:r>
              <w:rPr>
                <w:sz w:val="18"/>
                <w:szCs w:val="18"/>
              </w:rPr>
              <w:t>1-7</w:t>
            </w:r>
          </w:p>
        </w:tc>
        <w:tc>
          <w:tcPr>
            <w:tcW w:w="768" w:type="pct"/>
            <w:vMerge w:val="continue"/>
            <w:tcBorders>
              <w:top w:val="nil"/>
              <w:left w:val="single" w:color="auto" w:sz="4" w:space="0"/>
              <w:bottom w:val="single" w:color="000000" w:sz="4" w:space="0"/>
              <w:right w:val="single" w:color="auto" w:sz="4" w:space="0"/>
            </w:tcBorders>
            <w:vAlign w:val="center"/>
          </w:tcPr>
          <w:p w14:paraId="239AF940">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7347F7A6">
            <w:pPr>
              <w:jc w:val="center"/>
              <w:rPr>
                <w:sz w:val="18"/>
                <w:szCs w:val="18"/>
              </w:rPr>
            </w:pPr>
            <w:r>
              <w:rPr>
                <w:sz w:val="18"/>
                <w:szCs w:val="18"/>
              </w:rPr>
              <w:t>人工挖土方（四类土）</w:t>
            </w:r>
          </w:p>
        </w:tc>
        <w:tc>
          <w:tcPr>
            <w:tcW w:w="613" w:type="pct"/>
            <w:tcBorders>
              <w:top w:val="nil"/>
              <w:left w:val="nil"/>
              <w:bottom w:val="single" w:color="auto" w:sz="4" w:space="0"/>
              <w:right w:val="single" w:color="auto" w:sz="4" w:space="0"/>
            </w:tcBorders>
            <w:shd w:val="clear" w:color="auto" w:fill="auto"/>
            <w:vAlign w:val="center"/>
          </w:tcPr>
          <w:p w14:paraId="564165FF">
            <w:pPr>
              <w:jc w:val="center"/>
              <w:rPr>
                <w:sz w:val="18"/>
                <w:szCs w:val="18"/>
              </w:rPr>
            </w:pPr>
            <w:r>
              <w:rPr>
                <w:sz w:val="18"/>
                <w:szCs w:val="18"/>
              </w:rPr>
              <w:t xml:space="preserve">0.50 </w:t>
            </w:r>
          </w:p>
        </w:tc>
        <w:tc>
          <w:tcPr>
            <w:tcW w:w="934" w:type="pct"/>
            <w:tcBorders>
              <w:top w:val="nil"/>
              <w:left w:val="nil"/>
              <w:bottom w:val="single" w:color="auto" w:sz="4" w:space="0"/>
              <w:right w:val="single" w:color="auto" w:sz="4" w:space="0"/>
            </w:tcBorders>
            <w:shd w:val="clear" w:color="auto" w:fill="auto"/>
            <w:vAlign w:val="center"/>
          </w:tcPr>
          <w:p w14:paraId="7126D554">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12C25431">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6DF24B07">
            <w:pPr>
              <w:jc w:val="center"/>
              <w:rPr>
                <w:sz w:val="18"/>
                <w:szCs w:val="18"/>
              </w:rPr>
            </w:pPr>
            <w:r>
              <w:rPr>
                <w:sz w:val="18"/>
                <w:szCs w:val="18"/>
              </w:rPr>
              <w:t>/</w:t>
            </w:r>
          </w:p>
        </w:tc>
      </w:tr>
      <w:tr w14:paraId="1CA4DD1F">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3CC5F8E3">
            <w:pPr>
              <w:jc w:val="center"/>
              <w:rPr>
                <w:sz w:val="18"/>
                <w:szCs w:val="18"/>
              </w:rPr>
            </w:pPr>
            <w:r>
              <w:rPr>
                <w:sz w:val="18"/>
                <w:szCs w:val="18"/>
              </w:rPr>
              <w:t>7</w:t>
            </w:r>
          </w:p>
        </w:tc>
        <w:tc>
          <w:tcPr>
            <w:tcW w:w="526" w:type="pct"/>
            <w:tcBorders>
              <w:top w:val="nil"/>
              <w:left w:val="nil"/>
              <w:bottom w:val="single" w:color="auto" w:sz="4" w:space="0"/>
              <w:right w:val="single" w:color="auto" w:sz="4" w:space="0"/>
            </w:tcBorders>
            <w:shd w:val="clear" w:color="auto" w:fill="auto"/>
            <w:vAlign w:val="center"/>
          </w:tcPr>
          <w:p w14:paraId="61BDA359">
            <w:pPr>
              <w:jc w:val="center"/>
              <w:rPr>
                <w:sz w:val="18"/>
                <w:szCs w:val="18"/>
              </w:rPr>
            </w:pPr>
            <w:r>
              <w:rPr>
                <w:sz w:val="18"/>
                <w:szCs w:val="18"/>
              </w:rPr>
              <w:t>1-8</w:t>
            </w:r>
          </w:p>
        </w:tc>
        <w:tc>
          <w:tcPr>
            <w:tcW w:w="768" w:type="pct"/>
            <w:vMerge w:val="continue"/>
            <w:tcBorders>
              <w:top w:val="nil"/>
              <w:left w:val="single" w:color="auto" w:sz="4" w:space="0"/>
              <w:bottom w:val="single" w:color="000000" w:sz="4" w:space="0"/>
              <w:right w:val="single" w:color="auto" w:sz="4" w:space="0"/>
            </w:tcBorders>
            <w:vAlign w:val="center"/>
          </w:tcPr>
          <w:p w14:paraId="68E125C3">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04CE8D2C">
            <w:pPr>
              <w:jc w:val="center"/>
              <w:rPr>
                <w:sz w:val="18"/>
                <w:szCs w:val="18"/>
              </w:rPr>
            </w:pPr>
            <w:r>
              <w:rPr>
                <w:sz w:val="18"/>
                <w:szCs w:val="18"/>
              </w:rPr>
              <w:t>机挖独立土方</w:t>
            </w:r>
          </w:p>
        </w:tc>
        <w:tc>
          <w:tcPr>
            <w:tcW w:w="613" w:type="pct"/>
            <w:tcBorders>
              <w:top w:val="nil"/>
              <w:left w:val="nil"/>
              <w:bottom w:val="single" w:color="auto" w:sz="4" w:space="0"/>
              <w:right w:val="single" w:color="auto" w:sz="4" w:space="0"/>
            </w:tcBorders>
            <w:shd w:val="clear" w:color="auto" w:fill="auto"/>
            <w:vAlign w:val="center"/>
          </w:tcPr>
          <w:p w14:paraId="1110ED87">
            <w:pPr>
              <w:jc w:val="center"/>
              <w:rPr>
                <w:sz w:val="18"/>
                <w:szCs w:val="18"/>
              </w:rPr>
            </w:pPr>
            <w:r>
              <w:rPr>
                <w:sz w:val="18"/>
                <w:szCs w:val="18"/>
              </w:rPr>
              <w:t xml:space="preserve">0.76 </w:t>
            </w:r>
          </w:p>
        </w:tc>
        <w:tc>
          <w:tcPr>
            <w:tcW w:w="934" w:type="pct"/>
            <w:tcBorders>
              <w:top w:val="nil"/>
              <w:left w:val="nil"/>
              <w:bottom w:val="single" w:color="auto" w:sz="4" w:space="0"/>
              <w:right w:val="single" w:color="auto" w:sz="4" w:space="0"/>
            </w:tcBorders>
            <w:shd w:val="clear" w:color="auto" w:fill="auto"/>
            <w:vAlign w:val="center"/>
          </w:tcPr>
          <w:p w14:paraId="4BC93CFF">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restart"/>
            <w:tcBorders>
              <w:top w:val="nil"/>
              <w:left w:val="nil"/>
              <w:right w:val="single" w:color="auto" w:sz="4" w:space="0"/>
            </w:tcBorders>
            <w:shd w:val="clear" w:color="auto" w:fill="auto"/>
            <w:vAlign w:val="center"/>
          </w:tcPr>
          <w:p w14:paraId="6C0D019F">
            <w:pPr>
              <w:jc w:val="center"/>
              <w:rPr>
                <w:sz w:val="18"/>
                <w:szCs w:val="18"/>
              </w:rPr>
            </w:pPr>
            <w:r>
              <w:rPr>
                <w:sz w:val="18"/>
                <w:szCs w:val="18"/>
              </w:rPr>
              <w:t>1.50</w:t>
            </w:r>
          </w:p>
          <w:p w14:paraId="377439BA">
            <w:pPr>
              <w:jc w:val="center"/>
              <w:rPr>
                <w:sz w:val="18"/>
                <w:szCs w:val="18"/>
              </w:rPr>
            </w:pPr>
            <w:r>
              <w:rPr>
                <w:sz w:val="18"/>
                <w:szCs w:val="18"/>
              </w:rPr>
              <w:t>（石方）</w:t>
            </w:r>
          </w:p>
        </w:tc>
        <w:tc>
          <w:tcPr>
            <w:tcW w:w="347" w:type="pct"/>
            <w:tcBorders>
              <w:top w:val="nil"/>
              <w:left w:val="nil"/>
              <w:bottom w:val="single" w:color="auto" w:sz="4" w:space="0"/>
              <w:right w:val="single" w:color="auto" w:sz="4" w:space="0"/>
            </w:tcBorders>
            <w:shd w:val="clear" w:color="auto" w:fill="auto"/>
            <w:vAlign w:val="center"/>
          </w:tcPr>
          <w:p w14:paraId="593C3E42">
            <w:pPr>
              <w:jc w:val="center"/>
              <w:rPr>
                <w:sz w:val="18"/>
                <w:szCs w:val="18"/>
              </w:rPr>
            </w:pPr>
            <w:r>
              <w:rPr>
                <w:sz w:val="18"/>
                <w:szCs w:val="18"/>
              </w:rPr>
              <w:t>/</w:t>
            </w:r>
          </w:p>
        </w:tc>
      </w:tr>
      <w:tr w14:paraId="7C9CC758">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62FE01DE">
            <w:pPr>
              <w:jc w:val="center"/>
              <w:rPr>
                <w:sz w:val="18"/>
                <w:szCs w:val="18"/>
              </w:rPr>
            </w:pPr>
            <w:r>
              <w:rPr>
                <w:sz w:val="18"/>
                <w:szCs w:val="18"/>
              </w:rPr>
              <w:t>8</w:t>
            </w:r>
          </w:p>
        </w:tc>
        <w:tc>
          <w:tcPr>
            <w:tcW w:w="526" w:type="pct"/>
            <w:tcBorders>
              <w:top w:val="nil"/>
              <w:left w:val="nil"/>
              <w:bottom w:val="single" w:color="auto" w:sz="4" w:space="0"/>
              <w:right w:val="single" w:color="auto" w:sz="4" w:space="0"/>
            </w:tcBorders>
            <w:shd w:val="clear" w:color="auto" w:fill="auto"/>
            <w:vAlign w:val="center"/>
          </w:tcPr>
          <w:p w14:paraId="0B101C42">
            <w:pPr>
              <w:jc w:val="center"/>
              <w:rPr>
                <w:sz w:val="18"/>
                <w:szCs w:val="18"/>
              </w:rPr>
            </w:pPr>
            <w:r>
              <w:rPr>
                <w:sz w:val="18"/>
                <w:szCs w:val="18"/>
              </w:rPr>
              <w:t>1-9</w:t>
            </w:r>
          </w:p>
        </w:tc>
        <w:tc>
          <w:tcPr>
            <w:tcW w:w="768" w:type="pct"/>
            <w:vMerge w:val="continue"/>
            <w:tcBorders>
              <w:top w:val="nil"/>
              <w:left w:val="single" w:color="auto" w:sz="4" w:space="0"/>
              <w:bottom w:val="single" w:color="000000" w:sz="4" w:space="0"/>
              <w:right w:val="single" w:color="auto" w:sz="4" w:space="0"/>
            </w:tcBorders>
            <w:vAlign w:val="center"/>
          </w:tcPr>
          <w:p w14:paraId="70E8D7F4">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782CD3E8">
            <w:pPr>
              <w:jc w:val="center"/>
              <w:rPr>
                <w:sz w:val="18"/>
                <w:szCs w:val="18"/>
              </w:rPr>
            </w:pPr>
            <w:r>
              <w:rPr>
                <w:sz w:val="18"/>
                <w:szCs w:val="18"/>
              </w:rPr>
              <w:t>机挖土方（槽深≤5m）</w:t>
            </w:r>
          </w:p>
        </w:tc>
        <w:tc>
          <w:tcPr>
            <w:tcW w:w="613" w:type="pct"/>
            <w:tcBorders>
              <w:top w:val="nil"/>
              <w:left w:val="nil"/>
              <w:bottom w:val="single" w:color="auto" w:sz="4" w:space="0"/>
              <w:right w:val="single" w:color="auto" w:sz="4" w:space="0"/>
            </w:tcBorders>
            <w:shd w:val="clear" w:color="auto" w:fill="auto"/>
            <w:vAlign w:val="center"/>
          </w:tcPr>
          <w:p w14:paraId="4F2363BD">
            <w:pPr>
              <w:jc w:val="center"/>
              <w:rPr>
                <w:sz w:val="18"/>
                <w:szCs w:val="18"/>
              </w:rPr>
            </w:pPr>
            <w:r>
              <w:rPr>
                <w:sz w:val="18"/>
                <w:szCs w:val="18"/>
              </w:rPr>
              <w:t xml:space="preserve">0.76 </w:t>
            </w:r>
          </w:p>
        </w:tc>
        <w:tc>
          <w:tcPr>
            <w:tcW w:w="934" w:type="pct"/>
            <w:tcBorders>
              <w:top w:val="nil"/>
              <w:left w:val="nil"/>
              <w:bottom w:val="single" w:color="auto" w:sz="4" w:space="0"/>
              <w:right w:val="single" w:color="auto" w:sz="4" w:space="0"/>
            </w:tcBorders>
            <w:shd w:val="clear" w:color="auto" w:fill="auto"/>
            <w:vAlign w:val="center"/>
          </w:tcPr>
          <w:p w14:paraId="463A3558">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continue"/>
            <w:tcBorders>
              <w:left w:val="nil"/>
              <w:right w:val="single" w:color="auto" w:sz="4" w:space="0"/>
            </w:tcBorders>
            <w:shd w:val="clear" w:color="auto" w:fill="auto"/>
            <w:vAlign w:val="center"/>
          </w:tcPr>
          <w:p w14:paraId="2FA937E5">
            <w:pPr>
              <w:jc w:val="center"/>
              <w:rPr>
                <w:sz w:val="18"/>
                <w:szCs w:val="18"/>
              </w:rPr>
            </w:pPr>
          </w:p>
        </w:tc>
        <w:tc>
          <w:tcPr>
            <w:tcW w:w="347" w:type="pct"/>
            <w:tcBorders>
              <w:top w:val="nil"/>
              <w:left w:val="nil"/>
              <w:bottom w:val="single" w:color="auto" w:sz="4" w:space="0"/>
              <w:right w:val="single" w:color="auto" w:sz="4" w:space="0"/>
            </w:tcBorders>
            <w:shd w:val="clear" w:color="auto" w:fill="auto"/>
            <w:vAlign w:val="center"/>
          </w:tcPr>
          <w:p w14:paraId="5A19AC40">
            <w:pPr>
              <w:jc w:val="center"/>
              <w:rPr>
                <w:sz w:val="18"/>
                <w:szCs w:val="18"/>
              </w:rPr>
            </w:pPr>
            <w:r>
              <w:rPr>
                <w:sz w:val="18"/>
                <w:szCs w:val="18"/>
              </w:rPr>
              <w:t>/</w:t>
            </w:r>
          </w:p>
        </w:tc>
      </w:tr>
      <w:tr w14:paraId="4E79AE85">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109FF8D5">
            <w:pPr>
              <w:jc w:val="center"/>
              <w:rPr>
                <w:sz w:val="18"/>
                <w:szCs w:val="18"/>
              </w:rPr>
            </w:pPr>
            <w:r>
              <w:rPr>
                <w:sz w:val="18"/>
                <w:szCs w:val="18"/>
              </w:rPr>
              <w:t>9</w:t>
            </w:r>
          </w:p>
        </w:tc>
        <w:tc>
          <w:tcPr>
            <w:tcW w:w="526" w:type="pct"/>
            <w:tcBorders>
              <w:top w:val="nil"/>
              <w:left w:val="nil"/>
              <w:bottom w:val="single" w:color="auto" w:sz="4" w:space="0"/>
              <w:right w:val="single" w:color="auto" w:sz="4" w:space="0"/>
            </w:tcBorders>
            <w:shd w:val="clear" w:color="auto" w:fill="auto"/>
            <w:vAlign w:val="center"/>
          </w:tcPr>
          <w:p w14:paraId="6E9340E8">
            <w:pPr>
              <w:jc w:val="center"/>
              <w:rPr>
                <w:sz w:val="18"/>
                <w:szCs w:val="18"/>
              </w:rPr>
            </w:pPr>
            <w:r>
              <w:rPr>
                <w:sz w:val="18"/>
                <w:szCs w:val="18"/>
              </w:rPr>
              <w:t>1-10</w:t>
            </w:r>
          </w:p>
        </w:tc>
        <w:tc>
          <w:tcPr>
            <w:tcW w:w="768" w:type="pct"/>
            <w:vMerge w:val="continue"/>
            <w:tcBorders>
              <w:top w:val="nil"/>
              <w:left w:val="single" w:color="auto" w:sz="4" w:space="0"/>
              <w:bottom w:val="single" w:color="000000" w:sz="4" w:space="0"/>
              <w:right w:val="single" w:color="auto" w:sz="4" w:space="0"/>
            </w:tcBorders>
            <w:vAlign w:val="center"/>
          </w:tcPr>
          <w:p w14:paraId="080AAE5E">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1B441453">
            <w:pPr>
              <w:jc w:val="center"/>
              <w:rPr>
                <w:sz w:val="18"/>
                <w:szCs w:val="18"/>
              </w:rPr>
            </w:pPr>
            <w:r>
              <w:rPr>
                <w:sz w:val="18"/>
                <w:szCs w:val="18"/>
              </w:rPr>
              <w:t>机挖土方（槽深≤13m）</w:t>
            </w:r>
          </w:p>
        </w:tc>
        <w:tc>
          <w:tcPr>
            <w:tcW w:w="613" w:type="pct"/>
            <w:tcBorders>
              <w:top w:val="nil"/>
              <w:left w:val="nil"/>
              <w:bottom w:val="single" w:color="auto" w:sz="4" w:space="0"/>
              <w:right w:val="single" w:color="auto" w:sz="4" w:space="0"/>
            </w:tcBorders>
            <w:shd w:val="clear" w:color="auto" w:fill="auto"/>
            <w:vAlign w:val="center"/>
          </w:tcPr>
          <w:p w14:paraId="426739D2">
            <w:pPr>
              <w:jc w:val="center"/>
              <w:rPr>
                <w:sz w:val="18"/>
                <w:szCs w:val="18"/>
              </w:rPr>
            </w:pPr>
            <w:r>
              <w:rPr>
                <w:sz w:val="18"/>
                <w:szCs w:val="18"/>
              </w:rPr>
              <w:t xml:space="preserve">0.85 </w:t>
            </w:r>
          </w:p>
        </w:tc>
        <w:tc>
          <w:tcPr>
            <w:tcW w:w="934" w:type="pct"/>
            <w:tcBorders>
              <w:top w:val="nil"/>
              <w:left w:val="nil"/>
              <w:bottom w:val="single" w:color="auto" w:sz="4" w:space="0"/>
              <w:right w:val="single" w:color="auto" w:sz="4" w:space="0"/>
            </w:tcBorders>
            <w:shd w:val="clear" w:color="auto" w:fill="auto"/>
            <w:vAlign w:val="center"/>
          </w:tcPr>
          <w:p w14:paraId="760AA645">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continue"/>
            <w:tcBorders>
              <w:left w:val="nil"/>
              <w:right w:val="single" w:color="auto" w:sz="4" w:space="0"/>
            </w:tcBorders>
            <w:shd w:val="clear" w:color="auto" w:fill="auto"/>
            <w:vAlign w:val="center"/>
          </w:tcPr>
          <w:p w14:paraId="771C591B">
            <w:pPr>
              <w:jc w:val="center"/>
              <w:rPr>
                <w:sz w:val="18"/>
                <w:szCs w:val="18"/>
              </w:rPr>
            </w:pPr>
          </w:p>
        </w:tc>
        <w:tc>
          <w:tcPr>
            <w:tcW w:w="347" w:type="pct"/>
            <w:tcBorders>
              <w:top w:val="nil"/>
              <w:left w:val="nil"/>
              <w:bottom w:val="single" w:color="auto" w:sz="4" w:space="0"/>
              <w:right w:val="single" w:color="auto" w:sz="4" w:space="0"/>
            </w:tcBorders>
            <w:shd w:val="clear" w:color="auto" w:fill="auto"/>
            <w:vAlign w:val="center"/>
          </w:tcPr>
          <w:p w14:paraId="3B814BF2">
            <w:pPr>
              <w:jc w:val="center"/>
              <w:rPr>
                <w:sz w:val="18"/>
                <w:szCs w:val="18"/>
              </w:rPr>
            </w:pPr>
            <w:r>
              <w:rPr>
                <w:sz w:val="18"/>
                <w:szCs w:val="18"/>
              </w:rPr>
              <w:t>/</w:t>
            </w:r>
          </w:p>
        </w:tc>
      </w:tr>
      <w:tr w14:paraId="5ED92AA7">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408F4E1C">
            <w:pPr>
              <w:jc w:val="center"/>
              <w:rPr>
                <w:sz w:val="18"/>
                <w:szCs w:val="18"/>
              </w:rPr>
            </w:pPr>
            <w:r>
              <w:rPr>
                <w:sz w:val="18"/>
                <w:szCs w:val="18"/>
              </w:rPr>
              <w:t>10</w:t>
            </w:r>
          </w:p>
        </w:tc>
        <w:tc>
          <w:tcPr>
            <w:tcW w:w="526" w:type="pct"/>
            <w:tcBorders>
              <w:top w:val="nil"/>
              <w:left w:val="nil"/>
              <w:bottom w:val="single" w:color="auto" w:sz="4" w:space="0"/>
              <w:right w:val="single" w:color="auto" w:sz="4" w:space="0"/>
            </w:tcBorders>
            <w:shd w:val="clear" w:color="auto" w:fill="auto"/>
            <w:vAlign w:val="center"/>
          </w:tcPr>
          <w:p w14:paraId="0C0F2100">
            <w:pPr>
              <w:jc w:val="center"/>
              <w:rPr>
                <w:sz w:val="18"/>
                <w:szCs w:val="18"/>
              </w:rPr>
            </w:pPr>
            <w:r>
              <w:rPr>
                <w:sz w:val="18"/>
                <w:szCs w:val="18"/>
              </w:rPr>
              <w:t>1-11</w:t>
            </w:r>
          </w:p>
        </w:tc>
        <w:tc>
          <w:tcPr>
            <w:tcW w:w="768" w:type="pct"/>
            <w:vMerge w:val="continue"/>
            <w:tcBorders>
              <w:top w:val="nil"/>
              <w:left w:val="single" w:color="auto" w:sz="4" w:space="0"/>
              <w:bottom w:val="single" w:color="000000" w:sz="4" w:space="0"/>
              <w:right w:val="single" w:color="auto" w:sz="4" w:space="0"/>
            </w:tcBorders>
            <w:vAlign w:val="center"/>
          </w:tcPr>
          <w:p w14:paraId="62DE1D60">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3553C71A">
            <w:pPr>
              <w:jc w:val="center"/>
              <w:rPr>
                <w:sz w:val="18"/>
                <w:szCs w:val="18"/>
              </w:rPr>
            </w:pPr>
            <w:r>
              <w:rPr>
                <w:sz w:val="18"/>
                <w:szCs w:val="18"/>
              </w:rPr>
              <w:t>机挖土方（槽深≤21m）</w:t>
            </w:r>
          </w:p>
        </w:tc>
        <w:tc>
          <w:tcPr>
            <w:tcW w:w="613" w:type="pct"/>
            <w:tcBorders>
              <w:top w:val="nil"/>
              <w:left w:val="nil"/>
              <w:bottom w:val="single" w:color="auto" w:sz="4" w:space="0"/>
              <w:right w:val="single" w:color="auto" w:sz="4" w:space="0"/>
            </w:tcBorders>
            <w:shd w:val="clear" w:color="auto" w:fill="auto"/>
            <w:vAlign w:val="center"/>
          </w:tcPr>
          <w:p w14:paraId="04D963B0">
            <w:pPr>
              <w:jc w:val="center"/>
              <w:rPr>
                <w:sz w:val="18"/>
                <w:szCs w:val="18"/>
              </w:rPr>
            </w:pPr>
            <w:r>
              <w:rPr>
                <w:sz w:val="18"/>
                <w:szCs w:val="18"/>
              </w:rPr>
              <w:t xml:space="preserve">0.95 </w:t>
            </w:r>
          </w:p>
        </w:tc>
        <w:tc>
          <w:tcPr>
            <w:tcW w:w="934" w:type="pct"/>
            <w:tcBorders>
              <w:top w:val="nil"/>
              <w:left w:val="nil"/>
              <w:bottom w:val="single" w:color="auto" w:sz="4" w:space="0"/>
              <w:right w:val="single" w:color="auto" w:sz="4" w:space="0"/>
            </w:tcBorders>
            <w:shd w:val="clear" w:color="auto" w:fill="auto"/>
            <w:vAlign w:val="center"/>
          </w:tcPr>
          <w:p w14:paraId="4AAAF978">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continue"/>
            <w:tcBorders>
              <w:left w:val="nil"/>
              <w:right w:val="single" w:color="auto" w:sz="4" w:space="0"/>
            </w:tcBorders>
            <w:shd w:val="clear" w:color="auto" w:fill="auto"/>
            <w:vAlign w:val="center"/>
          </w:tcPr>
          <w:p w14:paraId="4B669761">
            <w:pPr>
              <w:jc w:val="center"/>
              <w:rPr>
                <w:sz w:val="18"/>
                <w:szCs w:val="18"/>
              </w:rPr>
            </w:pPr>
          </w:p>
        </w:tc>
        <w:tc>
          <w:tcPr>
            <w:tcW w:w="347" w:type="pct"/>
            <w:tcBorders>
              <w:top w:val="nil"/>
              <w:left w:val="nil"/>
              <w:bottom w:val="single" w:color="auto" w:sz="4" w:space="0"/>
              <w:right w:val="single" w:color="auto" w:sz="4" w:space="0"/>
            </w:tcBorders>
            <w:shd w:val="clear" w:color="auto" w:fill="auto"/>
            <w:vAlign w:val="center"/>
          </w:tcPr>
          <w:p w14:paraId="2E088B80">
            <w:pPr>
              <w:jc w:val="center"/>
              <w:rPr>
                <w:sz w:val="18"/>
                <w:szCs w:val="18"/>
              </w:rPr>
            </w:pPr>
            <w:r>
              <w:rPr>
                <w:sz w:val="18"/>
                <w:szCs w:val="18"/>
              </w:rPr>
              <w:t>/</w:t>
            </w:r>
          </w:p>
        </w:tc>
      </w:tr>
      <w:tr w14:paraId="79AEE640">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22C98CF8">
            <w:pPr>
              <w:jc w:val="center"/>
              <w:rPr>
                <w:sz w:val="18"/>
                <w:szCs w:val="18"/>
              </w:rPr>
            </w:pPr>
            <w:r>
              <w:rPr>
                <w:sz w:val="18"/>
                <w:szCs w:val="18"/>
              </w:rPr>
              <w:t>11</w:t>
            </w:r>
          </w:p>
        </w:tc>
        <w:tc>
          <w:tcPr>
            <w:tcW w:w="526" w:type="pct"/>
            <w:tcBorders>
              <w:top w:val="nil"/>
              <w:left w:val="nil"/>
              <w:bottom w:val="single" w:color="auto" w:sz="4" w:space="0"/>
              <w:right w:val="single" w:color="auto" w:sz="4" w:space="0"/>
            </w:tcBorders>
            <w:shd w:val="clear" w:color="auto" w:fill="auto"/>
            <w:vAlign w:val="center"/>
          </w:tcPr>
          <w:p w14:paraId="513C73E5">
            <w:pPr>
              <w:jc w:val="center"/>
              <w:rPr>
                <w:sz w:val="18"/>
                <w:szCs w:val="18"/>
              </w:rPr>
            </w:pPr>
            <w:r>
              <w:rPr>
                <w:sz w:val="18"/>
                <w:szCs w:val="18"/>
              </w:rPr>
              <w:t>1-12</w:t>
            </w:r>
          </w:p>
        </w:tc>
        <w:tc>
          <w:tcPr>
            <w:tcW w:w="768" w:type="pct"/>
            <w:vMerge w:val="continue"/>
            <w:tcBorders>
              <w:top w:val="nil"/>
              <w:left w:val="single" w:color="auto" w:sz="4" w:space="0"/>
              <w:bottom w:val="single" w:color="000000" w:sz="4" w:space="0"/>
              <w:right w:val="single" w:color="auto" w:sz="4" w:space="0"/>
            </w:tcBorders>
            <w:vAlign w:val="center"/>
          </w:tcPr>
          <w:p w14:paraId="0DB701A1">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54420745">
            <w:pPr>
              <w:jc w:val="center"/>
              <w:rPr>
                <w:sz w:val="18"/>
                <w:szCs w:val="18"/>
              </w:rPr>
            </w:pPr>
            <w:r>
              <w:rPr>
                <w:sz w:val="18"/>
                <w:szCs w:val="18"/>
              </w:rPr>
              <w:t>机挖土方（槽深≤30m）</w:t>
            </w:r>
          </w:p>
        </w:tc>
        <w:tc>
          <w:tcPr>
            <w:tcW w:w="613" w:type="pct"/>
            <w:tcBorders>
              <w:top w:val="nil"/>
              <w:left w:val="nil"/>
              <w:bottom w:val="single" w:color="auto" w:sz="4" w:space="0"/>
              <w:right w:val="single" w:color="auto" w:sz="4" w:space="0"/>
            </w:tcBorders>
            <w:shd w:val="clear" w:color="auto" w:fill="auto"/>
            <w:vAlign w:val="center"/>
          </w:tcPr>
          <w:p w14:paraId="7B5560A1">
            <w:pPr>
              <w:jc w:val="center"/>
              <w:rPr>
                <w:sz w:val="18"/>
                <w:szCs w:val="18"/>
              </w:rPr>
            </w:pPr>
            <w:r>
              <w:rPr>
                <w:sz w:val="18"/>
                <w:szCs w:val="18"/>
              </w:rPr>
              <w:t xml:space="preserve">1.11 </w:t>
            </w:r>
          </w:p>
        </w:tc>
        <w:tc>
          <w:tcPr>
            <w:tcW w:w="934" w:type="pct"/>
            <w:tcBorders>
              <w:top w:val="nil"/>
              <w:left w:val="nil"/>
              <w:bottom w:val="single" w:color="auto" w:sz="4" w:space="0"/>
              <w:right w:val="single" w:color="auto" w:sz="4" w:space="0"/>
            </w:tcBorders>
            <w:shd w:val="clear" w:color="auto" w:fill="auto"/>
            <w:vAlign w:val="center"/>
          </w:tcPr>
          <w:p w14:paraId="505AAD23">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continue"/>
            <w:tcBorders>
              <w:left w:val="nil"/>
              <w:bottom w:val="single" w:color="auto" w:sz="4" w:space="0"/>
              <w:right w:val="single" w:color="auto" w:sz="4" w:space="0"/>
            </w:tcBorders>
            <w:shd w:val="clear" w:color="auto" w:fill="auto"/>
            <w:vAlign w:val="center"/>
          </w:tcPr>
          <w:p w14:paraId="73062F04">
            <w:pPr>
              <w:jc w:val="center"/>
              <w:rPr>
                <w:sz w:val="18"/>
                <w:szCs w:val="18"/>
              </w:rPr>
            </w:pPr>
          </w:p>
        </w:tc>
        <w:tc>
          <w:tcPr>
            <w:tcW w:w="347" w:type="pct"/>
            <w:tcBorders>
              <w:top w:val="nil"/>
              <w:left w:val="nil"/>
              <w:bottom w:val="single" w:color="auto" w:sz="4" w:space="0"/>
              <w:right w:val="single" w:color="auto" w:sz="4" w:space="0"/>
            </w:tcBorders>
            <w:shd w:val="clear" w:color="auto" w:fill="auto"/>
            <w:vAlign w:val="center"/>
          </w:tcPr>
          <w:p w14:paraId="26F004E6">
            <w:pPr>
              <w:jc w:val="center"/>
              <w:rPr>
                <w:sz w:val="18"/>
                <w:szCs w:val="18"/>
              </w:rPr>
            </w:pPr>
            <w:r>
              <w:rPr>
                <w:sz w:val="18"/>
                <w:szCs w:val="18"/>
              </w:rPr>
              <w:t>/</w:t>
            </w:r>
          </w:p>
        </w:tc>
      </w:tr>
      <w:tr w14:paraId="57D56B16">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6BCA7699">
            <w:pPr>
              <w:jc w:val="center"/>
              <w:rPr>
                <w:sz w:val="18"/>
                <w:szCs w:val="18"/>
              </w:rPr>
            </w:pPr>
            <w:r>
              <w:rPr>
                <w:sz w:val="18"/>
                <w:szCs w:val="18"/>
              </w:rPr>
              <w:t>12</w:t>
            </w:r>
          </w:p>
        </w:tc>
        <w:tc>
          <w:tcPr>
            <w:tcW w:w="526" w:type="pct"/>
            <w:tcBorders>
              <w:top w:val="nil"/>
              <w:left w:val="nil"/>
              <w:bottom w:val="single" w:color="auto" w:sz="4" w:space="0"/>
              <w:right w:val="single" w:color="auto" w:sz="4" w:space="0"/>
            </w:tcBorders>
            <w:shd w:val="clear" w:color="auto" w:fill="auto"/>
            <w:vAlign w:val="center"/>
          </w:tcPr>
          <w:p w14:paraId="60BE1964">
            <w:pPr>
              <w:jc w:val="center"/>
              <w:rPr>
                <w:sz w:val="18"/>
                <w:szCs w:val="18"/>
              </w:rPr>
            </w:pPr>
            <w:r>
              <w:rPr>
                <w:sz w:val="18"/>
                <w:szCs w:val="18"/>
              </w:rPr>
              <w:t>1-13</w:t>
            </w:r>
          </w:p>
        </w:tc>
        <w:tc>
          <w:tcPr>
            <w:tcW w:w="768" w:type="pct"/>
            <w:vMerge w:val="continue"/>
            <w:tcBorders>
              <w:top w:val="nil"/>
              <w:left w:val="single" w:color="auto" w:sz="4" w:space="0"/>
              <w:bottom w:val="single" w:color="000000" w:sz="4" w:space="0"/>
              <w:right w:val="single" w:color="auto" w:sz="4" w:space="0"/>
            </w:tcBorders>
            <w:vAlign w:val="center"/>
          </w:tcPr>
          <w:p w14:paraId="0DCAC80F">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6A5369DA">
            <w:pPr>
              <w:jc w:val="center"/>
              <w:rPr>
                <w:sz w:val="18"/>
                <w:szCs w:val="18"/>
              </w:rPr>
            </w:pPr>
            <w:r>
              <w:rPr>
                <w:sz w:val="18"/>
                <w:szCs w:val="18"/>
              </w:rPr>
              <w:t>挖桩间土</w:t>
            </w:r>
          </w:p>
        </w:tc>
        <w:tc>
          <w:tcPr>
            <w:tcW w:w="613" w:type="pct"/>
            <w:tcBorders>
              <w:top w:val="nil"/>
              <w:left w:val="nil"/>
              <w:bottom w:val="single" w:color="auto" w:sz="4" w:space="0"/>
              <w:right w:val="single" w:color="auto" w:sz="4" w:space="0"/>
            </w:tcBorders>
            <w:shd w:val="clear" w:color="auto" w:fill="auto"/>
            <w:vAlign w:val="center"/>
          </w:tcPr>
          <w:p w14:paraId="705CDBD4">
            <w:pPr>
              <w:jc w:val="center"/>
              <w:rPr>
                <w:sz w:val="18"/>
                <w:szCs w:val="18"/>
              </w:rPr>
            </w:pPr>
            <w:r>
              <w:rPr>
                <w:sz w:val="18"/>
                <w:szCs w:val="18"/>
              </w:rPr>
              <w:t xml:space="preserve">2.83 </w:t>
            </w:r>
          </w:p>
        </w:tc>
        <w:tc>
          <w:tcPr>
            <w:tcW w:w="934" w:type="pct"/>
            <w:tcBorders>
              <w:top w:val="nil"/>
              <w:left w:val="nil"/>
              <w:bottom w:val="single" w:color="auto" w:sz="4" w:space="0"/>
              <w:right w:val="single" w:color="auto" w:sz="4" w:space="0"/>
            </w:tcBorders>
            <w:shd w:val="clear" w:color="auto" w:fill="auto"/>
            <w:vAlign w:val="center"/>
          </w:tcPr>
          <w:p w14:paraId="6BD47202">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71115787">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3AA8F7F4">
            <w:pPr>
              <w:jc w:val="center"/>
              <w:rPr>
                <w:sz w:val="18"/>
                <w:szCs w:val="18"/>
              </w:rPr>
            </w:pPr>
            <w:r>
              <w:rPr>
                <w:sz w:val="18"/>
                <w:szCs w:val="18"/>
              </w:rPr>
              <w:t>/</w:t>
            </w:r>
          </w:p>
        </w:tc>
      </w:tr>
      <w:tr w14:paraId="62BED42D">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1EB6F330">
            <w:pPr>
              <w:jc w:val="center"/>
              <w:rPr>
                <w:sz w:val="18"/>
                <w:szCs w:val="18"/>
              </w:rPr>
            </w:pPr>
            <w:r>
              <w:rPr>
                <w:sz w:val="18"/>
                <w:szCs w:val="18"/>
              </w:rPr>
              <w:t>13</w:t>
            </w:r>
          </w:p>
        </w:tc>
        <w:tc>
          <w:tcPr>
            <w:tcW w:w="526" w:type="pct"/>
            <w:tcBorders>
              <w:top w:val="nil"/>
              <w:left w:val="nil"/>
              <w:bottom w:val="single" w:color="auto" w:sz="4" w:space="0"/>
              <w:right w:val="single" w:color="auto" w:sz="4" w:space="0"/>
            </w:tcBorders>
            <w:shd w:val="clear" w:color="auto" w:fill="auto"/>
            <w:vAlign w:val="center"/>
          </w:tcPr>
          <w:p w14:paraId="4E0110D2">
            <w:pPr>
              <w:jc w:val="center"/>
              <w:rPr>
                <w:sz w:val="18"/>
                <w:szCs w:val="18"/>
              </w:rPr>
            </w:pPr>
            <w:r>
              <w:rPr>
                <w:sz w:val="18"/>
                <w:szCs w:val="18"/>
              </w:rPr>
              <w:t>1-14</w:t>
            </w:r>
          </w:p>
        </w:tc>
        <w:tc>
          <w:tcPr>
            <w:tcW w:w="768" w:type="pct"/>
            <w:vMerge w:val="continue"/>
            <w:tcBorders>
              <w:top w:val="nil"/>
              <w:left w:val="single" w:color="auto" w:sz="4" w:space="0"/>
              <w:bottom w:val="single" w:color="000000" w:sz="4" w:space="0"/>
              <w:right w:val="single" w:color="auto" w:sz="4" w:space="0"/>
            </w:tcBorders>
            <w:vAlign w:val="center"/>
          </w:tcPr>
          <w:p w14:paraId="6BCE6500">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3A3F195E">
            <w:pPr>
              <w:jc w:val="center"/>
              <w:rPr>
                <w:sz w:val="18"/>
                <w:szCs w:val="18"/>
              </w:rPr>
            </w:pPr>
            <w:r>
              <w:rPr>
                <w:sz w:val="18"/>
                <w:szCs w:val="18"/>
              </w:rPr>
              <w:t>机挖渣土</w:t>
            </w:r>
          </w:p>
        </w:tc>
        <w:tc>
          <w:tcPr>
            <w:tcW w:w="613" w:type="pct"/>
            <w:tcBorders>
              <w:top w:val="nil"/>
              <w:left w:val="nil"/>
              <w:bottom w:val="single" w:color="auto" w:sz="4" w:space="0"/>
              <w:right w:val="single" w:color="auto" w:sz="4" w:space="0"/>
            </w:tcBorders>
            <w:shd w:val="clear" w:color="auto" w:fill="auto"/>
            <w:vAlign w:val="center"/>
          </w:tcPr>
          <w:p w14:paraId="2D51BAE5">
            <w:pPr>
              <w:jc w:val="center"/>
              <w:rPr>
                <w:sz w:val="18"/>
                <w:szCs w:val="18"/>
              </w:rPr>
            </w:pPr>
            <w:r>
              <w:rPr>
                <w:sz w:val="18"/>
                <w:szCs w:val="18"/>
              </w:rPr>
              <w:t xml:space="preserve">2.81 </w:t>
            </w:r>
          </w:p>
        </w:tc>
        <w:tc>
          <w:tcPr>
            <w:tcW w:w="934" w:type="pct"/>
            <w:tcBorders>
              <w:top w:val="nil"/>
              <w:left w:val="nil"/>
              <w:bottom w:val="single" w:color="auto" w:sz="4" w:space="0"/>
              <w:right w:val="single" w:color="auto" w:sz="4" w:space="0"/>
            </w:tcBorders>
            <w:shd w:val="clear" w:color="auto" w:fill="auto"/>
            <w:vAlign w:val="center"/>
          </w:tcPr>
          <w:p w14:paraId="0DE72BEF">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305E92FC">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1C2A6C49">
            <w:pPr>
              <w:jc w:val="center"/>
              <w:rPr>
                <w:sz w:val="18"/>
                <w:szCs w:val="18"/>
              </w:rPr>
            </w:pPr>
            <w:r>
              <w:rPr>
                <w:sz w:val="18"/>
                <w:szCs w:val="18"/>
              </w:rPr>
              <w:t>/</w:t>
            </w:r>
          </w:p>
        </w:tc>
      </w:tr>
      <w:tr w14:paraId="0219A87D">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2014233B">
            <w:pPr>
              <w:jc w:val="center"/>
              <w:rPr>
                <w:sz w:val="18"/>
                <w:szCs w:val="18"/>
              </w:rPr>
            </w:pPr>
            <w:r>
              <w:rPr>
                <w:sz w:val="18"/>
                <w:szCs w:val="18"/>
              </w:rPr>
              <w:t>14</w:t>
            </w:r>
          </w:p>
        </w:tc>
        <w:tc>
          <w:tcPr>
            <w:tcW w:w="526" w:type="pct"/>
            <w:tcBorders>
              <w:top w:val="nil"/>
              <w:left w:val="nil"/>
              <w:bottom w:val="single" w:color="auto" w:sz="4" w:space="0"/>
              <w:right w:val="single" w:color="auto" w:sz="4" w:space="0"/>
            </w:tcBorders>
            <w:shd w:val="clear" w:color="auto" w:fill="auto"/>
            <w:vAlign w:val="center"/>
          </w:tcPr>
          <w:p w14:paraId="70EA4ED1">
            <w:pPr>
              <w:jc w:val="center"/>
              <w:rPr>
                <w:sz w:val="18"/>
                <w:szCs w:val="18"/>
              </w:rPr>
            </w:pPr>
            <w:r>
              <w:rPr>
                <w:sz w:val="18"/>
                <w:szCs w:val="18"/>
              </w:rPr>
              <w:t>1-15</w:t>
            </w:r>
          </w:p>
        </w:tc>
        <w:tc>
          <w:tcPr>
            <w:tcW w:w="768" w:type="pct"/>
            <w:vMerge w:val="restart"/>
            <w:tcBorders>
              <w:top w:val="nil"/>
              <w:left w:val="single" w:color="auto" w:sz="4" w:space="0"/>
              <w:bottom w:val="single" w:color="000000" w:sz="4" w:space="0"/>
              <w:right w:val="single" w:color="auto" w:sz="4" w:space="0"/>
            </w:tcBorders>
            <w:shd w:val="clear" w:color="auto" w:fill="auto"/>
            <w:vAlign w:val="center"/>
          </w:tcPr>
          <w:p w14:paraId="3A6AF0FE">
            <w:pPr>
              <w:jc w:val="center"/>
              <w:rPr>
                <w:sz w:val="18"/>
                <w:szCs w:val="18"/>
              </w:rPr>
            </w:pPr>
            <w:r>
              <w:rPr>
                <w:sz w:val="18"/>
                <w:szCs w:val="18"/>
              </w:rPr>
              <w:t>挖沟槽</w:t>
            </w:r>
            <w:r>
              <w:rPr>
                <w:rFonts w:hint="eastAsia"/>
                <w:sz w:val="18"/>
                <w:szCs w:val="18"/>
              </w:rPr>
              <w:t>、基坑</w:t>
            </w:r>
            <w:r>
              <w:rPr>
                <w:sz w:val="18"/>
                <w:szCs w:val="18"/>
              </w:rPr>
              <w:t>土方</w:t>
            </w:r>
          </w:p>
        </w:tc>
        <w:tc>
          <w:tcPr>
            <w:tcW w:w="957" w:type="pct"/>
            <w:tcBorders>
              <w:top w:val="nil"/>
              <w:left w:val="nil"/>
              <w:bottom w:val="single" w:color="auto" w:sz="4" w:space="0"/>
              <w:right w:val="single" w:color="auto" w:sz="4" w:space="0"/>
            </w:tcBorders>
            <w:shd w:val="clear" w:color="auto" w:fill="auto"/>
            <w:vAlign w:val="center"/>
          </w:tcPr>
          <w:p w14:paraId="358D7C3E">
            <w:pPr>
              <w:jc w:val="center"/>
              <w:rPr>
                <w:sz w:val="18"/>
                <w:szCs w:val="18"/>
              </w:rPr>
            </w:pPr>
            <w:r>
              <w:rPr>
                <w:sz w:val="18"/>
                <w:szCs w:val="18"/>
              </w:rPr>
              <w:t>人工挖沟槽（一、二类土）</w:t>
            </w:r>
          </w:p>
        </w:tc>
        <w:tc>
          <w:tcPr>
            <w:tcW w:w="613" w:type="pct"/>
            <w:tcBorders>
              <w:top w:val="nil"/>
              <w:left w:val="nil"/>
              <w:bottom w:val="single" w:color="auto" w:sz="4" w:space="0"/>
              <w:right w:val="single" w:color="auto" w:sz="4" w:space="0"/>
            </w:tcBorders>
            <w:shd w:val="clear" w:color="auto" w:fill="auto"/>
            <w:vAlign w:val="center"/>
          </w:tcPr>
          <w:p w14:paraId="0EF5B5C5">
            <w:pPr>
              <w:jc w:val="center"/>
              <w:rPr>
                <w:sz w:val="18"/>
                <w:szCs w:val="18"/>
              </w:rPr>
            </w:pPr>
            <w:r>
              <w:rPr>
                <w:sz w:val="18"/>
                <w:szCs w:val="18"/>
              </w:rPr>
              <w:t xml:space="preserve">0.35 </w:t>
            </w:r>
          </w:p>
        </w:tc>
        <w:tc>
          <w:tcPr>
            <w:tcW w:w="934" w:type="pct"/>
            <w:tcBorders>
              <w:top w:val="nil"/>
              <w:left w:val="nil"/>
              <w:bottom w:val="single" w:color="auto" w:sz="4" w:space="0"/>
              <w:right w:val="single" w:color="auto" w:sz="4" w:space="0"/>
            </w:tcBorders>
            <w:shd w:val="clear" w:color="auto" w:fill="auto"/>
            <w:vAlign w:val="center"/>
          </w:tcPr>
          <w:p w14:paraId="76E9EF05">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13B456FB">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2C033BEB">
            <w:pPr>
              <w:jc w:val="center"/>
              <w:rPr>
                <w:sz w:val="18"/>
                <w:szCs w:val="18"/>
              </w:rPr>
            </w:pPr>
            <w:r>
              <w:rPr>
                <w:sz w:val="18"/>
                <w:szCs w:val="18"/>
              </w:rPr>
              <w:t>/</w:t>
            </w:r>
          </w:p>
        </w:tc>
      </w:tr>
      <w:tr w14:paraId="1904CE83">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1E3A2392">
            <w:pPr>
              <w:jc w:val="center"/>
              <w:rPr>
                <w:sz w:val="18"/>
                <w:szCs w:val="18"/>
              </w:rPr>
            </w:pPr>
            <w:r>
              <w:rPr>
                <w:sz w:val="18"/>
                <w:szCs w:val="18"/>
              </w:rPr>
              <w:t>15</w:t>
            </w:r>
          </w:p>
        </w:tc>
        <w:tc>
          <w:tcPr>
            <w:tcW w:w="526" w:type="pct"/>
            <w:tcBorders>
              <w:top w:val="nil"/>
              <w:left w:val="nil"/>
              <w:bottom w:val="single" w:color="auto" w:sz="4" w:space="0"/>
              <w:right w:val="single" w:color="auto" w:sz="4" w:space="0"/>
            </w:tcBorders>
            <w:shd w:val="clear" w:color="auto" w:fill="auto"/>
            <w:vAlign w:val="center"/>
          </w:tcPr>
          <w:p w14:paraId="09FDC77E">
            <w:pPr>
              <w:jc w:val="center"/>
              <w:rPr>
                <w:sz w:val="18"/>
                <w:szCs w:val="18"/>
              </w:rPr>
            </w:pPr>
            <w:r>
              <w:rPr>
                <w:sz w:val="18"/>
                <w:szCs w:val="18"/>
              </w:rPr>
              <w:t>1-16</w:t>
            </w:r>
          </w:p>
        </w:tc>
        <w:tc>
          <w:tcPr>
            <w:tcW w:w="768" w:type="pct"/>
            <w:vMerge w:val="continue"/>
            <w:tcBorders>
              <w:top w:val="nil"/>
              <w:left w:val="single" w:color="auto" w:sz="4" w:space="0"/>
              <w:bottom w:val="single" w:color="000000" w:sz="4" w:space="0"/>
              <w:right w:val="single" w:color="auto" w:sz="4" w:space="0"/>
            </w:tcBorders>
            <w:vAlign w:val="center"/>
          </w:tcPr>
          <w:p w14:paraId="66A42256">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101CC8C1">
            <w:pPr>
              <w:jc w:val="center"/>
              <w:rPr>
                <w:sz w:val="18"/>
                <w:szCs w:val="18"/>
              </w:rPr>
            </w:pPr>
            <w:r>
              <w:rPr>
                <w:sz w:val="18"/>
                <w:szCs w:val="18"/>
              </w:rPr>
              <w:t>人工挖沟槽（三类土）</w:t>
            </w:r>
          </w:p>
        </w:tc>
        <w:tc>
          <w:tcPr>
            <w:tcW w:w="613" w:type="pct"/>
            <w:tcBorders>
              <w:top w:val="nil"/>
              <w:left w:val="nil"/>
              <w:bottom w:val="single" w:color="auto" w:sz="4" w:space="0"/>
              <w:right w:val="single" w:color="auto" w:sz="4" w:space="0"/>
            </w:tcBorders>
            <w:shd w:val="clear" w:color="auto" w:fill="auto"/>
            <w:vAlign w:val="center"/>
          </w:tcPr>
          <w:p w14:paraId="4CADE916">
            <w:pPr>
              <w:jc w:val="center"/>
              <w:rPr>
                <w:sz w:val="18"/>
                <w:szCs w:val="18"/>
              </w:rPr>
            </w:pPr>
            <w:r>
              <w:rPr>
                <w:sz w:val="18"/>
                <w:szCs w:val="18"/>
              </w:rPr>
              <w:t xml:space="preserve">0.43 </w:t>
            </w:r>
          </w:p>
        </w:tc>
        <w:tc>
          <w:tcPr>
            <w:tcW w:w="934" w:type="pct"/>
            <w:tcBorders>
              <w:top w:val="nil"/>
              <w:left w:val="nil"/>
              <w:bottom w:val="single" w:color="auto" w:sz="4" w:space="0"/>
              <w:right w:val="single" w:color="auto" w:sz="4" w:space="0"/>
            </w:tcBorders>
            <w:shd w:val="clear" w:color="auto" w:fill="auto"/>
            <w:vAlign w:val="center"/>
          </w:tcPr>
          <w:p w14:paraId="09044CB7">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355BEEE0">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66FBF2EC">
            <w:pPr>
              <w:jc w:val="center"/>
              <w:rPr>
                <w:sz w:val="18"/>
                <w:szCs w:val="18"/>
              </w:rPr>
            </w:pPr>
            <w:r>
              <w:rPr>
                <w:sz w:val="18"/>
                <w:szCs w:val="18"/>
              </w:rPr>
              <w:t>/</w:t>
            </w:r>
          </w:p>
        </w:tc>
      </w:tr>
      <w:tr w14:paraId="4AB1D652">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5E6CEC0C">
            <w:pPr>
              <w:jc w:val="center"/>
              <w:rPr>
                <w:sz w:val="18"/>
                <w:szCs w:val="18"/>
              </w:rPr>
            </w:pPr>
            <w:r>
              <w:rPr>
                <w:sz w:val="18"/>
                <w:szCs w:val="18"/>
              </w:rPr>
              <w:t>16</w:t>
            </w:r>
          </w:p>
        </w:tc>
        <w:tc>
          <w:tcPr>
            <w:tcW w:w="526" w:type="pct"/>
            <w:tcBorders>
              <w:top w:val="nil"/>
              <w:left w:val="nil"/>
              <w:bottom w:val="single" w:color="auto" w:sz="4" w:space="0"/>
              <w:right w:val="single" w:color="auto" w:sz="4" w:space="0"/>
            </w:tcBorders>
            <w:shd w:val="clear" w:color="auto" w:fill="auto"/>
            <w:vAlign w:val="center"/>
          </w:tcPr>
          <w:p w14:paraId="629A8313">
            <w:pPr>
              <w:jc w:val="center"/>
              <w:rPr>
                <w:sz w:val="18"/>
                <w:szCs w:val="18"/>
              </w:rPr>
            </w:pPr>
            <w:r>
              <w:rPr>
                <w:sz w:val="18"/>
                <w:szCs w:val="18"/>
              </w:rPr>
              <w:t>1-17</w:t>
            </w:r>
          </w:p>
        </w:tc>
        <w:tc>
          <w:tcPr>
            <w:tcW w:w="768" w:type="pct"/>
            <w:vMerge w:val="continue"/>
            <w:tcBorders>
              <w:top w:val="nil"/>
              <w:left w:val="single" w:color="auto" w:sz="4" w:space="0"/>
              <w:bottom w:val="single" w:color="000000" w:sz="4" w:space="0"/>
              <w:right w:val="single" w:color="auto" w:sz="4" w:space="0"/>
            </w:tcBorders>
            <w:vAlign w:val="center"/>
          </w:tcPr>
          <w:p w14:paraId="6301E694">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4494E64F">
            <w:pPr>
              <w:jc w:val="center"/>
              <w:rPr>
                <w:sz w:val="18"/>
                <w:szCs w:val="18"/>
              </w:rPr>
            </w:pPr>
            <w:r>
              <w:rPr>
                <w:sz w:val="18"/>
                <w:szCs w:val="18"/>
              </w:rPr>
              <w:t>人工挖沟槽（四类土）</w:t>
            </w:r>
          </w:p>
        </w:tc>
        <w:tc>
          <w:tcPr>
            <w:tcW w:w="613" w:type="pct"/>
            <w:tcBorders>
              <w:top w:val="nil"/>
              <w:left w:val="nil"/>
              <w:bottom w:val="single" w:color="auto" w:sz="4" w:space="0"/>
              <w:right w:val="single" w:color="auto" w:sz="4" w:space="0"/>
            </w:tcBorders>
            <w:shd w:val="clear" w:color="auto" w:fill="auto"/>
            <w:vAlign w:val="center"/>
          </w:tcPr>
          <w:p w14:paraId="7CEE0408">
            <w:pPr>
              <w:jc w:val="center"/>
              <w:rPr>
                <w:sz w:val="18"/>
                <w:szCs w:val="18"/>
              </w:rPr>
            </w:pPr>
            <w:r>
              <w:rPr>
                <w:sz w:val="18"/>
                <w:szCs w:val="18"/>
              </w:rPr>
              <w:t xml:space="preserve">0.50 </w:t>
            </w:r>
          </w:p>
        </w:tc>
        <w:tc>
          <w:tcPr>
            <w:tcW w:w="934" w:type="pct"/>
            <w:tcBorders>
              <w:top w:val="nil"/>
              <w:left w:val="nil"/>
              <w:bottom w:val="single" w:color="auto" w:sz="4" w:space="0"/>
              <w:right w:val="single" w:color="auto" w:sz="4" w:space="0"/>
            </w:tcBorders>
            <w:shd w:val="clear" w:color="auto" w:fill="auto"/>
            <w:vAlign w:val="center"/>
          </w:tcPr>
          <w:p w14:paraId="0CEDB065">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1B5CB521">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43308ABB">
            <w:pPr>
              <w:jc w:val="center"/>
              <w:rPr>
                <w:sz w:val="18"/>
                <w:szCs w:val="18"/>
              </w:rPr>
            </w:pPr>
            <w:r>
              <w:rPr>
                <w:sz w:val="18"/>
                <w:szCs w:val="18"/>
              </w:rPr>
              <w:t>/</w:t>
            </w:r>
          </w:p>
        </w:tc>
      </w:tr>
      <w:tr w14:paraId="6686BCEF">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1361B50A">
            <w:pPr>
              <w:jc w:val="center"/>
              <w:rPr>
                <w:sz w:val="18"/>
                <w:szCs w:val="18"/>
              </w:rPr>
            </w:pPr>
            <w:r>
              <w:rPr>
                <w:sz w:val="18"/>
                <w:szCs w:val="18"/>
              </w:rPr>
              <w:t>17</w:t>
            </w:r>
          </w:p>
        </w:tc>
        <w:tc>
          <w:tcPr>
            <w:tcW w:w="526" w:type="pct"/>
            <w:tcBorders>
              <w:top w:val="nil"/>
              <w:left w:val="nil"/>
              <w:bottom w:val="single" w:color="auto" w:sz="4" w:space="0"/>
              <w:right w:val="single" w:color="auto" w:sz="4" w:space="0"/>
            </w:tcBorders>
            <w:shd w:val="clear" w:color="auto" w:fill="auto"/>
            <w:vAlign w:val="center"/>
          </w:tcPr>
          <w:p w14:paraId="478579E4">
            <w:pPr>
              <w:jc w:val="center"/>
              <w:rPr>
                <w:sz w:val="18"/>
                <w:szCs w:val="18"/>
              </w:rPr>
            </w:pPr>
            <w:r>
              <w:rPr>
                <w:sz w:val="18"/>
                <w:szCs w:val="18"/>
              </w:rPr>
              <w:t>1-18</w:t>
            </w:r>
          </w:p>
        </w:tc>
        <w:tc>
          <w:tcPr>
            <w:tcW w:w="768" w:type="pct"/>
            <w:vMerge w:val="continue"/>
            <w:tcBorders>
              <w:top w:val="nil"/>
              <w:left w:val="single" w:color="auto" w:sz="4" w:space="0"/>
              <w:bottom w:val="single" w:color="000000" w:sz="4" w:space="0"/>
              <w:right w:val="single" w:color="auto" w:sz="4" w:space="0"/>
            </w:tcBorders>
            <w:vAlign w:val="center"/>
          </w:tcPr>
          <w:p w14:paraId="7F860B47">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2259F967">
            <w:pPr>
              <w:jc w:val="center"/>
              <w:rPr>
                <w:sz w:val="18"/>
                <w:szCs w:val="18"/>
              </w:rPr>
            </w:pPr>
            <w:r>
              <w:rPr>
                <w:sz w:val="18"/>
                <w:szCs w:val="18"/>
              </w:rPr>
              <w:t>机挖沟槽</w:t>
            </w:r>
          </w:p>
        </w:tc>
        <w:tc>
          <w:tcPr>
            <w:tcW w:w="613" w:type="pct"/>
            <w:tcBorders>
              <w:top w:val="nil"/>
              <w:left w:val="nil"/>
              <w:bottom w:val="single" w:color="auto" w:sz="4" w:space="0"/>
              <w:right w:val="single" w:color="auto" w:sz="4" w:space="0"/>
            </w:tcBorders>
            <w:shd w:val="clear" w:color="auto" w:fill="auto"/>
            <w:vAlign w:val="center"/>
          </w:tcPr>
          <w:p w14:paraId="2C98B468">
            <w:pPr>
              <w:jc w:val="center"/>
              <w:rPr>
                <w:sz w:val="18"/>
                <w:szCs w:val="18"/>
              </w:rPr>
            </w:pPr>
            <w:r>
              <w:rPr>
                <w:sz w:val="18"/>
                <w:szCs w:val="18"/>
              </w:rPr>
              <w:t xml:space="preserve">1.04 </w:t>
            </w:r>
          </w:p>
        </w:tc>
        <w:tc>
          <w:tcPr>
            <w:tcW w:w="934" w:type="pct"/>
            <w:tcBorders>
              <w:top w:val="nil"/>
              <w:left w:val="nil"/>
              <w:bottom w:val="single" w:color="auto" w:sz="4" w:space="0"/>
              <w:right w:val="single" w:color="auto" w:sz="4" w:space="0"/>
            </w:tcBorders>
            <w:shd w:val="clear" w:color="auto" w:fill="auto"/>
            <w:vAlign w:val="center"/>
          </w:tcPr>
          <w:p w14:paraId="5C684206">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293040A3">
            <w:pPr>
              <w:jc w:val="center"/>
              <w:rPr>
                <w:sz w:val="18"/>
                <w:szCs w:val="18"/>
              </w:rPr>
            </w:pPr>
            <w:r>
              <w:rPr>
                <w:sz w:val="18"/>
                <w:szCs w:val="18"/>
              </w:rPr>
              <w:t>1.50（石方</w:t>
            </w:r>
            <w:r>
              <w:rPr>
                <w:rFonts w:hint="eastAsia"/>
                <w:sz w:val="18"/>
                <w:szCs w:val="18"/>
              </w:rPr>
              <w:t>）</w:t>
            </w:r>
          </w:p>
        </w:tc>
        <w:tc>
          <w:tcPr>
            <w:tcW w:w="347" w:type="pct"/>
            <w:tcBorders>
              <w:top w:val="nil"/>
              <w:left w:val="nil"/>
              <w:bottom w:val="single" w:color="auto" w:sz="4" w:space="0"/>
              <w:right w:val="single" w:color="auto" w:sz="4" w:space="0"/>
            </w:tcBorders>
            <w:shd w:val="clear" w:color="auto" w:fill="auto"/>
            <w:vAlign w:val="center"/>
          </w:tcPr>
          <w:p w14:paraId="246EEA90">
            <w:pPr>
              <w:jc w:val="center"/>
              <w:rPr>
                <w:sz w:val="18"/>
                <w:szCs w:val="18"/>
              </w:rPr>
            </w:pPr>
            <w:r>
              <w:rPr>
                <w:sz w:val="18"/>
                <w:szCs w:val="18"/>
              </w:rPr>
              <w:t>/</w:t>
            </w:r>
          </w:p>
        </w:tc>
      </w:tr>
      <w:tr w14:paraId="69E09DF5">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4B347FF7">
            <w:pPr>
              <w:jc w:val="center"/>
              <w:rPr>
                <w:sz w:val="18"/>
                <w:szCs w:val="18"/>
              </w:rPr>
            </w:pPr>
            <w:r>
              <w:rPr>
                <w:sz w:val="18"/>
                <w:szCs w:val="18"/>
              </w:rPr>
              <w:t>18</w:t>
            </w:r>
          </w:p>
        </w:tc>
        <w:tc>
          <w:tcPr>
            <w:tcW w:w="526" w:type="pct"/>
            <w:tcBorders>
              <w:top w:val="nil"/>
              <w:left w:val="nil"/>
              <w:bottom w:val="single" w:color="auto" w:sz="4" w:space="0"/>
              <w:right w:val="single" w:color="auto" w:sz="4" w:space="0"/>
            </w:tcBorders>
            <w:shd w:val="clear" w:color="auto" w:fill="auto"/>
            <w:vAlign w:val="center"/>
          </w:tcPr>
          <w:p w14:paraId="23366E1B">
            <w:pPr>
              <w:jc w:val="center"/>
              <w:rPr>
                <w:sz w:val="18"/>
                <w:szCs w:val="18"/>
              </w:rPr>
            </w:pPr>
            <w:r>
              <w:rPr>
                <w:sz w:val="18"/>
                <w:szCs w:val="18"/>
              </w:rPr>
              <w:t>1-19</w:t>
            </w:r>
          </w:p>
        </w:tc>
        <w:tc>
          <w:tcPr>
            <w:tcW w:w="768" w:type="pct"/>
            <w:vMerge w:val="restart"/>
            <w:tcBorders>
              <w:top w:val="nil"/>
              <w:left w:val="single" w:color="auto" w:sz="4" w:space="0"/>
              <w:bottom w:val="single" w:color="auto" w:sz="4" w:space="0"/>
              <w:right w:val="single" w:color="auto" w:sz="4" w:space="0"/>
            </w:tcBorders>
            <w:shd w:val="clear" w:color="auto" w:fill="auto"/>
            <w:vAlign w:val="center"/>
          </w:tcPr>
          <w:p w14:paraId="4DA278A6">
            <w:pPr>
              <w:jc w:val="center"/>
              <w:rPr>
                <w:sz w:val="18"/>
                <w:szCs w:val="18"/>
              </w:rPr>
            </w:pPr>
            <w:r>
              <w:rPr>
                <w:sz w:val="18"/>
                <w:szCs w:val="18"/>
              </w:rPr>
              <w:t>挖基坑土方</w:t>
            </w:r>
          </w:p>
        </w:tc>
        <w:tc>
          <w:tcPr>
            <w:tcW w:w="957" w:type="pct"/>
            <w:tcBorders>
              <w:top w:val="nil"/>
              <w:left w:val="nil"/>
              <w:bottom w:val="single" w:color="auto" w:sz="4" w:space="0"/>
              <w:right w:val="single" w:color="auto" w:sz="4" w:space="0"/>
            </w:tcBorders>
            <w:shd w:val="clear" w:color="auto" w:fill="auto"/>
            <w:vAlign w:val="center"/>
          </w:tcPr>
          <w:p w14:paraId="60E8585E">
            <w:pPr>
              <w:jc w:val="center"/>
              <w:rPr>
                <w:sz w:val="18"/>
                <w:szCs w:val="18"/>
              </w:rPr>
            </w:pPr>
            <w:r>
              <w:rPr>
                <w:sz w:val="18"/>
                <w:szCs w:val="18"/>
              </w:rPr>
              <w:t>人工挖基坑（一、二类土）</w:t>
            </w:r>
          </w:p>
        </w:tc>
        <w:tc>
          <w:tcPr>
            <w:tcW w:w="613" w:type="pct"/>
            <w:tcBorders>
              <w:top w:val="nil"/>
              <w:left w:val="nil"/>
              <w:bottom w:val="single" w:color="auto" w:sz="4" w:space="0"/>
              <w:right w:val="single" w:color="auto" w:sz="4" w:space="0"/>
            </w:tcBorders>
            <w:shd w:val="clear" w:color="auto" w:fill="auto"/>
            <w:vAlign w:val="center"/>
          </w:tcPr>
          <w:p w14:paraId="2CABDCF4">
            <w:pPr>
              <w:jc w:val="center"/>
              <w:rPr>
                <w:sz w:val="18"/>
                <w:szCs w:val="18"/>
              </w:rPr>
            </w:pPr>
            <w:r>
              <w:rPr>
                <w:sz w:val="18"/>
                <w:szCs w:val="18"/>
              </w:rPr>
              <w:t xml:space="preserve">0.35 </w:t>
            </w:r>
          </w:p>
        </w:tc>
        <w:tc>
          <w:tcPr>
            <w:tcW w:w="934" w:type="pct"/>
            <w:tcBorders>
              <w:top w:val="nil"/>
              <w:left w:val="nil"/>
              <w:bottom w:val="single" w:color="auto" w:sz="4" w:space="0"/>
              <w:right w:val="single" w:color="auto" w:sz="4" w:space="0"/>
            </w:tcBorders>
            <w:shd w:val="clear" w:color="auto" w:fill="auto"/>
            <w:vAlign w:val="center"/>
          </w:tcPr>
          <w:p w14:paraId="02F3629E">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72DA14AE">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61671068">
            <w:pPr>
              <w:jc w:val="center"/>
              <w:rPr>
                <w:sz w:val="18"/>
                <w:szCs w:val="18"/>
              </w:rPr>
            </w:pPr>
            <w:r>
              <w:rPr>
                <w:sz w:val="18"/>
                <w:szCs w:val="18"/>
              </w:rPr>
              <w:t>/</w:t>
            </w:r>
          </w:p>
        </w:tc>
      </w:tr>
      <w:tr w14:paraId="7D44C7D9">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176FFE3E">
            <w:pPr>
              <w:jc w:val="center"/>
              <w:rPr>
                <w:sz w:val="18"/>
                <w:szCs w:val="18"/>
              </w:rPr>
            </w:pPr>
            <w:r>
              <w:rPr>
                <w:sz w:val="18"/>
                <w:szCs w:val="18"/>
              </w:rPr>
              <w:t>19</w:t>
            </w:r>
          </w:p>
        </w:tc>
        <w:tc>
          <w:tcPr>
            <w:tcW w:w="526" w:type="pct"/>
            <w:tcBorders>
              <w:top w:val="nil"/>
              <w:left w:val="nil"/>
              <w:bottom w:val="single" w:color="auto" w:sz="4" w:space="0"/>
              <w:right w:val="single" w:color="auto" w:sz="4" w:space="0"/>
            </w:tcBorders>
            <w:shd w:val="clear" w:color="auto" w:fill="auto"/>
            <w:vAlign w:val="center"/>
          </w:tcPr>
          <w:p w14:paraId="34FF648F">
            <w:pPr>
              <w:jc w:val="center"/>
              <w:rPr>
                <w:sz w:val="18"/>
                <w:szCs w:val="18"/>
              </w:rPr>
            </w:pPr>
            <w:r>
              <w:rPr>
                <w:sz w:val="18"/>
                <w:szCs w:val="18"/>
              </w:rPr>
              <w:t>1-20</w:t>
            </w:r>
          </w:p>
        </w:tc>
        <w:tc>
          <w:tcPr>
            <w:tcW w:w="768" w:type="pct"/>
            <w:vMerge w:val="continue"/>
            <w:tcBorders>
              <w:top w:val="nil"/>
              <w:left w:val="single" w:color="auto" w:sz="4" w:space="0"/>
              <w:bottom w:val="single" w:color="auto" w:sz="4" w:space="0"/>
              <w:right w:val="single" w:color="auto" w:sz="4" w:space="0"/>
            </w:tcBorders>
            <w:vAlign w:val="center"/>
          </w:tcPr>
          <w:p w14:paraId="2E29DC4C">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694BC228">
            <w:pPr>
              <w:jc w:val="center"/>
              <w:rPr>
                <w:sz w:val="18"/>
                <w:szCs w:val="18"/>
              </w:rPr>
            </w:pPr>
            <w:r>
              <w:rPr>
                <w:sz w:val="18"/>
                <w:szCs w:val="18"/>
              </w:rPr>
              <w:t>人工挖基坑（三类土）</w:t>
            </w:r>
          </w:p>
        </w:tc>
        <w:tc>
          <w:tcPr>
            <w:tcW w:w="613" w:type="pct"/>
            <w:tcBorders>
              <w:top w:val="nil"/>
              <w:left w:val="nil"/>
              <w:bottom w:val="single" w:color="auto" w:sz="4" w:space="0"/>
              <w:right w:val="single" w:color="auto" w:sz="4" w:space="0"/>
            </w:tcBorders>
            <w:shd w:val="clear" w:color="auto" w:fill="auto"/>
            <w:vAlign w:val="center"/>
          </w:tcPr>
          <w:p w14:paraId="757485DE">
            <w:pPr>
              <w:jc w:val="center"/>
              <w:rPr>
                <w:sz w:val="18"/>
                <w:szCs w:val="18"/>
              </w:rPr>
            </w:pPr>
            <w:r>
              <w:rPr>
                <w:sz w:val="18"/>
                <w:szCs w:val="18"/>
              </w:rPr>
              <w:t xml:space="preserve">0.43 </w:t>
            </w:r>
          </w:p>
        </w:tc>
        <w:tc>
          <w:tcPr>
            <w:tcW w:w="934" w:type="pct"/>
            <w:tcBorders>
              <w:top w:val="nil"/>
              <w:left w:val="nil"/>
              <w:bottom w:val="single" w:color="auto" w:sz="4" w:space="0"/>
              <w:right w:val="single" w:color="auto" w:sz="4" w:space="0"/>
            </w:tcBorders>
            <w:shd w:val="clear" w:color="auto" w:fill="auto"/>
            <w:vAlign w:val="center"/>
          </w:tcPr>
          <w:p w14:paraId="5E4F7E7D">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6C57C9D1">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5005705C">
            <w:pPr>
              <w:jc w:val="center"/>
              <w:rPr>
                <w:sz w:val="18"/>
                <w:szCs w:val="18"/>
              </w:rPr>
            </w:pPr>
            <w:r>
              <w:rPr>
                <w:sz w:val="18"/>
                <w:szCs w:val="18"/>
              </w:rPr>
              <w:t>/</w:t>
            </w:r>
          </w:p>
        </w:tc>
      </w:tr>
      <w:tr w14:paraId="253D6A7A">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52C5878A">
            <w:pPr>
              <w:jc w:val="center"/>
              <w:rPr>
                <w:sz w:val="18"/>
                <w:szCs w:val="18"/>
              </w:rPr>
            </w:pPr>
            <w:r>
              <w:rPr>
                <w:sz w:val="18"/>
                <w:szCs w:val="18"/>
              </w:rPr>
              <w:t>20</w:t>
            </w:r>
          </w:p>
        </w:tc>
        <w:tc>
          <w:tcPr>
            <w:tcW w:w="526" w:type="pct"/>
            <w:tcBorders>
              <w:top w:val="nil"/>
              <w:left w:val="nil"/>
              <w:bottom w:val="single" w:color="auto" w:sz="4" w:space="0"/>
              <w:right w:val="single" w:color="auto" w:sz="4" w:space="0"/>
            </w:tcBorders>
            <w:shd w:val="clear" w:color="auto" w:fill="auto"/>
            <w:vAlign w:val="center"/>
          </w:tcPr>
          <w:p w14:paraId="0706212D">
            <w:pPr>
              <w:jc w:val="center"/>
              <w:rPr>
                <w:sz w:val="18"/>
                <w:szCs w:val="18"/>
              </w:rPr>
            </w:pPr>
            <w:r>
              <w:rPr>
                <w:sz w:val="18"/>
                <w:szCs w:val="18"/>
              </w:rPr>
              <w:t>1-21</w:t>
            </w:r>
          </w:p>
        </w:tc>
        <w:tc>
          <w:tcPr>
            <w:tcW w:w="768" w:type="pct"/>
            <w:vMerge w:val="continue"/>
            <w:tcBorders>
              <w:top w:val="nil"/>
              <w:left w:val="single" w:color="auto" w:sz="4" w:space="0"/>
              <w:bottom w:val="single" w:color="auto" w:sz="4" w:space="0"/>
              <w:right w:val="single" w:color="auto" w:sz="4" w:space="0"/>
            </w:tcBorders>
            <w:vAlign w:val="center"/>
          </w:tcPr>
          <w:p w14:paraId="457273FC">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12215532">
            <w:pPr>
              <w:jc w:val="center"/>
              <w:rPr>
                <w:sz w:val="18"/>
                <w:szCs w:val="18"/>
              </w:rPr>
            </w:pPr>
            <w:r>
              <w:rPr>
                <w:sz w:val="18"/>
                <w:szCs w:val="18"/>
              </w:rPr>
              <w:t>人工挖基坑（四类土）</w:t>
            </w:r>
          </w:p>
        </w:tc>
        <w:tc>
          <w:tcPr>
            <w:tcW w:w="613" w:type="pct"/>
            <w:tcBorders>
              <w:top w:val="nil"/>
              <w:left w:val="nil"/>
              <w:bottom w:val="single" w:color="auto" w:sz="4" w:space="0"/>
              <w:right w:val="single" w:color="auto" w:sz="4" w:space="0"/>
            </w:tcBorders>
            <w:shd w:val="clear" w:color="auto" w:fill="auto"/>
            <w:vAlign w:val="center"/>
          </w:tcPr>
          <w:p w14:paraId="5310BA1B">
            <w:pPr>
              <w:jc w:val="center"/>
              <w:rPr>
                <w:sz w:val="18"/>
                <w:szCs w:val="18"/>
              </w:rPr>
            </w:pPr>
            <w:r>
              <w:rPr>
                <w:sz w:val="18"/>
                <w:szCs w:val="18"/>
              </w:rPr>
              <w:t xml:space="preserve">0.50 </w:t>
            </w:r>
          </w:p>
        </w:tc>
        <w:tc>
          <w:tcPr>
            <w:tcW w:w="934" w:type="pct"/>
            <w:tcBorders>
              <w:top w:val="nil"/>
              <w:left w:val="nil"/>
              <w:bottom w:val="single" w:color="auto" w:sz="4" w:space="0"/>
              <w:right w:val="single" w:color="auto" w:sz="4" w:space="0"/>
            </w:tcBorders>
            <w:shd w:val="clear" w:color="auto" w:fill="auto"/>
            <w:vAlign w:val="center"/>
          </w:tcPr>
          <w:p w14:paraId="5D59A508">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51EF03A2">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0A186E83">
            <w:pPr>
              <w:jc w:val="center"/>
              <w:rPr>
                <w:sz w:val="18"/>
                <w:szCs w:val="18"/>
              </w:rPr>
            </w:pPr>
            <w:r>
              <w:rPr>
                <w:sz w:val="18"/>
                <w:szCs w:val="18"/>
              </w:rPr>
              <w:t>/</w:t>
            </w:r>
          </w:p>
        </w:tc>
      </w:tr>
      <w:tr w14:paraId="5A7B0866">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738626FC">
            <w:pPr>
              <w:jc w:val="center"/>
              <w:rPr>
                <w:sz w:val="18"/>
                <w:szCs w:val="18"/>
              </w:rPr>
            </w:pPr>
            <w:r>
              <w:rPr>
                <w:sz w:val="18"/>
                <w:szCs w:val="18"/>
              </w:rPr>
              <w:t>21</w:t>
            </w:r>
          </w:p>
        </w:tc>
        <w:tc>
          <w:tcPr>
            <w:tcW w:w="526" w:type="pct"/>
            <w:tcBorders>
              <w:top w:val="nil"/>
              <w:left w:val="nil"/>
              <w:bottom w:val="single" w:color="auto" w:sz="4" w:space="0"/>
              <w:right w:val="single" w:color="auto" w:sz="4" w:space="0"/>
            </w:tcBorders>
            <w:shd w:val="clear" w:color="auto" w:fill="auto"/>
            <w:vAlign w:val="center"/>
          </w:tcPr>
          <w:p w14:paraId="2DED982C">
            <w:pPr>
              <w:jc w:val="center"/>
              <w:rPr>
                <w:sz w:val="18"/>
                <w:szCs w:val="18"/>
              </w:rPr>
            </w:pPr>
            <w:r>
              <w:rPr>
                <w:sz w:val="18"/>
                <w:szCs w:val="18"/>
              </w:rPr>
              <w:t>1-22</w:t>
            </w:r>
          </w:p>
        </w:tc>
        <w:tc>
          <w:tcPr>
            <w:tcW w:w="768" w:type="pct"/>
            <w:vMerge w:val="continue"/>
            <w:tcBorders>
              <w:top w:val="nil"/>
              <w:left w:val="single" w:color="auto" w:sz="4" w:space="0"/>
              <w:bottom w:val="single" w:color="auto" w:sz="4" w:space="0"/>
              <w:right w:val="single" w:color="auto" w:sz="4" w:space="0"/>
            </w:tcBorders>
            <w:vAlign w:val="center"/>
          </w:tcPr>
          <w:p w14:paraId="50D705A3">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6BC4A8E3">
            <w:pPr>
              <w:jc w:val="center"/>
              <w:rPr>
                <w:sz w:val="18"/>
                <w:szCs w:val="18"/>
              </w:rPr>
            </w:pPr>
            <w:r>
              <w:rPr>
                <w:sz w:val="18"/>
                <w:szCs w:val="18"/>
              </w:rPr>
              <w:t>机挖基坑</w:t>
            </w:r>
          </w:p>
        </w:tc>
        <w:tc>
          <w:tcPr>
            <w:tcW w:w="613" w:type="pct"/>
            <w:tcBorders>
              <w:top w:val="nil"/>
              <w:left w:val="nil"/>
              <w:bottom w:val="single" w:color="auto" w:sz="4" w:space="0"/>
              <w:right w:val="single" w:color="auto" w:sz="4" w:space="0"/>
            </w:tcBorders>
            <w:shd w:val="clear" w:color="auto" w:fill="auto"/>
            <w:vAlign w:val="center"/>
          </w:tcPr>
          <w:p w14:paraId="3FE73A53">
            <w:pPr>
              <w:jc w:val="center"/>
              <w:rPr>
                <w:sz w:val="18"/>
                <w:szCs w:val="18"/>
              </w:rPr>
            </w:pPr>
            <w:r>
              <w:rPr>
                <w:sz w:val="18"/>
                <w:szCs w:val="18"/>
              </w:rPr>
              <w:t xml:space="preserve">1.04 </w:t>
            </w:r>
          </w:p>
        </w:tc>
        <w:tc>
          <w:tcPr>
            <w:tcW w:w="934" w:type="pct"/>
            <w:tcBorders>
              <w:top w:val="nil"/>
              <w:left w:val="nil"/>
              <w:bottom w:val="single" w:color="auto" w:sz="4" w:space="0"/>
              <w:right w:val="single" w:color="auto" w:sz="4" w:space="0"/>
            </w:tcBorders>
            <w:shd w:val="clear" w:color="auto" w:fill="auto"/>
            <w:vAlign w:val="center"/>
          </w:tcPr>
          <w:p w14:paraId="02B142A4">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33CC31B5">
            <w:pPr>
              <w:jc w:val="center"/>
              <w:rPr>
                <w:sz w:val="18"/>
                <w:szCs w:val="18"/>
              </w:rPr>
            </w:pPr>
            <w:r>
              <w:rPr>
                <w:sz w:val="18"/>
                <w:szCs w:val="18"/>
              </w:rPr>
              <w:t>1.50</w:t>
            </w:r>
          </w:p>
          <w:p w14:paraId="0AA04EE1">
            <w:pPr>
              <w:jc w:val="center"/>
              <w:rPr>
                <w:sz w:val="18"/>
                <w:szCs w:val="18"/>
              </w:rPr>
            </w:pPr>
            <w:r>
              <w:rPr>
                <w:sz w:val="18"/>
                <w:szCs w:val="18"/>
              </w:rPr>
              <w:t>（石方</w:t>
            </w:r>
          </w:p>
        </w:tc>
        <w:tc>
          <w:tcPr>
            <w:tcW w:w="347" w:type="pct"/>
            <w:tcBorders>
              <w:top w:val="nil"/>
              <w:left w:val="nil"/>
              <w:bottom w:val="single" w:color="auto" w:sz="4" w:space="0"/>
              <w:right w:val="single" w:color="auto" w:sz="4" w:space="0"/>
            </w:tcBorders>
            <w:shd w:val="clear" w:color="auto" w:fill="auto"/>
            <w:vAlign w:val="center"/>
          </w:tcPr>
          <w:p w14:paraId="162B53C7">
            <w:pPr>
              <w:jc w:val="center"/>
              <w:rPr>
                <w:sz w:val="18"/>
                <w:szCs w:val="18"/>
              </w:rPr>
            </w:pPr>
            <w:r>
              <w:rPr>
                <w:sz w:val="18"/>
                <w:szCs w:val="18"/>
              </w:rPr>
              <w:t>/</w:t>
            </w:r>
          </w:p>
        </w:tc>
      </w:tr>
      <w:tr w14:paraId="65505D9D">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3CD585B6">
            <w:pPr>
              <w:jc w:val="center"/>
              <w:rPr>
                <w:sz w:val="18"/>
                <w:szCs w:val="18"/>
              </w:rPr>
            </w:pPr>
            <w:r>
              <w:rPr>
                <w:sz w:val="18"/>
                <w:szCs w:val="18"/>
              </w:rPr>
              <w:t>22</w:t>
            </w:r>
          </w:p>
        </w:tc>
        <w:tc>
          <w:tcPr>
            <w:tcW w:w="526" w:type="pct"/>
            <w:tcBorders>
              <w:top w:val="nil"/>
              <w:left w:val="nil"/>
              <w:bottom w:val="single" w:color="auto" w:sz="4" w:space="0"/>
              <w:right w:val="single" w:color="auto" w:sz="4" w:space="0"/>
            </w:tcBorders>
            <w:shd w:val="clear" w:color="auto" w:fill="auto"/>
            <w:vAlign w:val="center"/>
          </w:tcPr>
          <w:p w14:paraId="46681A59">
            <w:pPr>
              <w:jc w:val="center"/>
              <w:rPr>
                <w:sz w:val="18"/>
                <w:szCs w:val="18"/>
              </w:rPr>
            </w:pPr>
            <w:r>
              <w:rPr>
                <w:sz w:val="18"/>
                <w:szCs w:val="18"/>
              </w:rPr>
              <w:t>1-23</w:t>
            </w:r>
          </w:p>
        </w:tc>
        <w:tc>
          <w:tcPr>
            <w:tcW w:w="768" w:type="pct"/>
            <w:vMerge w:val="restart"/>
            <w:tcBorders>
              <w:top w:val="nil"/>
              <w:left w:val="single" w:color="auto" w:sz="4" w:space="0"/>
              <w:bottom w:val="single" w:color="000000" w:sz="4" w:space="0"/>
              <w:right w:val="single" w:color="auto" w:sz="4" w:space="0"/>
            </w:tcBorders>
            <w:shd w:val="clear" w:color="auto" w:fill="auto"/>
            <w:vAlign w:val="center"/>
          </w:tcPr>
          <w:p w14:paraId="03FECF86">
            <w:pPr>
              <w:jc w:val="center"/>
              <w:rPr>
                <w:sz w:val="18"/>
                <w:szCs w:val="18"/>
              </w:rPr>
            </w:pPr>
            <w:r>
              <w:rPr>
                <w:sz w:val="18"/>
                <w:szCs w:val="18"/>
              </w:rPr>
              <w:t>挖内支撑土方</w:t>
            </w:r>
          </w:p>
        </w:tc>
        <w:tc>
          <w:tcPr>
            <w:tcW w:w="957" w:type="pct"/>
            <w:tcBorders>
              <w:top w:val="nil"/>
              <w:left w:val="nil"/>
              <w:bottom w:val="single" w:color="auto" w:sz="4" w:space="0"/>
              <w:right w:val="single" w:color="auto" w:sz="4" w:space="0"/>
            </w:tcBorders>
            <w:shd w:val="clear" w:color="auto" w:fill="auto"/>
            <w:vAlign w:val="center"/>
          </w:tcPr>
          <w:p w14:paraId="5DEEEB90">
            <w:pPr>
              <w:jc w:val="center"/>
              <w:rPr>
                <w:sz w:val="18"/>
                <w:szCs w:val="18"/>
              </w:rPr>
            </w:pPr>
            <w:r>
              <w:rPr>
                <w:sz w:val="18"/>
                <w:szCs w:val="18"/>
              </w:rPr>
              <w:t>挖掘机挖内支撑土方(槽深≤5m)</w:t>
            </w:r>
          </w:p>
        </w:tc>
        <w:tc>
          <w:tcPr>
            <w:tcW w:w="613" w:type="pct"/>
            <w:tcBorders>
              <w:top w:val="nil"/>
              <w:left w:val="nil"/>
              <w:bottom w:val="single" w:color="auto" w:sz="4" w:space="0"/>
              <w:right w:val="single" w:color="auto" w:sz="4" w:space="0"/>
            </w:tcBorders>
            <w:shd w:val="clear" w:color="auto" w:fill="auto"/>
            <w:vAlign w:val="center"/>
          </w:tcPr>
          <w:p w14:paraId="66E8A096">
            <w:pPr>
              <w:jc w:val="center"/>
              <w:rPr>
                <w:sz w:val="18"/>
                <w:szCs w:val="18"/>
              </w:rPr>
            </w:pPr>
            <w:r>
              <w:rPr>
                <w:sz w:val="18"/>
                <w:szCs w:val="18"/>
              </w:rPr>
              <w:t xml:space="preserve">3.59 </w:t>
            </w:r>
          </w:p>
        </w:tc>
        <w:tc>
          <w:tcPr>
            <w:tcW w:w="934" w:type="pct"/>
            <w:tcBorders>
              <w:top w:val="nil"/>
              <w:left w:val="nil"/>
              <w:bottom w:val="single" w:color="auto" w:sz="4" w:space="0"/>
              <w:right w:val="single" w:color="auto" w:sz="4" w:space="0"/>
            </w:tcBorders>
            <w:shd w:val="clear" w:color="auto" w:fill="auto"/>
            <w:vAlign w:val="center"/>
          </w:tcPr>
          <w:p w14:paraId="3B92B73A">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restart"/>
            <w:tcBorders>
              <w:top w:val="nil"/>
              <w:left w:val="nil"/>
              <w:right w:val="single" w:color="auto" w:sz="4" w:space="0"/>
            </w:tcBorders>
            <w:shd w:val="clear" w:color="auto" w:fill="auto"/>
            <w:vAlign w:val="center"/>
          </w:tcPr>
          <w:p w14:paraId="44532302">
            <w:pPr>
              <w:jc w:val="center"/>
              <w:rPr>
                <w:sz w:val="18"/>
                <w:szCs w:val="18"/>
              </w:rPr>
            </w:pPr>
            <w:r>
              <w:rPr>
                <w:sz w:val="18"/>
                <w:szCs w:val="18"/>
              </w:rPr>
              <w:t>1.50</w:t>
            </w:r>
          </w:p>
          <w:p w14:paraId="597C8D3B">
            <w:pPr>
              <w:jc w:val="center"/>
              <w:rPr>
                <w:sz w:val="18"/>
                <w:szCs w:val="18"/>
              </w:rPr>
            </w:pPr>
            <w:r>
              <w:rPr>
                <w:sz w:val="18"/>
                <w:szCs w:val="18"/>
              </w:rPr>
              <w:t>（石方</w:t>
            </w:r>
          </w:p>
        </w:tc>
        <w:tc>
          <w:tcPr>
            <w:tcW w:w="347" w:type="pct"/>
            <w:tcBorders>
              <w:top w:val="nil"/>
              <w:left w:val="nil"/>
              <w:bottom w:val="single" w:color="auto" w:sz="4" w:space="0"/>
              <w:right w:val="single" w:color="auto" w:sz="4" w:space="0"/>
            </w:tcBorders>
            <w:shd w:val="clear" w:color="auto" w:fill="auto"/>
            <w:vAlign w:val="center"/>
          </w:tcPr>
          <w:p w14:paraId="65643D0B">
            <w:pPr>
              <w:jc w:val="center"/>
              <w:rPr>
                <w:sz w:val="18"/>
                <w:szCs w:val="18"/>
              </w:rPr>
            </w:pPr>
            <w:r>
              <w:rPr>
                <w:sz w:val="18"/>
                <w:szCs w:val="18"/>
              </w:rPr>
              <w:t>/</w:t>
            </w:r>
          </w:p>
        </w:tc>
      </w:tr>
      <w:tr w14:paraId="2B40F00D">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5A057993">
            <w:pPr>
              <w:jc w:val="center"/>
              <w:rPr>
                <w:sz w:val="18"/>
                <w:szCs w:val="18"/>
              </w:rPr>
            </w:pPr>
            <w:r>
              <w:rPr>
                <w:sz w:val="18"/>
                <w:szCs w:val="18"/>
              </w:rPr>
              <w:t>23</w:t>
            </w:r>
          </w:p>
        </w:tc>
        <w:tc>
          <w:tcPr>
            <w:tcW w:w="526" w:type="pct"/>
            <w:tcBorders>
              <w:top w:val="nil"/>
              <w:left w:val="nil"/>
              <w:bottom w:val="single" w:color="auto" w:sz="4" w:space="0"/>
              <w:right w:val="single" w:color="auto" w:sz="4" w:space="0"/>
            </w:tcBorders>
            <w:shd w:val="clear" w:color="auto" w:fill="auto"/>
            <w:vAlign w:val="center"/>
          </w:tcPr>
          <w:p w14:paraId="341C0F31">
            <w:pPr>
              <w:jc w:val="center"/>
              <w:rPr>
                <w:sz w:val="18"/>
                <w:szCs w:val="18"/>
              </w:rPr>
            </w:pPr>
            <w:r>
              <w:rPr>
                <w:sz w:val="18"/>
                <w:szCs w:val="18"/>
              </w:rPr>
              <w:t>1-24</w:t>
            </w:r>
          </w:p>
        </w:tc>
        <w:tc>
          <w:tcPr>
            <w:tcW w:w="768" w:type="pct"/>
            <w:vMerge w:val="continue"/>
            <w:tcBorders>
              <w:top w:val="nil"/>
              <w:left w:val="single" w:color="auto" w:sz="4" w:space="0"/>
              <w:bottom w:val="single" w:color="000000" w:sz="4" w:space="0"/>
              <w:right w:val="single" w:color="auto" w:sz="4" w:space="0"/>
            </w:tcBorders>
            <w:vAlign w:val="center"/>
          </w:tcPr>
          <w:p w14:paraId="11675B46">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26694D8A">
            <w:pPr>
              <w:jc w:val="center"/>
              <w:rPr>
                <w:sz w:val="18"/>
                <w:szCs w:val="18"/>
              </w:rPr>
            </w:pPr>
            <w:r>
              <w:rPr>
                <w:sz w:val="18"/>
                <w:szCs w:val="18"/>
              </w:rPr>
              <w:t>挖掘机挖内支撑土方(槽深≤13m)</w:t>
            </w:r>
          </w:p>
        </w:tc>
        <w:tc>
          <w:tcPr>
            <w:tcW w:w="613" w:type="pct"/>
            <w:tcBorders>
              <w:top w:val="nil"/>
              <w:left w:val="nil"/>
              <w:bottom w:val="single" w:color="auto" w:sz="4" w:space="0"/>
              <w:right w:val="single" w:color="auto" w:sz="4" w:space="0"/>
            </w:tcBorders>
            <w:shd w:val="clear" w:color="auto" w:fill="auto"/>
            <w:vAlign w:val="center"/>
          </w:tcPr>
          <w:p w14:paraId="6793B675">
            <w:pPr>
              <w:jc w:val="center"/>
              <w:rPr>
                <w:sz w:val="18"/>
                <w:szCs w:val="18"/>
              </w:rPr>
            </w:pPr>
            <w:r>
              <w:rPr>
                <w:sz w:val="18"/>
                <w:szCs w:val="18"/>
              </w:rPr>
              <w:t xml:space="preserve">4.32 </w:t>
            </w:r>
          </w:p>
        </w:tc>
        <w:tc>
          <w:tcPr>
            <w:tcW w:w="934" w:type="pct"/>
            <w:tcBorders>
              <w:top w:val="nil"/>
              <w:left w:val="nil"/>
              <w:bottom w:val="single" w:color="auto" w:sz="4" w:space="0"/>
              <w:right w:val="single" w:color="auto" w:sz="4" w:space="0"/>
            </w:tcBorders>
            <w:shd w:val="clear" w:color="auto" w:fill="auto"/>
            <w:vAlign w:val="center"/>
          </w:tcPr>
          <w:p w14:paraId="2051E96E">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continue"/>
            <w:tcBorders>
              <w:left w:val="nil"/>
              <w:right w:val="single" w:color="auto" w:sz="4" w:space="0"/>
            </w:tcBorders>
            <w:shd w:val="clear" w:color="auto" w:fill="auto"/>
            <w:vAlign w:val="center"/>
          </w:tcPr>
          <w:p w14:paraId="3FD25202">
            <w:pPr>
              <w:jc w:val="center"/>
              <w:rPr>
                <w:sz w:val="18"/>
                <w:szCs w:val="18"/>
              </w:rPr>
            </w:pPr>
          </w:p>
        </w:tc>
        <w:tc>
          <w:tcPr>
            <w:tcW w:w="347" w:type="pct"/>
            <w:tcBorders>
              <w:top w:val="nil"/>
              <w:left w:val="nil"/>
              <w:bottom w:val="single" w:color="auto" w:sz="4" w:space="0"/>
              <w:right w:val="single" w:color="auto" w:sz="4" w:space="0"/>
            </w:tcBorders>
            <w:shd w:val="clear" w:color="auto" w:fill="auto"/>
            <w:vAlign w:val="center"/>
          </w:tcPr>
          <w:p w14:paraId="0E492C91">
            <w:pPr>
              <w:jc w:val="center"/>
              <w:rPr>
                <w:sz w:val="18"/>
                <w:szCs w:val="18"/>
              </w:rPr>
            </w:pPr>
            <w:r>
              <w:rPr>
                <w:sz w:val="18"/>
                <w:szCs w:val="18"/>
              </w:rPr>
              <w:t>/</w:t>
            </w:r>
          </w:p>
        </w:tc>
      </w:tr>
      <w:tr w14:paraId="12FF4D4B">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72AA0B12">
            <w:pPr>
              <w:jc w:val="center"/>
              <w:rPr>
                <w:sz w:val="18"/>
                <w:szCs w:val="18"/>
              </w:rPr>
            </w:pPr>
            <w:r>
              <w:rPr>
                <w:sz w:val="18"/>
                <w:szCs w:val="18"/>
              </w:rPr>
              <w:t>24</w:t>
            </w:r>
          </w:p>
        </w:tc>
        <w:tc>
          <w:tcPr>
            <w:tcW w:w="526" w:type="pct"/>
            <w:tcBorders>
              <w:top w:val="nil"/>
              <w:left w:val="nil"/>
              <w:bottom w:val="single" w:color="auto" w:sz="4" w:space="0"/>
              <w:right w:val="single" w:color="auto" w:sz="4" w:space="0"/>
            </w:tcBorders>
            <w:shd w:val="clear" w:color="auto" w:fill="auto"/>
            <w:vAlign w:val="center"/>
          </w:tcPr>
          <w:p w14:paraId="1DF4566A">
            <w:pPr>
              <w:jc w:val="center"/>
              <w:rPr>
                <w:sz w:val="18"/>
                <w:szCs w:val="18"/>
              </w:rPr>
            </w:pPr>
            <w:r>
              <w:rPr>
                <w:sz w:val="18"/>
                <w:szCs w:val="18"/>
              </w:rPr>
              <w:t>1-25</w:t>
            </w:r>
          </w:p>
        </w:tc>
        <w:tc>
          <w:tcPr>
            <w:tcW w:w="768" w:type="pct"/>
            <w:vMerge w:val="continue"/>
            <w:tcBorders>
              <w:top w:val="nil"/>
              <w:left w:val="single" w:color="auto" w:sz="4" w:space="0"/>
              <w:bottom w:val="single" w:color="000000" w:sz="4" w:space="0"/>
              <w:right w:val="single" w:color="auto" w:sz="4" w:space="0"/>
            </w:tcBorders>
            <w:vAlign w:val="center"/>
          </w:tcPr>
          <w:p w14:paraId="7AA2556D">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66834071">
            <w:pPr>
              <w:jc w:val="center"/>
              <w:rPr>
                <w:sz w:val="18"/>
                <w:szCs w:val="18"/>
              </w:rPr>
            </w:pPr>
            <w:r>
              <w:rPr>
                <w:sz w:val="18"/>
                <w:szCs w:val="18"/>
              </w:rPr>
              <w:t>挖掘机挖内支撑土方(槽深≤21m)</w:t>
            </w:r>
          </w:p>
        </w:tc>
        <w:tc>
          <w:tcPr>
            <w:tcW w:w="613" w:type="pct"/>
            <w:tcBorders>
              <w:top w:val="nil"/>
              <w:left w:val="nil"/>
              <w:bottom w:val="single" w:color="auto" w:sz="4" w:space="0"/>
              <w:right w:val="single" w:color="auto" w:sz="4" w:space="0"/>
            </w:tcBorders>
            <w:shd w:val="clear" w:color="auto" w:fill="auto"/>
            <w:vAlign w:val="center"/>
          </w:tcPr>
          <w:p w14:paraId="4B1FA42E">
            <w:pPr>
              <w:jc w:val="center"/>
              <w:rPr>
                <w:sz w:val="18"/>
                <w:szCs w:val="18"/>
              </w:rPr>
            </w:pPr>
            <w:r>
              <w:rPr>
                <w:sz w:val="18"/>
                <w:szCs w:val="18"/>
              </w:rPr>
              <w:t xml:space="preserve">5.00 </w:t>
            </w:r>
          </w:p>
        </w:tc>
        <w:tc>
          <w:tcPr>
            <w:tcW w:w="934" w:type="pct"/>
            <w:tcBorders>
              <w:top w:val="nil"/>
              <w:left w:val="nil"/>
              <w:bottom w:val="single" w:color="auto" w:sz="4" w:space="0"/>
              <w:right w:val="single" w:color="auto" w:sz="4" w:space="0"/>
            </w:tcBorders>
            <w:shd w:val="clear" w:color="auto" w:fill="auto"/>
            <w:vAlign w:val="center"/>
          </w:tcPr>
          <w:p w14:paraId="06281BA5">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continue"/>
            <w:tcBorders>
              <w:left w:val="nil"/>
              <w:right w:val="single" w:color="auto" w:sz="4" w:space="0"/>
            </w:tcBorders>
            <w:shd w:val="clear" w:color="auto" w:fill="auto"/>
            <w:vAlign w:val="center"/>
          </w:tcPr>
          <w:p w14:paraId="00A49A3E">
            <w:pPr>
              <w:jc w:val="center"/>
              <w:rPr>
                <w:sz w:val="18"/>
                <w:szCs w:val="18"/>
              </w:rPr>
            </w:pPr>
          </w:p>
        </w:tc>
        <w:tc>
          <w:tcPr>
            <w:tcW w:w="347" w:type="pct"/>
            <w:tcBorders>
              <w:top w:val="nil"/>
              <w:left w:val="nil"/>
              <w:bottom w:val="single" w:color="auto" w:sz="4" w:space="0"/>
              <w:right w:val="single" w:color="auto" w:sz="4" w:space="0"/>
            </w:tcBorders>
            <w:shd w:val="clear" w:color="auto" w:fill="auto"/>
            <w:vAlign w:val="center"/>
          </w:tcPr>
          <w:p w14:paraId="6DD34C88">
            <w:pPr>
              <w:jc w:val="center"/>
              <w:rPr>
                <w:sz w:val="18"/>
                <w:szCs w:val="18"/>
              </w:rPr>
            </w:pPr>
            <w:r>
              <w:rPr>
                <w:sz w:val="18"/>
                <w:szCs w:val="18"/>
              </w:rPr>
              <w:t>/</w:t>
            </w:r>
          </w:p>
        </w:tc>
      </w:tr>
      <w:tr w14:paraId="1D59F7FC">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2E6DA562">
            <w:pPr>
              <w:jc w:val="center"/>
              <w:rPr>
                <w:sz w:val="18"/>
                <w:szCs w:val="18"/>
              </w:rPr>
            </w:pPr>
            <w:r>
              <w:rPr>
                <w:sz w:val="18"/>
                <w:szCs w:val="18"/>
              </w:rPr>
              <w:t>25</w:t>
            </w:r>
          </w:p>
        </w:tc>
        <w:tc>
          <w:tcPr>
            <w:tcW w:w="526" w:type="pct"/>
            <w:tcBorders>
              <w:top w:val="nil"/>
              <w:left w:val="nil"/>
              <w:bottom w:val="single" w:color="auto" w:sz="4" w:space="0"/>
              <w:right w:val="single" w:color="auto" w:sz="4" w:space="0"/>
            </w:tcBorders>
            <w:shd w:val="clear" w:color="auto" w:fill="auto"/>
            <w:vAlign w:val="center"/>
          </w:tcPr>
          <w:p w14:paraId="41615325">
            <w:pPr>
              <w:jc w:val="center"/>
              <w:rPr>
                <w:sz w:val="18"/>
                <w:szCs w:val="18"/>
              </w:rPr>
            </w:pPr>
            <w:r>
              <w:rPr>
                <w:sz w:val="18"/>
                <w:szCs w:val="18"/>
              </w:rPr>
              <w:t>1-26</w:t>
            </w:r>
          </w:p>
        </w:tc>
        <w:tc>
          <w:tcPr>
            <w:tcW w:w="768" w:type="pct"/>
            <w:vMerge w:val="continue"/>
            <w:tcBorders>
              <w:top w:val="nil"/>
              <w:left w:val="single" w:color="auto" w:sz="4" w:space="0"/>
              <w:bottom w:val="single" w:color="000000" w:sz="4" w:space="0"/>
              <w:right w:val="single" w:color="auto" w:sz="4" w:space="0"/>
            </w:tcBorders>
            <w:vAlign w:val="center"/>
          </w:tcPr>
          <w:p w14:paraId="7D9A1E88">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2EF344E8">
            <w:pPr>
              <w:jc w:val="center"/>
              <w:rPr>
                <w:sz w:val="18"/>
                <w:szCs w:val="18"/>
              </w:rPr>
            </w:pPr>
            <w:r>
              <w:rPr>
                <w:sz w:val="18"/>
                <w:szCs w:val="18"/>
              </w:rPr>
              <w:t>挖掘机挖内支撑土方(槽深≤30m)</w:t>
            </w:r>
          </w:p>
        </w:tc>
        <w:tc>
          <w:tcPr>
            <w:tcW w:w="613" w:type="pct"/>
            <w:tcBorders>
              <w:top w:val="nil"/>
              <w:left w:val="nil"/>
              <w:bottom w:val="single" w:color="auto" w:sz="4" w:space="0"/>
              <w:right w:val="single" w:color="auto" w:sz="4" w:space="0"/>
            </w:tcBorders>
            <w:shd w:val="clear" w:color="auto" w:fill="auto"/>
            <w:vAlign w:val="center"/>
          </w:tcPr>
          <w:p w14:paraId="1746FF78">
            <w:pPr>
              <w:jc w:val="center"/>
              <w:rPr>
                <w:sz w:val="18"/>
                <w:szCs w:val="18"/>
              </w:rPr>
            </w:pPr>
            <w:r>
              <w:rPr>
                <w:sz w:val="18"/>
                <w:szCs w:val="18"/>
              </w:rPr>
              <w:t xml:space="preserve">6.01 </w:t>
            </w:r>
          </w:p>
        </w:tc>
        <w:tc>
          <w:tcPr>
            <w:tcW w:w="934" w:type="pct"/>
            <w:tcBorders>
              <w:top w:val="nil"/>
              <w:left w:val="nil"/>
              <w:bottom w:val="single" w:color="auto" w:sz="4" w:space="0"/>
              <w:right w:val="single" w:color="auto" w:sz="4" w:space="0"/>
            </w:tcBorders>
            <w:shd w:val="clear" w:color="auto" w:fill="auto"/>
            <w:vAlign w:val="center"/>
          </w:tcPr>
          <w:p w14:paraId="56E117E9">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continue"/>
            <w:tcBorders>
              <w:left w:val="nil"/>
              <w:bottom w:val="single" w:color="auto" w:sz="4" w:space="0"/>
              <w:right w:val="single" w:color="auto" w:sz="4" w:space="0"/>
            </w:tcBorders>
            <w:shd w:val="clear" w:color="auto" w:fill="auto"/>
            <w:vAlign w:val="center"/>
          </w:tcPr>
          <w:p w14:paraId="081FEC1E">
            <w:pPr>
              <w:jc w:val="center"/>
              <w:rPr>
                <w:sz w:val="18"/>
                <w:szCs w:val="18"/>
              </w:rPr>
            </w:pPr>
          </w:p>
        </w:tc>
        <w:tc>
          <w:tcPr>
            <w:tcW w:w="347" w:type="pct"/>
            <w:tcBorders>
              <w:top w:val="nil"/>
              <w:left w:val="nil"/>
              <w:bottom w:val="single" w:color="auto" w:sz="4" w:space="0"/>
              <w:right w:val="single" w:color="auto" w:sz="4" w:space="0"/>
            </w:tcBorders>
            <w:shd w:val="clear" w:color="auto" w:fill="auto"/>
            <w:vAlign w:val="center"/>
          </w:tcPr>
          <w:p w14:paraId="74FD19AC">
            <w:pPr>
              <w:jc w:val="center"/>
              <w:rPr>
                <w:sz w:val="18"/>
                <w:szCs w:val="18"/>
              </w:rPr>
            </w:pPr>
            <w:r>
              <w:rPr>
                <w:sz w:val="18"/>
                <w:szCs w:val="18"/>
              </w:rPr>
              <w:t>/</w:t>
            </w:r>
          </w:p>
        </w:tc>
      </w:tr>
      <w:tr w14:paraId="5FBC8BE8">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6B6F7502">
            <w:pPr>
              <w:jc w:val="center"/>
              <w:rPr>
                <w:sz w:val="18"/>
                <w:szCs w:val="18"/>
              </w:rPr>
            </w:pPr>
            <w:r>
              <w:rPr>
                <w:sz w:val="18"/>
                <w:szCs w:val="18"/>
              </w:rPr>
              <w:t>26</w:t>
            </w:r>
          </w:p>
        </w:tc>
        <w:tc>
          <w:tcPr>
            <w:tcW w:w="526" w:type="pct"/>
            <w:tcBorders>
              <w:top w:val="nil"/>
              <w:left w:val="nil"/>
              <w:bottom w:val="single" w:color="auto" w:sz="4" w:space="0"/>
              <w:right w:val="single" w:color="auto" w:sz="4" w:space="0"/>
            </w:tcBorders>
            <w:shd w:val="clear" w:color="auto" w:fill="auto"/>
            <w:vAlign w:val="center"/>
          </w:tcPr>
          <w:p w14:paraId="324BAE36">
            <w:pPr>
              <w:jc w:val="center"/>
              <w:rPr>
                <w:sz w:val="18"/>
                <w:szCs w:val="18"/>
              </w:rPr>
            </w:pPr>
            <w:r>
              <w:rPr>
                <w:sz w:val="18"/>
                <w:szCs w:val="18"/>
              </w:rPr>
              <w:t>1-34</w:t>
            </w:r>
          </w:p>
        </w:tc>
        <w:tc>
          <w:tcPr>
            <w:tcW w:w="768" w:type="pct"/>
            <w:vMerge w:val="restart"/>
            <w:tcBorders>
              <w:top w:val="nil"/>
              <w:left w:val="single" w:color="auto" w:sz="4" w:space="0"/>
              <w:bottom w:val="single" w:color="000000" w:sz="4" w:space="0"/>
              <w:right w:val="single" w:color="auto" w:sz="4" w:space="0"/>
            </w:tcBorders>
            <w:shd w:val="clear" w:color="auto" w:fill="auto"/>
            <w:vAlign w:val="center"/>
          </w:tcPr>
          <w:p w14:paraId="00AB4078">
            <w:pPr>
              <w:jc w:val="center"/>
              <w:rPr>
                <w:sz w:val="18"/>
                <w:szCs w:val="18"/>
              </w:rPr>
            </w:pPr>
            <w:r>
              <w:rPr>
                <w:sz w:val="18"/>
                <w:szCs w:val="18"/>
              </w:rPr>
              <w:t>基础回填</w:t>
            </w:r>
          </w:p>
        </w:tc>
        <w:tc>
          <w:tcPr>
            <w:tcW w:w="957" w:type="pct"/>
            <w:tcBorders>
              <w:top w:val="nil"/>
              <w:left w:val="nil"/>
              <w:bottom w:val="single" w:color="auto" w:sz="4" w:space="0"/>
              <w:right w:val="single" w:color="auto" w:sz="4" w:space="0"/>
            </w:tcBorders>
            <w:shd w:val="clear" w:color="auto" w:fill="auto"/>
            <w:vAlign w:val="center"/>
          </w:tcPr>
          <w:p w14:paraId="3644223F">
            <w:pPr>
              <w:jc w:val="center"/>
              <w:rPr>
                <w:sz w:val="18"/>
                <w:szCs w:val="18"/>
              </w:rPr>
            </w:pPr>
            <w:r>
              <w:rPr>
                <w:sz w:val="18"/>
                <w:szCs w:val="18"/>
              </w:rPr>
              <w:t>回填土(松填)</w:t>
            </w:r>
          </w:p>
        </w:tc>
        <w:tc>
          <w:tcPr>
            <w:tcW w:w="613" w:type="pct"/>
            <w:tcBorders>
              <w:top w:val="nil"/>
              <w:left w:val="nil"/>
              <w:bottom w:val="single" w:color="auto" w:sz="4" w:space="0"/>
              <w:right w:val="single" w:color="auto" w:sz="4" w:space="0"/>
            </w:tcBorders>
            <w:shd w:val="clear" w:color="auto" w:fill="auto"/>
            <w:vAlign w:val="center"/>
          </w:tcPr>
          <w:p w14:paraId="229E9E92">
            <w:pPr>
              <w:jc w:val="center"/>
              <w:rPr>
                <w:sz w:val="18"/>
                <w:szCs w:val="18"/>
              </w:rPr>
            </w:pPr>
            <w:r>
              <w:rPr>
                <w:sz w:val="18"/>
                <w:szCs w:val="18"/>
              </w:rPr>
              <w:t xml:space="preserve">4.57 </w:t>
            </w:r>
          </w:p>
        </w:tc>
        <w:tc>
          <w:tcPr>
            <w:tcW w:w="934" w:type="pct"/>
            <w:tcBorders>
              <w:top w:val="nil"/>
              <w:left w:val="nil"/>
              <w:bottom w:val="single" w:color="auto" w:sz="4" w:space="0"/>
              <w:right w:val="single" w:color="auto" w:sz="4" w:space="0"/>
            </w:tcBorders>
            <w:shd w:val="clear" w:color="auto" w:fill="auto"/>
            <w:vAlign w:val="center"/>
          </w:tcPr>
          <w:p w14:paraId="5707665B">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0475C2C3">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18947718">
            <w:pPr>
              <w:jc w:val="center"/>
              <w:rPr>
                <w:sz w:val="18"/>
                <w:szCs w:val="18"/>
              </w:rPr>
            </w:pPr>
            <w:r>
              <w:rPr>
                <w:sz w:val="18"/>
                <w:szCs w:val="18"/>
              </w:rPr>
              <w:t>/</w:t>
            </w:r>
          </w:p>
        </w:tc>
      </w:tr>
      <w:tr w14:paraId="295EFC47">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10A0A83B">
            <w:pPr>
              <w:jc w:val="center"/>
              <w:rPr>
                <w:sz w:val="18"/>
                <w:szCs w:val="18"/>
              </w:rPr>
            </w:pPr>
            <w:r>
              <w:rPr>
                <w:sz w:val="18"/>
                <w:szCs w:val="18"/>
              </w:rPr>
              <w:t>27</w:t>
            </w:r>
          </w:p>
        </w:tc>
        <w:tc>
          <w:tcPr>
            <w:tcW w:w="526" w:type="pct"/>
            <w:tcBorders>
              <w:top w:val="nil"/>
              <w:left w:val="nil"/>
              <w:bottom w:val="single" w:color="auto" w:sz="4" w:space="0"/>
              <w:right w:val="single" w:color="auto" w:sz="4" w:space="0"/>
            </w:tcBorders>
            <w:shd w:val="clear" w:color="auto" w:fill="auto"/>
            <w:vAlign w:val="center"/>
          </w:tcPr>
          <w:p w14:paraId="04A371AF">
            <w:pPr>
              <w:jc w:val="center"/>
              <w:rPr>
                <w:sz w:val="18"/>
                <w:szCs w:val="18"/>
              </w:rPr>
            </w:pPr>
            <w:r>
              <w:rPr>
                <w:sz w:val="18"/>
                <w:szCs w:val="18"/>
              </w:rPr>
              <w:t>1-35</w:t>
            </w:r>
          </w:p>
        </w:tc>
        <w:tc>
          <w:tcPr>
            <w:tcW w:w="768" w:type="pct"/>
            <w:vMerge w:val="continue"/>
            <w:tcBorders>
              <w:top w:val="nil"/>
              <w:left w:val="single" w:color="auto" w:sz="4" w:space="0"/>
              <w:bottom w:val="single" w:color="000000" w:sz="4" w:space="0"/>
              <w:right w:val="single" w:color="auto" w:sz="4" w:space="0"/>
            </w:tcBorders>
            <w:vAlign w:val="center"/>
          </w:tcPr>
          <w:p w14:paraId="13A99FA7">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5486514F">
            <w:pPr>
              <w:jc w:val="center"/>
              <w:rPr>
                <w:sz w:val="18"/>
                <w:szCs w:val="18"/>
              </w:rPr>
            </w:pPr>
            <w:r>
              <w:rPr>
                <w:sz w:val="18"/>
                <w:szCs w:val="18"/>
              </w:rPr>
              <w:t>回填土(夯填)</w:t>
            </w:r>
          </w:p>
        </w:tc>
        <w:tc>
          <w:tcPr>
            <w:tcW w:w="613" w:type="pct"/>
            <w:tcBorders>
              <w:top w:val="nil"/>
              <w:left w:val="nil"/>
              <w:bottom w:val="single" w:color="auto" w:sz="4" w:space="0"/>
              <w:right w:val="single" w:color="auto" w:sz="4" w:space="0"/>
            </w:tcBorders>
            <w:shd w:val="clear" w:color="auto" w:fill="auto"/>
            <w:vAlign w:val="center"/>
          </w:tcPr>
          <w:p w14:paraId="0A775D85">
            <w:pPr>
              <w:jc w:val="center"/>
              <w:rPr>
                <w:sz w:val="18"/>
                <w:szCs w:val="18"/>
              </w:rPr>
            </w:pPr>
            <w:r>
              <w:rPr>
                <w:sz w:val="18"/>
                <w:szCs w:val="18"/>
              </w:rPr>
              <w:t xml:space="preserve">5.79 </w:t>
            </w:r>
          </w:p>
        </w:tc>
        <w:tc>
          <w:tcPr>
            <w:tcW w:w="934" w:type="pct"/>
            <w:tcBorders>
              <w:top w:val="nil"/>
              <w:left w:val="nil"/>
              <w:bottom w:val="single" w:color="auto" w:sz="4" w:space="0"/>
              <w:right w:val="single" w:color="auto" w:sz="4" w:space="0"/>
            </w:tcBorders>
            <w:shd w:val="clear" w:color="auto" w:fill="auto"/>
            <w:vAlign w:val="center"/>
          </w:tcPr>
          <w:p w14:paraId="138B9C2B">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5833F964">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4F989D36">
            <w:pPr>
              <w:jc w:val="center"/>
              <w:rPr>
                <w:sz w:val="18"/>
                <w:szCs w:val="18"/>
              </w:rPr>
            </w:pPr>
            <w:r>
              <w:rPr>
                <w:sz w:val="18"/>
                <w:szCs w:val="18"/>
              </w:rPr>
              <w:t>/</w:t>
            </w:r>
          </w:p>
        </w:tc>
      </w:tr>
      <w:tr w14:paraId="2E8E9171">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28E4A168">
            <w:pPr>
              <w:jc w:val="center"/>
              <w:rPr>
                <w:sz w:val="18"/>
                <w:szCs w:val="18"/>
              </w:rPr>
            </w:pPr>
            <w:r>
              <w:rPr>
                <w:sz w:val="18"/>
                <w:szCs w:val="18"/>
              </w:rPr>
              <w:t>28</w:t>
            </w:r>
          </w:p>
        </w:tc>
        <w:tc>
          <w:tcPr>
            <w:tcW w:w="526" w:type="pct"/>
            <w:tcBorders>
              <w:top w:val="nil"/>
              <w:left w:val="nil"/>
              <w:bottom w:val="single" w:color="auto" w:sz="4" w:space="0"/>
              <w:right w:val="single" w:color="auto" w:sz="4" w:space="0"/>
            </w:tcBorders>
            <w:shd w:val="clear" w:color="auto" w:fill="auto"/>
            <w:vAlign w:val="center"/>
          </w:tcPr>
          <w:p w14:paraId="2F0A471C">
            <w:pPr>
              <w:jc w:val="center"/>
              <w:rPr>
                <w:sz w:val="18"/>
                <w:szCs w:val="18"/>
              </w:rPr>
            </w:pPr>
            <w:r>
              <w:rPr>
                <w:sz w:val="18"/>
                <w:szCs w:val="18"/>
              </w:rPr>
              <w:t>1-36</w:t>
            </w:r>
          </w:p>
        </w:tc>
        <w:tc>
          <w:tcPr>
            <w:tcW w:w="768" w:type="pct"/>
            <w:vMerge w:val="continue"/>
            <w:tcBorders>
              <w:top w:val="nil"/>
              <w:left w:val="single" w:color="auto" w:sz="4" w:space="0"/>
              <w:bottom w:val="single" w:color="000000" w:sz="4" w:space="0"/>
              <w:right w:val="single" w:color="auto" w:sz="4" w:space="0"/>
            </w:tcBorders>
            <w:vAlign w:val="center"/>
          </w:tcPr>
          <w:p w14:paraId="0DBC533C">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3A82C665">
            <w:pPr>
              <w:jc w:val="center"/>
              <w:rPr>
                <w:sz w:val="18"/>
                <w:szCs w:val="18"/>
              </w:rPr>
            </w:pPr>
            <w:r>
              <w:rPr>
                <w:sz w:val="18"/>
                <w:szCs w:val="18"/>
              </w:rPr>
              <w:t>灰土(2:8)</w:t>
            </w:r>
          </w:p>
        </w:tc>
        <w:tc>
          <w:tcPr>
            <w:tcW w:w="613" w:type="pct"/>
            <w:tcBorders>
              <w:top w:val="nil"/>
              <w:left w:val="nil"/>
              <w:bottom w:val="single" w:color="auto" w:sz="4" w:space="0"/>
              <w:right w:val="single" w:color="auto" w:sz="4" w:space="0"/>
            </w:tcBorders>
            <w:shd w:val="clear" w:color="auto" w:fill="auto"/>
            <w:vAlign w:val="center"/>
          </w:tcPr>
          <w:p w14:paraId="22F9DCF2">
            <w:pPr>
              <w:jc w:val="center"/>
              <w:rPr>
                <w:sz w:val="18"/>
                <w:szCs w:val="18"/>
              </w:rPr>
            </w:pPr>
            <w:r>
              <w:rPr>
                <w:sz w:val="18"/>
                <w:szCs w:val="18"/>
              </w:rPr>
              <w:t xml:space="preserve">534.43 </w:t>
            </w:r>
          </w:p>
        </w:tc>
        <w:tc>
          <w:tcPr>
            <w:tcW w:w="934" w:type="pct"/>
            <w:tcBorders>
              <w:top w:val="nil"/>
              <w:left w:val="nil"/>
              <w:bottom w:val="single" w:color="auto" w:sz="4" w:space="0"/>
              <w:right w:val="single" w:color="auto" w:sz="4" w:space="0"/>
            </w:tcBorders>
            <w:shd w:val="clear" w:color="auto" w:fill="auto"/>
            <w:vAlign w:val="center"/>
          </w:tcPr>
          <w:p w14:paraId="0798612E">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14ACA2F2">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07E2194C">
            <w:pPr>
              <w:jc w:val="center"/>
              <w:rPr>
                <w:sz w:val="18"/>
                <w:szCs w:val="18"/>
              </w:rPr>
            </w:pPr>
            <w:r>
              <w:rPr>
                <w:sz w:val="18"/>
                <w:szCs w:val="18"/>
              </w:rPr>
              <w:t>/</w:t>
            </w:r>
          </w:p>
        </w:tc>
      </w:tr>
      <w:tr w14:paraId="732ADFBA">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434208C0">
            <w:pPr>
              <w:jc w:val="center"/>
              <w:rPr>
                <w:sz w:val="18"/>
                <w:szCs w:val="18"/>
              </w:rPr>
            </w:pPr>
            <w:r>
              <w:rPr>
                <w:sz w:val="18"/>
                <w:szCs w:val="18"/>
              </w:rPr>
              <w:t>29</w:t>
            </w:r>
          </w:p>
        </w:tc>
        <w:tc>
          <w:tcPr>
            <w:tcW w:w="526" w:type="pct"/>
            <w:tcBorders>
              <w:top w:val="nil"/>
              <w:left w:val="nil"/>
              <w:bottom w:val="single" w:color="auto" w:sz="4" w:space="0"/>
              <w:right w:val="single" w:color="auto" w:sz="4" w:space="0"/>
            </w:tcBorders>
            <w:shd w:val="clear" w:color="auto" w:fill="auto"/>
            <w:vAlign w:val="center"/>
          </w:tcPr>
          <w:p w14:paraId="687E276F">
            <w:pPr>
              <w:jc w:val="center"/>
              <w:rPr>
                <w:sz w:val="18"/>
                <w:szCs w:val="18"/>
              </w:rPr>
            </w:pPr>
            <w:r>
              <w:rPr>
                <w:sz w:val="18"/>
                <w:szCs w:val="18"/>
              </w:rPr>
              <w:t>1-37</w:t>
            </w:r>
          </w:p>
        </w:tc>
        <w:tc>
          <w:tcPr>
            <w:tcW w:w="768" w:type="pct"/>
            <w:vMerge w:val="continue"/>
            <w:tcBorders>
              <w:top w:val="nil"/>
              <w:left w:val="single" w:color="auto" w:sz="4" w:space="0"/>
              <w:bottom w:val="single" w:color="000000" w:sz="4" w:space="0"/>
              <w:right w:val="single" w:color="auto" w:sz="4" w:space="0"/>
            </w:tcBorders>
            <w:vAlign w:val="center"/>
          </w:tcPr>
          <w:p w14:paraId="3670968D">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478FD294">
            <w:pPr>
              <w:jc w:val="center"/>
              <w:rPr>
                <w:sz w:val="18"/>
                <w:szCs w:val="18"/>
              </w:rPr>
            </w:pPr>
            <w:r>
              <w:rPr>
                <w:sz w:val="18"/>
                <w:szCs w:val="18"/>
              </w:rPr>
              <w:t>灰土(3:7)</w:t>
            </w:r>
          </w:p>
        </w:tc>
        <w:tc>
          <w:tcPr>
            <w:tcW w:w="613" w:type="pct"/>
            <w:tcBorders>
              <w:top w:val="nil"/>
              <w:left w:val="nil"/>
              <w:bottom w:val="single" w:color="auto" w:sz="4" w:space="0"/>
              <w:right w:val="single" w:color="auto" w:sz="4" w:space="0"/>
            </w:tcBorders>
            <w:shd w:val="clear" w:color="auto" w:fill="auto"/>
            <w:vAlign w:val="center"/>
          </w:tcPr>
          <w:p w14:paraId="3B58774C">
            <w:pPr>
              <w:jc w:val="center"/>
              <w:rPr>
                <w:sz w:val="18"/>
                <w:szCs w:val="18"/>
              </w:rPr>
            </w:pPr>
            <w:r>
              <w:rPr>
                <w:sz w:val="18"/>
                <w:szCs w:val="18"/>
              </w:rPr>
              <w:t xml:space="preserve">801.16 </w:t>
            </w:r>
          </w:p>
        </w:tc>
        <w:tc>
          <w:tcPr>
            <w:tcW w:w="934" w:type="pct"/>
            <w:tcBorders>
              <w:top w:val="nil"/>
              <w:left w:val="nil"/>
              <w:bottom w:val="single" w:color="auto" w:sz="4" w:space="0"/>
              <w:right w:val="single" w:color="auto" w:sz="4" w:space="0"/>
            </w:tcBorders>
            <w:shd w:val="clear" w:color="auto" w:fill="auto"/>
            <w:vAlign w:val="center"/>
          </w:tcPr>
          <w:p w14:paraId="5CD183AC">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0F151CE7">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699A8479">
            <w:pPr>
              <w:jc w:val="center"/>
              <w:rPr>
                <w:sz w:val="18"/>
                <w:szCs w:val="18"/>
              </w:rPr>
            </w:pPr>
            <w:r>
              <w:rPr>
                <w:sz w:val="18"/>
                <w:szCs w:val="18"/>
              </w:rPr>
              <w:t>/</w:t>
            </w:r>
          </w:p>
        </w:tc>
      </w:tr>
      <w:tr w14:paraId="13BC9747">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4598325F">
            <w:pPr>
              <w:jc w:val="center"/>
              <w:rPr>
                <w:sz w:val="18"/>
                <w:szCs w:val="18"/>
              </w:rPr>
            </w:pPr>
            <w:r>
              <w:rPr>
                <w:sz w:val="18"/>
                <w:szCs w:val="18"/>
              </w:rPr>
              <w:t>30</w:t>
            </w:r>
          </w:p>
        </w:tc>
        <w:tc>
          <w:tcPr>
            <w:tcW w:w="526" w:type="pct"/>
            <w:tcBorders>
              <w:top w:val="nil"/>
              <w:left w:val="nil"/>
              <w:bottom w:val="single" w:color="auto" w:sz="4" w:space="0"/>
              <w:right w:val="single" w:color="auto" w:sz="4" w:space="0"/>
            </w:tcBorders>
            <w:shd w:val="clear" w:color="auto" w:fill="auto"/>
            <w:vAlign w:val="center"/>
          </w:tcPr>
          <w:p w14:paraId="5CCB99C5">
            <w:pPr>
              <w:jc w:val="center"/>
              <w:rPr>
                <w:sz w:val="18"/>
                <w:szCs w:val="18"/>
              </w:rPr>
            </w:pPr>
            <w:r>
              <w:rPr>
                <w:sz w:val="18"/>
                <w:szCs w:val="18"/>
              </w:rPr>
              <w:t>1-38</w:t>
            </w:r>
          </w:p>
        </w:tc>
        <w:tc>
          <w:tcPr>
            <w:tcW w:w="768" w:type="pct"/>
            <w:vMerge w:val="continue"/>
            <w:tcBorders>
              <w:top w:val="nil"/>
              <w:left w:val="single" w:color="auto" w:sz="4" w:space="0"/>
              <w:bottom w:val="single" w:color="000000" w:sz="4" w:space="0"/>
              <w:right w:val="single" w:color="auto" w:sz="4" w:space="0"/>
            </w:tcBorders>
            <w:vAlign w:val="center"/>
          </w:tcPr>
          <w:p w14:paraId="6CD50388">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62505DF4">
            <w:pPr>
              <w:jc w:val="center"/>
              <w:rPr>
                <w:sz w:val="18"/>
                <w:szCs w:val="18"/>
              </w:rPr>
            </w:pPr>
            <w:r>
              <w:rPr>
                <w:sz w:val="18"/>
                <w:szCs w:val="18"/>
              </w:rPr>
              <w:t>级配碎石</w:t>
            </w:r>
          </w:p>
        </w:tc>
        <w:tc>
          <w:tcPr>
            <w:tcW w:w="613" w:type="pct"/>
            <w:tcBorders>
              <w:top w:val="nil"/>
              <w:left w:val="nil"/>
              <w:bottom w:val="single" w:color="auto" w:sz="4" w:space="0"/>
              <w:right w:val="single" w:color="auto" w:sz="4" w:space="0"/>
            </w:tcBorders>
            <w:shd w:val="clear" w:color="auto" w:fill="auto"/>
            <w:vAlign w:val="center"/>
          </w:tcPr>
          <w:p w14:paraId="1541BA90">
            <w:pPr>
              <w:jc w:val="center"/>
              <w:rPr>
                <w:rFonts w:eastAsia="等线"/>
                <w:sz w:val="18"/>
                <w:szCs w:val="18"/>
              </w:rPr>
            </w:pPr>
            <w:r>
              <w:rPr>
                <w:sz w:val="18"/>
                <w:szCs w:val="18"/>
              </w:rPr>
              <w:t xml:space="preserve">5.41 </w:t>
            </w:r>
          </w:p>
        </w:tc>
        <w:tc>
          <w:tcPr>
            <w:tcW w:w="934" w:type="pct"/>
            <w:tcBorders>
              <w:top w:val="nil"/>
              <w:left w:val="nil"/>
              <w:bottom w:val="single" w:color="auto" w:sz="4" w:space="0"/>
              <w:right w:val="single" w:color="auto" w:sz="4" w:space="0"/>
            </w:tcBorders>
            <w:shd w:val="clear" w:color="auto" w:fill="auto"/>
            <w:vAlign w:val="center"/>
          </w:tcPr>
          <w:p w14:paraId="1F538E10">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32E7B671">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58555E4D">
            <w:pPr>
              <w:jc w:val="center"/>
              <w:rPr>
                <w:sz w:val="18"/>
                <w:szCs w:val="18"/>
              </w:rPr>
            </w:pPr>
            <w:r>
              <w:rPr>
                <w:sz w:val="18"/>
                <w:szCs w:val="18"/>
              </w:rPr>
              <w:t>/</w:t>
            </w:r>
          </w:p>
        </w:tc>
      </w:tr>
      <w:tr w14:paraId="2CF8E2F4">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75F9EE8E">
            <w:pPr>
              <w:jc w:val="center"/>
              <w:rPr>
                <w:sz w:val="18"/>
                <w:szCs w:val="18"/>
              </w:rPr>
            </w:pPr>
            <w:r>
              <w:rPr>
                <w:sz w:val="18"/>
                <w:szCs w:val="18"/>
              </w:rPr>
              <w:t>31</w:t>
            </w:r>
          </w:p>
        </w:tc>
        <w:tc>
          <w:tcPr>
            <w:tcW w:w="526" w:type="pct"/>
            <w:tcBorders>
              <w:top w:val="nil"/>
              <w:left w:val="nil"/>
              <w:bottom w:val="single" w:color="auto" w:sz="4" w:space="0"/>
              <w:right w:val="single" w:color="auto" w:sz="4" w:space="0"/>
            </w:tcBorders>
            <w:shd w:val="clear" w:color="auto" w:fill="auto"/>
            <w:vAlign w:val="center"/>
          </w:tcPr>
          <w:p w14:paraId="7B445128">
            <w:pPr>
              <w:jc w:val="center"/>
              <w:rPr>
                <w:sz w:val="18"/>
                <w:szCs w:val="18"/>
              </w:rPr>
            </w:pPr>
            <w:r>
              <w:rPr>
                <w:sz w:val="18"/>
                <w:szCs w:val="18"/>
              </w:rPr>
              <w:t>1-39</w:t>
            </w:r>
          </w:p>
        </w:tc>
        <w:tc>
          <w:tcPr>
            <w:tcW w:w="768" w:type="pct"/>
            <w:vMerge w:val="continue"/>
            <w:tcBorders>
              <w:top w:val="nil"/>
              <w:left w:val="single" w:color="auto" w:sz="4" w:space="0"/>
              <w:bottom w:val="single" w:color="000000" w:sz="4" w:space="0"/>
              <w:right w:val="single" w:color="auto" w:sz="4" w:space="0"/>
            </w:tcBorders>
            <w:vAlign w:val="center"/>
          </w:tcPr>
          <w:p w14:paraId="56BF63B7">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10444C56">
            <w:pPr>
              <w:jc w:val="center"/>
              <w:rPr>
                <w:sz w:val="18"/>
                <w:szCs w:val="18"/>
              </w:rPr>
            </w:pPr>
            <w:r>
              <w:rPr>
                <w:sz w:val="18"/>
                <w:szCs w:val="18"/>
              </w:rPr>
              <w:t>混凝土</w:t>
            </w:r>
          </w:p>
        </w:tc>
        <w:tc>
          <w:tcPr>
            <w:tcW w:w="613" w:type="pct"/>
            <w:tcBorders>
              <w:top w:val="nil"/>
              <w:left w:val="nil"/>
              <w:bottom w:val="single" w:color="auto" w:sz="4" w:space="0"/>
              <w:right w:val="single" w:color="auto" w:sz="4" w:space="0"/>
            </w:tcBorders>
            <w:shd w:val="clear" w:color="auto" w:fill="auto"/>
            <w:vAlign w:val="center"/>
          </w:tcPr>
          <w:p w14:paraId="29060F33">
            <w:pPr>
              <w:jc w:val="center"/>
              <w:rPr>
                <w:sz w:val="18"/>
                <w:szCs w:val="18"/>
              </w:rPr>
            </w:pPr>
            <w:r>
              <w:rPr>
                <w:sz w:val="18"/>
                <w:szCs w:val="18"/>
              </w:rPr>
              <w:t xml:space="preserve">231.52 </w:t>
            </w:r>
          </w:p>
        </w:tc>
        <w:tc>
          <w:tcPr>
            <w:tcW w:w="934" w:type="pct"/>
            <w:tcBorders>
              <w:top w:val="nil"/>
              <w:left w:val="nil"/>
              <w:bottom w:val="single" w:color="auto" w:sz="4" w:space="0"/>
              <w:right w:val="single" w:color="auto" w:sz="4" w:space="0"/>
            </w:tcBorders>
            <w:shd w:val="clear" w:color="auto" w:fill="auto"/>
            <w:vAlign w:val="center"/>
          </w:tcPr>
          <w:p w14:paraId="4CC97154">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591E8D74">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1EB7FC32">
            <w:pPr>
              <w:jc w:val="center"/>
              <w:rPr>
                <w:sz w:val="18"/>
                <w:szCs w:val="18"/>
              </w:rPr>
            </w:pPr>
            <w:r>
              <w:rPr>
                <w:sz w:val="18"/>
                <w:szCs w:val="18"/>
              </w:rPr>
              <w:t>/</w:t>
            </w:r>
          </w:p>
        </w:tc>
      </w:tr>
      <w:tr w14:paraId="399A1A3A">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13531246">
            <w:pPr>
              <w:jc w:val="center"/>
              <w:rPr>
                <w:sz w:val="18"/>
                <w:szCs w:val="18"/>
              </w:rPr>
            </w:pPr>
            <w:r>
              <w:rPr>
                <w:sz w:val="18"/>
                <w:szCs w:val="18"/>
              </w:rPr>
              <w:t>32</w:t>
            </w:r>
          </w:p>
        </w:tc>
        <w:tc>
          <w:tcPr>
            <w:tcW w:w="526" w:type="pct"/>
            <w:tcBorders>
              <w:top w:val="nil"/>
              <w:left w:val="nil"/>
              <w:bottom w:val="single" w:color="auto" w:sz="4" w:space="0"/>
              <w:right w:val="single" w:color="auto" w:sz="4" w:space="0"/>
            </w:tcBorders>
            <w:shd w:val="clear" w:color="auto" w:fill="auto"/>
            <w:vAlign w:val="center"/>
          </w:tcPr>
          <w:p w14:paraId="3A94891B">
            <w:pPr>
              <w:jc w:val="center"/>
              <w:rPr>
                <w:sz w:val="18"/>
                <w:szCs w:val="18"/>
              </w:rPr>
            </w:pPr>
            <w:r>
              <w:rPr>
                <w:sz w:val="18"/>
                <w:szCs w:val="18"/>
              </w:rPr>
              <w:t>1-40</w:t>
            </w:r>
          </w:p>
        </w:tc>
        <w:tc>
          <w:tcPr>
            <w:tcW w:w="768" w:type="pct"/>
            <w:vMerge w:val="continue"/>
            <w:tcBorders>
              <w:top w:val="nil"/>
              <w:left w:val="single" w:color="auto" w:sz="4" w:space="0"/>
              <w:bottom w:val="single" w:color="000000" w:sz="4" w:space="0"/>
              <w:right w:val="single" w:color="auto" w:sz="4" w:space="0"/>
            </w:tcBorders>
            <w:vAlign w:val="center"/>
          </w:tcPr>
          <w:p w14:paraId="04C67893">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331FDE2B">
            <w:pPr>
              <w:jc w:val="center"/>
              <w:rPr>
                <w:sz w:val="18"/>
                <w:szCs w:val="18"/>
              </w:rPr>
            </w:pPr>
            <w:r>
              <w:rPr>
                <w:sz w:val="18"/>
                <w:szCs w:val="18"/>
              </w:rPr>
              <w:t>泡沫混凝土</w:t>
            </w:r>
          </w:p>
        </w:tc>
        <w:tc>
          <w:tcPr>
            <w:tcW w:w="613" w:type="pct"/>
            <w:tcBorders>
              <w:top w:val="nil"/>
              <w:left w:val="nil"/>
              <w:bottom w:val="single" w:color="auto" w:sz="4" w:space="0"/>
              <w:right w:val="single" w:color="auto" w:sz="4" w:space="0"/>
            </w:tcBorders>
            <w:shd w:val="clear" w:color="auto" w:fill="auto"/>
            <w:vAlign w:val="center"/>
          </w:tcPr>
          <w:p w14:paraId="5B31AC38">
            <w:pPr>
              <w:jc w:val="center"/>
              <w:rPr>
                <w:sz w:val="18"/>
                <w:szCs w:val="18"/>
              </w:rPr>
            </w:pPr>
            <w:r>
              <w:rPr>
                <w:sz w:val="18"/>
                <w:szCs w:val="18"/>
              </w:rPr>
              <w:t xml:space="preserve">231.52 </w:t>
            </w:r>
          </w:p>
        </w:tc>
        <w:tc>
          <w:tcPr>
            <w:tcW w:w="934" w:type="pct"/>
            <w:tcBorders>
              <w:top w:val="nil"/>
              <w:left w:val="nil"/>
              <w:bottom w:val="single" w:color="auto" w:sz="4" w:space="0"/>
              <w:right w:val="single" w:color="auto" w:sz="4" w:space="0"/>
            </w:tcBorders>
            <w:shd w:val="clear" w:color="auto" w:fill="auto"/>
            <w:vAlign w:val="center"/>
          </w:tcPr>
          <w:p w14:paraId="1B099166">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5AE8D3A4">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74B28FB7">
            <w:pPr>
              <w:jc w:val="center"/>
              <w:rPr>
                <w:sz w:val="18"/>
                <w:szCs w:val="18"/>
              </w:rPr>
            </w:pPr>
            <w:r>
              <w:rPr>
                <w:sz w:val="18"/>
                <w:szCs w:val="18"/>
              </w:rPr>
              <w:t>/</w:t>
            </w:r>
          </w:p>
        </w:tc>
      </w:tr>
      <w:tr w14:paraId="1F9E062E">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417E533D">
            <w:pPr>
              <w:jc w:val="center"/>
              <w:rPr>
                <w:sz w:val="18"/>
                <w:szCs w:val="18"/>
              </w:rPr>
            </w:pPr>
            <w:r>
              <w:rPr>
                <w:sz w:val="18"/>
                <w:szCs w:val="18"/>
              </w:rPr>
              <w:t>33</w:t>
            </w:r>
          </w:p>
        </w:tc>
        <w:tc>
          <w:tcPr>
            <w:tcW w:w="526" w:type="pct"/>
            <w:tcBorders>
              <w:top w:val="nil"/>
              <w:left w:val="nil"/>
              <w:bottom w:val="single" w:color="auto" w:sz="4" w:space="0"/>
              <w:right w:val="single" w:color="auto" w:sz="4" w:space="0"/>
            </w:tcBorders>
            <w:shd w:val="clear" w:color="auto" w:fill="auto"/>
            <w:vAlign w:val="center"/>
          </w:tcPr>
          <w:p w14:paraId="66F22323">
            <w:pPr>
              <w:jc w:val="center"/>
              <w:rPr>
                <w:sz w:val="18"/>
                <w:szCs w:val="18"/>
              </w:rPr>
            </w:pPr>
            <w:r>
              <w:rPr>
                <w:sz w:val="18"/>
                <w:szCs w:val="18"/>
              </w:rPr>
              <w:t>1-41</w:t>
            </w:r>
          </w:p>
        </w:tc>
        <w:tc>
          <w:tcPr>
            <w:tcW w:w="768" w:type="pct"/>
            <w:vMerge w:val="continue"/>
            <w:tcBorders>
              <w:top w:val="nil"/>
              <w:left w:val="single" w:color="auto" w:sz="4" w:space="0"/>
              <w:bottom w:val="single" w:color="000000" w:sz="4" w:space="0"/>
              <w:right w:val="single" w:color="auto" w:sz="4" w:space="0"/>
            </w:tcBorders>
            <w:vAlign w:val="center"/>
          </w:tcPr>
          <w:p w14:paraId="534632F2">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4CA15990">
            <w:pPr>
              <w:jc w:val="center"/>
              <w:rPr>
                <w:sz w:val="18"/>
                <w:szCs w:val="18"/>
              </w:rPr>
            </w:pPr>
            <w:r>
              <w:rPr>
                <w:sz w:val="18"/>
                <w:szCs w:val="18"/>
              </w:rPr>
              <w:t>固化土</w:t>
            </w:r>
          </w:p>
        </w:tc>
        <w:tc>
          <w:tcPr>
            <w:tcW w:w="613" w:type="pct"/>
            <w:tcBorders>
              <w:top w:val="nil"/>
              <w:left w:val="nil"/>
              <w:bottom w:val="single" w:color="auto" w:sz="4" w:space="0"/>
              <w:right w:val="single" w:color="auto" w:sz="4" w:space="0"/>
            </w:tcBorders>
            <w:shd w:val="clear" w:color="auto" w:fill="auto"/>
            <w:vAlign w:val="center"/>
          </w:tcPr>
          <w:p w14:paraId="2341DDF7">
            <w:pPr>
              <w:jc w:val="center"/>
              <w:rPr>
                <w:sz w:val="18"/>
                <w:szCs w:val="18"/>
              </w:rPr>
            </w:pPr>
            <w:r>
              <w:rPr>
                <w:sz w:val="18"/>
                <w:szCs w:val="18"/>
              </w:rPr>
              <w:t xml:space="preserve">5.18 </w:t>
            </w:r>
          </w:p>
        </w:tc>
        <w:tc>
          <w:tcPr>
            <w:tcW w:w="934" w:type="pct"/>
            <w:tcBorders>
              <w:top w:val="nil"/>
              <w:left w:val="nil"/>
              <w:bottom w:val="single" w:color="auto" w:sz="4" w:space="0"/>
              <w:right w:val="single" w:color="auto" w:sz="4" w:space="0"/>
            </w:tcBorders>
            <w:shd w:val="clear" w:color="auto" w:fill="auto"/>
            <w:vAlign w:val="center"/>
          </w:tcPr>
          <w:p w14:paraId="300ACB9B">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2F97B92C">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505B2749">
            <w:pPr>
              <w:jc w:val="center"/>
              <w:rPr>
                <w:sz w:val="18"/>
                <w:szCs w:val="18"/>
              </w:rPr>
            </w:pPr>
            <w:r>
              <w:rPr>
                <w:sz w:val="18"/>
                <w:szCs w:val="18"/>
              </w:rPr>
              <w:t>/</w:t>
            </w:r>
          </w:p>
        </w:tc>
      </w:tr>
      <w:tr w14:paraId="7A705D0D">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2175744D">
            <w:pPr>
              <w:jc w:val="center"/>
              <w:rPr>
                <w:sz w:val="18"/>
                <w:szCs w:val="18"/>
              </w:rPr>
            </w:pPr>
            <w:r>
              <w:rPr>
                <w:sz w:val="18"/>
                <w:szCs w:val="18"/>
              </w:rPr>
              <w:t>34</w:t>
            </w:r>
          </w:p>
        </w:tc>
        <w:tc>
          <w:tcPr>
            <w:tcW w:w="526" w:type="pct"/>
            <w:tcBorders>
              <w:top w:val="nil"/>
              <w:left w:val="nil"/>
              <w:bottom w:val="single" w:color="auto" w:sz="4" w:space="0"/>
              <w:right w:val="single" w:color="auto" w:sz="4" w:space="0"/>
            </w:tcBorders>
            <w:shd w:val="clear" w:color="auto" w:fill="auto"/>
            <w:vAlign w:val="center"/>
          </w:tcPr>
          <w:p w14:paraId="4DC6E6D8">
            <w:pPr>
              <w:jc w:val="center"/>
              <w:rPr>
                <w:sz w:val="18"/>
                <w:szCs w:val="18"/>
              </w:rPr>
            </w:pPr>
            <w:r>
              <w:rPr>
                <w:sz w:val="18"/>
                <w:szCs w:val="18"/>
              </w:rPr>
              <w:t>1-42</w:t>
            </w:r>
          </w:p>
        </w:tc>
        <w:tc>
          <w:tcPr>
            <w:tcW w:w="768" w:type="pct"/>
            <w:vMerge w:val="continue"/>
            <w:tcBorders>
              <w:top w:val="nil"/>
              <w:left w:val="single" w:color="auto" w:sz="4" w:space="0"/>
              <w:bottom w:val="single" w:color="000000" w:sz="4" w:space="0"/>
              <w:right w:val="single" w:color="auto" w:sz="4" w:space="0"/>
            </w:tcBorders>
            <w:vAlign w:val="center"/>
          </w:tcPr>
          <w:p w14:paraId="58085848">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3BF1A226">
            <w:pPr>
              <w:jc w:val="center"/>
              <w:rPr>
                <w:sz w:val="18"/>
                <w:szCs w:val="18"/>
              </w:rPr>
            </w:pPr>
            <w:r>
              <w:rPr>
                <w:sz w:val="18"/>
                <w:szCs w:val="18"/>
              </w:rPr>
              <w:t>房心回填土</w:t>
            </w:r>
          </w:p>
        </w:tc>
        <w:tc>
          <w:tcPr>
            <w:tcW w:w="613" w:type="pct"/>
            <w:tcBorders>
              <w:top w:val="nil"/>
              <w:left w:val="nil"/>
              <w:bottom w:val="single" w:color="auto" w:sz="4" w:space="0"/>
              <w:right w:val="single" w:color="auto" w:sz="4" w:space="0"/>
            </w:tcBorders>
            <w:shd w:val="clear" w:color="auto" w:fill="auto"/>
            <w:vAlign w:val="center"/>
          </w:tcPr>
          <w:p w14:paraId="42DE8B5C">
            <w:pPr>
              <w:jc w:val="center"/>
              <w:rPr>
                <w:sz w:val="18"/>
                <w:szCs w:val="18"/>
              </w:rPr>
            </w:pPr>
            <w:r>
              <w:rPr>
                <w:sz w:val="18"/>
                <w:szCs w:val="18"/>
              </w:rPr>
              <w:t xml:space="preserve">5.29 </w:t>
            </w:r>
          </w:p>
        </w:tc>
        <w:tc>
          <w:tcPr>
            <w:tcW w:w="934" w:type="pct"/>
            <w:tcBorders>
              <w:top w:val="nil"/>
              <w:left w:val="nil"/>
              <w:bottom w:val="single" w:color="auto" w:sz="4" w:space="0"/>
              <w:right w:val="single" w:color="auto" w:sz="4" w:space="0"/>
            </w:tcBorders>
            <w:shd w:val="clear" w:color="auto" w:fill="auto"/>
            <w:vAlign w:val="center"/>
          </w:tcPr>
          <w:p w14:paraId="57527B93">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44321379">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2D4CC27C">
            <w:pPr>
              <w:jc w:val="center"/>
              <w:rPr>
                <w:sz w:val="18"/>
                <w:szCs w:val="18"/>
              </w:rPr>
            </w:pPr>
            <w:r>
              <w:rPr>
                <w:sz w:val="18"/>
                <w:szCs w:val="18"/>
              </w:rPr>
              <w:t>/</w:t>
            </w:r>
          </w:p>
        </w:tc>
      </w:tr>
      <w:tr w14:paraId="55A0D176">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521E2957">
            <w:pPr>
              <w:jc w:val="center"/>
              <w:rPr>
                <w:sz w:val="18"/>
                <w:szCs w:val="18"/>
              </w:rPr>
            </w:pPr>
            <w:r>
              <w:rPr>
                <w:sz w:val="18"/>
                <w:szCs w:val="18"/>
              </w:rPr>
              <w:t>35</w:t>
            </w:r>
          </w:p>
        </w:tc>
        <w:tc>
          <w:tcPr>
            <w:tcW w:w="526" w:type="pct"/>
            <w:tcBorders>
              <w:top w:val="nil"/>
              <w:left w:val="nil"/>
              <w:bottom w:val="single" w:color="auto" w:sz="4" w:space="0"/>
              <w:right w:val="single" w:color="auto" w:sz="4" w:space="0"/>
            </w:tcBorders>
            <w:shd w:val="clear" w:color="auto" w:fill="auto"/>
            <w:vAlign w:val="center"/>
          </w:tcPr>
          <w:p w14:paraId="5513AC1B">
            <w:pPr>
              <w:jc w:val="center"/>
              <w:rPr>
                <w:sz w:val="18"/>
                <w:szCs w:val="18"/>
              </w:rPr>
            </w:pPr>
            <w:r>
              <w:rPr>
                <w:sz w:val="18"/>
                <w:szCs w:val="18"/>
              </w:rPr>
              <w:t>1-43</w:t>
            </w:r>
          </w:p>
        </w:tc>
        <w:tc>
          <w:tcPr>
            <w:tcW w:w="768" w:type="pct"/>
            <w:vMerge w:val="continue"/>
            <w:tcBorders>
              <w:top w:val="nil"/>
              <w:left w:val="single" w:color="auto" w:sz="4" w:space="0"/>
              <w:bottom w:val="single" w:color="000000" w:sz="4" w:space="0"/>
              <w:right w:val="single" w:color="auto" w:sz="4" w:space="0"/>
            </w:tcBorders>
            <w:vAlign w:val="center"/>
          </w:tcPr>
          <w:p w14:paraId="2CCDB695">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738E90D4">
            <w:pPr>
              <w:jc w:val="center"/>
              <w:rPr>
                <w:sz w:val="18"/>
                <w:szCs w:val="18"/>
              </w:rPr>
            </w:pPr>
            <w:r>
              <w:rPr>
                <w:sz w:val="18"/>
                <w:szCs w:val="18"/>
              </w:rPr>
              <w:t>地下室内回填(回填土)</w:t>
            </w:r>
          </w:p>
        </w:tc>
        <w:tc>
          <w:tcPr>
            <w:tcW w:w="613" w:type="pct"/>
            <w:tcBorders>
              <w:top w:val="nil"/>
              <w:left w:val="nil"/>
              <w:bottom w:val="single" w:color="auto" w:sz="4" w:space="0"/>
              <w:right w:val="single" w:color="auto" w:sz="4" w:space="0"/>
            </w:tcBorders>
            <w:shd w:val="clear" w:color="auto" w:fill="auto"/>
            <w:vAlign w:val="center"/>
          </w:tcPr>
          <w:p w14:paraId="757E4D2A">
            <w:pPr>
              <w:jc w:val="center"/>
              <w:rPr>
                <w:sz w:val="18"/>
                <w:szCs w:val="18"/>
              </w:rPr>
            </w:pPr>
            <w:r>
              <w:rPr>
                <w:sz w:val="18"/>
                <w:szCs w:val="18"/>
              </w:rPr>
              <w:t xml:space="preserve">5.29 </w:t>
            </w:r>
          </w:p>
        </w:tc>
        <w:tc>
          <w:tcPr>
            <w:tcW w:w="934" w:type="pct"/>
            <w:tcBorders>
              <w:top w:val="nil"/>
              <w:left w:val="nil"/>
              <w:bottom w:val="single" w:color="auto" w:sz="4" w:space="0"/>
              <w:right w:val="single" w:color="auto" w:sz="4" w:space="0"/>
            </w:tcBorders>
            <w:shd w:val="clear" w:color="auto" w:fill="auto"/>
            <w:vAlign w:val="center"/>
          </w:tcPr>
          <w:p w14:paraId="7D0C6FEA">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262A2CE9">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51AE1F3D">
            <w:pPr>
              <w:jc w:val="center"/>
              <w:rPr>
                <w:sz w:val="18"/>
                <w:szCs w:val="18"/>
              </w:rPr>
            </w:pPr>
            <w:r>
              <w:rPr>
                <w:sz w:val="18"/>
                <w:szCs w:val="18"/>
              </w:rPr>
              <w:t>/</w:t>
            </w:r>
          </w:p>
        </w:tc>
      </w:tr>
      <w:tr w14:paraId="7D738542">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220AAFAF">
            <w:pPr>
              <w:jc w:val="center"/>
              <w:rPr>
                <w:sz w:val="18"/>
                <w:szCs w:val="18"/>
              </w:rPr>
            </w:pPr>
            <w:r>
              <w:rPr>
                <w:sz w:val="18"/>
                <w:szCs w:val="18"/>
              </w:rPr>
              <w:t>36</w:t>
            </w:r>
          </w:p>
        </w:tc>
        <w:tc>
          <w:tcPr>
            <w:tcW w:w="526" w:type="pct"/>
            <w:tcBorders>
              <w:top w:val="nil"/>
              <w:left w:val="nil"/>
              <w:bottom w:val="single" w:color="auto" w:sz="4" w:space="0"/>
              <w:right w:val="single" w:color="auto" w:sz="4" w:space="0"/>
            </w:tcBorders>
            <w:shd w:val="clear" w:color="auto" w:fill="auto"/>
            <w:vAlign w:val="center"/>
          </w:tcPr>
          <w:p w14:paraId="0B2DED7D">
            <w:pPr>
              <w:jc w:val="center"/>
              <w:rPr>
                <w:sz w:val="18"/>
                <w:szCs w:val="18"/>
              </w:rPr>
            </w:pPr>
            <w:r>
              <w:rPr>
                <w:sz w:val="18"/>
                <w:szCs w:val="18"/>
              </w:rPr>
              <w:t>1-44</w:t>
            </w:r>
          </w:p>
        </w:tc>
        <w:tc>
          <w:tcPr>
            <w:tcW w:w="768" w:type="pct"/>
            <w:vMerge w:val="continue"/>
            <w:tcBorders>
              <w:top w:val="nil"/>
              <w:left w:val="single" w:color="auto" w:sz="4" w:space="0"/>
              <w:bottom w:val="single" w:color="000000" w:sz="4" w:space="0"/>
              <w:right w:val="single" w:color="auto" w:sz="4" w:space="0"/>
            </w:tcBorders>
            <w:vAlign w:val="center"/>
          </w:tcPr>
          <w:p w14:paraId="7F1C95F7">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63C87494">
            <w:pPr>
              <w:jc w:val="center"/>
              <w:rPr>
                <w:sz w:val="18"/>
                <w:szCs w:val="18"/>
              </w:rPr>
            </w:pPr>
            <w:r>
              <w:rPr>
                <w:sz w:val="18"/>
                <w:szCs w:val="18"/>
              </w:rPr>
              <w:t>地下室内回填(钢渣混凝土)</w:t>
            </w:r>
          </w:p>
        </w:tc>
        <w:tc>
          <w:tcPr>
            <w:tcW w:w="613" w:type="pct"/>
            <w:tcBorders>
              <w:top w:val="nil"/>
              <w:left w:val="nil"/>
              <w:bottom w:val="single" w:color="auto" w:sz="4" w:space="0"/>
              <w:right w:val="single" w:color="auto" w:sz="4" w:space="0"/>
            </w:tcBorders>
            <w:shd w:val="clear" w:color="auto" w:fill="auto"/>
            <w:vAlign w:val="center"/>
          </w:tcPr>
          <w:p w14:paraId="538D379A">
            <w:pPr>
              <w:jc w:val="center"/>
              <w:rPr>
                <w:sz w:val="18"/>
                <w:szCs w:val="18"/>
              </w:rPr>
            </w:pPr>
            <w:r>
              <w:rPr>
                <w:sz w:val="18"/>
                <w:szCs w:val="18"/>
              </w:rPr>
              <w:t xml:space="preserve">231.52 </w:t>
            </w:r>
          </w:p>
        </w:tc>
        <w:tc>
          <w:tcPr>
            <w:tcW w:w="934" w:type="pct"/>
            <w:tcBorders>
              <w:top w:val="nil"/>
              <w:left w:val="nil"/>
              <w:bottom w:val="single" w:color="auto" w:sz="4" w:space="0"/>
              <w:right w:val="single" w:color="auto" w:sz="4" w:space="0"/>
            </w:tcBorders>
            <w:shd w:val="clear" w:color="auto" w:fill="auto"/>
            <w:vAlign w:val="center"/>
          </w:tcPr>
          <w:p w14:paraId="63FAD2DC">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359CA9E5">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4FB75844">
            <w:pPr>
              <w:jc w:val="center"/>
              <w:rPr>
                <w:sz w:val="18"/>
                <w:szCs w:val="18"/>
              </w:rPr>
            </w:pPr>
            <w:r>
              <w:rPr>
                <w:sz w:val="18"/>
                <w:szCs w:val="18"/>
              </w:rPr>
              <w:t>/</w:t>
            </w:r>
          </w:p>
        </w:tc>
      </w:tr>
      <w:tr w14:paraId="2B20A884">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6F3815D0">
            <w:pPr>
              <w:jc w:val="center"/>
              <w:rPr>
                <w:sz w:val="18"/>
                <w:szCs w:val="18"/>
              </w:rPr>
            </w:pPr>
            <w:r>
              <w:rPr>
                <w:sz w:val="18"/>
                <w:szCs w:val="18"/>
              </w:rPr>
              <w:t>37</w:t>
            </w:r>
          </w:p>
        </w:tc>
        <w:tc>
          <w:tcPr>
            <w:tcW w:w="526" w:type="pct"/>
            <w:tcBorders>
              <w:top w:val="nil"/>
              <w:left w:val="nil"/>
              <w:bottom w:val="single" w:color="auto" w:sz="4" w:space="0"/>
              <w:right w:val="single" w:color="auto" w:sz="4" w:space="0"/>
            </w:tcBorders>
            <w:shd w:val="clear" w:color="auto" w:fill="auto"/>
            <w:vAlign w:val="center"/>
          </w:tcPr>
          <w:p w14:paraId="079BCDC0">
            <w:pPr>
              <w:jc w:val="center"/>
              <w:rPr>
                <w:sz w:val="18"/>
                <w:szCs w:val="18"/>
              </w:rPr>
            </w:pPr>
            <w:r>
              <w:rPr>
                <w:sz w:val="18"/>
                <w:szCs w:val="18"/>
              </w:rPr>
              <w:t>1-45</w:t>
            </w:r>
          </w:p>
        </w:tc>
        <w:tc>
          <w:tcPr>
            <w:tcW w:w="768" w:type="pct"/>
            <w:vMerge w:val="restart"/>
            <w:tcBorders>
              <w:top w:val="nil"/>
              <w:left w:val="single" w:color="auto" w:sz="4" w:space="0"/>
              <w:bottom w:val="single" w:color="000000" w:sz="4" w:space="0"/>
              <w:right w:val="single" w:color="auto" w:sz="4" w:space="0"/>
            </w:tcBorders>
            <w:shd w:val="clear" w:color="auto" w:fill="auto"/>
            <w:vAlign w:val="center"/>
          </w:tcPr>
          <w:p w14:paraId="48FCE76E">
            <w:pPr>
              <w:jc w:val="center"/>
              <w:rPr>
                <w:sz w:val="18"/>
                <w:szCs w:val="18"/>
              </w:rPr>
            </w:pPr>
            <w:r>
              <w:rPr>
                <w:sz w:val="18"/>
                <w:szCs w:val="18"/>
              </w:rPr>
              <w:t>场地回填</w:t>
            </w:r>
          </w:p>
        </w:tc>
        <w:tc>
          <w:tcPr>
            <w:tcW w:w="957" w:type="pct"/>
            <w:tcBorders>
              <w:top w:val="nil"/>
              <w:left w:val="nil"/>
              <w:bottom w:val="single" w:color="auto" w:sz="4" w:space="0"/>
              <w:right w:val="single" w:color="auto" w:sz="4" w:space="0"/>
            </w:tcBorders>
            <w:shd w:val="clear" w:color="auto" w:fill="auto"/>
            <w:vAlign w:val="center"/>
          </w:tcPr>
          <w:p w14:paraId="0647B146">
            <w:pPr>
              <w:jc w:val="center"/>
              <w:rPr>
                <w:sz w:val="18"/>
                <w:szCs w:val="18"/>
              </w:rPr>
            </w:pPr>
            <w:r>
              <w:rPr>
                <w:sz w:val="18"/>
                <w:szCs w:val="18"/>
              </w:rPr>
              <w:t>素土</w:t>
            </w:r>
          </w:p>
        </w:tc>
        <w:tc>
          <w:tcPr>
            <w:tcW w:w="613" w:type="pct"/>
            <w:tcBorders>
              <w:top w:val="nil"/>
              <w:left w:val="nil"/>
              <w:bottom w:val="single" w:color="auto" w:sz="4" w:space="0"/>
              <w:right w:val="single" w:color="auto" w:sz="4" w:space="0"/>
            </w:tcBorders>
            <w:shd w:val="clear" w:color="auto" w:fill="auto"/>
            <w:vAlign w:val="center"/>
          </w:tcPr>
          <w:p w14:paraId="1A7224FC">
            <w:pPr>
              <w:jc w:val="center"/>
              <w:rPr>
                <w:sz w:val="18"/>
                <w:szCs w:val="18"/>
              </w:rPr>
            </w:pPr>
            <w:r>
              <w:rPr>
                <w:sz w:val="18"/>
                <w:szCs w:val="18"/>
              </w:rPr>
              <w:t xml:space="preserve">5.72 </w:t>
            </w:r>
          </w:p>
        </w:tc>
        <w:tc>
          <w:tcPr>
            <w:tcW w:w="934" w:type="pct"/>
            <w:tcBorders>
              <w:top w:val="nil"/>
              <w:left w:val="nil"/>
              <w:bottom w:val="single" w:color="auto" w:sz="4" w:space="0"/>
              <w:right w:val="single" w:color="auto" w:sz="4" w:space="0"/>
            </w:tcBorders>
            <w:shd w:val="clear" w:color="auto" w:fill="auto"/>
            <w:vAlign w:val="center"/>
          </w:tcPr>
          <w:p w14:paraId="1265449C">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400A7BCB">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51EB5501">
            <w:pPr>
              <w:jc w:val="center"/>
              <w:rPr>
                <w:sz w:val="18"/>
                <w:szCs w:val="18"/>
              </w:rPr>
            </w:pPr>
            <w:r>
              <w:rPr>
                <w:sz w:val="18"/>
                <w:szCs w:val="18"/>
              </w:rPr>
              <w:t>/</w:t>
            </w:r>
          </w:p>
        </w:tc>
      </w:tr>
      <w:tr w14:paraId="7C1D6965">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294CDAD5">
            <w:pPr>
              <w:jc w:val="center"/>
              <w:rPr>
                <w:sz w:val="18"/>
                <w:szCs w:val="18"/>
              </w:rPr>
            </w:pPr>
            <w:r>
              <w:rPr>
                <w:sz w:val="18"/>
                <w:szCs w:val="18"/>
              </w:rPr>
              <w:t>38</w:t>
            </w:r>
          </w:p>
        </w:tc>
        <w:tc>
          <w:tcPr>
            <w:tcW w:w="526" w:type="pct"/>
            <w:tcBorders>
              <w:top w:val="nil"/>
              <w:left w:val="nil"/>
              <w:bottom w:val="single" w:color="auto" w:sz="4" w:space="0"/>
              <w:right w:val="single" w:color="auto" w:sz="4" w:space="0"/>
            </w:tcBorders>
            <w:shd w:val="clear" w:color="auto" w:fill="auto"/>
            <w:vAlign w:val="center"/>
          </w:tcPr>
          <w:p w14:paraId="5946C324">
            <w:pPr>
              <w:jc w:val="center"/>
              <w:rPr>
                <w:sz w:val="18"/>
                <w:szCs w:val="18"/>
              </w:rPr>
            </w:pPr>
            <w:r>
              <w:rPr>
                <w:sz w:val="18"/>
                <w:szCs w:val="18"/>
              </w:rPr>
              <w:t>1-46</w:t>
            </w:r>
          </w:p>
        </w:tc>
        <w:tc>
          <w:tcPr>
            <w:tcW w:w="768" w:type="pct"/>
            <w:vMerge w:val="continue"/>
            <w:tcBorders>
              <w:top w:val="nil"/>
              <w:left w:val="single" w:color="auto" w:sz="4" w:space="0"/>
              <w:bottom w:val="single" w:color="000000" w:sz="4" w:space="0"/>
              <w:right w:val="single" w:color="auto" w:sz="4" w:space="0"/>
            </w:tcBorders>
            <w:vAlign w:val="center"/>
          </w:tcPr>
          <w:p w14:paraId="394A80C4">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72C3A605">
            <w:pPr>
              <w:jc w:val="center"/>
              <w:rPr>
                <w:sz w:val="18"/>
                <w:szCs w:val="18"/>
              </w:rPr>
            </w:pPr>
            <w:r>
              <w:rPr>
                <w:sz w:val="18"/>
                <w:szCs w:val="18"/>
              </w:rPr>
              <w:t>灰土(2:8)</w:t>
            </w:r>
          </w:p>
        </w:tc>
        <w:tc>
          <w:tcPr>
            <w:tcW w:w="613" w:type="pct"/>
            <w:tcBorders>
              <w:top w:val="nil"/>
              <w:left w:val="nil"/>
              <w:bottom w:val="single" w:color="auto" w:sz="4" w:space="0"/>
              <w:right w:val="single" w:color="auto" w:sz="4" w:space="0"/>
            </w:tcBorders>
            <w:shd w:val="clear" w:color="auto" w:fill="auto"/>
            <w:vAlign w:val="center"/>
          </w:tcPr>
          <w:p w14:paraId="1562DBA9">
            <w:pPr>
              <w:jc w:val="center"/>
              <w:rPr>
                <w:sz w:val="18"/>
                <w:szCs w:val="18"/>
              </w:rPr>
            </w:pPr>
            <w:r>
              <w:rPr>
                <w:sz w:val="18"/>
                <w:szCs w:val="18"/>
              </w:rPr>
              <w:t xml:space="preserve">538.43 </w:t>
            </w:r>
          </w:p>
        </w:tc>
        <w:tc>
          <w:tcPr>
            <w:tcW w:w="934" w:type="pct"/>
            <w:tcBorders>
              <w:top w:val="nil"/>
              <w:left w:val="nil"/>
              <w:bottom w:val="single" w:color="auto" w:sz="4" w:space="0"/>
              <w:right w:val="single" w:color="auto" w:sz="4" w:space="0"/>
            </w:tcBorders>
            <w:shd w:val="clear" w:color="auto" w:fill="auto"/>
            <w:vAlign w:val="center"/>
          </w:tcPr>
          <w:p w14:paraId="02F72C7D">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374892DF">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33FABA49">
            <w:pPr>
              <w:jc w:val="center"/>
              <w:rPr>
                <w:sz w:val="18"/>
                <w:szCs w:val="18"/>
              </w:rPr>
            </w:pPr>
            <w:r>
              <w:rPr>
                <w:sz w:val="18"/>
                <w:szCs w:val="18"/>
              </w:rPr>
              <w:t>/</w:t>
            </w:r>
          </w:p>
        </w:tc>
      </w:tr>
      <w:tr w14:paraId="055A265E">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226D5BF3">
            <w:pPr>
              <w:jc w:val="center"/>
              <w:rPr>
                <w:sz w:val="18"/>
                <w:szCs w:val="18"/>
              </w:rPr>
            </w:pPr>
            <w:r>
              <w:rPr>
                <w:sz w:val="18"/>
                <w:szCs w:val="18"/>
              </w:rPr>
              <w:t>39</w:t>
            </w:r>
          </w:p>
        </w:tc>
        <w:tc>
          <w:tcPr>
            <w:tcW w:w="526" w:type="pct"/>
            <w:tcBorders>
              <w:top w:val="nil"/>
              <w:left w:val="nil"/>
              <w:bottom w:val="single" w:color="auto" w:sz="4" w:space="0"/>
              <w:right w:val="single" w:color="auto" w:sz="4" w:space="0"/>
            </w:tcBorders>
            <w:shd w:val="clear" w:color="auto" w:fill="auto"/>
            <w:vAlign w:val="center"/>
          </w:tcPr>
          <w:p w14:paraId="2A41509D">
            <w:pPr>
              <w:jc w:val="center"/>
              <w:rPr>
                <w:sz w:val="18"/>
                <w:szCs w:val="18"/>
              </w:rPr>
            </w:pPr>
            <w:r>
              <w:rPr>
                <w:sz w:val="18"/>
                <w:szCs w:val="18"/>
              </w:rPr>
              <w:t>1-47</w:t>
            </w:r>
          </w:p>
        </w:tc>
        <w:tc>
          <w:tcPr>
            <w:tcW w:w="768" w:type="pct"/>
            <w:vMerge w:val="continue"/>
            <w:tcBorders>
              <w:top w:val="nil"/>
              <w:left w:val="single" w:color="auto" w:sz="4" w:space="0"/>
              <w:bottom w:val="single" w:color="000000" w:sz="4" w:space="0"/>
              <w:right w:val="single" w:color="auto" w:sz="4" w:space="0"/>
            </w:tcBorders>
            <w:vAlign w:val="center"/>
          </w:tcPr>
          <w:p w14:paraId="0AE69864">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1E479C5D">
            <w:pPr>
              <w:jc w:val="center"/>
              <w:rPr>
                <w:sz w:val="18"/>
                <w:szCs w:val="18"/>
              </w:rPr>
            </w:pPr>
            <w:r>
              <w:rPr>
                <w:sz w:val="18"/>
                <w:szCs w:val="18"/>
              </w:rPr>
              <w:t>灰土(3:7)</w:t>
            </w:r>
          </w:p>
        </w:tc>
        <w:tc>
          <w:tcPr>
            <w:tcW w:w="613" w:type="pct"/>
            <w:tcBorders>
              <w:top w:val="nil"/>
              <w:left w:val="nil"/>
              <w:bottom w:val="single" w:color="auto" w:sz="4" w:space="0"/>
              <w:right w:val="single" w:color="auto" w:sz="4" w:space="0"/>
            </w:tcBorders>
            <w:shd w:val="clear" w:color="auto" w:fill="auto"/>
            <w:vAlign w:val="center"/>
          </w:tcPr>
          <w:p w14:paraId="507E89DF">
            <w:pPr>
              <w:jc w:val="center"/>
              <w:rPr>
                <w:sz w:val="18"/>
                <w:szCs w:val="18"/>
              </w:rPr>
            </w:pPr>
            <w:r>
              <w:rPr>
                <w:sz w:val="18"/>
                <w:szCs w:val="18"/>
              </w:rPr>
              <w:t xml:space="preserve">804.78 </w:t>
            </w:r>
          </w:p>
        </w:tc>
        <w:tc>
          <w:tcPr>
            <w:tcW w:w="934" w:type="pct"/>
            <w:tcBorders>
              <w:top w:val="nil"/>
              <w:left w:val="nil"/>
              <w:bottom w:val="single" w:color="auto" w:sz="4" w:space="0"/>
              <w:right w:val="single" w:color="auto" w:sz="4" w:space="0"/>
            </w:tcBorders>
            <w:shd w:val="clear" w:color="auto" w:fill="auto"/>
            <w:vAlign w:val="center"/>
          </w:tcPr>
          <w:p w14:paraId="76F03048">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6D58F5E3">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14015F63">
            <w:pPr>
              <w:jc w:val="center"/>
              <w:rPr>
                <w:sz w:val="18"/>
                <w:szCs w:val="18"/>
              </w:rPr>
            </w:pPr>
            <w:r>
              <w:rPr>
                <w:sz w:val="18"/>
                <w:szCs w:val="18"/>
              </w:rPr>
              <w:t>/</w:t>
            </w:r>
          </w:p>
        </w:tc>
      </w:tr>
      <w:tr w14:paraId="13225C2D">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641407D3">
            <w:pPr>
              <w:jc w:val="center"/>
              <w:rPr>
                <w:sz w:val="18"/>
                <w:szCs w:val="18"/>
              </w:rPr>
            </w:pPr>
            <w:r>
              <w:rPr>
                <w:sz w:val="18"/>
                <w:szCs w:val="18"/>
              </w:rPr>
              <w:t>40</w:t>
            </w:r>
          </w:p>
        </w:tc>
        <w:tc>
          <w:tcPr>
            <w:tcW w:w="526" w:type="pct"/>
            <w:tcBorders>
              <w:top w:val="nil"/>
              <w:left w:val="nil"/>
              <w:bottom w:val="single" w:color="auto" w:sz="4" w:space="0"/>
              <w:right w:val="single" w:color="auto" w:sz="4" w:space="0"/>
            </w:tcBorders>
            <w:shd w:val="clear" w:color="auto" w:fill="auto"/>
            <w:vAlign w:val="center"/>
          </w:tcPr>
          <w:p w14:paraId="191E4C98">
            <w:pPr>
              <w:jc w:val="center"/>
              <w:rPr>
                <w:sz w:val="18"/>
                <w:szCs w:val="18"/>
              </w:rPr>
            </w:pPr>
            <w:r>
              <w:rPr>
                <w:sz w:val="18"/>
                <w:szCs w:val="18"/>
              </w:rPr>
              <w:t>1-48</w:t>
            </w:r>
          </w:p>
        </w:tc>
        <w:tc>
          <w:tcPr>
            <w:tcW w:w="768" w:type="pct"/>
            <w:vMerge w:val="continue"/>
            <w:tcBorders>
              <w:top w:val="nil"/>
              <w:left w:val="single" w:color="auto" w:sz="4" w:space="0"/>
              <w:bottom w:val="single" w:color="000000" w:sz="4" w:space="0"/>
              <w:right w:val="single" w:color="auto" w:sz="4" w:space="0"/>
            </w:tcBorders>
            <w:vAlign w:val="center"/>
          </w:tcPr>
          <w:p w14:paraId="7932921D">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5E3524C4">
            <w:pPr>
              <w:jc w:val="center"/>
              <w:rPr>
                <w:sz w:val="18"/>
                <w:szCs w:val="18"/>
              </w:rPr>
            </w:pPr>
            <w:r>
              <w:rPr>
                <w:sz w:val="18"/>
                <w:szCs w:val="18"/>
              </w:rPr>
              <w:t>天然级配砂石</w:t>
            </w:r>
          </w:p>
        </w:tc>
        <w:tc>
          <w:tcPr>
            <w:tcW w:w="613" w:type="pct"/>
            <w:tcBorders>
              <w:top w:val="nil"/>
              <w:left w:val="nil"/>
              <w:bottom w:val="single" w:color="auto" w:sz="4" w:space="0"/>
              <w:right w:val="single" w:color="auto" w:sz="4" w:space="0"/>
            </w:tcBorders>
            <w:shd w:val="clear" w:color="auto" w:fill="auto"/>
            <w:vAlign w:val="center"/>
          </w:tcPr>
          <w:p w14:paraId="508972F0">
            <w:pPr>
              <w:jc w:val="center"/>
              <w:rPr>
                <w:sz w:val="18"/>
                <w:szCs w:val="18"/>
              </w:rPr>
            </w:pPr>
            <w:r>
              <w:rPr>
                <w:sz w:val="18"/>
                <w:szCs w:val="18"/>
              </w:rPr>
              <w:t xml:space="preserve">7.10 </w:t>
            </w:r>
          </w:p>
        </w:tc>
        <w:tc>
          <w:tcPr>
            <w:tcW w:w="934" w:type="pct"/>
            <w:tcBorders>
              <w:top w:val="nil"/>
              <w:left w:val="nil"/>
              <w:bottom w:val="single" w:color="auto" w:sz="4" w:space="0"/>
              <w:right w:val="single" w:color="auto" w:sz="4" w:space="0"/>
            </w:tcBorders>
            <w:shd w:val="clear" w:color="auto" w:fill="auto"/>
            <w:vAlign w:val="center"/>
          </w:tcPr>
          <w:p w14:paraId="031CF7D5">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4E021C9B">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3057B07E">
            <w:pPr>
              <w:jc w:val="center"/>
              <w:rPr>
                <w:sz w:val="18"/>
                <w:szCs w:val="18"/>
              </w:rPr>
            </w:pPr>
            <w:r>
              <w:rPr>
                <w:sz w:val="18"/>
                <w:szCs w:val="18"/>
              </w:rPr>
              <w:t>/</w:t>
            </w:r>
          </w:p>
        </w:tc>
      </w:tr>
      <w:tr w14:paraId="79FA5445">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6C43E4A2">
            <w:pPr>
              <w:jc w:val="center"/>
              <w:rPr>
                <w:sz w:val="18"/>
                <w:szCs w:val="18"/>
              </w:rPr>
            </w:pPr>
            <w:r>
              <w:rPr>
                <w:sz w:val="18"/>
                <w:szCs w:val="18"/>
              </w:rPr>
              <w:t>41</w:t>
            </w:r>
          </w:p>
        </w:tc>
        <w:tc>
          <w:tcPr>
            <w:tcW w:w="526" w:type="pct"/>
            <w:tcBorders>
              <w:top w:val="nil"/>
              <w:left w:val="nil"/>
              <w:bottom w:val="single" w:color="auto" w:sz="4" w:space="0"/>
              <w:right w:val="single" w:color="auto" w:sz="4" w:space="0"/>
            </w:tcBorders>
            <w:shd w:val="clear" w:color="auto" w:fill="auto"/>
            <w:vAlign w:val="center"/>
          </w:tcPr>
          <w:p w14:paraId="1E3C7BF6">
            <w:pPr>
              <w:jc w:val="center"/>
              <w:rPr>
                <w:sz w:val="18"/>
                <w:szCs w:val="18"/>
              </w:rPr>
            </w:pPr>
            <w:r>
              <w:rPr>
                <w:sz w:val="18"/>
                <w:szCs w:val="18"/>
              </w:rPr>
              <w:t>1-49</w:t>
            </w:r>
          </w:p>
        </w:tc>
        <w:tc>
          <w:tcPr>
            <w:tcW w:w="768" w:type="pct"/>
            <w:vMerge w:val="continue"/>
            <w:tcBorders>
              <w:top w:val="nil"/>
              <w:left w:val="single" w:color="auto" w:sz="4" w:space="0"/>
              <w:bottom w:val="single" w:color="000000" w:sz="4" w:space="0"/>
              <w:right w:val="single" w:color="auto" w:sz="4" w:space="0"/>
            </w:tcBorders>
            <w:vAlign w:val="center"/>
          </w:tcPr>
          <w:p w14:paraId="7E228084">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0933A656">
            <w:pPr>
              <w:jc w:val="center"/>
              <w:rPr>
                <w:sz w:val="18"/>
                <w:szCs w:val="18"/>
              </w:rPr>
            </w:pPr>
            <w:r>
              <w:rPr>
                <w:sz w:val="18"/>
                <w:szCs w:val="18"/>
              </w:rPr>
              <w:t>车库顶板回填</w:t>
            </w:r>
          </w:p>
        </w:tc>
        <w:tc>
          <w:tcPr>
            <w:tcW w:w="613" w:type="pct"/>
            <w:tcBorders>
              <w:top w:val="nil"/>
              <w:left w:val="nil"/>
              <w:bottom w:val="single" w:color="auto" w:sz="4" w:space="0"/>
              <w:right w:val="single" w:color="auto" w:sz="4" w:space="0"/>
            </w:tcBorders>
            <w:shd w:val="clear" w:color="auto" w:fill="auto"/>
            <w:vAlign w:val="center"/>
          </w:tcPr>
          <w:p w14:paraId="239E0B58">
            <w:pPr>
              <w:jc w:val="center"/>
              <w:rPr>
                <w:sz w:val="18"/>
                <w:szCs w:val="18"/>
              </w:rPr>
            </w:pPr>
            <w:r>
              <w:rPr>
                <w:sz w:val="18"/>
                <w:szCs w:val="18"/>
              </w:rPr>
              <w:t xml:space="preserve">6.23 </w:t>
            </w:r>
          </w:p>
        </w:tc>
        <w:tc>
          <w:tcPr>
            <w:tcW w:w="934" w:type="pct"/>
            <w:tcBorders>
              <w:top w:val="nil"/>
              <w:left w:val="nil"/>
              <w:bottom w:val="single" w:color="auto" w:sz="4" w:space="0"/>
              <w:right w:val="single" w:color="auto" w:sz="4" w:space="0"/>
            </w:tcBorders>
            <w:shd w:val="clear" w:color="auto" w:fill="auto"/>
            <w:vAlign w:val="center"/>
          </w:tcPr>
          <w:p w14:paraId="72F7CAC4">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tcBorders>
              <w:top w:val="nil"/>
              <w:left w:val="nil"/>
              <w:bottom w:val="single" w:color="auto" w:sz="4" w:space="0"/>
              <w:right w:val="single" w:color="auto" w:sz="4" w:space="0"/>
            </w:tcBorders>
            <w:shd w:val="clear" w:color="auto" w:fill="auto"/>
            <w:vAlign w:val="center"/>
          </w:tcPr>
          <w:p w14:paraId="43CC485B">
            <w:pPr>
              <w:jc w:val="center"/>
              <w:rPr>
                <w:sz w:val="18"/>
                <w:szCs w:val="18"/>
              </w:rPr>
            </w:pPr>
            <w:r>
              <w:rPr>
                <w:sz w:val="18"/>
                <w:szCs w:val="18"/>
              </w:rPr>
              <w:t>1.00</w:t>
            </w:r>
          </w:p>
        </w:tc>
        <w:tc>
          <w:tcPr>
            <w:tcW w:w="347" w:type="pct"/>
            <w:tcBorders>
              <w:top w:val="nil"/>
              <w:left w:val="nil"/>
              <w:bottom w:val="single" w:color="auto" w:sz="4" w:space="0"/>
              <w:right w:val="single" w:color="auto" w:sz="4" w:space="0"/>
            </w:tcBorders>
            <w:shd w:val="clear" w:color="auto" w:fill="auto"/>
            <w:vAlign w:val="center"/>
          </w:tcPr>
          <w:p w14:paraId="5267055D">
            <w:pPr>
              <w:jc w:val="center"/>
              <w:rPr>
                <w:sz w:val="18"/>
                <w:szCs w:val="18"/>
              </w:rPr>
            </w:pPr>
            <w:r>
              <w:rPr>
                <w:sz w:val="18"/>
                <w:szCs w:val="18"/>
              </w:rPr>
              <w:t>/</w:t>
            </w:r>
          </w:p>
        </w:tc>
      </w:tr>
      <w:tr w14:paraId="4FEEC4A3">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5F08DC5D">
            <w:pPr>
              <w:jc w:val="center"/>
              <w:rPr>
                <w:sz w:val="18"/>
                <w:szCs w:val="18"/>
              </w:rPr>
            </w:pPr>
            <w:r>
              <w:rPr>
                <w:sz w:val="18"/>
                <w:szCs w:val="18"/>
              </w:rPr>
              <w:t>42</w:t>
            </w:r>
          </w:p>
        </w:tc>
        <w:tc>
          <w:tcPr>
            <w:tcW w:w="526" w:type="pct"/>
            <w:tcBorders>
              <w:top w:val="nil"/>
              <w:left w:val="nil"/>
              <w:bottom w:val="single" w:color="auto" w:sz="4" w:space="0"/>
              <w:right w:val="single" w:color="auto" w:sz="4" w:space="0"/>
            </w:tcBorders>
            <w:shd w:val="clear" w:color="auto" w:fill="auto"/>
            <w:vAlign w:val="center"/>
          </w:tcPr>
          <w:p w14:paraId="6FBE8BA3">
            <w:pPr>
              <w:jc w:val="center"/>
              <w:rPr>
                <w:sz w:val="18"/>
                <w:szCs w:val="18"/>
              </w:rPr>
            </w:pPr>
            <w:r>
              <w:rPr>
                <w:sz w:val="18"/>
                <w:szCs w:val="18"/>
              </w:rPr>
              <w:t>1-50</w:t>
            </w:r>
          </w:p>
        </w:tc>
        <w:tc>
          <w:tcPr>
            <w:tcW w:w="768" w:type="pct"/>
            <w:vMerge w:val="restart"/>
            <w:tcBorders>
              <w:top w:val="nil"/>
              <w:left w:val="single" w:color="auto" w:sz="4" w:space="0"/>
              <w:bottom w:val="single" w:color="000000" w:sz="4" w:space="0"/>
              <w:right w:val="single" w:color="auto" w:sz="4" w:space="0"/>
            </w:tcBorders>
            <w:shd w:val="clear" w:color="auto" w:fill="auto"/>
            <w:vAlign w:val="center"/>
          </w:tcPr>
          <w:p w14:paraId="2B52ED53">
            <w:pPr>
              <w:jc w:val="center"/>
              <w:rPr>
                <w:sz w:val="18"/>
                <w:szCs w:val="18"/>
              </w:rPr>
            </w:pPr>
            <w:r>
              <w:rPr>
                <w:sz w:val="18"/>
                <w:szCs w:val="18"/>
              </w:rPr>
              <w:t>土方运输</w:t>
            </w:r>
          </w:p>
        </w:tc>
        <w:tc>
          <w:tcPr>
            <w:tcW w:w="957" w:type="pct"/>
            <w:tcBorders>
              <w:top w:val="nil"/>
              <w:left w:val="nil"/>
              <w:bottom w:val="single" w:color="auto" w:sz="4" w:space="0"/>
              <w:right w:val="single" w:color="auto" w:sz="4" w:space="0"/>
            </w:tcBorders>
            <w:shd w:val="clear" w:color="auto" w:fill="auto"/>
            <w:vAlign w:val="center"/>
          </w:tcPr>
          <w:p w14:paraId="79759EB8">
            <w:pPr>
              <w:jc w:val="center"/>
              <w:rPr>
                <w:sz w:val="18"/>
                <w:szCs w:val="18"/>
              </w:rPr>
            </w:pPr>
            <w:r>
              <w:rPr>
                <w:sz w:val="18"/>
                <w:szCs w:val="18"/>
              </w:rPr>
              <w:t>土方装车</w:t>
            </w:r>
          </w:p>
        </w:tc>
        <w:tc>
          <w:tcPr>
            <w:tcW w:w="613" w:type="pct"/>
            <w:tcBorders>
              <w:top w:val="nil"/>
              <w:left w:val="nil"/>
              <w:bottom w:val="single" w:color="auto" w:sz="4" w:space="0"/>
              <w:right w:val="single" w:color="auto" w:sz="4" w:space="0"/>
            </w:tcBorders>
            <w:shd w:val="clear" w:color="auto" w:fill="auto"/>
            <w:vAlign w:val="center"/>
          </w:tcPr>
          <w:p w14:paraId="4C0CFF01">
            <w:pPr>
              <w:jc w:val="center"/>
              <w:rPr>
                <w:sz w:val="18"/>
                <w:szCs w:val="18"/>
              </w:rPr>
            </w:pPr>
            <w:r>
              <w:rPr>
                <w:sz w:val="18"/>
                <w:szCs w:val="18"/>
              </w:rPr>
              <w:t xml:space="preserve">0.73 </w:t>
            </w:r>
          </w:p>
        </w:tc>
        <w:tc>
          <w:tcPr>
            <w:tcW w:w="934" w:type="pct"/>
            <w:tcBorders>
              <w:top w:val="nil"/>
              <w:left w:val="nil"/>
              <w:bottom w:val="single" w:color="auto" w:sz="4" w:space="0"/>
              <w:right w:val="single" w:color="auto" w:sz="4" w:space="0"/>
            </w:tcBorders>
            <w:shd w:val="clear" w:color="auto" w:fill="auto"/>
            <w:vAlign w:val="center"/>
          </w:tcPr>
          <w:p w14:paraId="5F821C1D">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restart"/>
            <w:tcBorders>
              <w:top w:val="nil"/>
              <w:left w:val="nil"/>
              <w:right w:val="single" w:color="auto" w:sz="4" w:space="0"/>
            </w:tcBorders>
            <w:shd w:val="clear" w:color="auto" w:fill="auto"/>
            <w:vAlign w:val="center"/>
          </w:tcPr>
          <w:p w14:paraId="3550CAAE">
            <w:pPr>
              <w:jc w:val="center"/>
              <w:rPr>
                <w:sz w:val="18"/>
                <w:szCs w:val="18"/>
              </w:rPr>
            </w:pPr>
            <w:r>
              <w:rPr>
                <w:sz w:val="18"/>
                <w:szCs w:val="18"/>
              </w:rPr>
              <w:t>1.10</w:t>
            </w:r>
          </w:p>
          <w:p w14:paraId="14C2D1DC">
            <w:pPr>
              <w:jc w:val="center"/>
              <w:rPr>
                <w:sz w:val="18"/>
                <w:szCs w:val="18"/>
              </w:rPr>
            </w:pPr>
            <w:r>
              <w:rPr>
                <w:sz w:val="18"/>
                <w:szCs w:val="18"/>
              </w:rPr>
              <w:t>（淤泥、泥浆）</w:t>
            </w:r>
          </w:p>
        </w:tc>
        <w:tc>
          <w:tcPr>
            <w:tcW w:w="347" w:type="pct"/>
            <w:tcBorders>
              <w:top w:val="nil"/>
              <w:left w:val="nil"/>
              <w:bottom w:val="single" w:color="auto" w:sz="4" w:space="0"/>
              <w:right w:val="single" w:color="auto" w:sz="4" w:space="0"/>
            </w:tcBorders>
            <w:shd w:val="clear" w:color="auto" w:fill="auto"/>
            <w:vAlign w:val="center"/>
          </w:tcPr>
          <w:p w14:paraId="79E69CE8">
            <w:pPr>
              <w:jc w:val="center"/>
              <w:rPr>
                <w:sz w:val="18"/>
                <w:szCs w:val="18"/>
              </w:rPr>
            </w:pPr>
            <w:r>
              <w:rPr>
                <w:sz w:val="18"/>
                <w:szCs w:val="18"/>
              </w:rPr>
              <w:t>/</w:t>
            </w:r>
          </w:p>
        </w:tc>
      </w:tr>
      <w:tr w14:paraId="260E7230">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54801690">
            <w:pPr>
              <w:jc w:val="center"/>
              <w:rPr>
                <w:sz w:val="18"/>
                <w:szCs w:val="18"/>
              </w:rPr>
            </w:pPr>
            <w:r>
              <w:rPr>
                <w:sz w:val="18"/>
                <w:szCs w:val="18"/>
              </w:rPr>
              <w:t>43</w:t>
            </w:r>
          </w:p>
        </w:tc>
        <w:tc>
          <w:tcPr>
            <w:tcW w:w="526" w:type="pct"/>
            <w:tcBorders>
              <w:top w:val="nil"/>
              <w:left w:val="nil"/>
              <w:bottom w:val="single" w:color="auto" w:sz="4" w:space="0"/>
              <w:right w:val="single" w:color="auto" w:sz="4" w:space="0"/>
            </w:tcBorders>
            <w:shd w:val="clear" w:color="auto" w:fill="auto"/>
            <w:vAlign w:val="center"/>
          </w:tcPr>
          <w:p w14:paraId="245927E7">
            <w:pPr>
              <w:jc w:val="center"/>
              <w:rPr>
                <w:sz w:val="18"/>
                <w:szCs w:val="18"/>
              </w:rPr>
            </w:pPr>
            <w:r>
              <w:rPr>
                <w:sz w:val="18"/>
                <w:szCs w:val="18"/>
              </w:rPr>
              <w:t>1-51</w:t>
            </w:r>
          </w:p>
        </w:tc>
        <w:tc>
          <w:tcPr>
            <w:tcW w:w="768" w:type="pct"/>
            <w:vMerge w:val="continue"/>
            <w:tcBorders>
              <w:top w:val="nil"/>
              <w:left w:val="single" w:color="auto" w:sz="4" w:space="0"/>
              <w:bottom w:val="single" w:color="000000" w:sz="4" w:space="0"/>
              <w:right w:val="single" w:color="auto" w:sz="4" w:space="0"/>
            </w:tcBorders>
            <w:vAlign w:val="center"/>
          </w:tcPr>
          <w:p w14:paraId="5B6886E9">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0485B2E6">
            <w:pPr>
              <w:jc w:val="center"/>
              <w:rPr>
                <w:sz w:val="18"/>
                <w:szCs w:val="18"/>
              </w:rPr>
            </w:pPr>
            <w:r>
              <w:rPr>
                <w:sz w:val="18"/>
                <w:szCs w:val="18"/>
              </w:rPr>
              <w:t>土方运输(运距1km以内)</w:t>
            </w:r>
          </w:p>
        </w:tc>
        <w:tc>
          <w:tcPr>
            <w:tcW w:w="613" w:type="pct"/>
            <w:tcBorders>
              <w:top w:val="nil"/>
              <w:left w:val="nil"/>
              <w:bottom w:val="single" w:color="auto" w:sz="4" w:space="0"/>
              <w:right w:val="single" w:color="auto" w:sz="4" w:space="0"/>
            </w:tcBorders>
            <w:shd w:val="clear" w:color="auto" w:fill="auto"/>
            <w:vAlign w:val="center"/>
          </w:tcPr>
          <w:p w14:paraId="00D8E69F">
            <w:pPr>
              <w:jc w:val="center"/>
              <w:rPr>
                <w:sz w:val="18"/>
                <w:szCs w:val="18"/>
              </w:rPr>
            </w:pPr>
            <w:r>
              <w:rPr>
                <w:sz w:val="18"/>
                <w:szCs w:val="18"/>
              </w:rPr>
              <w:t xml:space="preserve">0.67 </w:t>
            </w:r>
          </w:p>
        </w:tc>
        <w:tc>
          <w:tcPr>
            <w:tcW w:w="934" w:type="pct"/>
            <w:tcBorders>
              <w:top w:val="nil"/>
              <w:left w:val="nil"/>
              <w:bottom w:val="single" w:color="auto" w:sz="4" w:space="0"/>
              <w:right w:val="single" w:color="auto" w:sz="4" w:space="0"/>
            </w:tcBorders>
            <w:shd w:val="clear" w:color="auto" w:fill="auto"/>
            <w:vAlign w:val="center"/>
          </w:tcPr>
          <w:p w14:paraId="41C78B92">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continue"/>
            <w:tcBorders>
              <w:left w:val="nil"/>
              <w:right w:val="single" w:color="auto" w:sz="4" w:space="0"/>
            </w:tcBorders>
            <w:shd w:val="clear" w:color="auto" w:fill="auto"/>
            <w:vAlign w:val="center"/>
          </w:tcPr>
          <w:p w14:paraId="5A5FB554">
            <w:pPr>
              <w:jc w:val="center"/>
              <w:rPr>
                <w:sz w:val="18"/>
                <w:szCs w:val="18"/>
              </w:rPr>
            </w:pPr>
          </w:p>
        </w:tc>
        <w:tc>
          <w:tcPr>
            <w:tcW w:w="347" w:type="pct"/>
            <w:tcBorders>
              <w:top w:val="nil"/>
              <w:left w:val="nil"/>
              <w:bottom w:val="single" w:color="auto" w:sz="4" w:space="0"/>
              <w:right w:val="single" w:color="auto" w:sz="4" w:space="0"/>
            </w:tcBorders>
            <w:shd w:val="clear" w:color="auto" w:fill="auto"/>
            <w:vAlign w:val="center"/>
          </w:tcPr>
          <w:p w14:paraId="60FB670D">
            <w:pPr>
              <w:jc w:val="center"/>
              <w:rPr>
                <w:sz w:val="18"/>
                <w:szCs w:val="18"/>
              </w:rPr>
            </w:pPr>
            <w:r>
              <w:rPr>
                <w:sz w:val="18"/>
                <w:szCs w:val="18"/>
              </w:rPr>
              <w:t>/</w:t>
            </w:r>
          </w:p>
        </w:tc>
      </w:tr>
      <w:tr w14:paraId="03A17176">
        <w:tblPrEx>
          <w:tblCellMar>
            <w:top w:w="0" w:type="dxa"/>
            <w:left w:w="108" w:type="dxa"/>
            <w:bottom w:w="0" w:type="dxa"/>
            <w:right w:w="108" w:type="dxa"/>
          </w:tblCellMar>
        </w:tblPrEx>
        <w:trPr>
          <w:trHeight w:val="2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14:paraId="0176559A">
            <w:pPr>
              <w:jc w:val="center"/>
              <w:rPr>
                <w:sz w:val="18"/>
                <w:szCs w:val="18"/>
              </w:rPr>
            </w:pPr>
            <w:r>
              <w:rPr>
                <w:sz w:val="18"/>
                <w:szCs w:val="18"/>
              </w:rPr>
              <w:t>44</w:t>
            </w:r>
          </w:p>
        </w:tc>
        <w:tc>
          <w:tcPr>
            <w:tcW w:w="526" w:type="pct"/>
            <w:tcBorders>
              <w:top w:val="nil"/>
              <w:left w:val="nil"/>
              <w:bottom w:val="single" w:color="auto" w:sz="4" w:space="0"/>
              <w:right w:val="single" w:color="auto" w:sz="4" w:space="0"/>
            </w:tcBorders>
            <w:shd w:val="clear" w:color="auto" w:fill="auto"/>
            <w:vAlign w:val="center"/>
          </w:tcPr>
          <w:p w14:paraId="15801CC9">
            <w:pPr>
              <w:jc w:val="center"/>
              <w:rPr>
                <w:sz w:val="18"/>
                <w:szCs w:val="18"/>
              </w:rPr>
            </w:pPr>
            <w:r>
              <w:rPr>
                <w:sz w:val="18"/>
                <w:szCs w:val="18"/>
              </w:rPr>
              <w:t>1-52</w:t>
            </w:r>
          </w:p>
        </w:tc>
        <w:tc>
          <w:tcPr>
            <w:tcW w:w="768" w:type="pct"/>
            <w:vMerge w:val="continue"/>
            <w:tcBorders>
              <w:top w:val="nil"/>
              <w:left w:val="single" w:color="auto" w:sz="4" w:space="0"/>
              <w:bottom w:val="single" w:color="000000" w:sz="4" w:space="0"/>
              <w:right w:val="single" w:color="auto" w:sz="4" w:space="0"/>
            </w:tcBorders>
            <w:vAlign w:val="center"/>
          </w:tcPr>
          <w:p w14:paraId="13A925C6">
            <w:pPr>
              <w:jc w:val="center"/>
              <w:rPr>
                <w:sz w:val="18"/>
                <w:szCs w:val="18"/>
              </w:rPr>
            </w:pPr>
          </w:p>
        </w:tc>
        <w:tc>
          <w:tcPr>
            <w:tcW w:w="957" w:type="pct"/>
            <w:tcBorders>
              <w:top w:val="nil"/>
              <w:left w:val="nil"/>
              <w:bottom w:val="single" w:color="auto" w:sz="4" w:space="0"/>
              <w:right w:val="single" w:color="auto" w:sz="4" w:space="0"/>
            </w:tcBorders>
            <w:shd w:val="clear" w:color="auto" w:fill="auto"/>
            <w:vAlign w:val="center"/>
          </w:tcPr>
          <w:p w14:paraId="6AF76B81">
            <w:pPr>
              <w:jc w:val="center"/>
              <w:rPr>
                <w:sz w:val="18"/>
                <w:szCs w:val="18"/>
              </w:rPr>
            </w:pPr>
            <w:r>
              <w:rPr>
                <w:sz w:val="18"/>
                <w:szCs w:val="18"/>
              </w:rPr>
              <w:t>土方运输(运距每增1km)</w:t>
            </w:r>
          </w:p>
        </w:tc>
        <w:tc>
          <w:tcPr>
            <w:tcW w:w="613" w:type="pct"/>
            <w:tcBorders>
              <w:top w:val="nil"/>
              <w:left w:val="nil"/>
              <w:bottom w:val="single" w:color="auto" w:sz="4" w:space="0"/>
              <w:right w:val="single" w:color="auto" w:sz="4" w:space="0"/>
            </w:tcBorders>
            <w:shd w:val="clear" w:color="auto" w:fill="auto"/>
            <w:vAlign w:val="center"/>
          </w:tcPr>
          <w:p w14:paraId="30CF7A48">
            <w:pPr>
              <w:jc w:val="center"/>
              <w:rPr>
                <w:sz w:val="18"/>
                <w:szCs w:val="18"/>
              </w:rPr>
            </w:pPr>
            <w:r>
              <w:rPr>
                <w:sz w:val="18"/>
                <w:szCs w:val="18"/>
              </w:rPr>
              <w:t xml:space="preserve">0.30 </w:t>
            </w:r>
          </w:p>
        </w:tc>
        <w:tc>
          <w:tcPr>
            <w:tcW w:w="934" w:type="pct"/>
            <w:tcBorders>
              <w:top w:val="nil"/>
              <w:left w:val="nil"/>
              <w:bottom w:val="single" w:color="auto" w:sz="4" w:space="0"/>
              <w:right w:val="single" w:color="auto" w:sz="4" w:space="0"/>
            </w:tcBorders>
            <w:shd w:val="clear" w:color="auto" w:fill="auto"/>
            <w:vAlign w:val="center"/>
          </w:tcPr>
          <w:p w14:paraId="5F88F677">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20" w:type="pct"/>
            <w:vMerge w:val="continue"/>
            <w:tcBorders>
              <w:left w:val="nil"/>
              <w:bottom w:val="single" w:color="auto" w:sz="4" w:space="0"/>
              <w:right w:val="single" w:color="auto" w:sz="4" w:space="0"/>
            </w:tcBorders>
            <w:shd w:val="clear" w:color="auto" w:fill="auto"/>
            <w:vAlign w:val="center"/>
          </w:tcPr>
          <w:p w14:paraId="72B99F70">
            <w:pPr>
              <w:jc w:val="center"/>
              <w:rPr>
                <w:sz w:val="18"/>
                <w:szCs w:val="18"/>
              </w:rPr>
            </w:pPr>
          </w:p>
        </w:tc>
        <w:tc>
          <w:tcPr>
            <w:tcW w:w="347" w:type="pct"/>
            <w:tcBorders>
              <w:top w:val="nil"/>
              <w:left w:val="nil"/>
              <w:bottom w:val="single" w:color="auto" w:sz="4" w:space="0"/>
              <w:right w:val="single" w:color="auto" w:sz="4" w:space="0"/>
            </w:tcBorders>
            <w:shd w:val="clear" w:color="auto" w:fill="auto"/>
            <w:vAlign w:val="center"/>
          </w:tcPr>
          <w:p w14:paraId="624379B6">
            <w:pPr>
              <w:jc w:val="center"/>
              <w:rPr>
                <w:sz w:val="18"/>
                <w:szCs w:val="18"/>
              </w:rPr>
            </w:pPr>
            <w:r>
              <w:rPr>
                <w:sz w:val="18"/>
                <w:szCs w:val="18"/>
              </w:rPr>
              <w:t>/</w:t>
            </w:r>
          </w:p>
        </w:tc>
      </w:tr>
    </w:tbl>
    <w:p w14:paraId="0911D010">
      <w:pPr>
        <w:spacing w:line="276" w:lineRule="auto"/>
        <w:ind w:firstLine="200" w:firstLineChars="100"/>
        <w:rPr>
          <w:sz w:val="20"/>
          <w:szCs w:val="20"/>
        </w:rPr>
      </w:pPr>
      <w:r>
        <w:rPr>
          <w:sz w:val="20"/>
          <w:szCs w:val="20"/>
        </w:rPr>
        <w:t>注：1、土方工程单位工程量材料能源数据来源于《北京市建设工程计价依据——预算消耗量标准 房屋建筑与装饰工程》（2021）。</w:t>
      </w:r>
    </w:p>
    <w:p w14:paraId="131A227C">
      <w:pPr>
        <w:spacing w:line="276" w:lineRule="auto"/>
        <w:ind w:firstLine="600" w:firstLineChars="300"/>
        <w:rPr>
          <w:sz w:val="20"/>
          <w:szCs w:val="20"/>
        </w:rPr>
      </w:pPr>
      <w:r>
        <w:rPr>
          <w:sz w:val="20"/>
          <w:szCs w:val="20"/>
        </w:rPr>
        <w:t>2、基坑监测工程单位工程量材料能源数据来源于《北京市建设工程计价依据——预算消耗量标准，城市轨道交通工程》（2021）。</w:t>
      </w:r>
    </w:p>
    <w:p w14:paraId="13814E54">
      <w:pPr>
        <w:pStyle w:val="2"/>
        <w:ind w:left="0" w:leftChars="0" w:firstLine="0" w:firstLineChars="0"/>
      </w:pPr>
    </w:p>
    <w:p w14:paraId="20A1699E">
      <w:pPr>
        <w:spacing w:line="276" w:lineRule="auto"/>
        <w:jc w:val="center"/>
        <w:rPr>
          <w:b/>
          <w:sz w:val="20"/>
          <w:szCs w:val="20"/>
        </w:rPr>
      </w:pPr>
      <w:r>
        <w:rPr>
          <w:b/>
          <w:sz w:val="20"/>
          <w:szCs w:val="20"/>
        </w:rPr>
        <w:t>表D.0.11-2</w:t>
      </w:r>
      <w:r>
        <w:rPr>
          <w:rFonts w:hint="eastAsia"/>
          <w:b/>
          <w:sz w:val="20"/>
          <w:szCs w:val="20"/>
        </w:rPr>
        <w:t>锚拉式</w:t>
      </w:r>
      <w:r>
        <w:rPr>
          <w:b/>
          <w:sz w:val="20"/>
          <w:szCs w:val="20"/>
        </w:rPr>
        <w:t>支护工程碳排放量计算用表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954"/>
        <w:gridCol w:w="794"/>
        <w:gridCol w:w="1210"/>
        <w:gridCol w:w="1466"/>
        <w:gridCol w:w="1466"/>
        <w:gridCol w:w="1339"/>
        <w:gridCol w:w="944"/>
        <w:gridCol w:w="883"/>
      </w:tblGrid>
      <w:tr w14:paraId="19AD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Align w:val="center"/>
          </w:tcPr>
          <w:p w14:paraId="1A31397A">
            <w:pPr>
              <w:spacing w:line="276" w:lineRule="auto"/>
              <w:jc w:val="center"/>
              <w:rPr>
                <w:sz w:val="18"/>
                <w:szCs w:val="18"/>
              </w:rPr>
            </w:pPr>
            <w:r>
              <w:rPr>
                <w:sz w:val="18"/>
                <w:szCs w:val="18"/>
              </w:rPr>
              <w:t>序号</w:t>
            </w:r>
          </w:p>
        </w:tc>
        <w:tc>
          <w:tcPr>
            <w:tcW w:w="476" w:type="pct"/>
            <w:vAlign w:val="center"/>
          </w:tcPr>
          <w:p w14:paraId="02040803">
            <w:pPr>
              <w:spacing w:line="276" w:lineRule="auto"/>
              <w:jc w:val="center"/>
              <w:rPr>
                <w:sz w:val="18"/>
                <w:szCs w:val="18"/>
              </w:rPr>
            </w:pPr>
            <w:r>
              <w:rPr>
                <w:sz w:val="18"/>
                <w:szCs w:val="18"/>
              </w:rPr>
              <w:t>定额</w:t>
            </w:r>
          </w:p>
          <w:p w14:paraId="67E07553">
            <w:pPr>
              <w:spacing w:line="276" w:lineRule="auto"/>
              <w:jc w:val="center"/>
              <w:rPr>
                <w:sz w:val="18"/>
                <w:szCs w:val="18"/>
              </w:rPr>
            </w:pPr>
            <w:r>
              <w:rPr>
                <w:sz w:val="18"/>
                <w:szCs w:val="18"/>
              </w:rPr>
              <w:t>编号</w:t>
            </w:r>
          </w:p>
        </w:tc>
        <w:tc>
          <w:tcPr>
            <w:tcW w:w="397" w:type="pct"/>
            <w:vAlign w:val="center"/>
          </w:tcPr>
          <w:p w14:paraId="11BB08AB">
            <w:pPr>
              <w:spacing w:line="276" w:lineRule="auto"/>
              <w:jc w:val="center"/>
              <w:rPr>
                <w:sz w:val="18"/>
                <w:szCs w:val="18"/>
              </w:rPr>
            </w:pPr>
            <w:r>
              <w:rPr>
                <w:rFonts w:hint="eastAsia"/>
                <w:sz w:val="18"/>
                <w:szCs w:val="18"/>
              </w:rPr>
              <w:t>项目</w:t>
            </w:r>
          </w:p>
        </w:tc>
        <w:tc>
          <w:tcPr>
            <w:tcW w:w="1333" w:type="pct"/>
            <w:gridSpan w:val="2"/>
            <w:vAlign w:val="center"/>
          </w:tcPr>
          <w:p w14:paraId="0E370088">
            <w:pPr>
              <w:spacing w:line="276" w:lineRule="auto"/>
              <w:jc w:val="center"/>
              <w:rPr>
                <w:sz w:val="18"/>
                <w:szCs w:val="18"/>
              </w:rPr>
            </w:pPr>
            <w:r>
              <w:rPr>
                <w:sz w:val="18"/>
                <w:szCs w:val="18"/>
              </w:rPr>
              <w:t>特征</w:t>
            </w:r>
          </w:p>
        </w:tc>
        <w:tc>
          <w:tcPr>
            <w:tcW w:w="730" w:type="pct"/>
            <w:vAlign w:val="center"/>
          </w:tcPr>
          <w:p w14:paraId="390E2183">
            <w:pPr>
              <w:spacing w:line="276" w:lineRule="auto"/>
              <w:jc w:val="center"/>
              <w:rPr>
                <w:sz w:val="18"/>
                <w:szCs w:val="18"/>
              </w:rPr>
            </w:pPr>
            <w:r>
              <w:rPr>
                <w:sz w:val="18"/>
                <w:szCs w:val="18"/>
              </w:rPr>
              <w:t>单位工程量碳排放因子</w:t>
            </w:r>
          </w:p>
        </w:tc>
        <w:tc>
          <w:tcPr>
            <w:tcW w:w="667" w:type="pct"/>
            <w:vAlign w:val="center"/>
          </w:tcPr>
          <w:p w14:paraId="5259FA1F">
            <w:pPr>
              <w:spacing w:line="276" w:lineRule="auto"/>
              <w:jc w:val="center"/>
              <w:rPr>
                <w:sz w:val="18"/>
                <w:szCs w:val="18"/>
              </w:rPr>
            </w:pPr>
            <w:r>
              <w:rPr>
                <w:sz w:val="18"/>
                <w:szCs w:val="18"/>
              </w:rPr>
              <w:t>单位</w:t>
            </w:r>
          </w:p>
        </w:tc>
        <w:tc>
          <w:tcPr>
            <w:tcW w:w="445" w:type="pct"/>
            <w:vAlign w:val="center"/>
          </w:tcPr>
          <w:p w14:paraId="76FC0207">
            <w:pPr>
              <w:spacing w:line="276" w:lineRule="auto"/>
              <w:jc w:val="center"/>
              <w:rPr>
                <w:sz w:val="18"/>
                <w:szCs w:val="18"/>
              </w:rPr>
            </w:pPr>
            <w:r>
              <w:rPr>
                <w:sz w:val="18"/>
                <w:szCs w:val="18"/>
              </w:rPr>
              <w:t>调整系数</w:t>
            </w:r>
          </w:p>
        </w:tc>
        <w:tc>
          <w:tcPr>
            <w:tcW w:w="442" w:type="pct"/>
            <w:vAlign w:val="center"/>
          </w:tcPr>
          <w:p w14:paraId="090AB29C">
            <w:pPr>
              <w:spacing w:line="276" w:lineRule="auto"/>
              <w:jc w:val="center"/>
              <w:rPr>
                <w:sz w:val="18"/>
                <w:szCs w:val="18"/>
              </w:rPr>
            </w:pPr>
            <w:r>
              <w:rPr>
                <w:sz w:val="18"/>
                <w:szCs w:val="18"/>
              </w:rPr>
              <w:t>备注</w:t>
            </w:r>
          </w:p>
        </w:tc>
      </w:tr>
      <w:tr w14:paraId="6318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49024D4B">
            <w:pPr>
              <w:spacing w:line="276" w:lineRule="auto"/>
              <w:jc w:val="center"/>
              <w:rPr>
                <w:sz w:val="18"/>
                <w:szCs w:val="18"/>
              </w:rPr>
            </w:pPr>
            <w:r>
              <w:rPr>
                <w:sz w:val="18"/>
                <w:szCs w:val="18"/>
              </w:rPr>
              <w:t>1</w:t>
            </w:r>
          </w:p>
        </w:tc>
        <w:tc>
          <w:tcPr>
            <w:tcW w:w="476" w:type="pct"/>
            <w:vAlign w:val="center"/>
          </w:tcPr>
          <w:p w14:paraId="3C14A34D">
            <w:pPr>
              <w:pStyle w:val="75"/>
              <w:jc w:val="center"/>
              <w:rPr>
                <w:sz w:val="18"/>
                <w:szCs w:val="18"/>
              </w:rPr>
            </w:pPr>
            <w:r>
              <w:rPr>
                <w:sz w:val="18"/>
                <w:szCs w:val="18"/>
              </w:rPr>
              <w:t>3-25</w:t>
            </w:r>
          </w:p>
          <w:p w14:paraId="07759753">
            <w:pPr>
              <w:pStyle w:val="75"/>
              <w:jc w:val="center"/>
              <w:rPr>
                <w:sz w:val="18"/>
                <w:szCs w:val="18"/>
              </w:rPr>
            </w:pPr>
            <w:r>
              <w:rPr>
                <w:sz w:val="18"/>
                <w:szCs w:val="18"/>
              </w:rPr>
              <w:t>3-28</w:t>
            </w:r>
          </w:p>
        </w:tc>
        <w:tc>
          <w:tcPr>
            <w:tcW w:w="397" w:type="pct"/>
            <w:vMerge w:val="restart"/>
            <w:vAlign w:val="center"/>
          </w:tcPr>
          <w:p w14:paraId="0831E027">
            <w:pPr>
              <w:spacing w:line="276" w:lineRule="auto"/>
              <w:jc w:val="center"/>
              <w:rPr>
                <w:sz w:val="18"/>
                <w:szCs w:val="18"/>
              </w:rPr>
            </w:pPr>
            <w:r>
              <w:rPr>
                <w:sz w:val="18"/>
                <w:szCs w:val="18"/>
              </w:rPr>
              <w:t>灌注桩</w:t>
            </w:r>
          </w:p>
        </w:tc>
        <w:tc>
          <w:tcPr>
            <w:tcW w:w="603" w:type="pct"/>
            <w:vMerge w:val="restart"/>
            <w:vAlign w:val="center"/>
          </w:tcPr>
          <w:p w14:paraId="0D2DFE64">
            <w:pPr>
              <w:spacing w:line="276" w:lineRule="auto"/>
              <w:jc w:val="center"/>
              <w:rPr>
                <w:sz w:val="18"/>
                <w:szCs w:val="18"/>
              </w:rPr>
            </w:pPr>
            <w:r>
              <w:rPr>
                <w:sz w:val="18"/>
                <w:szCs w:val="18"/>
              </w:rPr>
              <w:t>螺旋钻成孔</w:t>
            </w:r>
          </w:p>
        </w:tc>
        <w:tc>
          <w:tcPr>
            <w:tcW w:w="730" w:type="pct"/>
            <w:vAlign w:val="center"/>
          </w:tcPr>
          <w:p w14:paraId="3CDE117C">
            <w:pPr>
              <w:spacing w:line="276" w:lineRule="auto"/>
              <w:jc w:val="center"/>
              <w:rPr>
                <w:sz w:val="18"/>
                <w:szCs w:val="18"/>
              </w:rPr>
            </w:pPr>
            <w:r>
              <w:rPr>
                <w:sz w:val="18"/>
                <w:szCs w:val="18"/>
              </w:rPr>
              <w:t>≤400</w:t>
            </w:r>
            <w:r>
              <w:rPr>
                <w:rFonts w:hint="eastAsia"/>
                <w:sz w:val="18"/>
                <w:szCs w:val="18"/>
              </w:rPr>
              <w:t>mm</w:t>
            </w:r>
          </w:p>
        </w:tc>
        <w:tc>
          <w:tcPr>
            <w:tcW w:w="730" w:type="pct"/>
            <w:vAlign w:val="center"/>
          </w:tcPr>
          <w:p w14:paraId="2A32E11D">
            <w:pPr>
              <w:spacing w:line="276" w:lineRule="auto"/>
              <w:jc w:val="center"/>
              <w:rPr>
                <w:sz w:val="18"/>
                <w:szCs w:val="18"/>
              </w:rPr>
            </w:pPr>
            <w:r>
              <w:rPr>
                <w:sz w:val="18"/>
                <w:szCs w:val="18"/>
              </w:rPr>
              <w:t>359.36</w:t>
            </w:r>
          </w:p>
        </w:tc>
        <w:tc>
          <w:tcPr>
            <w:tcW w:w="667" w:type="pct"/>
            <w:vAlign w:val="center"/>
          </w:tcPr>
          <w:p w14:paraId="32B2C2AA">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445" w:type="pct"/>
            <w:vMerge w:val="restart"/>
            <w:vAlign w:val="center"/>
          </w:tcPr>
          <w:p w14:paraId="29F6B765">
            <w:pPr>
              <w:spacing w:line="276" w:lineRule="auto"/>
              <w:jc w:val="center"/>
              <w:rPr>
                <w:sz w:val="18"/>
                <w:szCs w:val="18"/>
              </w:rPr>
            </w:pPr>
            <w:r>
              <w:rPr>
                <w:sz w:val="18"/>
                <w:szCs w:val="18"/>
              </w:rPr>
              <w:t>1.00</w:t>
            </w:r>
          </w:p>
        </w:tc>
        <w:tc>
          <w:tcPr>
            <w:tcW w:w="442" w:type="pct"/>
            <w:vMerge w:val="restart"/>
            <w:vAlign w:val="center"/>
          </w:tcPr>
          <w:p w14:paraId="19F7005D">
            <w:pPr>
              <w:spacing w:line="276" w:lineRule="auto"/>
              <w:jc w:val="center"/>
              <w:rPr>
                <w:sz w:val="18"/>
                <w:szCs w:val="18"/>
              </w:rPr>
            </w:pPr>
            <w:r>
              <w:rPr>
                <w:sz w:val="18"/>
                <w:szCs w:val="18"/>
              </w:rPr>
              <w:t>钢筋另计</w:t>
            </w:r>
          </w:p>
        </w:tc>
      </w:tr>
      <w:tr w14:paraId="5A42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68C52D83">
            <w:pPr>
              <w:spacing w:line="276" w:lineRule="auto"/>
              <w:jc w:val="center"/>
              <w:rPr>
                <w:sz w:val="18"/>
                <w:szCs w:val="18"/>
              </w:rPr>
            </w:pPr>
            <w:r>
              <w:rPr>
                <w:sz w:val="18"/>
                <w:szCs w:val="18"/>
              </w:rPr>
              <w:t>2</w:t>
            </w:r>
          </w:p>
        </w:tc>
        <w:tc>
          <w:tcPr>
            <w:tcW w:w="476" w:type="pct"/>
            <w:vAlign w:val="center"/>
          </w:tcPr>
          <w:p w14:paraId="1B31795F">
            <w:pPr>
              <w:pStyle w:val="75"/>
              <w:jc w:val="center"/>
              <w:rPr>
                <w:sz w:val="18"/>
                <w:szCs w:val="18"/>
              </w:rPr>
            </w:pPr>
            <w:r>
              <w:rPr>
                <w:sz w:val="18"/>
                <w:szCs w:val="18"/>
              </w:rPr>
              <w:t>3-26</w:t>
            </w:r>
          </w:p>
          <w:p w14:paraId="00AE402A">
            <w:pPr>
              <w:pStyle w:val="75"/>
              <w:jc w:val="center"/>
              <w:rPr>
                <w:sz w:val="18"/>
                <w:szCs w:val="18"/>
              </w:rPr>
            </w:pPr>
            <w:r>
              <w:rPr>
                <w:sz w:val="18"/>
                <w:szCs w:val="18"/>
              </w:rPr>
              <w:t>3-28</w:t>
            </w:r>
          </w:p>
        </w:tc>
        <w:tc>
          <w:tcPr>
            <w:tcW w:w="397" w:type="pct"/>
            <w:vMerge w:val="continue"/>
            <w:vAlign w:val="center"/>
          </w:tcPr>
          <w:p w14:paraId="466DC244">
            <w:pPr>
              <w:spacing w:line="276" w:lineRule="auto"/>
              <w:jc w:val="center"/>
              <w:rPr>
                <w:sz w:val="18"/>
                <w:szCs w:val="18"/>
              </w:rPr>
            </w:pPr>
          </w:p>
        </w:tc>
        <w:tc>
          <w:tcPr>
            <w:tcW w:w="603" w:type="pct"/>
            <w:vMerge w:val="continue"/>
            <w:vAlign w:val="center"/>
          </w:tcPr>
          <w:p w14:paraId="6157662D">
            <w:pPr>
              <w:spacing w:line="276" w:lineRule="auto"/>
              <w:jc w:val="center"/>
              <w:rPr>
                <w:sz w:val="18"/>
                <w:szCs w:val="18"/>
              </w:rPr>
            </w:pPr>
          </w:p>
        </w:tc>
        <w:tc>
          <w:tcPr>
            <w:tcW w:w="730" w:type="pct"/>
            <w:vAlign w:val="center"/>
          </w:tcPr>
          <w:p w14:paraId="07C8F919">
            <w:pPr>
              <w:spacing w:line="276" w:lineRule="auto"/>
              <w:jc w:val="center"/>
              <w:rPr>
                <w:sz w:val="18"/>
                <w:szCs w:val="18"/>
              </w:rPr>
            </w:pPr>
            <w:r>
              <w:rPr>
                <w:sz w:val="18"/>
                <w:szCs w:val="18"/>
              </w:rPr>
              <w:t>600</w:t>
            </w:r>
            <w:r>
              <w:rPr>
                <w:rFonts w:hint="eastAsia"/>
                <w:sz w:val="18"/>
                <w:szCs w:val="18"/>
              </w:rPr>
              <w:t>mm</w:t>
            </w:r>
          </w:p>
        </w:tc>
        <w:tc>
          <w:tcPr>
            <w:tcW w:w="730" w:type="pct"/>
            <w:vAlign w:val="center"/>
          </w:tcPr>
          <w:p w14:paraId="43AEF359">
            <w:pPr>
              <w:spacing w:line="276" w:lineRule="auto"/>
              <w:jc w:val="center"/>
              <w:rPr>
                <w:sz w:val="18"/>
                <w:szCs w:val="18"/>
              </w:rPr>
            </w:pPr>
            <w:r>
              <w:rPr>
                <w:sz w:val="18"/>
                <w:szCs w:val="18"/>
              </w:rPr>
              <w:t>351.83</w:t>
            </w:r>
          </w:p>
        </w:tc>
        <w:tc>
          <w:tcPr>
            <w:tcW w:w="667" w:type="pct"/>
            <w:vAlign w:val="center"/>
          </w:tcPr>
          <w:p w14:paraId="3CC33C65">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445" w:type="pct"/>
            <w:vMerge w:val="continue"/>
            <w:vAlign w:val="center"/>
          </w:tcPr>
          <w:p w14:paraId="0C440FFD">
            <w:pPr>
              <w:spacing w:line="276" w:lineRule="auto"/>
              <w:jc w:val="center"/>
              <w:rPr>
                <w:sz w:val="18"/>
                <w:szCs w:val="18"/>
              </w:rPr>
            </w:pPr>
          </w:p>
        </w:tc>
        <w:tc>
          <w:tcPr>
            <w:tcW w:w="442" w:type="pct"/>
            <w:vMerge w:val="continue"/>
            <w:vAlign w:val="center"/>
          </w:tcPr>
          <w:p w14:paraId="0EB58463">
            <w:pPr>
              <w:spacing w:line="276" w:lineRule="auto"/>
              <w:jc w:val="center"/>
              <w:rPr>
                <w:sz w:val="18"/>
                <w:szCs w:val="18"/>
              </w:rPr>
            </w:pPr>
          </w:p>
        </w:tc>
      </w:tr>
      <w:tr w14:paraId="0322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099E0292">
            <w:pPr>
              <w:spacing w:line="276" w:lineRule="auto"/>
              <w:jc w:val="center"/>
              <w:rPr>
                <w:sz w:val="18"/>
                <w:szCs w:val="18"/>
              </w:rPr>
            </w:pPr>
            <w:r>
              <w:rPr>
                <w:sz w:val="18"/>
                <w:szCs w:val="18"/>
              </w:rPr>
              <w:t>3</w:t>
            </w:r>
          </w:p>
        </w:tc>
        <w:tc>
          <w:tcPr>
            <w:tcW w:w="476" w:type="pct"/>
            <w:vAlign w:val="center"/>
          </w:tcPr>
          <w:p w14:paraId="075A0A0B">
            <w:pPr>
              <w:pStyle w:val="75"/>
              <w:jc w:val="center"/>
              <w:rPr>
                <w:sz w:val="18"/>
                <w:szCs w:val="18"/>
              </w:rPr>
            </w:pPr>
            <w:r>
              <w:rPr>
                <w:sz w:val="18"/>
                <w:szCs w:val="18"/>
              </w:rPr>
              <w:t>3-27</w:t>
            </w:r>
          </w:p>
          <w:p w14:paraId="54FFDF14">
            <w:pPr>
              <w:pStyle w:val="75"/>
              <w:jc w:val="center"/>
              <w:rPr>
                <w:sz w:val="18"/>
                <w:szCs w:val="18"/>
              </w:rPr>
            </w:pPr>
            <w:r>
              <w:rPr>
                <w:sz w:val="18"/>
                <w:szCs w:val="18"/>
              </w:rPr>
              <w:t>3-28</w:t>
            </w:r>
          </w:p>
        </w:tc>
        <w:tc>
          <w:tcPr>
            <w:tcW w:w="397" w:type="pct"/>
            <w:vMerge w:val="continue"/>
            <w:vAlign w:val="center"/>
          </w:tcPr>
          <w:p w14:paraId="13BE70C8">
            <w:pPr>
              <w:spacing w:line="276" w:lineRule="auto"/>
              <w:jc w:val="center"/>
              <w:rPr>
                <w:sz w:val="18"/>
                <w:szCs w:val="18"/>
              </w:rPr>
            </w:pPr>
          </w:p>
        </w:tc>
        <w:tc>
          <w:tcPr>
            <w:tcW w:w="603" w:type="pct"/>
            <w:vMerge w:val="continue"/>
            <w:vAlign w:val="center"/>
          </w:tcPr>
          <w:p w14:paraId="618E65C5">
            <w:pPr>
              <w:spacing w:line="276" w:lineRule="auto"/>
              <w:jc w:val="center"/>
              <w:rPr>
                <w:sz w:val="18"/>
                <w:szCs w:val="18"/>
              </w:rPr>
            </w:pPr>
          </w:p>
        </w:tc>
        <w:tc>
          <w:tcPr>
            <w:tcW w:w="730" w:type="pct"/>
            <w:vAlign w:val="center"/>
          </w:tcPr>
          <w:p w14:paraId="10EA307F">
            <w:pPr>
              <w:spacing w:line="276" w:lineRule="auto"/>
              <w:jc w:val="center"/>
              <w:rPr>
                <w:sz w:val="18"/>
                <w:szCs w:val="18"/>
              </w:rPr>
            </w:pPr>
            <w:r>
              <w:rPr>
                <w:sz w:val="18"/>
                <w:szCs w:val="18"/>
              </w:rPr>
              <w:t xml:space="preserve">≥800mm </w:t>
            </w:r>
          </w:p>
        </w:tc>
        <w:tc>
          <w:tcPr>
            <w:tcW w:w="730" w:type="pct"/>
            <w:vAlign w:val="center"/>
          </w:tcPr>
          <w:p w14:paraId="2F2B31BF">
            <w:pPr>
              <w:spacing w:line="276" w:lineRule="auto"/>
              <w:jc w:val="center"/>
              <w:rPr>
                <w:sz w:val="18"/>
                <w:szCs w:val="18"/>
              </w:rPr>
            </w:pPr>
            <w:r>
              <w:rPr>
                <w:sz w:val="18"/>
                <w:szCs w:val="18"/>
              </w:rPr>
              <w:t>348.60</w:t>
            </w:r>
          </w:p>
        </w:tc>
        <w:tc>
          <w:tcPr>
            <w:tcW w:w="667" w:type="pct"/>
            <w:vAlign w:val="center"/>
          </w:tcPr>
          <w:p w14:paraId="70A2C8E7">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445" w:type="pct"/>
            <w:vMerge w:val="continue"/>
            <w:vAlign w:val="center"/>
          </w:tcPr>
          <w:p w14:paraId="4CAB4180">
            <w:pPr>
              <w:spacing w:line="276" w:lineRule="auto"/>
              <w:jc w:val="center"/>
              <w:rPr>
                <w:sz w:val="18"/>
                <w:szCs w:val="18"/>
              </w:rPr>
            </w:pPr>
          </w:p>
        </w:tc>
        <w:tc>
          <w:tcPr>
            <w:tcW w:w="442" w:type="pct"/>
            <w:vMerge w:val="continue"/>
            <w:vAlign w:val="center"/>
          </w:tcPr>
          <w:p w14:paraId="136231F6">
            <w:pPr>
              <w:spacing w:line="276" w:lineRule="auto"/>
              <w:jc w:val="center"/>
              <w:rPr>
                <w:sz w:val="18"/>
                <w:szCs w:val="18"/>
              </w:rPr>
            </w:pPr>
          </w:p>
        </w:tc>
      </w:tr>
      <w:tr w14:paraId="0A76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2FC5BB8E">
            <w:pPr>
              <w:spacing w:line="276" w:lineRule="auto"/>
              <w:jc w:val="center"/>
              <w:rPr>
                <w:sz w:val="18"/>
                <w:szCs w:val="18"/>
              </w:rPr>
            </w:pPr>
            <w:r>
              <w:rPr>
                <w:sz w:val="18"/>
                <w:szCs w:val="18"/>
              </w:rPr>
              <w:t>4</w:t>
            </w:r>
          </w:p>
        </w:tc>
        <w:tc>
          <w:tcPr>
            <w:tcW w:w="476" w:type="pct"/>
            <w:vAlign w:val="center"/>
          </w:tcPr>
          <w:p w14:paraId="351AF793">
            <w:pPr>
              <w:pStyle w:val="75"/>
              <w:jc w:val="center"/>
              <w:rPr>
                <w:sz w:val="18"/>
                <w:szCs w:val="18"/>
              </w:rPr>
            </w:pPr>
            <w:r>
              <w:rPr>
                <w:sz w:val="18"/>
                <w:szCs w:val="18"/>
              </w:rPr>
              <w:t>3-18</w:t>
            </w:r>
          </w:p>
          <w:p w14:paraId="1AFFCB4E">
            <w:pPr>
              <w:pStyle w:val="75"/>
              <w:jc w:val="center"/>
              <w:rPr>
                <w:sz w:val="18"/>
                <w:szCs w:val="18"/>
              </w:rPr>
            </w:pPr>
            <w:r>
              <w:rPr>
                <w:sz w:val="18"/>
                <w:szCs w:val="18"/>
              </w:rPr>
              <w:t>3-24</w:t>
            </w:r>
          </w:p>
        </w:tc>
        <w:tc>
          <w:tcPr>
            <w:tcW w:w="397" w:type="pct"/>
            <w:vMerge w:val="continue"/>
            <w:vAlign w:val="center"/>
          </w:tcPr>
          <w:p w14:paraId="2DED4354">
            <w:pPr>
              <w:spacing w:line="276" w:lineRule="auto"/>
              <w:jc w:val="center"/>
              <w:rPr>
                <w:sz w:val="18"/>
                <w:szCs w:val="18"/>
              </w:rPr>
            </w:pPr>
          </w:p>
        </w:tc>
        <w:tc>
          <w:tcPr>
            <w:tcW w:w="603" w:type="pct"/>
            <w:vMerge w:val="restart"/>
            <w:vAlign w:val="center"/>
          </w:tcPr>
          <w:p w14:paraId="5F81500D">
            <w:pPr>
              <w:spacing w:line="276" w:lineRule="auto"/>
              <w:jc w:val="center"/>
              <w:rPr>
                <w:sz w:val="18"/>
                <w:szCs w:val="18"/>
              </w:rPr>
            </w:pPr>
            <w:r>
              <w:rPr>
                <w:sz w:val="18"/>
                <w:szCs w:val="18"/>
              </w:rPr>
              <w:t>泥浆护壁</w:t>
            </w:r>
          </w:p>
          <w:p w14:paraId="6C1B44C6">
            <w:pPr>
              <w:spacing w:line="276" w:lineRule="auto"/>
              <w:jc w:val="center"/>
              <w:rPr>
                <w:sz w:val="18"/>
                <w:szCs w:val="18"/>
              </w:rPr>
            </w:pPr>
            <w:r>
              <w:rPr>
                <w:sz w:val="18"/>
                <w:szCs w:val="18"/>
              </w:rPr>
              <w:t>（旋挖）</w:t>
            </w:r>
          </w:p>
        </w:tc>
        <w:tc>
          <w:tcPr>
            <w:tcW w:w="730" w:type="pct"/>
            <w:vAlign w:val="center"/>
          </w:tcPr>
          <w:p w14:paraId="6993C281">
            <w:pPr>
              <w:spacing w:line="276" w:lineRule="auto"/>
              <w:jc w:val="center"/>
              <w:rPr>
                <w:sz w:val="18"/>
                <w:szCs w:val="18"/>
              </w:rPr>
            </w:pPr>
            <w:r>
              <w:rPr>
                <w:sz w:val="18"/>
                <w:szCs w:val="18"/>
              </w:rPr>
              <w:t>≤800mm</w:t>
            </w:r>
          </w:p>
        </w:tc>
        <w:tc>
          <w:tcPr>
            <w:tcW w:w="730" w:type="pct"/>
            <w:vAlign w:val="center"/>
          </w:tcPr>
          <w:p w14:paraId="23658C3B">
            <w:pPr>
              <w:spacing w:line="276" w:lineRule="auto"/>
              <w:jc w:val="center"/>
              <w:rPr>
                <w:sz w:val="18"/>
                <w:szCs w:val="18"/>
              </w:rPr>
            </w:pPr>
            <w:r>
              <w:rPr>
                <w:sz w:val="18"/>
                <w:szCs w:val="18"/>
              </w:rPr>
              <w:t>400.46</w:t>
            </w:r>
          </w:p>
        </w:tc>
        <w:tc>
          <w:tcPr>
            <w:tcW w:w="667" w:type="pct"/>
            <w:vAlign w:val="center"/>
          </w:tcPr>
          <w:p w14:paraId="0FFF9F29">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445" w:type="pct"/>
            <w:vMerge w:val="restart"/>
            <w:vAlign w:val="center"/>
          </w:tcPr>
          <w:p w14:paraId="78173F1B">
            <w:pPr>
              <w:spacing w:line="276" w:lineRule="auto"/>
              <w:jc w:val="center"/>
              <w:rPr>
                <w:sz w:val="18"/>
                <w:szCs w:val="18"/>
              </w:rPr>
            </w:pPr>
            <w:r>
              <w:rPr>
                <w:sz w:val="18"/>
                <w:szCs w:val="18"/>
              </w:rPr>
              <w:t>1.30~1.60</w:t>
            </w:r>
          </w:p>
          <w:p w14:paraId="5E7FC338">
            <w:pPr>
              <w:spacing w:line="276" w:lineRule="auto"/>
              <w:jc w:val="center"/>
              <w:rPr>
                <w:sz w:val="18"/>
                <w:szCs w:val="18"/>
              </w:rPr>
            </w:pPr>
            <w:r>
              <w:rPr>
                <w:sz w:val="18"/>
                <w:szCs w:val="18"/>
              </w:rPr>
              <w:t>（岩层）</w:t>
            </w:r>
          </w:p>
        </w:tc>
        <w:tc>
          <w:tcPr>
            <w:tcW w:w="442" w:type="pct"/>
            <w:vMerge w:val="restart"/>
            <w:vAlign w:val="center"/>
          </w:tcPr>
          <w:p w14:paraId="714C33F8">
            <w:pPr>
              <w:spacing w:line="276" w:lineRule="auto"/>
              <w:jc w:val="center"/>
              <w:rPr>
                <w:sz w:val="18"/>
                <w:szCs w:val="18"/>
              </w:rPr>
            </w:pPr>
            <w:r>
              <w:rPr>
                <w:sz w:val="18"/>
                <w:szCs w:val="18"/>
              </w:rPr>
              <w:t>钢筋另计</w:t>
            </w:r>
          </w:p>
        </w:tc>
      </w:tr>
      <w:tr w14:paraId="173A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763082AD">
            <w:pPr>
              <w:spacing w:line="276" w:lineRule="auto"/>
              <w:jc w:val="center"/>
              <w:rPr>
                <w:sz w:val="18"/>
                <w:szCs w:val="18"/>
              </w:rPr>
            </w:pPr>
            <w:r>
              <w:rPr>
                <w:sz w:val="18"/>
                <w:szCs w:val="18"/>
              </w:rPr>
              <w:t>5</w:t>
            </w:r>
          </w:p>
        </w:tc>
        <w:tc>
          <w:tcPr>
            <w:tcW w:w="476" w:type="pct"/>
            <w:vAlign w:val="center"/>
          </w:tcPr>
          <w:p w14:paraId="49E2ABE3">
            <w:pPr>
              <w:pStyle w:val="75"/>
              <w:jc w:val="center"/>
              <w:rPr>
                <w:sz w:val="18"/>
                <w:szCs w:val="18"/>
              </w:rPr>
            </w:pPr>
            <w:r>
              <w:rPr>
                <w:sz w:val="18"/>
                <w:szCs w:val="18"/>
              </w:rPr>
              <w:t>3-19</w:t>
            </w:r>
          </w:p>
          <w:p w14:paraId="5B94CC67">
            <w:pPr>
              <w:pStyle w:val="75"/>
              <w:jc w:val="center"/>
              <w:rPr>
                <w:sz w:val="18"/>
                <w:szCs w:val="18"/>
              </w:rPr>
            </w:pPr>
            <w:r>
              <w:rPr>
                <w:sz w:val="18"/>
                <w:szCs w:val="18"/>
              </w:rPr>
              <w:t>3-24</w:t>
            </w:r>
          </w:p>
        </w:tc>
        <w:tc>
          <w:tcPr>
            <w:tcW w:w="397" w:type="pct"/>
            <w:vMerge w:val="continue"/>
            <w:vAlign w:val="center"/>
          </w:tcPr>
          <w:p w14:paraId="0CEDBF3C">
            <w:pPr>
              <w:spacing w:line="276" w:lineRule="auto"/>
              <w:jc w:val="center"/>
              <w:rPr>
                <w:sz w:val="18"/>
                <w:szCs w:val="18"/>
              </w:rPr>
            </w:pPr>
          </w:p>
        </w:tc>
        <w:tc>
          <w:tcPr>
            <w:tcW w:w="603" w:type="pct"/>
            <w:vMerge w:val="continue"/>
            <w:vAlign w:val="center"/>
          </w:tcPr>
          <w:p w14:paraId="26910A78">
            <w:pPr>
              <w:spacing w:line="276" w:lineRule="auto"/>
              <w:jc w:val="center"/>
              <w:rPr>
                <w:sz w:val="18"/>
                <w:szCs w:val="18"/>
              </w:rPr>
            </w:pPr>
          </w:p>
        </w:tc>
        <w:tc>
          <w:tcPr>
            <w:tcW w:w="730" w:type="pct"/>
            <w:vAlign w:val="center"/>
          </w:tcPr>
          <w:p w14:paraId="330BE094">
            <w:pPr>
              <w:spacing w:line="276" w:lineRule="auto"/>
              <w:jc w:val="center"/>
              <w:rPr>
                <w:sz w:val="18"/>
                <w:szCs w:val="18"/>
              </w:rPr>
            </w:pPr>
            <w:r>
              <w:rPr>
                <w:rFonts w:hint="eastAsia"/>
                <w:sz w:val="18"/>
                <w:szCs w:val="18"/>
              </w:rPr>
              <w:t>＞</w:t>
            </w:r>
            <w:r>
              <w:rPr>
                <w:sz w:val="18"/>
                <w:szCs w:val="18"/>
              </w:rPr>
              <w:t xml:space="preserve">800mm </w:t>
            </w:r>
          </w:p>
        </w:tc>
        <w:tc>
          <w:tcPr>
            <w:tcW w:w="730" w:type="pct"/>
            <w:vAlign w:val="center"/>
          </w:tcPr>
          <w:p w14:paraId="09625ED1">
            <w:pPr>
              <w:spacing w:line="276" w:lineRule="auto"/>
              <w:jc w:val="center"/>
              <w:rPr>
                <w:sz w:val="18"/>
                <w:szCs w:val="18"/>
              </w:rPr>
            </w:pPr>
            <w:r>
              <w:rPr>
                <w:sz w:val="18"/>
                <w:szCs w:val="18"/>
              </w:rPr>
              <w:t>390.99</w:t>
            </w:r>
          </w:p>
        </w:tc>
        <w:tc>
          <w:tcPr>
            <w:tcW w:w="667" w:type="pct"/>
            <w:vAlign w:val="center"/>
          </w:tcPr>
          <w:p w14:paraId="14941088">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445" w:type="pct"/>
            <w:vMerge w:val="continue"/>
            <w:vAlign w:val="center"/>
          </w:tcPr>
          <w:p w14:paraId="04FA90D7">
            <w:pPr>
              <w:spacing w:line="276" w:lineRule="auto"/>
              <w:jc w:val="center"/>
              <w:rPr>
                <w:sz w:val="18"/>
                <w:szCs w:val="18"/>
              </w:rPr>
            </w:pPr>
          </w:p>
        </w:tc>
        <w:tc>
          <w:tcPr>
            <w:tcW w:w="442" w:type="pct"/>
            <w:vMerge w:val="continue"/>
            <w:vAlign w:val="center"/>
          </w:tcPr>
          <w:p w14:paraId="5AD21FC4">
            <w:pPr>
              <w:spacing w:line="276" w:lineRule="auto"/>
              <w:jc w:val="center"/>
              <w:rPr>
                <w:sz w:val="18"/>
                <w:szCs w:val="18"/>
              </w:rPr>
            </w:pPr>
          </w:p>
        </w:tc>
      </w:tr>
      <w:tr w14:paraId="078D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1FC9EB6C">
            <w:pPr>
              <w:spacing w:line="276" w:lineRule="auto"/>
              <w:jc w:val="center"/>
              <w:rPr>
                <w:sz w:val="18"/>
                <w:szCs w:val="18"/>
              </w:rPr>
            </w:pPr>
            <w:r>
              <w:rPr>
                <w:sz w:val="18"/>
                <w:szCs w:val="18"/>
              </w:rPr>
              <w:t>6</w:t>
            </w:r>
          </w:p>
        </w:tc>
        <w:tc>
          <w:tcPr>
            <w:tcW w:w="476" w:type="pct"/>
            <w:vAlign w:val="center"/>
          </w:tcPr>
          <w:p w14:paraId="67A26D06">
            <w:pPr>
              <w:pStyle w:val="75"/>
              <w:jc w:val="center"/>
              <w:rPr>
                <w:sz w:val="18"/>
                <w:szCs w:val="18"/>
              </w:rPr>
            </w:pPr>
            <w:r>
              <w:rPr>
                <w:sz w:val="18"/>
                <w:szCs w:val="18"/>
              </w:rPr>
              <w:t>3-20</w:t>
            </w:r>
          </w:p>
          <w:p w14:paraId="73951A29">
            <w:pPr>
              <w:pStyle w:val="75"/>
              <w:jc w:val="center"/>
              <w:rPr>
                <w:sz w:val="18"/>
                <w:szCs w:val="18"/>
              </w:rPr>
            </w:pPr>
            <w:r>
              <w:rPr>
                <w:sz w:val="18"/>
                <w:szCs w:val="18"/>
              </w:rPr>
              <w:t>3-24</w:t>
            </w:r>
          </w:p>
        </w:tc>
        <w:tc>
          <w:tcPr>
            <w:tcW w:w="397" w:type="pct"/>
            <w:vMerge w:val="continue"/>
            <w:vAlign w:val="center"/>
          </w:tcPr>
          <w:p w14:paraId="376DC925">
            <w:pPr>
              <w:spacing w:line="276" w:lineRule="auto"/>
              <w:jc w:val="center"/>
              <w:rPr>
                <w:sz w:val="18"/>
                <w:szCs w:val="18"/>
              </w:rPr>
            </w:pPr>
          </w:p>
        </w:tc>
        <w:tc>
          <w:tcPr>
            <w:tcW w:w="603" w:type="pct"/>
            <w:vMerge w:val="restart"/>
            <w:vAlign w:val="center"/>
          </w:tcPr>
          <w:p w14:paraId="4C264C2C">
            <w:pPr>
              <w:spacing w:line="276" w:lineRule="auto"/>
              <w:jc w:val="center"/>
              <w:rPr>
                <w:sz w:val="18"/>
                <w:szCs w:val="18"/>
              </w:rPr>
            </w:pPr>
            <w:r>
              <w:rPr>
                <w:sz w:val="18"/>
                <w:szCs w:val="18"/>
              </w:rPr>
              <w:t>泥浆护壁</w:t>
            </w:r>
          </w:p>
          <w:p w14:paraId="2BCB22D7">
            <w:pPr>
              <w:spacing w:line="276" w:lineRule="auto"/>
              <w:jc w:val="center"/>
              <w:rPr>
                <w:sz w:val="18"/>
                <w:szCs w:val="18"/>
              </w:rPr>
            </w:pPr>
            <w:r>
              <w:rPr>
                <w:sz w:val="18"/>
                <w:szCs w:val="18"/>
              </w:rPr>
              <w:t>（冲击钻）</w:t>
            </w:r>
          </w:p>
        </w:tc>
        <w:tc>
          <w:tcPr>
            <w:tcW w:w="730" w:type="pct"/>
            <w:vAlign w:val="center"/>
          </w:tcPr>
          <w:p w14:paraId="76BEF882">
            <w:pPr>
              <w:spacing w:line="276" w:lineRule="auto"/>
              <w:jc w:val="center"/>
              <w:rPr>
                <w:sz w:val="18"/>
                <w:szCs w:val="18"/>
              </w:rPr>
            </w:pPr>
            <w:r>
              <w:rPr>
                <w:sz w:val="18"/>
                <w:szCs w:val="18"/>
              </w:rPr>
              <w:t xml:space="preserve">≤800mm </w:t>
            </w:r>
          </w:p>
        </w:tc>
        <w:tc>
          <w:tcPr>
            <w:tcW w:w="730" w:type="pct"/>
            <w:vAlign w:val="center"/>
          </w:tcPr>
          <w:p w14:paraId="039EB9C5">
            <w:pPr>
              <w:spacing w:line="276" w:lineRule="auto"/>
              <w:jc w:val="center"/>
              <w:rPr>
                <w:sz w:val="18"/>
                <w:szCs w:val="18"/>
              </w:rPr>
            </w:pPr>
            <w:r>
              <w:rPr>
                <w:sz w:val="18"/>
                <w:szCs w:val="18"/>
              </w:rPr>
              <w:t>432.39</w:t>
            </w:r>
          </w:p>
        </w:tc>
        <w:tc>
          <w:tcPr>
            <w:tcW w:w="667" w:type="pct"/>
            <w:vAlign w:val="center"/>
          </w:tcPr>
          <w:p w14:paraId="0837C90A">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445" w:type="pct"/>
            <w:vMerge w:val="restart"/>
            <w:vAlign w:val="center"/>
          </w:tcPr>
          <w:p w14:paraId="712C8BE1">
            <w:pPr>
              <w:spacing w:line="276" w:lineRule="auto"/>
              <w:jc w:val="center"/>
              <w:rPr>
                <w:sz w:val="18"/>
                <w:szCs w:val="18"/>
              </w:rPr>
            </w:pPr>
            <w:r>
              <w:rPr>
                <w:sz w:val="18"/>
                <w:szCs w:val="18"/>
              </w:rPr>
              <w:t>1.30~1.60</w:t>
            </w:r>
          </w:p>
          <w:p w14:paraId="1002EA12">
            <w:pPr>
              <w:spacing w:line="276" w:lineRule="auto"/>
              <w:jc w:val="center"/>
              <w:rPr>
                <w:sz w:val="18"/>
                <w:szCs w:val="18"/>
              </w:rPr>
            </w:pPr>
            <w:r>
              <w:rPr>
                <w:sz w:val="18"/>
                <w:szCs w:val="18"/>
              </w:rPr>
              <w:t>（岩层）</w:t>
            </w:r>
          </w:p>
        </w:tc>
        <w:tc>
          <w:tcPr>
            <w:tcW w:w="442" w:type="pct"/>
            <w:vMerge w:val="restart"/>
            <w:vAlign w:val="center"/>
          </w:tcPr>
          <w:p w14:paraId="7DAFFB32">
            <w:pPr>
              <w:spacing w:line="276" w:lineRule="auto"/>
              <w:jc w:val="center"/>
              <w:rPr>
                <w:sz w:val="18"/>
                <w:szCs w:val="18"/>
              </w:rPr>
            </w:pPr>
            <w:r>
              <w:rPr>
                <w:sz w:val="18"/>
                <w:szCs w:val="18"/>
              </w:rPr>
              <w:t>钢筋另计</w:t>
            </w:r>
          </w:p>
        </w:tc>
      </w:tr>
      <w:tr w14:paraId="4836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46687030">
            <w:pPr>
              <w:spacing w:line="276" w:lineRule="auto"/>
              <w:jc w:val="center"/>
              <w:rPr>
                <w:sz w:val="18"/>
                <w:szCs w:val="18"/>
              </w:rPr>
            </w:pPr>
            <w:r>
              <w:rPr>
                <w:sz w:val="18"/>
                <w:szCs w:val="18"/>
              </w:rPr>
              <w:t>7</w:t>
            </w:r>
          </w:p>
        </w:tc>
        <w:tc>
          <w:tcPr>
            <w:tcW w:w="476" w:type="pct"/>
            <w:vAlign w:val="center"/>
          </w:tcPr>
          <w:p w14:paraId="231AF210">
            <w:pPr>
              <w:pStyle w:val="75"/>
              <w:jc w:val="center"/>
              <w:rPr>
                <w:sz w:val="18"/>
                <w:szCs w:val="18"/>
              </w:rPr>
            </w:pPr>
            <w:r>
              <w:rPr>
                <w:sz w:val="18"/>
                <w:szCs w:val="18"/>
              </w:rPr>
              <w:t>3-21</w:t>
            </w:r>
          </w:p>
          <w:p w14:paraId="56D8B29D">
            <w:pPr>
              <w:pStyle w:val="75"/>
              <w:jc w:val="center"/>
              <w:rPr>
                <w:sz w:val="18"/>
                <w:szCs w:val="18"/>
              </w:rPr>
            </w:pPr>
            <w:r>
              <w:rPr>
                <w:sz w:val="18"/>
                <w:szCs w:val="18"/>
              </w:rPr>
              <w:t>3-24</w:t>
            </w:r>
          </w:p>
        </w:tc>
        <w:tc>
          <w:tcPr>
            <w:tcW w:w="397" w:type="pct"/>
            <w:vMerge w:val="continue"/>
            <w:vAlign w:val="center"/>
          </w:tcPr>
          <w:p w14:paraId="66A14E34">
            <w:pPr>
              <w:spacing w:line="276" w:lineRule="auto"/>
              <w:jc w:val="center"/>
              <w:rPr>
                <w:sz w:val="18"/>
                <w:szCs w:val="18"/>
              </w:rPr>
            </w:pPr>
          </w:p>
        </w:tc>
        <w:tc>
          <w:tcPr>
            <w:tcW w:w="603" w:type="pct"/>
            <w:vMerge w:val="continue"/>
            <w:vAlign w:val="center"/>
          </w:tcPr>
          <w:p w14:paraId="378567D1">
            <w:pPr>
              <w:spacing w:line="276" w:lineRule="auto"/>
              <w:jc w:val="center"/>
              <w:rPr>
                <w:sz w:val="18"/>
                <w:szCs w:val="18"/>
              </w:rPr>
            </w:pPr>
          </w:p>
        </w:tc>
        <w:tc>
          <w:tcPr>
            <w:tcW w:w="730" w:type="pct"/>
            <w:vAlign w:val="center"/>
          </w:tcPr>
          <w:p w14:paraId="5145428D">
            <w:pPr>
              <w:spacing w:line="276" w:lineRule="auto"/>
              <w:jc w:val="center"/>
              <w:rPr>
                <w:sz w:val="18"/>
                <w:szCs w:val="18"/>
              </w:rPr>
            </w:pPr>
            <w:r>
              <w:rPr>
                <w:rFonts w:hint="eastAsia"/>
                <w:sz w:val="18"/>
                <w:szCs w:val="18"/>
              </w:rPr>
              <w:t>＞</w:t>
            </w:r>
            <w:r>
              <w:rPr>
                <w:sz w:val="18"/>
                <w:szCs w:val="18"/>
              </w:rPr>
              <w:t>800mm</w:t>
            </w:r>
          </w:p>
        </w:tc>
        <w:tc>
          <w:tcPr>
            <w:tcW w:w="730" w:type="pct"/>
            <w:vAlign w:val="center"/>
          </w:tcPr>
          <w:p w14:paraId="769EDB3F">
            <w:pPr>
              <w:spacing w:line="276" w:lineRule="auto"/>
              <w:jc w:val="center"/>
              <w:rPr>
                <w:sz w:val="18"/>
                <w:szCs w:val="18"/>
              </w:rPr>
            </w:pPr>
            <w:r>
              <w:rPr>
                <w:sz w:val="18"/>
                <w:szCs w:val="18"/>
              </w:rPr>
              <w:t>423.58</w:t>
            </w:r>
          </w:p>
        </w:tc>
        <w:tc>
          <w:tcPr>
            <w:tcW w:w="667" w:type="pct"/>
            <w:vAlign w:val="center"/>
          </w:tcPr>
          <w:p w14:paraId="41DFA3DB">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445" w:type="pct"/>
            <w:vMerge w:val="continue"/>
            <w:vAlign w:val="center"/>
          </w:tcPr>
          <w:p w14:paraId="66093606">
            <w:pPr>
              <w:spacing w:line="276" w:lineRule="auto"/>
              <w:jc w:val="center"/>
              <w:rPr>
                <w:sz w:val="18"/>
                <w:szCs w:val="18"/>
              </w:rPr>
            </w:pPr>
          </w:p>
        </w:tc>
        <w:tc>
          <w:tcPr>
            <w:tcW w:w="442" w:type="pct"/>
            <w:vMerge w:val="continue"/>
            <w:vAlign w:val="center"/>
          </w:tcPr>
          <w:p w14:paraId="1920C413">
            <w:pPr>
              <w:spacing w:line="276" w:lineRule="auto"/>
              <w:jc w:val="center"/>
              <w:rPr>
                <w:sz w:val="18"/>
                <w:szCs w:val="18"/>
              </w:rPr>
            </w:pPr>
          </w:p>
        </w:tc>
      </w:tr>
      <w:tr w14:paraId="4EC1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3825905D">
            <w:pPr>
              <w:spacing w:line="276" w:lineRule="auto"/>
              <w:jc w:val="center"/>
              <w:rPr>
                <w:sz w:val="18"/>
                <w:szCs w:val="18"/>
              </w:rPr>
            </w:pPr>
            <w:r>
              <w:rPr>
                <w:sz w:val="18"/>
                <w:szCs w:val="18"/>
              </w:rPr>
              <w:t>8</w:t>
            </w:r>
          </w:p>
        </w:tc>
        <w:tc>
          <w:tcPr>
            <w:tcW w:w="476" w:type="pct"/>
            <w:vAlign w:val="center"/>
          </w:tcPr>
          <w:p w14:paraId="696584A1">
            <w:pPr>
              <w:pStyle w:val="75"/>
              <w:jc w:val="center"/>
              <w:rPr>
                <w:sz w:val="18"/>
                <w:szCs w:val="18"/>
              </w:rPr>
            </w:pPr>
            <w:r>
              <w:rPr>
                <w:sz w:val="18"/>
                <w:szCs w:val="18"/>
              </w:rPr>
              <w:t>3-22</w:t>
            </w:r>
          </w:p>
          <w:p w14:paraId="0CF76824">
            <w:pPr>
              <w:pStyle w:val="75"/>
              <w:jc w:val="center"/>
              <w:rPr>
                <w:sz w:val="18"/>
                <w:szCs w:val="18"/>
              </w:rPr>
            </w:pPr>
            <w:r>
              <w:rPr>
                <w:sz w:val="18"/>
                <w:szCs w:val="18"/>
              </w:rPr>
              <w:t>3-24</w:t>
            </w:r>
          </w:p>
        </w:tc>
        <w:tc>
          <w:tcPr>
            <w:tcW w:w="397" w:type="pct"/>
            <w:vMerge w:val="continue"/>
            <w:vAlign w:val="center"/>
          </w:tcPr>
          <w:p w14:paraId="6B0E41AF">
            <w:pPr>
              <w:spacing w:line="276" w:lineRule="auto"/>
              <w:jc w:val="center"/>
              <w:rPr>
                <w:sz w:val="18"/>
                <w:szCs w:val="18"/>
              </w:rPr>
            </w:pPr>
          </w:p>
        </w:tc>
        <w:tc>
          <w:tcPr>
            <w:tcW w:w="603" w:type="pct"/>
            <w:vMerge w:val="restart"/>
            <w:vAlign w:val="center"/>
          </w:tcPr>
          <w:p w14:paraId="71E3F7FB">
            <w:pPr>
              <w:spacing w:line="276" w:lineRule="auto"/>
              <w:jc w:val="center"/>
              <w:rPr>
                <w:sz w:val="18"/>
                <w:szCs w:val="18"/>
              </w:rPr>
            </w:pPr>
            <w:r>
              <w:rPr>
                <w:sz w:val="18"/>
                <w:szCs w:val="18"/>
              </w:rPr>
              <w:t>泥浆护壁</w:t>
            </w:r>
          </w:p>
          <w:p w14:paraId="36DBA72A">
            <w:pPr>
              <w:spacing w:line="276" w:lineRule="auto"/>
              <w:jc w:val="center"/>
              <w:rPr>
                <w:sz w:val="18"/>
                <w:szCs w:val="18"/>
              </w:rPr>
            </w:pPr>
            <w:r>
              <w:rPr>
                <w:sz w:val="18"/>
                <w:szCs w:val="18"/>
              </w:rPr>
              <w:t>（回旋钻）</w:t>
            </w:r>
          </w:p>
        </w:tc>
        <w:tc>
          <w:tcPr>
            <w:tcW w:w="730" w:type="pct"/>
            <w:vAlign w:val="center"/>
          </w:tcPr>
          <w:p w14:paraId="62C579BA">
            <w:pPr>
              <w:spacing w:line="276" w:lineRule="auto"/>
              <w:jc w:val="center"/>
              <w:rPr>
                <w:sz w:val="18"/>
                <w:szCs w:val="18"/>
              </w:rPr>
            </w:pPr>
            <w:r>
              <w:rPr>
                <w:sz w:val="18"/>
                <w:szCs w:val="18"/>
              </w:rPr>
              <w:t>≤800mm</w:t>
            </w:r>
          </w:p>
        </w:tc>
        <w:tc>
          <w:tcPr>
            <w:tcW w:w="730" w:type="pct"/>
            <w:vAlign w:val="center"/>
          </w:tcPr>
          <w:p w14:paraId="0AD8B34A">
            <w:pPr>
              <w:spacing w:line="276" w:lineRule="auto"/>
              <w:jc w:val="center"/>
              <w:rPr>
                <w:sz w:val="18"/>
                <w:szCs w:val="18"/>
              </w:rPr>
            </w:pPr>
            <w:r>
              <w:rPr>
                <w:sz w:val="18"/>
                <w:szCs w:val="18"/>
              </w:rPr>
              <w:t>406.84</w:t>
            </w:r>
          </w:p>
        </w:tc>
        <w:tc>
          <w:tcPr>
            <w:tcW w:w="667" w:type="pct"/>
            <w:vAlign w:val="center"/>
          </w:tcPr>
          <w:p w14:paraId="4660034E">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445" w:type="pct"/>
            <w:vMerge w:val="restart"/>
            <w:vAlign w:val="center"/>
          </w:tcPr>
          <w:p w14:paraId="10ABF135">
            <w:pPr>
              <w:spacing w:line="276" w:lineRule="auto"/>
              <w:jc w:val="center"/>
              <w:rPr>
                <w:sz w:val="18"/>
                <w:szCs w:val="18"/>
              </w:rPr>
            </w:pPr>
            <w:r>
              <w:rPr>
                <w:sz w:val="18"/>
                <w:szCs w:val="18"/>
              </w:rPr>
              <w:t>1.30~1.60</w:t>
            </w:r>
          </w:p>
          <w:p w14:paraId="6BAFB6DC">
            <w:pPr>
              <w:spacing w:line="276" w:lineRule="auto"/>
              <w:jc w:val="center"/>
              <w:rPr>
                <w:sz w:val="18"/>
                <w:szCs w:val="18"/>
              </w:rPr>
            </w:pPr>
            <w:r>
              <w:rPr>
                <w:sz w:val="18"/>
                <w:szCs w:val="18"/>
              </w:rPr>
              <w:t>（岩层）</w:t>
            </w:r>
          </w:p>
        </w:tc>
        <w:tc>
          <w:tcPr>
            <w:tcW w:w="442" w:type="pct"/>
            <w:vMerge w:val="restart"/>
            <w:vAlign w:val="center"/>
          </w:tcPr>
          <w:p w14:paraId="48E158F9">
            <w:pPr>
              <w:spacing w:line="276" w:lineRule="auto"/>
              <w:jc w:val="center"/>
              <w:rPr>
                <w:sz w:val="18"/>
                <w:szCs w:val="18"/>
              </w:rPr>
            </w:pPr>
            <w:r>
              <w:rPr>
                <w:sz w:val="18"/>
                <w:szCs w:val="18"/>
              </w:rPr>
              <w:t>钢筋另计</w:t>
            </w:r>
          </w:p>
        </w:tc>
      </w:tr>
      <w:tr w14:paraId="4945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11FBB190">
            <w:pPr>
              <w:spacing w:line="276" w:lineRule="auto"/>
              <w:jc w:val="center"/>
              <w:rPr>
                <w:sz w:val="18"/>
                <w:szCs w:val="18"/>
              </w:rPr>
            </w:pPr>
            <w:r>
              <w:rPr>
                <w:sz w:val="18"/>
                <w:szCs w:val="18"/>
              </w:rPr>
              <w:t>9</w:t>
            </w:r>
          </w:p>
        </w:tc>
        <w:tc>
          <w:tcPr>
            <w:tcW w:w="476" w:type="pct"/>
            <w:vAlign w:val="center"/>
          </w:tcPr>
          <w:p w14:paraId="59BC0A81">
            <w:pPr>
              <w:pStyle w:val="75"/>
              <w:jc w:val="center"/>
              <w:rPr>
                <w:sz w:val="18"/>
                <w:szCs w:val="18"/>
              </w:rPr>
            </w:pPr>
            <w:r>
              <w:rPr>
                <w:sz w:val="18"/>
                <w:szCs w:val="18"/>
              </w:rPr>
              <w:t>3-23</w:t>
            </w:r>
          </w:p>
          <w:p w14:paraId="74EFECB1">
            <w:pPr>
              <w:pStyle w:val="75"/>
              <w:jc w:val="center"/>
              <w:rPr>
                <w:sz w:val="18"/>
                <w:szCs w:val="18"/>
              </w:rPr>
            </w:pPr>
            <w:r>
              <w:rPr>
                <w:sz w:val="18"/>
                <w:szCs w:val="18"/>
              </w:rPr>
              <w:t>3-24</w:t>
            </w:r>
          </w:p>
        </w:tc>
        <w:tc>
          <w:tcPr>
            <w:tcW w:w="397" w:type="pct"/>
            <w:vMerge w:val="continue"/>
            <w:vAlign w:val="center"/>
          </w:tcPr>
          <w:p w14:paraId="3604AD8D">
            <w:pPr>
              <w:spacing w:line="276" w:lineRule="auto"/>
              <w:jc w:val="center"/>
              <w:rPr>
                <w:sz w:val="18"/>
                <w:szCs w:val="18"/>
              </w:rPr>
            </w:pPr>
          </w:p>
        </w:tc>
        <w:tc>
          <w:tcPr>
            <w:tcW w:w="603" w:type="pct"/>
            <w:vMerge w:val="continue"/>
            <w:vAlign w:val="center"/>
          </w:tcPr>
          <w:p w14:paraId="758D6EC8">
            <w:pPr>
              <w:spacing w:line="276" w:lineRule="auto"/>
              <w:jc w:val="center"/>
              <w:rPr>
                <w:sz w:val="18"/>
                <w:szCs w:val="18"/>
              </w:rPr>
            </w:pPr>
          </w:p>
        </w:tc>
        <w:tc>
          <w:tcPr>
            <w:tcW w:w="730" w:type="pct"/>
            <w:vAlign w:val="center"/>
          </w:tcPr>
          <w:p w14:paraId="1C71E782">
            <w:pPr>
              <w:spacing w:line="276" w:lineRule="auto"/>
              <w:jc w:val="center"/>
              <w:rPr>
                <w:sz w:val="18"/>
                <w:szCs w:val="18"/>
              </w:rPr>
            </w:pPr>
            <w:r>
              <w:rPr>
                <w:rFonts w:hint="eastAsia"/>
                <w:sz w:val="18"/>
                <w:szCs w:val="18"/>
              </w:rPr>
              <w:t>＞</w:t>
            </w:r>
            <w:r>
              <w:rPr>
                <w:sz w:val="18"/>
                <w:szCs w:val="18"/>
              </w:rPr>
              <w:t>800mm</w:t>
            </w:r>
          </w:p>
        </w:tc>
        <w:tc>
          <w:tcPr>
            <w:tcW w:w="730" w:type="pct"/>
            <w:vAlign w:val="center"/>
          </w:tcPr>
          <w:p w14:paraId="58D44C11">
            <w:pPr>
              <w:spacing w:line="276" w:lineRule="auto"/>
              <w:jc w:val="center"/>
              <w:rPr>
                <w:sz w:val="18"/>
                <w:szCs w:val="18"/>
              </w:rPr>
            </w:pPr>
            <w:r>
              <w:rPr>
                <w:sz w:val="18"/>
                <w:szCs w:val="18"/>
              </w:rPr>
              <w:t>402.34</w:t>
            </w:r>
          </w:p>
        </w:tc>
        <w:tc>
          <w:tcPr>
            <w:tcW w:w="667" w:type="pct"/>
            <w:vAlign w:val="center"/>
          </w:tcPr>
          <w:p w14:paraId="378B8C46">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445" w:type="pct"/>
            <w:vMerge w:val="continue"/>
            <w:vAlign w:val="center"/>
          </w:tcPr>
          <w:p w14:paraId="7AABA1DF">
            <w:pPr>
              <w:spacing w:line="276" w:lineRule="auto"/>
              <w:jc w:val="center"/>
              <w:rPr>
                <w:sz w:val="18"/>
                <w:szCs w:val="18"/>
              </w:rPr>
            </w:pPr>
          </w:p>
        </w:tc>
        <w:tc>
          <w:tcPr>
            <w:tcW w:w="442" w:type="pct"/>
            <w:vMerge w:val="continue"/>
            <w:vAlign w:val="center"/>
          </w:tcPr>
          <w:p w14:paraId="750C429B">
            <w:pPr>
              <w:spacing w:line="276" w:lineRule="auto"/>
              <w:jc w:val="center"/>
              <w:rPr>
                <w:sz w:val="18"/>
                <w:szCs w:val="18"/>
              </w:rPr>
            </w:pPr>
          </w:p>
        </w:tc>
      </w:tr>
      <w:tr w14:paraId="7ED0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1894121B">
            <w:pPr>
              <w:spacing w:line="276" w:lineRule="auto"/>
              <w:jc w:val="center"/>
              <w:rPr>
                <w:sz w:val="18"/>
                <w:szCs w:val="18"/>
              </w:rPr>
            </w:pPr>
            <w:r>
              <w:rPr>
                <w:sz w:val="18"/>
                <w:szCs w:val="18"/>
              </w:rPr>
              <w:t>10</w:t>
            </w:r>
          </w:p>
        </w:tc>
        <w:tc>
          <w:tcPr>
            <w:tcW w:w="476" w:type="pct"/>
            <w:vAlign w:val="center"/>
          </w:tcPr>
          <w:p w14:paraId="77A6E766">
            <w:pPr>
              <w:pStyle w:val="75"/>
              <w:jc w:val="center"/>
              <w:rPr>
                <w:sz w:val="18"/>
                <w:szCs w:val="18"/>
              </w:rPr>
            </w:pPr>
            <w:r>
              <w:rPr>
                <w:sz w:val="18"/>
                <w:szCs w:val="18"/>
              </w:rPr>
              <w:t>5-120</w:t>
            </w:r>
          </w:p>
          <w:p w14:paraId="381E06E2">
            <w:pPr>
              <w:pStyle w:val="75"/>
              <w:jc w:val="center"/>
              <w:rPr>
                <w:sz w:val="18"/>
                <w:szCs w:val="18"/>
              </w:rPr>
            </w:pPr>
            <w:r>
              <w:rPr>
                <w:sz w:val="18"/>
                <w:szCs w:val="18"/>
              </w:rPr>
              <w:t>5-121</w:t>
            </w:r>
          </w:p>
        </w:tc>
        <w:tc>
          <w:tcPr>
            <w:tcW w:w="397" w:type="pct"/>
            <w:vMerge w:val="continue"/>
            <w:vAlign w:val="center"/>
          </w:tcPr>
          <w:p w14:paraId="1B5F5CFD">
            <w:pPr>
              <w:spacing w:line="276" w:lineRule="auto"/>
              <w:jc w:val="center"/>
              <w:rPr>
                <w:sz w:val="18"/>
                <w:szCs w:val="18"/>
              </w:rPr>
            </w:pPr>
          </w:p>
        </w:tc>
        <w:tc>
          <w:tcPr>
            <w:tcW w:w="603" w:type="pct"/>
            <w:vMerge w:val="restart"/>
            <w:vAlign w:val="center"/>
          </w:tcPr>
          <w:p w14:paraId="3D16DD73">
            <w:pPr>
              <w:spacing w:line="276" w:lineRule="auto"/>
              <w:jc w:val="center"/>
              <w:rPr>
                <w:sz w:val="18"/>
                <w:szCs w:val="18"/>
              </w:rPr>
            </w:pPr>
            <w:r>
              <w:rPr>
                <w:sz w:val="18"/>
                <w:szCs w:val="18"/>
              </w:rPr>
              <w:t>钢筋笼</w:t>
            </w:r>
          </w:p>
        </w:tc>
        <w:tc>
          <w:tcPr>
            <w:tcW w:w="730" w:type="pct"/>
            <w:vAlign w:val="center"/>
          </w:tcPr>
          <w:p w14:paraId="3D0E9BC7">
            <w:pPr>
              <w:spacing w:line="276" w:lineRule="auto"/>
              <w:jc w:val="center"/>
              <w:rPr>
                <w:sz w:val="18"/>
                <w:szCs w:val="18"/>
              </w:rPr>
            </w:pPr>
            <w:r>
              <w:rPr>
                <w:sz w:val="18"/>
                <w:szCs w:val="18"/>
              </w:rPr>
              <w:t>≤15m</w:t>
            </w:r>
          </w:p>
        </w:tc>
        <w:tc>
          <w:tcPr>
            <w:tcW w:w="730" w:type="pct"/>
            <w:vAlign w:val="center"/>
          </w:tcPr>
          <w:p w14:paraId="48C2D530">
            <w:pPr>
              <w:spacing w:line="276" w:lineRule="auto"/>
              <w:jc w:val="center"/>
              <w:rPr>
                <w:sz w:val="18"/>
                <w:szCs w:val="18"/>
              </w:rPr>
            </w:pPr>
            <w:r>
              <w:rPr>
                <w:sz w:val="18"/>
                <w:szCs w:val="18"/>
              </w:rPr>
              <w:t>2500.04</w:t>
            </w:r>
          </w:p>
        </w:tc>
        <w:tc>
          <w:tcPr>
            <w:tcW w:w="667" w:type="pct"/>
            <w:vAlign w:val="center"/>
          </w:tcPr>
          <w:p w14:paraId="2D098B22">
            <w:pPr>
              <w:spacing w:line="276" w:lineRule="auto"/>
              <w:jc w:val="center"/>
              <w:rPr>
                <w:sz w:val="18"/>
                <w:szCs w:val="18"/>
              </w:rPr>
            </w:pPr>
            <w:r>
              <w:rPr>
                <w:sz w:val="18"/>
                <w:szCs w:val="18"/>
              </w:rPr>
              <w:t>kgCO</w:t>
            </w:r>
            <w:r>
              <w:rPr>
                <w:sz w:val="18"/>
                <w:szCs w:val="18"/>
                <w:vertAlign w:val="subscript"/>
              </w:rPr>
              <w:t>2</w:t>
            </w:r>
            <w:r>
              <w:rPr>
                <w:sz w:val="18"/>
                <w:szCs w:val="18"/>
              </w:rPr>
              <w:t>e/t</w:t>
            </w:r>
          </w:p>
        </w:tc>
        <w:tc>
          <w:tcPr>
            <w:tcW w:w="445" w:type="pct"/>
            <w:vMerge w:val="restart"/>
            <w:vAlign w:val="center"/>
          </w:tcPr>
          <w:p w14:paraId="1FE1086E">
            <w:pPr>
              <w:spacing w:line="276" w:lineRule="auto"/>
              <w:jc w:val="center"/>
              <w:rPr>
                <w:sz w:val="18"/>
                <w:szCs w:val="18"/>
              </w:rPr>
            </w:pPr>
            <w:r>
              <w:rPr>
                <w:sz w:val="18"/>
                <w:szCs w:val="18"/>
              </w:rPr>
              <w:t>1.00</w:t>
            </w:r>
          </w:p>
        </w:tc>
        <w:tc>
          <w:tcPr>
            <w:tcW w:w="442" w:type="pct"/>
            <w:vAlign w:val="center"/>
          </w:tcPr>
          <w:p w14:paraId="17656469">
            <w:pPr>
              <w:spacing w:line="276" w:lineRule="auto"/>
              <w:jc w:val="center"/>
              <w:rPr>
                <w:sz w:val="18"/>
                <w:szCs w:val="18"/>
              </w:rPr>
            </w:pPr>
          </w:p>
        </w:tc>
      </w:tr>
      <w:tr w14:paraId="15D4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5BED123A">
            <w:pPr>
              <w:spacing w:line="276" w:lineRule="auto"/>
              <w:jc w:val="center"/>
              <w:rPr>
                <w:sz w:val="18"/>
                <w:szCs w:val="18"/>
              </w:rPr>
            </w:pPr>
            <w:r>
              <w:rPr>
                <w:sz w:val="18"/>
                <w:szCs w:val="18"/>
              </w:rPr>
              <w:t>11</w:t>
            </w:r>
          </w:p>
        </w:tc>
        <w:tc>
          <w:tcPr>
            <w:tcW w:w="476" w:type="pct"/>
            <w:vAlign w:val="center"/>
          </w:tcPr>
          <w:p w14:paraId="7EDA5B9F">
            <w:pPr>
              <w:pStyle w:val="75"/>
              <w:jc w:val="center"/>
              <w:rPr>
                <w:sz w:val="18"/>
                <w:szCs w:val="18"/>
              </w:rPr>
            </w:pPr>
            <w:r>
              <w:rPr>
                <w:sz w:val="18"/>
                <w:szCs w:val="18"/>
              </w:rPr>
              <w:t>5-120</w:t>
            </w:r>
          </w:p>
          <w:p w14:paraId="152B32BA">
            <w:pPr>
              <w:pStyle w:val="75"/>
              <w:jc w:val="center"/>
              <w:rPr>
                <w:sz w:val="18"/>
                <w:szCs w:val="18"/>
              </w:rPr>
            </w:pPr>
            <w:r>
              <w:rPr>
                <w:sz w:val="18"/>
                <w:szCs w:val="18"/>
              </w:rPr>
              <w:t>5-122</w:t>
            </w:r>
          </w:p>
        </w:tc>
        <w:tc>
          <w:tcPr>
            <w:tcW w:w="397" w:type="pct"/>
            <w:vMerge w:val="continue"/>
            <w:vAlign w:val="center"/>
          </w:tcPr>
          <w:p w14:paraId="59AE7C4D">
            <w:pPr>
              <w:spacing w:line="276" w:lineRule="auto"/>
              <w:jc w:val="center"/>
              <w:rPr>
                <w:sz w:val="18"/>
                <w:szCs w:val="18"/>
              </w:rPr>
            </w:pPr>
          </w:p>
        </w:tc>
        <w:tc>
          <w:tcPr>
            <w:tcW w:w="603" w:type="pct"/>
            <w:vMerge w:val="continue"/>
            <w:vAlign w:val="center"/>
          </w:tcPr>
          <w:p w14:paraId="1AE71A12">
            <w:pPr>
              <w:spacing w:line="276" w:lineRule="auto"/>
              <w:jc w:val="center"/>
              <w:rPr>
                <w:sz w:val="18"/>
                <w:szCs w:val="18"/>
              </w:rPr>
            </w:pPr>
          </w:p>
        </w:tc>
        <w:tc>
          <w:tcPr>
            <w:tcW w:w="730" w:type="pct"/>
            <w:vAlign w:val="center"/>
          </w:tcPr>
          <w:p w14:paraId="60540AE9">
            <w:pPr>
              <w:spacing w:line="276" w:lineRule="auto"/>
              <w:jc w:val="center"/>
              <w:rPr>
                <w:sz w:val="18"/>
                <w:szCs w:val="18"/>
              </w:rPr>
            </w:pPr>
            <w:r>
              <w:rPr>
                <w:sz w:val="18"/>
                <w:szCs w:val="18"/>
              </w:rPr>
              <w:t>≤25m</w:t>
            </w:r>
          </w:p>
        </w:tc>
        <w:tc>
          <w:tcPr>
            <w:tcW w:w="730" w:type="pct"/>
            <w:vAlign w:val="center"/>
          </w:tcPr>
          <w:p w14:paraId="7A623AD2">
            <w:pPr>
              <w:spacing w:line="276" w:lineRule="auto"/>
              <w:jc w:val="center"/>
              <w:rPr>
                <w:sz w:val="18"/>
                <w:szCs w:val="18"/>
              </w:rPr>
            </w:pPr>
            <w:r>
              <w:rPr>
                <w:sz w:val="18"/>
                <w:szCs w:val="18"/>
              </w:rPr>
              <w:t>2507.14</w:t>
            </w:r>
          </w:p>
        </w:tc>
        <w:tc>
          <w:tcPr>
            <w:tcW w:w="667" w:type="pct"/>
            <w:vAlign w:val="center"/>
          </w:tcPr>
          <w:p w14:paraId="61FFA9EC">
            <w:pPr>
              <w:spacing w:line="276" w:lineRule="auto"/>
              <w:jc w:val="center"/>
              <w:rPr>
                <w:sz w:val="18"/>
                <w:szCs w:val="18"/>
              </w:rPr>
            </w:pPr>
            <w:r>
              <w:rPr>
                <w:sz w:val="18"/>
                <w:szCs w:val="18"/>
              </w:rPr>
              <w:t>kgCO</w:t>
            </w:r>
            <w:r>
              <w:rPr>
                <w:sz w:val="18"/>
                <w:szCs w:val="18"/>
                <w:vertAlign w:val="subscript"/>
              </w:rPr>
              <w:t>2</w:t>
            </w:r>
            <w:r>
              <w:rPr>
                <w:sz w:val="18"/>
                <w:szCs w:val="18"/>
              </w:rPr>
              <w:t>e/t</w:t>
            </w:r>
          </w:p>
        </w:tc>
        <w:tc>
          <w:tcPr>
            <w:tcW w:w="445" w:type="pct"/>
            <w:vMerge w:val="continue"/>
            <w:vAlign w:val="center"/>
          </w:tcPr>
          <w:p w14:paraId="335059FB">
            <w:pPr>
              <w:spacing w:line="276" w:lineRule="auto"/>
              <w:jc w:val="center"/>
              <w:rPr>
                <w:sz w:val="18"/>
                <w:szCs w:val="18"/>
              </w:rPr>
            </w:pPr>
          </w:p>
        </w:tc>
        <w:tc>
          <w:tcPr>
            <w:tcW w:w="442" w:type="pct"/>
            <w:vAlign w:val="center"/>
          </w:tcPr>
          <w:p w14:paraId="45E39C0C">
            <w:pPr>
              <w:spacing w:line="276" w:lineRule="auto"/>
              <w:jc w:val="center"/>
              <w:rPr>
                <w:sz w:val="18"/>
                <w:szCs w:val="18"/>
              </w:rPr>
            </w:pPr>
          </w:p>
        </w:tc>
      </w:tr>
      <w:tr w14:paraId="5A26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4B7D0EB5">
            <w:pPr>
              <w:spacing w:line="276" w:lineRule="auto"/>
              <w:jc w:val="center"/>
              <w:rPr>
                <w:sz w:val="18"/>
                <w:szCs w:val="18"/>
              </w:rPr>
            </w:pPr>
            <w:r>
              <w:rPr>
                <w:sz w:val="18"/>
                <w:szCs w:val="18"/>
              </w:rPr>
              <w:t>12</w:t>
            </w:r>
          </w:p>
        </w:tc>
        <w:tc>
          <w:tcPr>
            <w:tcW w:w="476" w:type="pct"/>
            <w:vAlign w:val="center"/>
          </w:tcPr>
          <w:p w14:paraId="651C07AA">
            <w:pPr>
              <w:pStyle w:val="75"/>
              <w:jc w:val="center"/>
              <w:rPr>
                <w:sz w:val="18"/>
                <w:szCs w:val="18"/>
              </w:rPr>
            </w:pPr>
            <w:r>
              <w:rPr>
                <w:sz w:val="18"/>
                <w:szCs w:val="18"/>
              </w:rPr>
              <w:t>5-120</w:t>
            </w:r>
          </w:p>
          <w:p w14:paraId="200E2AD2">
            <w:pPr>
              <w:pStyle w:val="75"/>
              <w:jc w:val="center"/>
              <w:rPr>
                <w:sz w:val="18"/>
                <w:szCs w:val="18"/>
              </w:rPr>
            </w:pPr>
            <w:r>
              <w:rPr>
                <w:sz w:val="18"/>
                <w:szCs w:val="18"/>
              </w:rPr>
              <w:t>5-123</w:t>
            </w:r>
          </w:p>
        </w:tc>
        <w:tc>
          <w:tcPr>
            <w:tcW w:w="397" w:type="pct"/>
            <w:vMerge w:val="continue"/>
            <w:vAlign w:val="center"/>
          </w:tcPr>
          <w:p w14:paraId="7DCCFB96">
            <w:pPr>
              <w:spacing w:line="276" w:lineRule="auto"/>
              <w:jc w:val="center"/>
              <w:rPr>
                <w:sz w:val="18"/>
                <w:szCs w:val="18"/>
              </w:rPr>
            </w:pPr>
          </w:p>
        </w:tc>
        <w:tc>
          <w:tcPr>
            <w:tcW w:w="603" w:type="pct"/>
            <w:vMerge w:val="continue"/>
            <w:vAlign w:val="center"/>
          </w:tcPr>
          <w:p w14:paraId="5CB22AE5">
            <w:pPr>
              <w:spacing w:line="276" w:lineRule="auto"/>
              <w:jc w:val="center"/>
              <w:rPr>
                <w:sz w:val="18"/>
                <w:szCs w:val="18"/>
              </w:rPr>
            </w:pPr>
          </w:p>
        </w:tc>
        <w:tc>
          <w:tcPr>
            <w:tcW w:w="730" w:type="pct"/>
            <w:vAlign w:val="center"/>
          </w:tcPr>
          <w:p w14:paraId="2EB85368">
            <w:pPr>
              <w:spacing w:line="276" w:lineRule="auto"/>
              <w:jc w:val="center"/>
              <w:rPr>
                <w:sz w:val="18"/>
                <w:szCs w:val="18"/>
              </w:rPr>
            </w:pPr>
            <w:r>
              <w:rPr>
                <w:rFonts w:hint="eastAsia"/>
                <w:sz w:val="18"/>
                <w:szCs w:val="18"/>
              </w:rPr>
              <w:t>＞</w:t>
            </w:r>
            <w:r>
              <w:rPr>
                <w:sz w:val="18"/>
                <w:szCs w:val="18"/>
              </w:rPr>
              <w:t>25m</w:t>
            </w:r>
          </w:p>
        </w:tc>
        <w:tc>
          <w:tcPr>
            <w:tcW w:w="730" w:type="pct"/>
            <w:vAlign w:val="center"/>
          </w:tcPr>
          <w:p w14:paraId="302080EB">
            <w:pPr>
              <w:spacing w:line="276" w:lineRule="auto"/>
              <w:jc w:val="center"/>
              <w:rPr>
                <w:sz w:val="18"/>
                <w:szCs w:val="18"/>
              </w:rPr>
            </w:pPr>
            <w:r>
              <w:rPr>
                <w:sz w:val="18"/>
                <w:szCs w:val="18"/>
              </w:rPr>
              <w:t>2512.21</w:t>
            </w:r>
          </w:p>
        </w:tc>
        <w:tc>
          <w:tcPr>
            <w:tcW w:w="667" w:type="pct"/>
            <w:vAlign w:val="center"/>
          </w:tcPr>
          <w:p w14:paraId="0A8BCBA0">
            <w:pPr>
              <w:spacing w:line="276" w:lineRule="auto"/>
              <w:jc w:val="center"/>
              <w:rPr>
                <w:sz w:val="18"/>
                <w:szCs w:val="18"/>
              </w:rPr>
            </w:pPr>
            <w:r>
              <w:rPr>
                <w:sz w:val="18"/>
                <w:szCs w:val="18"/>
              </w:rPr>
              <w:t>kgCO</w:t>
            </w:r>
            <w:r>
              <w:rPr>
                <w:sz w:val="18"/>
                <w:szCs w:val="18"/>
                <w:vertAlign w:val="subscript"/>
              </w:rPr>
              <w:t>2</w:t>
            </w:r>
            <w:r>
              <w:rPr>
                <w:sz w:val="18"/>
                <w:szCs w:val="18"/>
              </w:rPr>
              <w:t>e/t</w:t>
            </w:r>
          </w:p>
        </w:tc>
        <w:tc>
          <w:tcPr>
            <w:tcW w:w="445" w:type="pct"/>
            <w:vMerge w:val="continue"/>
            <w:vAlign w:val="center"/>
          </w:tcPr>
          <w:p w14:paraId="2F52552D">
            <w:pPr>
              <w:spacing w:line="276" w:lineRule="auto"/>
              <w:jc w:val="center"/>
              <w:rPr>
                <w:sz w:val="18"/>
                <w:szCs w:val="18"/>
              </w:rPr>
            </w:pPr>
          </w:p>
        </w:tc>
        <w:tc>
          <w:tcPr>
            <w:tcW w:w="442" w:type="pct"/>
            <w:vAlign w:val="center"/>
          </w:tcPr>
          <w:p w14:paraId="2B703BE4">
            <w:pPr>
              <w:spacing w:line="276" w:lineRule="auto"/>
              <w:jc w:val="center"/>
              <w:rPr>
                <w:sz w:val="18"/>
                <w:szCs w:val="18"/>
              </w:rPr>
            </w:pPr>
          </w:p>
        </w:tc>
      </w:tr>
      <w:tr w14:paraId="0895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19C67BC3">
            <w:pPr>
              <w:spacing w:line="276" w:lineRule="auto"/>
              <w:jc w:val="center"/>
              <w:rPr>
                <w:sz w:val="18"/>
                <w:szCs w:val="18"/>
              </w:rPr>
            </w:pPr>
            <w:r>
              <w:rPr>
                <w:sz w:val="18"/>
                <w:szCs w:val="18"/>
              </w:rPr>
              <w:t>13</w:t>
            </w:r>
          </w:p>
        </w:tc>
        <w:tc>
          <w:tcPr>
            <w:tcW w:w="476" w:type="pct"/>
            <w:vAlign w:val="center"/>
          </w:tcPr>
          <w:p w14:paraId="4F3B7BCA">
            <w:pPr>
              <w:pStyle w:val="75"/>
              <w:jc w:val="center"/>
              <w:rPr>
                <w:sz w:val="18"/>
                <w:szCs w:val="18"/>
              </w:rPr>
            </w:pPr>
            <w:r>
              <w:rPr>
                <w:sz w:val="18"/>
                <w:szCs w:val="18"/>
              </w:rPr>
              <w:t>2-38</w:t>
            </w:r>
          </w:p>
        </w:tc>
        <w:tc>
          <w:tcPr>
            <w:tcW w:w="397" w:type="pct"/>
            <w:vMerge w:val="restart"/>
            <w:vAlign w:val="center"/>
          </w:tcPr>
          <w:p w14:paraId="5CD9F33F">
            <w:pPr>
              <w:spacing w:line="276" w:lineRule="auto"/>
              <w:jc w:val="center"/>
              <w:rPr>
                <w:sz w:val="18"/>
                <w:szCs w:val="18"/>
              </w:rPr>
            </w:pPr>
            <w:r>
              <w:rPr>
                <w:sz w:val="18"/>
                <w:szCs w:val="18"/>
              </w:rPr>
              <w:t>锚杆</w:t>
            </w:r>
          </w:p>
          <w:p w14:paraId="4DD90984">
            <w:pPr>
              <w:spacing w:line="276" w:lineRule="auto"/>
              <w:jc w:val="center"/>
              <w:rPr>
                <w:sz w:val="18"/>
                <w:szCs w:val="18"/>
              </w:rPr>
            </w:pPr>
            <w:r>
              <w:rPr>
                <w:sz w:val="18"/>
                <w:szCs w:val="18"/>
              </w:rPr>
              <w:t>（锚索）</w:t>
            </w:r>
          </w:p>
        </w:tc>
        <w:tc>
          <w:tcPr>
            <w:tcW w:w="603" w:type="pct"/>
            <w:vMerge w:val="restart"/>
            <w:vAlign w:val="center"/>
          </w:tcPr>
          <w:p w14:paraId="41B4E383">
            <w:pPr>
              <w:spacing w:line="276" w:lineRule="auto"/>
              <w:jc w:val="center"/>
              <w:rPr>
                <w:sz w:val="18"/>
                <w:szCs w:val="18"/>
              </w:rPr>
            </w:pPr>
            <w:r>
              <w:rPr>
                <w:sz w:val="18"/>
                <w:szCs w:val="18"/>
              </w:rPr>
              <w:t>土层</w:t>
            </w:r>
          </w:p>
          <w:p w14:paraId="5436F108">
            <w:pPr>
              <w:spacing w:line="276" w:lineRule="auto"/>
              <w:jc w:val="center"/>
              <w:rPr>
                <w:sz w:val="18"/>
                <w:szCs w:val="18"/>
              </w:rPr>
            </w:pPr>
            <w:r>
              <w:rPr>
                <w:sz w:val="18"/>
                <w:szCs w:val="18"/>
              </w:rPr>
              <w:t>锚杆钻机</w:t>
            </w:r>
          </w:p>
        </w:tc>
        <w:tc>
          <w:tcPr>
            <w:tcW w:w="730" w:type="pct"/>
            <w:vAlign w:val="center"/>
          </w:tcPr>
          <w:p w14:paraId="441D422E">
            <w:pPr>
              <w:spacing w:line="276" w:lineRule="auto"/>
              <w:jc w:val="center"/>
              <w:rPr>
                <w:sz w:val="18"/>
                <w:szCs w:val="18"/>
              </w:rPr>
            </w:pPr>
            <w:r>
              <w:rPr>
                <w:sz w:val="18"/>
                <w:szCs w:val="18"/>
              </w:rPr>
              <w:t>钢绞线</w:t>
            </w:r>
          </w:p>
        </w:tc>
        <w:tc>
          <w:tcPr>
            <w:tcW w:w="730" w:type="pct"/>
            <w:vAlign w:val="center"/>
          </w:tcPr>
          <w:p w14:paraId="3D81C3A4">
            <w:pPr>
              <w:spacing w:line="276" w:lineRule="auto"/>
              <w:jc w:val="center"/>
              <w:rPr>
                <w:sz w:val="18"/>
                <w:szCs w:val="18"/>
              </w:rPr>
            </w:pPr>
            <w:r>
              <w:rPr>
                <w:sz w:val="18"/>
                <w:szCs w:val="18"/>
              </w:rPr>
              <w:t>56.57</w:t>
            </w:r>
          </w:p>
        </w:tc>
        <w:tc>
          <w:tcPr>
            <w:tcW w:w="667" w:type="pct"/>
            <w:vAlign w:val="center"/>
          </w:tcPr>
          <w:p w14:paraId="2473C5E7">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45" w:type="pct"/>
            <w:vAlign w:val="center"/>
          </w:tcPr>
          <w:p w14:paraId="70C17D0B">
            <w:pPr>
              <w:spacing w:line="276" w:lineRule="auto"/>
              <w:jc w:val="center"/>
              <w:rPr>
                <w:sz w:val="18"/>
                <w:szCs w:val="18"/>
              </w:rPr>
            </w:pPr>
            <w:r>
              <w:rPr>
                <w:sz w:val="18"/>
                <w:szCs w:val="18"/>
              </w:rPr>
              <w:t>1.10</w:t>
            </w:r>
          </w:p>
        </w:tc>
        <w:tc>
          <w:tcPr>
            <w:tcW w:w="442" w:type="pct"/>
            <w:vMerge w:val="restart"/>
            <w:vAlign w:val="center"/>
          </w:tcPr>
          <w:p w14:paraId="564F952D">
            <w:pPr>
              <w:spacing w:line="276" w:lineRule="auto"/>
              <w:jc w:val="center"/>
              <w:rPr>
                <w:sz w:val="18"/>
                <w:szCs w:val="18"/>
              </w:rPr>
            </w:pPr>
            <w:r>
              <w:rPr>
                <w:sz w:val="18"/>
                <w:szCs w:val="18"/>
              </w:rPr>
              <w:t>D≤150</w:t>
            </w:r>
          </w:p>
          <w:p w14:paraId="250716A5">
            <w:pPr>
              <w:spacing w:line="276" w:lineRule="auto"/>
              <w:jc w:val="center"/>
              <w:rPr>
                <w:sz w:val="18"/>
                <w:szCs w:val="18"/>
              </w:rPr>
            </w:pPr>
            <w:r>
              <w:rPr>
                <w:sz w:val="18"/>
                <w:szCs w:val="18"/>
              </w:rPr>
              <w:t>mm</w:t>
            </w:r>
          </w:p>
        </w:tc>
      </w:tr>
      <w:tr w14:paraId="2FF8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66BF82A9">
            <w:pPr>
              <w:spacing w:line="276" w:lineRule="auto"/>
              <w:jc w:val="center"/>
              <w:rPr>
                <w:sz w:val="18"/>
                <w:szCs w:val="18"/>
              </w:rPr>
            </w:pPr>
            <w:r>
              <w:rPr>
                <w:sz w:val="18"/>
                <w:szCs w:val="18"/>
              </w:rPr>
              <w:t>14</w:t>
            </w:r>
          </w:p>
        </w:tc>
        <w:tc>
          <w:tcPr>
            <w:tcW w:w="476" w:type="pct"/>
            <w:vAlign w:val="center"/>
          </w:tcPr>
          <w:p w14:paraId="1597E922">
            <w:pPr>
              <w:pStyle w:val="75"/>
              <w:jc w:val="center"/>
              <w:rPr>
                <w:sz w:val="18"/>
                <w:szCs w:val="18"/>
              </w:rPr>
            </w:pPr>
            <w:r>
              <w:rPr>
                <w:sz w:val="18"/>
                <w:szCs w:val="18"/>
              </w:rPr>
              <w:t>2-39</w:t>
            </w:r>
          </w:p>
        </w:tc>
        <w:tc>
          <w:tcPr>
            <w:tcW w:w="397" w:type="pct"/>
            <w:vMerge w:val="continue"/>
            <w:vAlign w:val="center"/>
          </w:tcPr>
          <w:p w14:paraId="38BB7AF8">
            <w:pPr>
              <w:spacing w:line="276" w:lineRule="auto"/>
              <w:jc w:val="center"/>
              <w:rPr>
                <w:sz w:val="18"/>
                <w:szCs w:val="18"/>
              </w:rPr>
            </w:pPr>
          </w:p>
        </w:tc>
        <w:tc>
          <w:tcPr>
            <w:tcW w:w="603" w:type="pct"/>
            <w:vMerge w:val="continue"/>
            <w:vAlign w:val="center"/>
          </w:tcPr>
          <w:p w14:paraId="6691563B">
            <w:pPr>
              <w:spacing w:line="276" w:lineRule="auto"/>
              <w:jc w:val="center"/>
              <w:rPr>
                <w:sz w:val="18"/>
                <w:szCs w:val="18"/>
              </w:rPr>
            </w:pPr>
          </w:p>
        </w:tc>
        <w:tc>
          <w:tcPr>
            <w:tcW w:w="730" w:type="pct"/>
            <w:vAlign w:val="center"/>
          </w:tcPr>
          <w:p w14:paraId="6D6DAE4A">
            <w:pPr>
              <w:spacing w:line="276" w:lineRule="auto"/>
              <w:jc w:val="center"/>
              <w:rPr>
                <w:sz w:val="18"/>
                <w:szCs w:val="18"/>
              </w:rPr>
            </w:pPr>
            <w:r>
              <w:rPr>
                <w:sz w:val="18"/>
                <w:szCs w:val="18"/>
              </w:rPr>
              <w:t>钢筋</w:t>
            </w:r>
          </w:p>
        </w:tc>
        <w:tc>
          <w:tcPr>
            <w:tcW w:w="730" w:type="pct"/>
            <w:vAlign w:val="center"/>
          </w:tcPr>
          <w:p w14:paraId="7845AD9E">
            <w:pPr>
              <w:spacing w:line="276" w:lineRule="auto"/>
              <w:jc w:val="center"/>
              <w:rPr>
                <w:sz w:val="18"/>
                <w:szCs w:val="18"/>
              </w:rPr>
            </w:pPr>
            <w:r>
              <w:rPr>
                <w:sz w:val="18"/>
                <w:szCs w:val="18"/>
              </w:rPr>
              <w:t>78.79</w:t>
            </w:r>
          </w:p>
        </w:tc>
        <w:tc>
          <w:tcPr>
            <w:tcW w:w="667" w:type="pct"/>
            <w:vAlign w:val="center"/>
          </w:tcPr>
          <w:p w14:paraId="43A9C6CE">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45" w:type="pct"/>
            <w:vAlign w:val="center"/>
          </w:tcPr>
          <w:p w14:paraId="7F3D71D6">
            <w:pPr>
              <w:spacing w:line="276" w:lineRule="auto"/>
              <w:jc w:val="center"/>
              <w:rPr>
                <w:sz w:val="18"/>
                <w:szCs w:val="18"/>
              </w:rPr>
            </w:pPr>
            <w:r>
              <w:rPr>
                <w:sz w:val="18"/>
                <w:szCs w:val="18"/>
              </w:rPr>
              <w:t>1.08</w:t>
            </w:r>
          </w:p>
        </w:tc>
        <w:tc>
          <w:tcPr>
            <w:tcW w:w="442" w:type="pct"/>
            <w:vMerge w:val="continue"/>
            <w:vAlign w:val="center"/>
          </w:tcPr>
          <w:p w14:paraId="70B50B48">
            <w:pPr>
              <w:spacing w:line="276" w:lineRule="auto"/>
              <w:jc w:val="center"/>
              <w:rPr>
                <w:sz w:val="18"/>
                <w:szCs w:val="18"/>
              </w:rPr>
            </w:pPr>
          </w:p>
        </w:tc>
      </w:tr>
      <w:tr w14:paraId="53B9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462203A5">
            <w:pPr>
              <w:spacing w:line="276" w:lineRule="auto"/>
              <w:jc w:val="center"/>
              <w:rPr>
                <w:sz w:val="18"/>
                <w:szCs w:val="18"/>
              </w:rPr>
            </w:pPr>
            <w:r>
              <w:rPr>
                <w:sz w:val="18"/>
                <w:szCs w:val="18"/>
              </w:rPr>
              <w:t>15</w:t>
            </w:r>
          </w:p>
        </w:tc>
        <w:tc>
          <w:tcPr>
            <w:tcW w:w="476" w:type="pct"/>
            <w:vAlign w:val="center"/>
          </w:tcPr>
          <w:p w14:paraId="62D112E4">
            <w:pPr>
              <w:pStyle w:val="75"/>
              <w:jc w:val="center"/>
              <w:rPr>
                <w:sz w:val="18"/>
                <w:szCs w:val="18"/>
              </w:rPr>
            </w:pPr>
            <w:r>
              <w:rPr>
                <w:sz w:val="18"/>
                <w:szCs w:val="18"/>
              </w:rPr>
              <w:t>2-40</w:t>
            </w:r>
          </w:p>
        </w:tc>
        <w:tc>
          <w:tcPr>
            <w:tcW w:w="397" w:type="pct"/>
            <w:vMerge w:val="continue"/>
            <w:vAlign w:val="center"/>
          </w:tcPr>
          <w:p w14:paraId="5E040162">
            <w:pPr>
              <w:spacing w:line="276" w:lineRule="auto"/>
              <w:jc w:val="center"/>
              <w:rPr>
                <w:sz w:val="18"/>
                <w:szCs w:val="18"/>
              </w:rPr>
            </w:pPr>
          </w:p>
        </w:tc>
        <w:tc>
          <w:tcPr>
            <w:tcW w:w="603" w:type="pct"/>
            <w:vMerge w:val="restart"/>
            <w:vAlign w:val="center"/>
          </w:tcPr>
          <w:p w14:paraId="5F5C732A">
            <w:pPr>
              <w:spacing w:line="276" w:lineRule="auto"/>
              <w:jc w:val="center"/>
              <w:rPr>
                <w:sz w:val="18"/>
                <w:szCs w:val="18"/>
              </w:rPr>
            </w:pPr>
            <w:r>
              <w:rPr>
                <w:sz w:val="18"/>
                <w:szCs w:val="18"/>
              </w:rPr>
              <w:t>土层</w:t>
            </w:r>
          </w:p>
          <w:p w14:paraId="7C15E4C8">
            <w:pPr>
              <w:spacing w:line="276" w:lineRule="auto"/>
              <w:jc w:val="center"/>
              <w:rPr>
                <w:sz w:val="18"/>
                <w:szCs w:val="18"/>
              </w:rPr>
            </w:pPr>
            <w:r>
              <w:rPr>
                <w:sz w:val="18"/>
                <w:szCs w:val="18"/>
              </w:rPr>
              <w:t>套管钻机</w:t>
            </w:r>
          </w:p>
        </w:tc>
        <w:tc>
          <w:tcPr>
            <w:tcW w:w="730" w:type="pct"/>
            <w:vAlign w:val="center"/>
          </w:tcPr>
          <w:p w14:paraId="6EFD46A0">
            <w:pPr>
              <w:spacing w:line="276" w:lineRule="auto"/>
              <w:jc w:val="center"/>
              <w:rPr>
                <w:sz w:val="18"/>
                <w:szCs w:val="18"/>
              </w:rPr>
            </w:pPr>
            <w:r>
              <w:rPr>
                <w:sz w:val="18"/>
                <w:szCs w:val="18"/>
              </w:rPr>
              <w:t>钢绞线</w:t>
            </w:r>
          </w:p>
        </w:tc>
        <w:tc>
          <w:tcPr>
            <w:tcW w:w="730" w:type="pct"/>
            <w:vAlign w:val="center"/>
          </w:tcPr>
          <w:p w14:paraId="57974E52">
            <w:pPr>
              <w:spacing w:line="276" w:lineRule="auto"/>
              <w:jc w:val="center"/>
              <w:rPr>
                <w:sz w:val="18"/>
                <w:szCs w:val="18"/>
              </w:rPr>
            </w:pPr>
            <w:r>
              <w:rPr>
                <w:sz w:val="18"/>
                <w:szCs w:val="18"/>
              </w:rPr>
              <w:t>67.13</w:t>
            </w:r>
          </w:p>
        </w:tc>
        <w:tc>
          <w:tcPr>
            <w:tcW w:w="667" w:type="pct"/>
            <w:vAlign w:val="center"/>
          </w:tcPr>
          <w:p w14:paraId="58F6BA59">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45" w:type="pct"/>
            <w:vAlign w:val="center"/>
          </w:tcPr>
          <w:p w14:paraId="2340D8CE">
            <w:pPr>
              <w:spacing w:line="276" w:lineRule="auto"/>
              <w:jc w:val="center"/>
              <w:rPr>
                <w:sz w:val="18"/>
                <w:szCs w:val="18"/>
              </w:rPr>
            </w:pPr>
            <w:r>
              <w:rPr>
                <w:sz w:val="18"/>
                <w:szCs w:val="18"/>
              </w:rPr>
              <w:t>1.05</w:t>
            </w:r>
          </w:p>
        </w:tc>
        <w:tc>
          <w:tcPr>
            <w:tcW w:w="442" w:type="pct"/>
            <w:vMerge w:val="continue"/>
            <w:vAlign w:val="center"/>
          </w:tcPr>
          <w:p w14:paraId="54DB1CD7">
            <w:pPr>
              <w:spacing w:line="276" w:lineRule="auto"/>
              <w:jc w:val="center"/>
              <w:rPr>
                <w:sz w:val="18"/>
                <w:szCs w:val="18"/>
              </w:rPr>
            </w:pPr>
          </w:p>
        </w:tc>
      </w:tr>
      <w:tr w14:paraId="2F9C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0F6EF6E8">
            <w:pPr>
              <w:spacing w:line="276" w:lineRule="auto"/>
              <w:jc w:val="center"/>
              <w:rPr>
                <w:sz w:val="18"/>
                <w:szCs w:val="18"/>
              </w:rPr>
            </w:pPr>
            <w:r>
              <w:rPr>
                <w:sz w:val="18"/>
                <w:szCs w:val="18"/>
              </w:rPr>
              <w:t>16</w:t>
            </w:r>
          </w:p>
        </w:tc>
        <w:tc>
          <w:tcPr>
            <w:tcW w:w="476" w:type="pct"/>
            <w:vAlign w:val="center"/>
          </w:tcPr>
          <w:p w14:paraId="6183561C">
            <w:pPr>
              <w:pStyle w:val="75"/>
              <w:jc w:val="center"/>
              <w:rPr>
                <w:sz w:val="18"/>
                <w:szCs w:val="18"/>
              </w:rPr>
            </w:pPr>
            <w:r>
              <w:rPr>
                <w:sz w:val="18"/>
                <w:szCs w:val="18"/>
              </w:rPr>
              <w:t>2-41</w:t>
            </w:r>
          </w:p>
        </w:tc>
        <w:tc>
          <w:tcPr>
            <w:tcW w:w="397" w:type="pct"/>
            <w:vMerge w:val="continue"/>
            <w:vAlign w:val="center"/>
          </w:tcPr>
          <w:p w14:paraId="480B86CD">
            <w:pPr>
              <w:spacing w:line="276" w:lineRule="auto"/>
              <w:jc w:val="center"/>
              <w:rPr>
                <w:sz w:val="18"/>
                <w:szCs w:val="18"/>
              </w:rPr>
            </w:pPr>
          </w:p>
        </w:tc>
        <w:tc>
          <w:tcPr>
            <w:tcW w:w="603" w:type="pct"/>
            <w:vMerge w:val="continue"/>
            <w:vAlign w:val="center"/>
          </w:tcPr>
          <w:p w14:paraId="6FCC0214">
            <w:pPr>
              <w:spacing w:line="276" w:lineRule="auto"/>
              <w:jc w:val="center"/>
              <w:rPr>
                <w:sz w:val="18"/>
                <w:szCs w:val="18"/>
              </w:rPr>
            </w:pPr>
          </w:p>
        </w:tc>
        <w:tc>
          <w:tcPr>
            <w:tcW w:w="730" w:type="pct"/>
            <w:vAlign w:val="center"/>
          </w:tcPr>
          <w:p w14:paraId="3ACAA745">
            <w:pPr>
              <w:spacing w:line="276" w:lineRule="auto"/>
              <w:jc w:val="center"/>
              <w:rPr>
                <w:sz w:val="18"/>
                <w:szCs w:val="18"/>
              </w:rPr>
            </w:pPr>
            <w:r>
              <w:rPr>
                <w:sz w:val="18"/>
                <w:szCs w:val="18"/>
              </w:rPr>
              <w:t>钢筋</w:t>
            </w:r>
          </w:p>
        </w:tc>
        <w:tc>
          <w:tcPr>
            <w:tcW w:w="730" w:type="pct"/>
            <w:vAlign w:val="center"/>
          </w:tcPr>
          <w:p w14:paraId="38CB8545">
            <w:pPr>
              <w:spacing w:line="276" w:lineRule="auto"/>
              <w:jc w:val="center"/>
              <w:rPr>
                <w:sz w:val="18"/>
                <w:szCs w:val="18"/>
              </w:rPr>
            </w:pPr>
            <w:r>
              <w:rPr>
                <w:sz w:val="18"/>
                <w:szCs w:val="18"/>
              </w:rPr>
              <w:t>89.33</w:t>
            </w:r>
          </w:p>
        </w:tc>
        <w:tc>
          <w:tcPr>
            <w:tcW w:w="667" w:type="pct"/>
            <w:vAlign w:val="center"/>
          </w:tcPr>
          <w:p w14:paraId="797FF1A5">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45" w:type="pct"/>
            <w:vAlign w:val="center"/>
          </w:tcPr>
          <w:p w14:paraId="4A7BC184">
            <w:pPr>
              <w:spacing w:line="276" w:lineRule="auto"/>
              <w:jc w:val="center"/>
              <w:rPr>
                <w:sz w:val="18"/>
                <w:szCs w:val="18"/>
              </w:rPr>
            </w:pPr>
            <w:r>
              <w:rPr>
                <w:sz w:val="18"/>
                <w:szCs w:val="18"/>
              </w:rPr>
              <w:t>1.02</w:t>
            </w:r>
          </w:p>
        </w:tc>
        <w:tc>
          <w:tcPr>
            <w:tcW w:w="442" w:type="pct"/>
            <w:vMerge w:val="continue"/>
            <w:vAlign w:val="center"/>
          </w:tcPr>
          <w:p w14:paraId="5751A5E9">
            <w:pPr>
              <w:spacing w:line="276" w:lineRule="auto"/>
              <w:jc w:val="center"/>
              <w:rPr>
                <w:sz w:val="18"/>
                <w:szCs w:val="18"/>
              </w:rPr>
            </w:pPr>
          </w:p>
        </w:tc>
      </w:tr>
      <w:tr w14:paraId="0A05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2CFBD44D">
            <w:pPr>
              <w:spacing w:line="276" w:lineRule="auto"/>
              <w:jc w:val="center"/>
              <w:rPr>
                <w:sz w:val="18"/>
                <w:szCs w:val="18"/>
              </w:rPr>
            </w:pPr>
            <w:r>
              <w:rPr>
                <w:sz w:val="18"/>
                <w:szCs w:val="18"/>
              </w:rPr>
              <w:t>17</w:t>
            </w:r>
          </w:p>
        </w:tc>
        <w:tc>
          <w:tcPr>
            <w:tcW w:w="476" w:type="pct"/>
            <w:vAlign w:val="center"/>
          </w:tcPr>
          <w:p w14:paraId="635F82E5">
            <w:pPr>
              <w:pStyle w:val="75"/>
              <w:jc w:val="center"/>
              <w:rPr>
                <w:sz w:val="18"/>
                <w:szCs w:val="18"/>
              </w:rPr>
            </w:pPr>
            <w:r>
              <w:rPr>
                <w:sz w:val="18"/>
                <w:szCs w:val="18"/>
              </w:rPr>
              <w:t>2-42</w:t>
            </w:r>
          </w:p>
        </w:tc>
        <w:tc>
          <w:tcPr>
            <w:tcW w:w="397" w:type="pct"/>
            <w:vMerge w:val="continue"/>
            <w:vAlign w:val="center"/>
          </w:tcPr>
          <w:p w14:paraId="23F64734">
            <w:pPr>
              <w:spacing w:line="276" w:lineRule="auto"/>
              <w:jc w:val="center"/>
              <w:rPr>
                <w:sz w:val="18"/>
                <w:szCs w:val="18"/>
              </w:rPr>
            </w:pPr>
          </w:p>
        </w:tc>
        <w:tc>
          <w:tcPr>
            <w:tcW w:w="603" w:type="pct"/>
            <w:vMerge w:val="restart"/>
            <w:vAlign w:val="center"/>
          </w:tcPr>
          <w:p w14:paraId="21A3AE1E">
            <w:pPr>
              <w:spacing w:line="276" w:lineRule="auto"/>
              <w:jc w:val="center"/>
              <w:rPr>
                <w:sz w:val="18"/>
                <w:szCs w:val="18"/>
              </w:rPr>
            </w:pPr>
            <w:r>
              <w:rPr>
                <w:sz w:val="18"/>
                <w:szCs w:val="18"/>
              </w:rPr>
              <w:t>岩层</w:t>
            </w:r>
          </w:p>
        </w:tc>
        <w:tc>
          <w:tcPr>
            <w:tcW w:w="730" w:type="pct"/>
            <w:vAlign w:val="center"/>
          </w:tcPr>
          <w:p w14:paraId="0B43BADF">
            <w:pPr>
              <w:spacing w:line="276" w:lineRule="auto"/>
              <w:jc w:val="center"/>
              <w:rPr>
                <w:sz w:val="18"/>
                <w:szCs w:val="18"/>
              </w:rPr>
            </w:pPr>
            <w:r>
              <w:rPr>
                <w:sz w:val="18"/>
                <w:szCs w:val="18"/>
              </w:rPr>
              <w:t>钢绞线</w:t>
            </w:r>
          </w:p>
        </w:tc>
        <w:tc>
          <w:tcPr>
            <w:tcW w:w="730" w:type="pct"/>
            <w:vAlign w:val="center"/>
          </w:tcPr>
          <w:p w14:paraId="512D4697">
            <w:pPr>
              <w:spacing w:line="276" w:lineRule="auto"/>
              <w:jc w:val="center"/>
              <w:rPr>
                <w:sz w:val="18"/>
                <w:szCs w:val="18"/>
              </w:rPr>
            </w:pPr>
            <w:r>
              <w:rPr>
                <w:sz w:val="18"/>
                <w:szCs w:val="18"/>
              </w:rPr>
              <w:t>101.66</w:t>
            </w:r>
          </w:p>
        </w:tc>
        <w:tc>
          <w:tcPr>
            <w:tcW w:w="667" w:type="pct"/>
            <w:vAlign w:val="center"/>
          </w:tcPr>
          <w:p w14:paraId="7D3CC669">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45" w:type="pct"/>
            <w:vAlign w:val="center"/>
          </w:tcPr>
          <w:p w14:paraId="644D5E38">
            <w:pPr>
              <w:spacing w:line="276" w:lineRule="auto"/>
              <w:jc w:val="center"/>
              <w:rPr>
                <w:sz w:val="18"/>
                <w:szCs w:val="18"/>
              </w:rPr>
            </w:pPr>
            <w:r>
              <w:rPr>
                <w:sz w:val="18"/>
                <w:szCs w:val="18"/>
              </w:rPr>
              <w:t>1.05</w:t>
            </w:r>
          </w:p>
        </w:tc>
        <w:tc>
          <w:tcPr>
            <w:tcW w:w="442" w:type="pct"/>
            <w:vMerge w:val="restart"/>
            <w:vAlign w:val="center"/>
          </w:tcPr>
          <w:p w14:paraId="5ABF33E1">
            <w:pPr>
              <w:spacing w:line="276" w:lineRule="auto"/>
              <w:jc w:val="center"/>
              <w:rPr>
                <w:sz w:val="18"/>
                <w:szCs w:val="18"/>
              </w:rPr>
            </w:pPr>
            <w:r>
              <w:rPr>
                <w:sz w:val="18"/>
                <w:szCs w:val="18"/>
              </w:rPr>
              <w:t>D≤200</w:t>
            </w:r>
          </w:p>
          <w:p w14:paraId="7AB64EB2">
            <w:pPr>
              <w:spacing w:line="276" w:lineRule="auto"/>
              <w:jc w:val="center"/>
              <w:rPr>
                <w:sz w:val="18"/>
                <w:szCs w:val="18"/>
              </w:rPr>
            </w:pPr>
            <w:r>
              <w:rPr>
                <w:sz w:val="18"/>
                <w:szCs w:val="18"/>
              </w:rPr>
              <w:t>mm</w:t>
            </w:r>
          </w:p>
        </w:tc>
      </w:tr>
      <w:tr w14:paraId="3053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6A76455D">
            <w:pPr>
              <w:spacing w:line="276" w:lineRule="auto"/>
              <w:jc w:val="center"/>
              <w:rPr>
                <w:sz w:val="18"/>
                <w:szCs w:val="18"/>
              </w:rPr>
            </w:pPr>
            <w:r>
              <w:rPr>
                <w:sz w:val="18"/>
                <w:szCs w:val="18"/>
              </w:rPr>
              <w:t>18</w:t>
            </w:r>
          </w:p>
        </w:tc>
        <w:tc>
          <w:tcPr>
            <w:tcW w:w="476" w:type="pct"/>
            <w:vAlign w:val="center"/>
          </w:tcPr>
          <w:p w14:paraId="6B98C2D8">
            <w:pPr>
              <w:pStyle w:val="75"/>
              <w:jc w:val="center"/>
              <w:rPr>
                <w:sz w:val="18"/>
                <w:szCs w:val="18"/>
              </w:rPr>
            </w:pPr>
            <w:r>
              <w:rPr>
                <w:sz w:val="18"/>
                <w:szCs w:val="18"/>
              </w:rPr>
              <w:t>2-43</w:t>
            </w:r>
          </w:p>
        </w:tc>
        <w:tc>
          <w:tcPr>
            <w:tcW w:w="397" w:type="pct"/>
            <w:vMerge w:val="continue"/>
            <w:vAlign w:val="center"/>
          </w:tcPr>
          <w:p w14:paraId="44FCD8DD">
            <w:pPr>
              <w:spacing w:line="276" w:lineRule="auto"/>
              <w:jc w:val="center"/>
              <w:rPr>
                <w:sz w:val="18"/>
                <w:szCs w:val="18"/>
              </w:rPr>
            </w:pPr>
          </w:p>
        </w:tc>
        <w:tc>
          <w:tcPr>
            <w:tcW w:w="603" w:type="pct"/>
            <w:vMerge w:val="continue"/>
            <w:vAlign w:val="center"/>
          </w:tcPr>
          <w:p w14:paraId="7FE4072F">
            <w:pPr>
              <w:spacing w:line="276" w:lineRule="auto"/>
              <w:jc w:val="center"/>
              <w:rPr>
                <w:sz w:val="18"/>
                <w:szCs w:val="18"/>
              </w:rPr>
            </w:pPr>
          </w:p>
        </w:tc>
        <w:tc>
          <w:tcPr>
            <w:tcW w:w="730" w:type="pct"/>
            <w:vAlign w:val="center"/>
          </w:tcPr>
          <w:p w14:paraId="2142769F">
            <w:pPr>
              <w:spacing w:line="276" w:lineRule="auto"/>
              <w:jc w:val="center"/>
              <w:rPr>
                <w:sz w:val="18"/>
                <w:szCs w:val="18"/>
              </w:rPr>
            </w:pPr>
            <w:r>
              <w:rPr>
                <w:sz w:val="18"/>
                <w:szCs w:val="18"/>
              </w:rPr>
              <w:t>钢筋</w:t>
            </w:r>
          </w:p>
        </w:tc>
        <w:tc>
          <w:tcPr>
            <w:tcW w:w="730" w:type="pct"/>
            <w:vAlign w:val="center"/>
          </w:tcPr>
          <w:p w14:paraId="43F8F460">
            <w:pPr>
              <w:spacing w:line="276" w:lineRule="auto"/>
              <w:jc w:val="center"/>
              <w:rPr>
                <w:sz w:val="18"/>
                <w:szCs w:val="18"/>
              </w:rPr>
            </w:pPr>
            <w:r>
              <w:rPr>
                <w:sz w:val="18"/>
                <w:szCs w:val="18"/>
              </w:rPr>
              <w:t>123.84</w:t>
            </w:r>
          </w:p>
        </w:tc>
        <w:tc>
          <w:tcPr>
            <w:tcW w:w="667" w:type="pct"/>
            <w:vAlign w:val="center"/>
          </w:tcPr>
          <w:p w14:paraId="534C1BCC">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45" w:type="pct"/>
            <w:vAlign w:val="center"/>
          </w:tcPr>
          <w:p w14:paraId="1A3F1E51">
            <w:pPr>
              <w:spacing w:line="276" w:lineRule="auto"/>
              <w:jc w:val="center"/>
              <w:rPr>
                <w:sz w:val="18"/>
                <w:szCs w:val="18"/>
              </w:rPr>
            </w:pPr>
            <w:r>
              <w:rPr>
                <w:sz w:val="18"/>
                <w:szCs w:val="18"/>
              </w:rPr>
              <w:t>1.02</w:t>
            </w:r>
          </w:p>
        </w:tc>
        <w:tc>
          <w:tcPr>
            <w:tcW w:w="442" w:type="pct"/>
            <w:vMerge w:val="continue"/>
            <w:vAlign w:val="center"/>
          </w:tcPr>
          <w:p w14:paraId="41C0D869">
            <w:pPr>
              <w:spacing w:line="276" w:lineRule="auto"/>
              <w:jc w:val="center"/>
              <w:rPr>
                <w:sz w:val="18"/>
                <w:szCs w:val="18"/>
              </w:rPr>
            </w:pPr>
          </w:p>
        </w:tc>
      </w:tr>
      <w:tr w14:paraId="50E4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4A378EF4">
            <w:pPr>
              <w:spacing w:line="276" w:lineRule="auto"/>
              <w:jc w:val="center"/>
              <w:rPr>
                <w:sz w:val="18"/>
                <w:szCs w:val="18"/>
              </w:rPr>
            </w:pPr>
            <w:r>
              <w:rPr>
                <w:sz w:val="18"/>
                <w:szCs w:val="18"/>
              </w:rPr>
              <w:t>19</w:t>
            </w:r>
          </w:p>
        </w:tc>
        <w:tc>
          <w:tcPr>
            <w:tcW w:w="476" w:type="pct"/>
            <w:vAlign w:val="center"/>
          </w:tcPr>
          <w:p w14:paraId="2ED7BF5C">
            <w:pPr>
              <w:pStyle w:val="75"/>
              <w:jc w:val="center"/>
              <w:rPr>
                <w:sz w:val="18"/>
                <w:szCs w:val="18"/>
              </w:rPr>
            </w:pPr>
            <w:r>
              <w:rPr>
                <w:sz w:val="18"/>
                <w:szCs w:val="18"/>
              </w:rPr>
              <w:t>2-44</w:t>
            </w:r>
          </w:p>
        </w:tc>
        <w:tc>
          <w:tcPr>
            <w:tcW w:w="397" w:type="pct"/>
            <w:vAlign w:val="center"/>
          </w:tcPr>
          <w:p w14:paraId="691FC096">
            <w:pPr>
              <w:spacing w:line="276" w:lineRule="auto"/>
              <w:jc w:val="center"/>
              <w:rPr>
                <w:sz w:val="18"/>
                <w:szCs w:val="18"/>
              </w:rPr>
            </w:pPr>
            <w:r>
              <w:rPr>
                <w:sz w:val="18"/>
                <w:szCs w:val="18"/>
              </w:rPr>
              <w:t>钢腰梁</w:t>
            </w:r>
          </w:p>
        </w:tc>
        <w:tc>
          <w:tcPr>
            <w:tcW w:w="1333" w:type="pct"/>
            <w:gridSpan w:val="2"/>
            <w:vAlign w:val="center"/>
          </w:tcPr>
          <w:p w14:paraId="0738C608">
            <w:pPr>
              <w:spacing w:line="276" w:lineRule="auto"/>
              <w:jc w:val="center"/>
              <w:rPr>
                <w:sz w:val="18"/>
                <w:szCs w:val="18"/>
              </w:rPr>
            </w:pPr>
            <w:r>
              <w:rPr>
                <w:sz w:val="18"/>
                <w:szCs w:val="18"/>
              </w:rPr>
              <w:t>/</w:t>
            </w:r>
          </w:p>
        </w:tc>
        <w:tc>
          <w:tcPr>
            <w:tcW w:w="730" w:type="pct"/>
            <w:vAlign w:val="center"/>
          </w:tcPr>
          <w:p w14:paraId="30A908CE">
            <w:pPr>
              <w:spacing w:line="276" w:lineRule="auto"/>
              <w:jc w:val="center"/>
              <w:rPr>
                <w:sz w:val="18"/>
                <w:szCs w:val="18"/>
              </w:rPr>
            </w:pPr>
            <w:r>
              <w:rPr>
                <w:sz w:val="18"/>
                <w:szCs w:val="18"/>
              </w:rPr>
              <w:t>356.41</w:t>
            </w:r>
          </w:p>
        </w:tc>
        <w:tc>
          <w:tcPr>
            <w:tcW w:w="667" w:type="pct"/>
            <w:vAlign w:val="center"/>
          </w:tcPr>
          <w:p w14:paraId="3646C2D0">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45" w:type="pct"/>
            <w:vAlign w:val="center"/>
          </w:tcPr>
          <w:p w14:paraId="54023B1C">
            <w:pPr>
              <w:spacing w:line="276" w:lineRule="auto"/>
              <w:jc w:val="center"/>
              <w:rPr>
                <w:sz w:val="18"/>
                <w:szCs w:val="18"/>
              </w:rPr>
            </w:pPr>
            <w:r>
              <w:rPr>
                <w:sz w:val="18"/>
                <w:szCs w:val="18"/>
              </w:rPr>
              <w:t>1.00</w:t>
            </w:r>
          </w:p>
        </w:tc>
        <w:tc>
          <w:tcPr>
            <w:tcW w:w="442" w:type="pct"/>
            <w:vAlign w:val="center"/>
          </w:tcPr>
          <w:p w14:paraId="1D964BAC">
            <w:pPr>
              <w:spacing w:line="276" w:lineRule="auto"/>
              <w:jc w:val="center"/>
              <w:rPr>
                <w:sz w:val="18"/>
                <w:szCs w:val="18"/>
              </w:rPr>
            </w:pPr>
          </w:p>
        </w:tc>
      </w:tr>
      <w:tr w14:paraId="4D9F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267382AD">
            <w:pPr>
              <w:spacing w:line="276" w:lineRule="auto"/>
              <w:jc w:val="center"/>
              <w:rPr>
                <w:sz w:val="18"/>
                <w:szCs w:val="18"/>
              </w:rPr>
            </w:pPr>
            <w:r>
              <w:rPr>
                <w:sz w:val="18"/>
                <w:szCs w:val="18"/>
              </w:rPr>
              <w:t>20</w:t>
            </w:r>
          </w:p>
        </w:tc>
        <w:tc>
          <w:tcPr>
            <w:tcW w:w="476" w:type="pct"/>
            <w:vAlign w:val="center"/>
          </w:tcPr>
          <w:p w14:paraId="64E97804">
            <w:pPr>
              <w:pStyle w:val="75"/>
              <w:jc w:val="center"/>
              <w:rPr>
                <w:sz w:val="18"/>
                <w:szCs w:val="18"/>
              </w:rPr>
            </w:pPr>
            <w:r>
              <w:rPr>
                <w:sz w:val="18"/>
                <w:szCs w:val="18"/>
              </w:rPr>
              <w:t>5-12</w:t>
            </w:r>
          </w:p>
        </w:tc>
        <w:tc>
          <w:tcPr>
            <w:tcW w:w="397" w:type="pct"/>
            <w:vMerge w:val="restart"/>
            <w:vAlign w:val="center"/>
          </w:tcPr>
          <w:p w14:paraId="673B231D">
            <w:pPr>
              <w:spacing w:line="276" w:lineRule="auto"/>
              <w:jc w:val="center"/>
              <w:rPr>
                <w:sz w:val="18"/>
                <w:szCs w:val="18"/>
              </w:rPr>
            </w:pPr>
            <w:r>
              <w:rPr>
                <w:sz w:val="18"/>
                <w:szCs w:val="18"/>
              </w:rPr>
              <w:t>冠梁</w:t>
            </w:r>
          </w:p>
        </w:tc>
        <w:tc>
          <w:tcPr>
            <w:tcW w:w="1333" w:type="pct"/>
            <w:gridSpan w:val="2"/>
            <w:vAlign w:val="center"/>
          </w:tcPr>
          <w:p w14:paraId="0D109001">
            <w:pPr>
              <w:spacing w:line="276" w:lineRule="auto"/>
              <w:jc w:val="center"/>
              <w:rPr>
                <w:sz w:val="18"/>
                <w:szCs w:val="18"/>
              </w:rPr>
            </w:pPr>
            <w:r>
              <w:rPr>
                <w:sz w:val="18"/>
                <w:szCs w:val="18"/>
              </w:rPr>
              <w:t>冠梁（不含钢筋）</w:t>
            </w:r>
          </w:p>
        </w:tc>
        <w:tc>
          <w:tcPr>
            <w:tcW w:w="730" w:type="pct"/>
            <w:vAlign w:val="center"/>
          </w:tcPr>
          <w:p w14:paraId="31357CA7">
            <w:pPr>
              <w:spacing w:line="276" w:lineRule="auto"/>
              <w:jc w:val="center"/>
              <w:rPr>
                <w:sz w:val="18"/>
                <w:szCs w:val="18"/>
              </w:rPr>
            </w:pPr>
            <w:r>
              <w:rPr>
                <w:sz w:val="18"/>
                <w:szCs w:val="18"/>
              </w:rPr>
              <w:t>299.43</w:t>
            </w:r>
          </w:p>
        </w:tc>
        <w:tc>
          <w:tcPr>
            <w:tcW w:w="667" w:type="pct"/>
            <w:vAlign w:val="center"/>
          </w:tcPr>
          <w:p w14:paraId="1CC96046">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445" w:type="pct"/>
            <w:vMerge w:val="restart"/>
            <w:vAlign w:val="center"/>
          </w:tcPr>
          <w:p w14:paraId="4B52ACAD">
            <w:pPr>
              <w:spacing w:line="276" w:lineRule="auto"/>
              <w:jc w:val="center"/>
              <w:rPr>
                <w:sz w:val="18"/>
                <w:szCs w:val="18"/>
              </w:rPr>
            </w:pPr>
            <w:r>
              <w:rPr>
                <w:sz w:val="18"/>
                <w:szCs w:val="18"/>
              </w:rPr>
              <w:t>1.00</w:t>
            </w:r>
          </w:p>
        </w:tc>
        <w:tc>
          <w:tcPr>
            <w:tcW w:w="442" w:type="pct"/>
            <w:vAlign w:val="center"/>
          </w:tcPr>
          <w:p w14:paraId="5C0CFA2B">
            <w:pPr>
              <w:spacing w:line="276" w:lineRule="auto"/>
              <w:jc w:val="center"/>
              <w:rPr>
                <w:sz w:val="18"/>
                <w:szCs w:val="18"/>
              </w:rPr>
            </w:pPr>
          </w:p>
        </w:tc>
      </w:tr>
      <w:tr w14:paraId="3A66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5D235E8D">
            <w:pPr>
              <w:spacing w:line="276" w:lineRule="auto"/>
              <w:jc w:val="center"/>
              <w:rPr>
                <w:sz w:val="18"/>
                <w:szCs w:val="18"/>
              </w:rPr>
            </w:pPr>
            <w:r>
              <w:rPr>
                <w:sz w:val="18"/>
                <w:szCs w:val="18"/>
              </w:rPr>
              <w:t>21</w:t>
            </w:r>
          </w:p>
        </w:tc>
        <w:tc>
          <w:tcPr>
            <w:tcW w:w="476" w:type="pct"/>
            <w:vAlign w:val="center"/>
          </w:tcPr>
          <w:p w14:paraId="04787074">
            <w:pPr>
              <w:pStyle w:val="75"/>
              <w:jc w:val="center"/>
              <w:rPr>
                <w:sz w:val="18"/>
                <w:szCs w:val="18"/>
              </w:rPr>
            </w:pPr>
            <w:r>
              <w:rPr>
                <w:sz w:val="18"/>
                <w:szCs w:val="18"/>
              </w:rPr>
              <w:t>5-112</w:t>
            </w:r>
          </w:p>
          <w:p w14:paraId="7A6A016F">
            <w:pPr>
              <w:pStyle w:val="75"/>
              <w:jc w:val="center"/>
              <w:rPr>
                <w:sz w:val="18"/>
                <w:szCs w:val="18"/>
              </w:rPr>
            </w:pPr>
            <w:r>
              <w:rPr>
                <w:sz w:val="18"/>
                <w:szCs w:val="18"/>
              </w:rPr>
              <w:t>5-115</w:t>
            </w:r>
          </w:p>
        </w:tc>
        <w:tc>
          <w:tcPr>
            <w:tcW w:w="397" w:type="pct"/>
            <w:vMerge w:val="continue"/>
            <w:vAlign w:val="center"/>
          </w:tcPr>
          <w:p w14:paraId="1BFF7114">
            <w:pPr>
              <w:spacing w:line="276" w:lineRule="auto"/>
              <w:jc w:val="center"/>
              <w:rPr>
                <w:sz w:val="18"/>
                <w:szCs w:val="18"/>
              </w:rPr>
            </w:pPr>
          </w:p>
        </w:tc>
        <w:tc>
          <w:tcPr>
            <w:tcW w:w="603" w:type="pct"/>
            <w:vMerge w:val="restart"/>
            <w:vAlign w:val="center"/>
          </w:tcPr>
          <w:p w14:paraId="331C9F00">
            <w:pPr>
              <w:spacing w:line="276" w:lineRule="auto"/>
              <w:jc w:val="center"/>
              <w:rPr>
                <w:sz w:val="18"/>
                <w:szCs w:val="18"/>
              </w:rPr>
            </w:pPr>
            <w:r>
              <w:rPr>
                <w:sz w:val="18"/>
                <w:szCs w:val="18"/>
              </w:rPr>
              <w:t>冠梁钢筋</w:t>
            </w:r>
          </w:p>
        </w:tc>
        <w:tc>
          <w:tcPr>
            <w:tcW w:w="730" w:type="pct"/>
            <w:vAlign w:val="center"/>
          </w:tcPr>
          <w:p w14:paraId="5B3300AD">
            <w:pPr>
              <w:spacing w:line="276" w:lineRule="auto"/>
              <w:jc w:val="center"/>
              <w:rPr>
                <w:sz w:val="18"/>
                <w:szCs w:val="18"/>
              </w:rPr>
            </w:pPr>
            <w:r>
              <w:rPr>
                <w:sz w:val="18"/>
                <w:szCs w:val="18"/>
              </w:rPr>
              <w:t>≤Φ10</w:t>
            </w:r>
          </w:p>
        </w:tc>
        <w:tc>
          <w:tcPr>
            <w:tcW w:w="730" w:type="pct"/>
            <w:vAlign w:val="center"/>
          </w:tcPr>
          <w:p w14:paraId="405792F9">
            <w:pPr>
              <w:spacing w:line="276" w:lineRule="auto"/>
              <w:jc w:val="center"/>
              <w:rPr>
                <w:sz w:val="18"/>
                <w:szCs w:val="18"/>
              </w:rPr>
            </w:pPr>
            <w:r>
              <w:rPr>
                <w:sz w:val="18"/>
                <w:szCs w:val="18"/>
              </w:rPr>
              <w:t>2447.31</w:t>
            </w:r>
          </w:p>
        </w:tc>
        <w:tc>
          <w:tcPr>
            <w:tcW w:w="667" w:type="pct"/>
            <w:vAlign w:val="center"/>
          </w:tcPr>
          <w:p w14:paraId="21B1A198">
            <w:pPr>
              <w:spacing w:line="276" w:lineRule="auto"/>
              <w:jc w:val="center"/>
              <w:rPr>
                <w:sz w:val="18"/>
                <w:szCs w:val="18"/>
              </w:rPr>
            </w:pPr>
            <w:r>
              <w:rPr>
                <w:sz w:val="18"/>
                <w:szCs w:val="18"/>
              </w:rPr>
              <w:t>kgCO</w:t>
            </w:r>
            <w:r>
              <w:rPr>
                <w:sz w:val="18"/>
                <w:szCs w:val="18"/>
                <w:vertAlign w:val="subscript"/>
              </w:rPr>
              <w:t>2</w:t>
            </w:r>
            <w:r>
              <w:rPr>
                <w:sz w:val="18"/>
                <w:szCs w:val="18"/>
              </w:rPr>
              <w:t>e/t</w:t>
            </w:r>
          </w:p>
        </w:tc>
        <w:tc>
          <w:tcPr>
            <w:tcW w:w="445" w:type="pct"/>
            <w:vMerge w:val="continue"/>
            <w:vAlign w:val="center"/>
          </w:tcPr>
          <w:p w14:paraId="05612050">
            <w:pPr>
              <w:spacing w:line="276" w:lineRule="auto"/>
              <w:jc w:val="center"/>
              <w:rPr>
                <w:sz w:val="18"/>
                <w:szCs w:val="18"/>
              </w:rPr>
            </w:pPr>
          </w:p>
        </w:tc>
        <w:tc>
          <w:tcPr>
            <w:tcW w:w="442" w:type="pct"/>
            <w:vAlign w:val="center"/>
          </w:tcPr>
          <w:p w14:paraId="440010C7">
            <w:pPr>
              <w:spacing w:line="276" w:lineRule="auto"/>
              <w:jc w:val="center"/>
              <w:rPr>
                <w:sz w:val="18"/>
                <w:szCs w:val="18"/>
              </w:rPr>
            </w:pPr>
          </w:p>
        </w:tc>
      </w:tr>
      <w:tr w14:paraId="084D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3D36453C">
            <w:pPr>
              <w:spacing w:line="276" w:lineRule="auto"/>
              <w:jc w:val="center"/>
              <w:rPr>
                <w:sz w:val="18"/>
                <w:szCs w:val="18"/>
              </w:rPr>
            </w:pPr>
            <w:r>
              <w:rPr>
                <w:sz w:val="18"/>
                <w:szCs w:val="18"/>
              </w:rPr>
              <w:t>22</w:t>
            </w:r>
          </w:p>
        </w:tc>
        <w:tc>
          <w:tcPr>
            <w:tcW w:w="476" w:type="pct"/>
            <w:vAlign w:val="center"/>
          </w:tcPr>
          <w:p w14:paraId="4F966F83">
            <w:pPr>
              <w:pStyle w:val="75"/>
              <w:jc w:val="center"/>
              <w:rPr>
                <w:sz w:val="18"/>
                <w:szCs w:val="18"/>
              </w:rPr>
            </w:pPr>
            <w:r>
              <w:rPr>
                <w:sz w:val="18"/>
                <w:szCs w:val="18"/>
              </w:rPr>
              <w:t>5-113</w:t>
            </w:r>
          </w:p>
          <w:p w14:paraId="0A5ECE9E">
            <w:pPr>
              <w:pStyle w:val="75"/>
              <w:jc w:val="center"/>
              <w:rPr>
                <w:sz w:val="18"/>
                <w:szCs w:val="18"/>
              </w:rPr>
            </w:pPr>
            <w:r>
              <w:rPr>
                <w:sz w:val="18"/>
                <w:szCs w:val="18"/>
              </w:rPr>
              <w:t>5-116</w:t>
            </w:r>
          </w:p>
        </w:tc>
        <w:tc>
          <w:tcPr>
            <w:tcW w:w="397" w:type="pct"/>
            <w:vMerge w:val="continue"/>
            <w:vAlign w:val="center"/>
          </w:tcPr>
          <w:p w14:paraId="32CE5AA0">
            <w:pPr>
              <w:spacing w:line="276" w:lineRule="auto"/>
              <w:jc w:val="center"/>
              <w:rPr>
                <w:sz w:val="18"/>
                <w:szCs w:val="18"/>
              </w:rPr>
            </w:pPr>
          </w:p>
        </w:tc>
        <w:tc>
          <w:tcPr>
            <w:tcW w:w="603" w:type="pct"/>
            <w:vMerge w:val="continue"/>
            <w:vAlign w:val="center"/>
          </w:tcPr>
          <w:p w14:paraId="44C4927B">
            <w:pPr>
              <w:spacing w:line="276" w:lineRule="auto"/>
              <w:jc w:val="center"/>
              <w:rPr>
                <w:sz w:val="18"/>
                <w:szCs w:val="18"/>
              </w:rPr>
            </w:pPr>
          </w:p>
        </w:tc>
        <w:tc>
          <w:tcPr>
            <w:tcW w:w="730" w:type="pct"/>
            <w:vAlign w:val="center"/>
          </w:tcPr>
          <w:p w14:paraId="5FF4B7B2">
            <w:pPr>
              <w:spacing w:line="276" w:lineRule="auto"/>
              <w:jc w:val="center"/>
              <w:rPr>
                <w:sz w:val="18"/>
                <w:szCs w:val="18"/>
              </w:rPr>
            </w:pPr>
            <w:r>
              <w:rPr>
                <w:rFonts w:hint="eastAsia"/>
                <w:sz w:val="18"/>
                <w:szCs w:val="18"/>
              </w:rPr>
              <w:t>＞</w:t>
            </w:r>
            <w:r>
              <w:rPr>
                <w:sz w:val="18"/>
                <w:szCs w:val="18"/>
              </w:rPr>
              <w:t>Φ10</w:t>
            </w:r>
          </w:p>
        </w:tc>
        <w:tc>
          <w:tcPr>
            <w:tcW w:w="730" w:type="pct"/>
            <w:vAlign w:val="center"/>
          </w:tcPr>
          <w:p w14:paraId="45601BBD">
            <w:pPr>
              <w:spacing w:line="276" w:lineRule="auto"/>
              <w:jc w:val="center"/>
              <w:rPr>
                <w:sz w:val="18"/>
                <w:szCs w:val="18"/>
              </w:rPr>
            </w:pPr>
            <w:r>
              <w:rPr>
                <w:sz w:val="18"/>
                <w:szCs w:val="18"/>
              </w:rPr>
              <w:t>2450.48</w:t>
            </w:r>
          </w:p>
        </w:tc>
        <w:tc>
          <w:tcPr>
            <w:tcW w:w="667" w:type="pct"/>
            <w:vAlign w:val="center"/>
          </w:tcPr>
          <w:p w14:paraId="5B7D5077">
            <w:pPr>
              <w:spacing w:line="276" w:lineRule="auto"/>
              <w:jc w:val="center"/>
              <w:rPr>
                <w:sz w:val="18"/>
                <w:szCs w:val="18"/>
              </w:rPr>
            </w:pPr>
            <w:r>
              <w:rPr>
                <w:sz w:val="18"/>
                <w:szCs w:val="18"/>
              </w:rPr>
              <w:t>kgCO</w:t>
            </w:r>
            <w:r>
              <w:rPr>
                <w:sz w:val="18"/>
                <w:szCs w:val="18"/>
                <w:vertAlign w:val="subscript"/>
              </w:rPr>
              <w:t>2</w:t>
            </w:r>
            <w:r>
              <w:rPr>
                <w:sz w:val="18"/>
                <w:szCs w:val="18"/>
              </w:rPr>
              <w:t>e/t</w:t>
            </w:r>
          </w:p>
        </w:tc>
        <w:tc>
          <w:tcPr>
            <w:tcW w:w="445" w:type="pct"/>
            <w:vMerge w:val="continue"/>
            <w:vAlign w:val="center"/>
          </w:tcPr>
          <w:p w14:paraId="61BBDE36">
            <w:pPr>
              <w:spacing w:line="276" w:lineRule="auto"/>
              <w:jc w:val="center"/>
              <w:rPr>
                <w:sz w:val="18"/>
                <w:szCs w:val="18"/>
              </w:rPr>
            </w:pPr>
          </w:p>
        </w:tc>
        <w:tc>
          <w:tcPr>
            <w:tcW w:w="442" w:type="pct"/>
            <w:vAlign w:val="center"/>
          </w:tcPr>
          <w:p w14:paraId="6CF9FC74">
            <w:pPr>
              <w:spacing w:line="276" w:lineRule="auto"/>
              <w:jc w:val="center"/>
              <w:rPr>
                <w:sz w:val="18"/>
                <w:szCs w:val="18"/>
              </w:rPr>
            </w:pPr>
          </w:p>
        </w:tc>
      </w:tr>
      <w:tr w14:paraId="7E60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5D819C38">
            <w:pPr>
              <w:spacing w:line="276" w:lineRule="auto"/>
              <w:jc w:val="center"/>
              <w:rPr>
                <w:sz w:val="18"/>
                <w:szCs w:val="18"/>
              </w:rPr>
            </w:pPr>
            <w:r>
              <w:rPr>
                <w:sz w:val="18"/>
                <w:szCs w:val="18"/>
              </w:rPr>
              <w:t>23</w:t>
            </w:r>
          </w:p>
        </w:tc>
        <w:tc>
          <w:tcPr>
            <w:tcW w:w="476" w:type="pct"/>
            <w:vAlign w:val="center"/>
          </w:tcPr>
          <w:p w14:paraId="53E50AF1">
            <w:pPr>
              <w:pStyle w:val="75"/>
              <w:jc w:val="center"/>
              <w:rPr>
                <w:sz w:val="18"/>
                <w:szCs w:val="18"/>
              </w:rPr>
            </w:pPr>
            <w:r>
              <w:rPr>
                <w:sz w:val="18"/>
                <w:szCs w:val="18"/>
              </w:rPr>
              <w:t>2-46</w:t>
            </w:r>
          </w:p>
        </w:tc>
        <w:tc>
          <w:tcPr>
            <w:tcW w:w="397" w:type="pct"/>
            <w:vMerge w:val="restart"/>
            <w:vAlign w:val="center"/>
          </w:tcPr>
          <w:p w14:paraId="04790E07">
            <w:pPr>
              <w:spacing w:line="276" w:lineRule="auto"/>
              <w:jc w:val="center"/>
              <w:rPr>
                <w:sz w:val="18"/>
                <w:szCs w:val="18"/>
              </w:rPr>
            </w:pPr>
            <w:r>
              <w:rPr>
                <w:sz w:val="18"/>
                <w:szCs w:val="18"/>
              </w:rPr>
              <w:t>喷射混凝土</w:t>
            </w:r>
          </w:p>
        </w:tc>
        <w:tc>
          <w:tcPr>
            <w:tcW w:w="603" w:type="pct"/>
            <w:vMerge w:val="restart"/>
            <w:vAlign w:val="center"/>
          </w:tcPr>
          <w:p w14:paraId="5DA31214">
            <w:pPr>
              <w:spacing w:line="276" w:lineRule="auto"/>
              <w:jc w:val="center"/>
              <w:rPr>
                <w:sz w:val="18"/>
                <w:szCs w:val="18"/>
              </w:rPr>
            </w:pPr>
            <w:r>
              <w:rPr>
                <w:sz w:val="18"/>
                <w:szCs w:val="18"/>
              </w:rPr>
              <w:t>80mm厚</w:t>
            </w:r>
          </w:p>
        </w:tc>
        <w:tc>
          <w:tcPr>
            <w:tcW w:w="730" w:type="pct"/>
            <w:vAlign w:val="center"/>
          </w:tcPr>
          <w:p w14:paraId="24E7C06F">
            <w:pPr>
              <w:spacing w:line="276" w:lineRule="auto"/>
              <w:jc w:val="center"/>
              <w:rPr>
                <w:sz w:val="18"/>
                <w:szCs w:val="18"/>
              </w:rPr>
            </w:pPr>
            <w:r>
              <w:rPr>
                <w:sz w:val="18"/>
                <w:szCs w:val="18"/>
              </w:rPr>
              <w:t>钢板网</w:t>
            </w:r>
          </w:p>
        </w:tc>
        <w:tc>
          <w:tcPr>
            <w:tcW w:w="730" w:type="pct"/>
            <w:vAlign w:val="center"/>
          </w:tcPr>
          <w:p w14:paraId="3C08B89A">
            <w:pPr>
              <w:spacing w:line="276" w:lineRule="auto"/>
              <w:jc w:val="center"/>
              <w:rPr>
                <w:sz w:val="18"/>
                <w:szCs w:val="18"/>
              </w:rPr>
            </w:pPr>
            <w:r>
              <w:rPr>
                <w:sz w:val="18"/>
                <w:szCs w:val="18"/>
              </w:rPr>
              <w:t>34.87</w:t>
            </w:r>
          </w:p>
        </w:tc>
        <w:tc>
          <w:tcPr>
            <w:tcW w:w="667" w:type="pct"/>
            <w:vAlign w:val="center"/>
          </w:tcPr>
          <w:p w14:paraId="039D7E00">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45" w:type="pct"/>
            <w:vMerge w:val="restart"/>
            <w:vAlign w:val="center"/>
          </w:tcPr>
          <w:p w14:paraId="2D35C871">
            <w:pPr>
              <w:spacing w:line="276" w:lineRule="auto"/>
              <w:jc w:val="center"/>
              <w:rPr>
                <w:sz w:val="18"/>
                <w:szCs w:val="18"/>
              </w:rPr>
            </w:pPr>
            <w:r>
              <w:rPr>
                <w:sz w:val="18"/>
                <w:szCs w:val="18"/>
              </w:rPr>
              <w:t>1.09</w:t>
            </w:r>
          </w:p>
          <w:p w14:paraId="5F4E035A">
            <w:pPr>
              <w:spacing w:line="276" w:lineRule="auto"/>
              <w:jc w:val="center"/>
              <w:rPr>
                <w:sz w:val="18"/>
                <w:szCs w:val="18"/>
              </w:rPr>
            </w:pPr>
            <w:r>
              <w:rPr>
                <w:sz w:val="18"/>
                <w:szCs w:val="18"/>
              </w:rPr>
              <w:t>（垂直面）</w:t>
            </w:r>
          </w:p>
        </w:tc>
        <w:tc>
          <w:tcPr>
            <w:tcW w:w="442" w:type="pct"/>
            <w:vAlign w:val="center"/>
          </w:tcPr>
          <w:p w14:paraId="1081795D">
            <w:pPr>
              <w:spacing w:line="276" w:lineRule="auto"/>
              <w:jc w:val="center"/>
              <w:rPr>
                <w:sz w:val="18"/>
                <w:szCs w:val="18"/>
              </w:rPr>
            </w:pPr>
          </w:p>
        </w:tc>
      </w:tr>
      <w:tr w14:paraId="7B97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567F8798">
            <w:pPr>
              <w:spacing w:line="276" w:lineRule="auto"/>
              <w:jc w:val="center"/>
              <w:rPr>
                <w:sz w:val="18"/>
                <w:szCs w:val="18"/>
              </w:rPr>
            </w:pPr>
            <w:r>
              <w:rPr>
                <w:sz w:val="18"/>
                <w:szCs w:val="18"/>
              </w:rPr>
              <w:t>24</w:t>
            </w:r>
          </w:p>
        </w:tc>
        <w:tc>
          <w:tcPr>
            <w:tcW w:w="476" w:type="pct"/>
            <w:vAlign w:val="center"/>
          </w:tcPr>
          <w:p w14:paraId="5979A186">
            <w:pPr>
              <w:pStyle w:val="75"/>
              <w:jc w:val="center"/>
              <w:rPr>
                <w:sz w:val="18"/>
                <w:szCs w:val="18"/>
              </w:rPr>
            </w:pPr>
            <w:r>
              <w:rPr>
                <w:sz w:val="18"/>
                <w:szCs w:val="18"/>
              </w:rPr>
              <w:t>2-47</w:t>
            </w:r>
          </w:p>
        </w:tc>
        <w:tc>
          <w:tcPr>
            <w:tcW w:w="397" w:type="pct"/>
            <w:vMerge w:val="continue"/>
            <w:vAlign w:val="center"/>
          </w:tcPr>
          <w:p w14:paraId="4F801CEB">
            <w:pPr>
              <w:spacing w:line="276" w:lineRule="auto"/>
              <w:jc w:val="center"/>
              <w:rPr>
                <w:sz w:val="18"/>
                <w:szCs w:val="18"/>
              </w:rPr>
            </w:pPr>
          </w:p>
        </w:tc>
        <w:tc>
          <w:tcPr>
            <w:tcW w:w="603" w:type="pct"/>
            <w:vMerge w:val="continue"/>
            <w:vAlign w:val="center"/>
          </w:tcPr>
          <w:p w14:paraId="0A75ABEC">
            <w:pPr>
              <w:spacing w:line="276" w:lineRule="auto"/>
              <w:jc w:val="center"/>
              <w:rPr>
                <w:sz w:val="18"/>
                <w:szCs w:val="18"/>
              </w:rPr>
            </w:pPr>
          </w:p>
        </w:tc>
        <w:tc>
          <w:tcPr>
            <w:tcW w:w="730" w:type="pct"/>
            <w:vAlign w:val="center"/>
          </w:tcPr>
          <w:p w14:paraId="368444D3">
            <w:pPr>
              <w:spacing w:line="276" w:lineRule="auto"/>
              <w:jc w:val="center"/>
              <w:rPr>
                <w:sz w:val="18"/>
                <w:szCs w:val="18"/>
              </w:rPr>
            </w:pPr>
            <w:r>
              <w:rPr>
                <w:sz w:val="18"/>
                <w:szCs w:val="18"/>
              </w:rPr>
              <w:t>钢筋网</w:t>
            </w:r>
          </w:p>
        </w:tc>
        <w:tc>
          <w:tcPr>
            <w:tcW w:w="730" w:type="pct"/>
            <w:vAlign w:val="center"/>
          </w:tcPr>
          <w:p w14:paraId="6FE17E8D">
            <w:pPr>
              <w:spacing w:line="276" w:lineRule="auto"/>
              <w:jc w:val="center"/>
              <w:rPr>
                <w:sz w:val="18"/>
                <w:szCs w:val="18"/>
              </w:rPr>
            </w:pPr>
            <w:r>
              <w:rPr>
                <w:sz w:val="18"/>
                <w:szCs w:val="18"/>
              </w:rPr>
              <w:t>53.37</w:t>
            </w:r>
          </w:p>
        </w:tc>
        <w:tc>
          <w:tcPr>
            <w:tcW w:w="667" w:type="pct"/>
            <w:vAlign w:val="center"/>
          </w:tcPr>
          <w:p w14:paraId="4ED5CCCF">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45" w:type="pct"/>
            <w:vMerge w:val="continue"/>
            <w:vAlign w:val="center"/>
          </w:tcPr>
          <w:p w14:paraId="181D0BCD">
            <w:pPr>
              <w:spacing w:line="276" w:lineRule="auto"/>
              <w:jc w:val="center"/>
              <w:rPr>
                <w:sz w:val="18"/>
                <w:szCs w:val="18"/>
              </w:rPr>
            </w:pPr>
          </w:p>
        </w:tc>
        <w:tc>
          <w:tcPr>
            <w:tcW w:w="442" w:type="pct"/>
            <w:vAlign w:val="center"/>
          </w:tcPr>
          <w:p w14:paraId="5E90A60F">
            <w:pPr>
              <w:spacing w:line="276" w:lineRule="auto"/>
              <w:jc w:val="center"/>
              <w:rPr>
                <w:sz w:val="18"/>
                <w:szCs w:val="18"/>
              </w:rPr>
            </w:pPr>
          </w:p>
        </w:tc>
      </w:tr>
      <w:tr w14:paraId="5114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276E4400">
            <w:pPr>
              <w:spacing w:line="276" w:lineRule="auto"/>
              <w:jc w:val="center"/>
              <w:rPr>
                <w:sz w:val="18"/>
                <w:szCs w:val="18"/>
              </w:rPr>
            </w:pPr>
            <w:r>
              <w:rPr>
                <w:sz w:val="18"/>
                <w:szCs w:val="18"/>
              </w:rPr>
              <w:t>25</w:t>
            </w:r>
          </w:p>
        </w:tc>
        <w:tc>
          <w:tcPr>
            <w:tcW w:w="476" w:type="pct"/>
            <w:vAlign w:val="center"/>
          </w:tcPr>
          <w:p w14:paraId="679C9A63">
            <w:pPr>
              <w:pStyle w:val="75"/>
              <w:jc w:val="center"/>
              <w:rPr>
                <w:sz w:val="18"/>
                <w:szCs w:val="18"/>
              </w:rPr>
            </w:pPr>
            <w:r>
              <w:rPr>
                <w:sz w:val="18"/>
                <w:szCs w:val="18"/>
              </w:rPr>
              <w:t>2-48</w:t>
            </w:r>
          </w:p>
        </w:tc>
        <w:tc>
          <w:tcPr>
            <w:tcW w:w="397" w:type="pct"/>
            <w:vMerge w:val="continue"/>
            <w:vAlign w:val="center"/>
          </w:tcPr>
          <w:p w14:paraId="2033979D">
            <w:pPr>
              <w:spacing w:line="276" w:lineRule="auto"/>
              <w:jc w:val="center"/>
              <w:rPr>
                <w:sz w:val="18"/>
                <w:szCs w:val="18"/>
              </w:rPr>
            </w:pPr>
          </w:p>
        </w:tc>
        <w:tc>
          <w:tcPr>
            <w:tcW w:w="603" w:type="pct"/>
            <w:vMerge w:val="continue"/>
            <w:vAlign w:val="center"/>
          </w:tcPr>
          <w:p w14:paraId="1674D0EA">
            <w:pPr>
              <w:spacing w:line="276" w:lineRule="auto"/>
              <w:jc w:val="center"/>
              <w:rPr>
                <w:sz w:val="18"/>
                <w:szCs w:val="18"/>
              </w:rPr>
            </w:pPr>
          </w:p>
        </w:tc>
        <w:tc>
          <w:tcPr>
            <w:tcW w:w="730" w:type="pct"/>
            <w:vAlign w:val="center"/>
          </w:tcPr>
          <w:p w14:paraId="2449E40E">
            <w:pPr>
              <w:spacing w:line="276" w:lineRule="auto"/>
              <w:jc w:val="center"/>
              <w:rPr>
                <w:sz w:val="18"/>
                <w:szCs w:val="18"/>
              </w:rPr>
            </w:pPr>
            <w:r>
              <w:rPr>
                <w:sz w:val="18"/>
                <w:szCs w:val="18"/>
              </w:rPr>
              <w:t>素喷</w:t>
            </w:r>
          </w:p>
        </w:tc>
        <w:tc>
          <w:tcPr>
            <w:tcW w:w="730" w:type="pct"/>
            <w:vAlign w:val="center"/>
          </w:tcPr>
          <w:p w14:paraId="603D7C28">
            <w:pPr>
              <w:spacing w:line="276" w:lineRule="auto"/>
              <w:jc w:val="center"/>
              <w:rPr>
                <w:sz w:val="18"/>
                <w:szCs w:val="18"/>
              </w:rPr>
            </w:pPr>
            <w:r>
              <w:rPr>
                <w:sz w:val="18"/>
                <w:szCs w:val="18"/>
              </w:rPr>
              <w:t>27.06</w:t>
            </w:r>
          </w:p>
        </w:tc>
        <w:tc>
          <w:tcPr>
            <w:tcW w:w="667" w:type="pct"/>
            <w:vAlign w:val="center"/>
          </w:tcPr>
          <w:p w14:paraId="2B455D65">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45" w:type="pct"/>
            <w:vMerge w:val="continue"/>
            <w:vAlign w:val="center"/>
          </w:tcPr>
          <w:p w14:paraId="04D56BF4">
            <w:pPr>
              <w:spacing w:line="276" w:lineRule="auto"/>
              <w:jc w:val="center"/>
              <w:rPr>
                <w:sz w:val="18"/>
                <w:szCs w:val="18"/>
              </w:rPr>
            </w:pPr>
          </w:p>
        </w:tc>
        <w:tc>
          <w:tcPr>
            <w:tcW w:w="442" w:type="pct"/>
            <w:vAlign w:val="center"/>
          </w:tcPr>
          <w:p w14:paraId="56FC3564">
            <w:pPr>
              <w:spacing w:line="276" w:lineRule="auto"/>
              <w:jc w:val="center"/>
              <w:rPr>
                <w:sz w:val="18"/>
                <w:szCs w:val="18"/>
              </w:rPr>
            </w:pPr>
          </w:p>
        </w:tc>
      </w:tr>
      <w:tr w14:paraId="7896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11" w:type="pct"/>
            <w:vAlign w:val="center"/>
          </w:tcPr>
          <w:p w14:paraId="24E0BA7C">
            <w:pPr>
              <w:spacing w:line="276" w:lineRule="auto"/>
              <w:jc w:val="center"/>
              <w:rPr>
                <w:sz w:val="18"/>
                <w:szCs w:val="18"/>
              </w:rPr>
            </w:pPr>
            <w:r>
              <w:rPr>
                <w:sz w:val="18"/>
                <w:szCs w:val="18"/>
              </w:rPr>
              <w:t>26</w:t>
            </w:r>
          </w:p>
        </w:tc>
        <w:tc>
          <w:tcPr>
            <w:tcW w:w="476" w:type="pct"/>
            <w:vAlign w:val="center"/>
          </w:tcPr>
          <w:p w14:paraId="33BB6CFC">
            <w:pPr>
              <w:pStyle w:val="75"/>
              <w:jc w:val="center"/>
              <w:rPr>
                <w:sz w:val="18"/>
                <w:szCs w:val="18"/>
              </w:rPr>
            </w:pPr>
            <w:r>
              <w:rPr>
                <w:sz w:val="18"/>
                <w:szCs w:val="18"/>
              </w:rPr>
              <w:t>2-49</w:t>
            </w:r>
          </w:p>
        </w:tc>
        <w:tc>
          <w:tcPr>
            <w:tcW w:w="397" w:type="pct"/>
            <w:vMerge w:val="continue"/>
            <w:vAlign w:val="center"/>
          </w:tcPr>
          <w:p w14:paraId="58282236">
            <w:pPr>
              <w:spacing w:line="276" w:lineRule="auto"/>
              <w:jc w:val="center"/>
              <w:rPr>
                <w:sz w:val="18"/>
                <w:szCs w:val="18"/>
              </w:rPr>
            </w:pPr>
          </w:p>
        </w:tc>
        <w:tc>
          <w:tcPr>
            <w:tcW w:w="1333" w:type="pct"/>
            <w:gridSpan w:val="2"/>
            <w:vAlign w:val="center"/>
          </w:tcPr>
          <w:p w14:paraId="137002AD">
            <w:pPr>
              <w:spacing w:line="276" w:lineRule="auto"/>
              <w:jc w:val="center"/>
              <w:rPr>
                <w:sz w:val="18"/>
                <w:szCs w:val="18"/>
              </w:rPr>
            </w:pPr>
            <w:r>
              <w:rPr>
                <w:sz w:val="18"/>
                <w:szCs w:val="18"/>
              </w:rPr>
              <w:t>每增减10mm</w:t>
            </w:r>
          </w:p>
        </w:tc>
        <w:tc>
          <w:tcPr>
            <w:tcW w:w="730" w:type="pct"/>
            <w:vAlign w:val="center"/>
          </w:tcPr>
          <w:p w14:paraId="3D622251">
            <w:pPr>
              <w:spacing w:line="276" w:lineRule="auto"/>
              <w:jc w:val="center"/>
              <w:rPr>
                <w:sz w:val="18"/>
                <w:szCs w:val="18"/>
              </w:rPr>
            </w:pPr>
            <w:r>
              <w:rPr>
                <w:sz w:val="18"/>
                <w:szCs w:val="18"/>
              </w:rPr>
              <w:t>2.91</w:t>
            </w:r>
          </w:p>
        </w:tc>
        <w:tc>
          <w:tcPr>
            <w:tcW w:w="667" w:type="pct"/>
            <w:vAlign w:val="center"/>
          </w:tcPr>
          <w:p w14:paraId="36F7CD31">
            <w:pPr>
              <w:pStyle w:val="75"/>
              <w:jc w:val="center"/>
              <w:rPr>
                <w:b/>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45" w:type="pct"/>
            <w:vMerge w:val="continue"/>
            <w:vAlign w:val="center"/>
          </w:tcPr>
          <w:p w14:paraId="7F85F7F7">
            <w:pPr>
              <w:spacing w:line="276" w:lineRule="auto"/>
              <w:jc w:val="center"/>
              <w:rPr>
                <w:sz w:val="18"/>
                <w:szCs w:val="18"/>
              </w:rPr>
            </w:pPr>
          </w:p>
        </w:tc>
        <w:tc>
          <w:tcPr>
            <w:tcW w:w="442" w:type="pct"/>
            <w:vAlign w:val="center"/>
          </w:tcPr>
          <w:p w14:paraId="7F3687D4">
            <w:pPr>
              <w:spacing w:line="276" w:lineRule="auto"/>
              <w:jc w:val="center"/>
              <w:rPr>
                <w:sz w:val="18"/>
                <w:szCs w:val="18"/>
              </w:rPr>
            </w:pPr>
          </w:p>
        </w:tc>
      </w:tr>
    </w:tbl>
    <w:p w14:paraId="3E3996B3">
      <w:pPr>
        <w:spacing w:line="276" w:lineRule="auto"/>
        <w:rPr>
          <w:sz w:val="20"/>
          <w:szCs w:val="20"/>
        </w:rPr>
      </w:pPr>
      <w:r>
        <w:rPr>
          <w:sz w:val="20"/>
          <w:szCs w:val="20"/>
        </w:rPr>
        <w:t>注：1、表中编号按照《北京市建设工程计价依据——预算定额 房屋建筑与装饰工程预算定额》（2012）中相应子目编号，部分项目包含定额中多个子目工作内容的，相关子目编号全部列出。</w:t>
      </w:r>
    </w:p>
    <w:p w14:paraId="4C94505F">
      <w:pPr>
        <w:spacing w:line="276" w:lineRule="auto"/>
        <w:ind w:firstLine="400" w:firstLineChars="200"/>
        <w:rPr>
          <w:sz w:val="20"/>
          <w:szCs w:val="20"/>
        </w:rPr>
      </w:pPr>
      <w:r>
        <w:rPr>
          <w:sz w:val="20"/>
          <w:szCs w:val="20"/>
        </w:rPr>
        <w:t>2、岩层灌注桩调整系数，桩径小时取大值，桩径大时取小值。</w:t>
      </w:r>
    </w:p>
    <w:p w14:paraId="5FBDD788">
      <w:pPr>
        <w:spacing w:line="276" w:lineRule="auto"/>
        <w:ind w:firstLine="400" w:firstLineChars="200"/>
        <w:rPr>
          <w:sz w:val="20"/>
          <w:szCs w:val="20"/>
        </w:rPr>
      </w:pPr>
      <w:r>
        <w:rPr>
          <w:sz w:val="20"/>
          <w:szCs w:val="20"/>
        </w:rPr>
        <w:t>3、锚杆（锚索）的调整系数为考虑未计材料及锚头的碳排放量，如为岩层，还需再乘以1.3的调整系数。</w:t>
      </w:r>
    </w:p>
    <w:p w14:paraId="51FF2292">
      <w:pPr>
        <w:spacing w:line="276" w:lineRule="auto"/>
        <w:ind w:firstLine="400" w:firstLineChars="200"/>
        <w:rPr>
          <w:sz w:val="20"/>
          <w:szCs w:val="20"/>
        </w:rPr>
      </w:pPr>
      <w:r>
        <w:rPr>
          <w:sz w:val="20"/>
          <w:szCs w:val="20"/>
        </w:rPr>
        <w:t>4、钢筋混凝土腰梁可按照冠梁取值。</w:t>
      </w:r>
    </w:p>
    <w:p w14:paraId="2E12E3BA">
      <w:pPr>
        <w:spacing w:line="276" w:lineRule="auto"/>
        <w:ind w:firstLine="400" w:firstLineChars="200"/>
        <w:rPr>
          <w:sz w:val="20"/>
          <w:szCs w:val="20"/>
        </w:rPr>
      </w:pPr>
      <w:r>
        <w:rPr>
          <w:sz w:val="20"/>
          <w:szCs w:val="20"/>
        </w:rPr>
        <w:t>5、</w:t>
      </w:r>
      <w:r>
        <w:rPr>
          <w:rFonts w:hint="eastAsia"/>
          <w:sz w:val="20"/>
          <w:szCs w:val="20"/>
        </w:rPr>
        <w:t>锚拉式</w:t>
      </w:r>
      <w:r>
        <w:rPr>
          <w:sz w:val="20"/>
          <w:szCs w:val="20"/>
        </w:rPr>
        <w:t>支护喷射混凝土为垂直面，调整系数取1.09。</w:t>
      </w:r>
    </w:p>
    <w:p w14:paraId="428002B4">
      <w:pPr>
        <w:spacing w:line="276" w:lineRule="auto"/>
        <w:ind w:firstLine="400" w:firstLineChars="200"/>
        <w:rPr>
          <w:sz w:val="20"/>
          <w:szCs w:val="20"/>
        </w:rPr>
      </w:pPr>
      <w:r>
        <w:rPr>
          <w:sz w:val="20"/>
          <w:szCs w:val="20"/>
        </w:rPr>
        <w:t>6、表中项目采用的混凝土，除“喷射混凝土”采用C20豆石混凝土外，其余均按照C30混凝土计算，工程中应按照实际采用的混凝土标号进行调整。</w:t>
      </w:r>
    </w:p>
    <w:p w14:paraId="618C4FE3">
      <w:pPr>
        <w:pStyle w:val="2"/>
      </w:pPr>
    </w:p>
    <w:p w14:paraId="53053B6E">
      <w:pPr>
        <w:spacing w:line="276" w:lineRule="auto"/>
        <w:jc w:val="center"/>
        <w:rPr>
          <w:b/>
          <w:sz w:val="20"/>
          <w:szCs w:val="20"/>
        </w:rPr>
      </w:pPr>
      <w:r>
        <w:rPr>
          <w:b/>
          <w:sz w:val="20"/>
          <w:szCs w:val="20"/>
        </w:rPr>
        <w:t xml:space="preserve">表D.0.11-3 </w:t>
      </w:r>
      <w:r>
        <w:rPr>
          <w:rFonts w:hint="eastAsia"/>
          <w:b/>
          <w:sz w:val="20"/>
          <w:szCs w:val="20"/>
        </w:rPr>
        <w:t>内支撑</w:t>
      </w:r>
      <w:r>
        <w:rPr>
          <w:b/>
          <w:sz w:val="20"/>
          <w:szCs w:val="20"/>
        </w:rPr>
        <w:t>工程碳排放量计算用表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915"/>
        <w:gridCol w:w="1147"/>
        <w:gridCol w:w="913"/>
        <w:gridCol w:w="1145"/>
        <w:gridCol w:w="1147"/>
        <w:gridCol w:w="1206"/>
        <w:gridCol w:w="1010"/>
        <w:gridCol w:w="1968"/>
      </w:tblGrid>
      <w:tr w14:paraId="3126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312" w:type="pct"/>
            <w:vAlign w:val="center"/>
          </w:tcPr>
          <w:p w14:paraId="2BF5AE70">
            <w:pPr>
              <w:spacing w:line="276" w:lineRule="auto"/>
              <w:jc w:val="center"/>
              <w:rPr>
                <w:sz w:val="18"/>
                <w:szCs w:val="18"/>
              </w:rPr>
            </w:pPr>
            <w:r>
              <w:rPr>
                <w:sz w:val="18"/>
                <w:szCs w:val="18"/>
              </w:rPr>
              <w:t>序号</w:t>
            </w:r>
          </w:p>
        </w:tc>
        <w:tc>
          <w:tcPr>
            <w:tcW w:w="454" w:type="pct"/>
            <w:shd w:val="clear" w:color="auto" w:fill="auto"/>
            <w:vAlign w:val="center"/>
          </w:tcPr>
          <w:p w14:paraId="209236D3">
            <w:pPr>
              <w:spacing w:line="276" w:lineRule="auto"/>
              <w:jc w:val="center"/>
              <w:rPr>
                <w:sz w:val="18"/>
                <w:szCs w:val="18"/>
              </w:rPr>
            </w:pPr>
            <w:r>
              <w:rPr>
                <w:sz w:val="18"/>
                <w:szCs w:val="18"/>
              </w:rPr>
              <w:t>定额编号</w:t>
            </w:r>
          </w:p>
        </w:tc>
        <w:tc>
          <w:tcPr>
            <w:tcW w:w="569" w:type="pct"/>
            <w:shd w:val="clear" w:color="auto" w:fill="auto"/>
            <w:vAlign w:val="center"/>
          </w:tcPr>
          <w:p w14:paraId="1827FA26">
            <w:pPr>
              <w:spacing w:line="276" w:lineRule="auto"/>
              <w:jc w:val="center"/>
              <w:rPr>
                <w:sz w:val="18"/>
                <w:szCs w:val="18"/>
              </w:rPr>
            </w:pPr>
            <w:r>
              <w:rPr>
                <w:sz w:val="18"/>
                <w:szCs w:val="18"/>
              </w:rPr>
              <w:t>项目</w:t>
            </w:r>
          </w:p>
        </w:tc>
        <w:tc>
          <w:tcPr>
            <w:tcW w:w="1021" w:type="pct"/>
            <w:gridSpan w:val="2"/>
            <w:shd w:val="clear" w:color="auto" w:fill="auto"/>
            <w:vAlign w:val="center"/>
          </w:tcPr>
          <w:p w14:paraId="607CE073">
            <w:pPr>
              <w:spacing w:line="276" w:lineRule="auto"/>
              <w:jc w:val="center"/>
              <w:rPr>
                <w:sz w:val="18"/>
                <w:szCs w:val="18"/>
              </w:rPr>
            </w:pPr>
            <w:r>
              <w:rPr>
                <w:sz w:val="18"/>
                <w:szCs w:val="18"/>
              </w:rPr>
              <w:t>特征</w:t>
            </w:r>
          </w:p>
        </w:tc>
        <w:tc>
          <w:tcPr>
            <w:tcW w:w="569" w:type="pct"/>
            <w:vAlign w:val="center"/>
          </w:tcPr>
          <w:p w14:paraId="4C1041F6">
            <w:pPr>
              <w:spacing w:line="276" w:lineRule="auto"/>
              <w:jc w:val="center"/>
              <w:rPr>
                <w:sz w:val="18"/>
                <w:szCs w:val="18"/>
              </w:rPr>
            </w:pPr>
            <w:r>
              <w:rPr>
                <w:sz w:val="18"/>
                <w:szCs w:val="18"/>
              </w:rPr>
              <w:t>单位工程量碳排放因子</w:t>
            </w:r>
          </w:p>
        </w:tc>
        <w:tc>
          <w:tcPr>
            <w:tcW w:w="598" w:type="pct"/>
            <w:shd w:val="clear" w:color="auto" w:fill="auto"/>
            <w:vAlign w:val="center"/>
          </w:tcPr>
          <w:p w14:paraId="2639414B">
            <w:pPr>
              <w:spacing w:line="276" w:lineRule="auto"/>
              <w:jc w:val="center"/>
              <w:rPr>
                <w:sz w:val="18"/>
                <w:szCs w:val="18"/>
              </w:rPr>
            </w:pPr>
            <w:r>
              <w:rPr>
                <w:sz w:val="18"/>
                <w:szCs w:val="18"/>
              </w:rPr>
              <w:t>单位</w:t>
            </w:r>
          </w:p>
        </w:tc>
        <w:tc>
          <w:tcPr>
            <w:tcW w:w="501" w:type="pct"/>
            <w:shd w:val="clear" w:color="auto" w:fill="auto"/>
            <w:vAlign w:val="center"/>
          </w:tcPr>
          <w:p w14:paraId="63EFA027">
            <w:pPr>
              <w:spacing w:line="276" w:lineRule="auto"/>
              <w:jc w:val="center"/>
              <w:rPr>
                <w:sz w:val="18"/>
                <w:szCs w:val="18"/>
              </w:rPr>
            </w:pPr>
            <w:r>
              <w:rPr>
                <w:sz w:val="18"/>
                <w:szCs w:val="18"/>
              </w:rPr>
              <w:t>调整系数</w:t>
            </w:r>
          </w:p>
        </w:tc>
        <w:tc>
          <w:tcPr>
            <w:tcW w:w="977" w:type="pct"/>
            <w:shd w:val="clear" w:color="auto" w:fill="auto"/>
            <w:vAlign w:val="center"/>
          </w:tcPr>
          <w:p w14:paraId="2B225F80">
            <w:pPr>
              <w:spacing w:line="276" w:lineRule="auto"/>
              <w:jc w:val="center"/>
              <w:rPr>
                <w:sz w:val="18"/>
                <w:szCs w:val="18"/>
              </w:rPr>
            </w:pPr>
            <w:r>
              <w:rPr>
                <w:sz w:val="18"/>
                <w:szCs w:val="18"/>
              </w:rPr>
              <w:t>备注</w:t>
            </w:r>
          </w:p>
        </w:tc>
      </w:tr>
      <w:tr w14:paraId="2038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5D6BBF45">
            <w:pPr>
              <w:spacing w:line="276" w:lineRule="auto"/>
              <w:jc w:val="center"/>
              <w:rPr>
                <w:sz w:val="18"/>
                <w:szCs w:val="18"/>
              </w:rPr>
            </w:pPr>
            <w:r>
              <w:rPr>
                <w:sz w:val="18"/>
                <w:szCs w:val="18"/>
              </w:rPr>
              <w:t>1</w:t>
            </w:r>
          </w:p>
        </w:tc>
        <w:tc>
          <w:tcPr>
            <w:tcW w:w="454" w:type="pct"/>
            <w:vMerge w:val="restart"/>
            <w:shd w:val="clear" w:color="auto" w:fill="auto"/>
            <w:vAlign w:val="center"/>
          </w:tcPr>
          <w:p w14:paraId="325E1C52">
            <w:pPr>
              <w:spacing w:line="276" w:lineRule="auto"/>
              <w:jc w:val="center"/>
              <w:rPr>
                <w:sz w:val="18"/>
                <w:szCs w:val="18"/>
              </w:rPr>
            </w:pPr>
            <w:r>
              <w:rPr>
                <w:sz w:val="18"/>
                <w:szCs w:val="18"/>
              </w:rPr>
              <w:t>3-25</w:t>
            </w:r>
          </w:p>
          <w:p w14:paraId="063D0DCB">
            <w:pPr>
              <w:spacing w:line="276" w:lineRule="auto"/>
              <w:jc w:val="center"/>
              <w:rPr>
                <w:sz w:val="18"/>
                <w:szCs w:val="18"/>
              </w:rPr>
            </w:pPr>
            <w:r>
              <w:rPr>
                <w:sz w:val="18"/>
                <w:szCs w:val="18"/>
              </w:rPr>
              <w:t>3-28</w:t>
            </w:r>
          </w:p>
        </w:tc>
        <w:tc>
          <w:tcPr>
            <w:tcW w:w="569" w:type="pct"/>
            <w:vMerge w:val="restart"/>
            <w:shd w:val="clear" w:color="auto" w:fill="auto"/>
            <w:vAlign w:val="center"/>
          </w:tcPr>
          <w:p w14:paraId="334759B5">
            <w:pPr>
              <w:spacing w:line="276" w:lineRule="auto"/>
              <w:rPr>
                <w:sz w:val="18"/>
                <w:szCs w:val="18"/>
              </w:rPr>
            </w:pPr>
            <w:r>
              <w:rPr>
                <w:sz w:val="18"/>
                <w:szCs w:val="18"/>
              </w:rPr>
              <w:t>灌注桩</w:t>
            </w:r>
          </w:p>
        </w:tc>
        <w:tc>
          <w:tcPr>
            <w:tcW w:w="453" w:type="pct"/>
            <w:vMerge w:val="restart"/>
            <w:shd w:val="clear" w:color="auto" w:fill="auto"/>
            <w:vAlign w:val="center"/>
          </w:tcPr>
          <w:p w14:paraId="5F9B28E8">
            <w:pPr>
              <w:spacing w:line="276" w:lineRule="auto"/>
              <w:jc w:val="center"/>
              <w:rPr>
                <w:sz w:val="18"/>
                <w:szCs w:val="18"/>
              </w:rPr>
            </w:pPr>
            <w:r>
              <w:rPr>
                <w:sz w:val="18"/>
                <w:szCs w:val="18"/>
              </w:rPr>
              <w:t>螺旋钻成孔</w:t>
            </w:r>
          </w:p>
        </w:tc>
        <w:tc>
          <w:tcPr>
            <w:tcW w:w="568" w:type="pct"/>
            <w:vMerge w:val="restart"/>
            <w:shd w:val="clear" w:color="auto" w:fill="auto"/>
            <w:vAlign w:val="center"/>
          </w:tcPr>
          <w:p w14:paraId="055AB733">
            <w:pPr>
              <w:spacing w:line="276" w:lineRule="auto"/>
              <w:jc w:val="center"/>
              <w:rPr>
                <w:sz w:val="18"/>
                <w:szCs w:val="18"/>
              </w:rPr>
            </w:pPr>
            <w:r>
              <w:rPr>
                <w:sz w:val="18"/>
                <w:szCs w:val="18"/>
              </w:rPr>
              <w:t>≤400mm</w:t>
            </w:r>
          </w:p>
        </w:tc>
        <w:tc>
          <w:tcPr>
            <w:tcW w:w="569" w:type="pct"/>
            <w:vMerge w:val="restart"/>
            <w:vAlign w:val="center"/>
          </w:tcPr>
          <w:p w14:paraId="299A2276">
            <w:pPr>
              <w:spacing w:line="276" w:lineRule="auto"/>
              <w:jc w:val="center"/>
              <w:rPr>
                <w:sz w:val="18"/>
                <w:szCs w:val="18"/>
              </w:rPr>
            </w:pPr>
            <w:r>
              <w:rPr>
                <w:sz w:val="18"/>
                <w:szCs w:val="18"/>
              </w:rPr>
              <w:t>359.36</w:t>
            </w:r>
          </w:p>
        </w:tc>
        <w:tc>
          <w:tcPr>
            <w:tcW w:w="598" w:type="pct"/>
            <w:vMerge w:val="restart"/>
            <w:shd w:val="clear" w:color="auto" w:fill="auto"/>
            <w:vAlign w:val="center"/>
          </w:tcPr>
          <w:p w14:paraId="694F9CDF">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restart"/>
            <w:shd w:val="clear" w:color="auto" w:fill="auto"/>
            <w:vAlign w:val="center"/>
          </w:tcPr>
          <w:p w14:paraId="287C7683">
            <w:pPr>
              <w:spacing w:line="276" w:lineRule="auto"/>
              <w:jc w:val="center"/>
              <w:rPr>
                <w:sz w:val="18"/>
                <w:szCs w:val="18"/>
              </w:rPr>
            </w:pPr>
            <w:r>
              <w:rPr>
                <w:sz w:val="18"/>
                <w:szCs w:val="18"/>
              </w:rPr>
              <w:t>1.00</w:t>
            </w:r>
          </w:p>
        </w:tc>
        <w:tc>
          <w:tcPr>
            <w:tcW w:w="977" w:type="pct"/>
            <w:vMerge w:val="restart"/>
            <w:shd w:val="clear" w:color="auto" w:fill="auto"/>
            <w:vAlign w:val="center"/>
          </w:tcPr>
          <w:p w14:paraId="32356B19">
            <w:pPr>
              <w:spacing w:line="276" w:lineRule="auto"/>
              <w:jc w:val="center"/>
              <w:rPr>
                <w:sz w:val="18"/>
                <w:szCs w:val="18"/>
              </w:rPr>
            </w:pPr>
            <w:r>
              <w:rPr>
                <w:sz w:val="18"/>
                <w:szCs w:val="18"/>
              </w:rPr>
              <w:t>钢筋另计</w:t>
            </w:r>
          </w:p>
        </w:tc>
      </w:tr>
      <w:tr w14:paraId="4A00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4B59E483">
            <w:pPr>
              <w:spacing w:line="276" w:lineRule="auto"/>
              <w:jc w:val="center"/>
              <w:rPr>
                <w:sz w:val="18"/>
                <w:szCs w:val="18"/>
              </w:rPr>
            </w:pPr>
            <w:r>
              <w:rPr>
                <w:sz w:val="18"/>
                <w:szCs w:val="18"/>
              </w:rPr>
              <w:t>2</w:t>
            </w:r>
          </w:p>
        </w:tc>
        <w:tc>
          <w:tcPr>
            <w:tcW w:w="454" w:type="pct"/>
            <w:vMerge w:val="continue"/>
            <w:shd w:val="clear" w:color="auto" w:fill="auto"/>
            <w:vAlign w:val="center"/>
          </w:tcPr>
          <w:p w14:paraId="427CC1BC">
            <w:pPr>
              <w:spacing w:line="276" w:lineRule="auto"/>
              <w:jc w:val="center"/>
              <w:rPr>
                <w:sz w:val="18"/>
                <w:szCs w:val="18"/>
              </w:rPr>
            </w:pPr>
          </w:p>
        </w:tc>
        <w:tc>
          <w:tcPr>
            <w:tcW w:w="569" w:type="pct"/>
            <w:vMerge w:val="continue"/>
            <w:vAlign w:val="center"/>
          </w:tcPr>
          <w:p w14:paraId="287240D9">
            <w:pPr>
              <w:spacing w:line="276" w:lineRule="auto"/>
              <w:jc w:val="center"/>
              <w:rPr>
                <w:sz w:val="18"/>
                <w:szCs w:val="18"/>
              </w:rPr>
            </w:pPr>
          </w:p>
        </w:tc>
        <w:tc>
          <w:tcPr>
            <w:tcW w:w="453" w:type="pct"/>
            <w:vMerge w:val="continue"/>
            <w:vAlign w:val="center"/>
          </w:tcPr>
          <w:p w14:paraId="0187A504">
            <w:pPr>
              <w:spacing w:line="276" w:lineRule="auto"/>
              <w:jc w:val="center"/>
              <w:rPr>
                <w:sz w:val="18"/>
                <w:szCs w:val="18"/>
              </w:rPr>
            </w:pPr>
          </w:p>
        </w:tc>
        <w:tc>
          <w:tcPr>
            <w:tcW w:w="568" w:type="pct"/>
            <w:vMerge w:val="continue"/>
            <w:vAlign w:val="center"/>
          </w:tcPr>
          <w:p w14:paraId="1CDD4949">
            <w:pPr>
              <w:spacing w:line="276" w:lineRule="auto"/>
              <w:jc w:val="center"/>
              <w:rPr>
                <w:sz w:val="18"/>
                <w:szCs w:val="18"/>
              </w:rPr>
            </w:pPr>
          </w:p>
        </w:tc>
        <w:tc>
          <w:tcPr>
            <w:tcW w:w="569" w:type="pct"/>
            <w:vMerge w:val="continue"/>
            <w:vAlign w:val="center"/>
          </w:tcPr>
          <w:p w14:paraId="26AD529E">
            <w:pPr>
              <w:spacing w:line="276" w:lineRule="auto"/>
              <w:jc w:val="center"/>
              <w:rPr>
                <w:sz w:val="18"/>
                <w:szCs w:val="18"/>
              </w:rPr>
            </w:pPr>
          </w:p>
        </w:tc>
        <w:tc>
          <w:tcPr>
            <w:tcW w:w="598" w:type="pct"/>
            <w:vMerge w:val="continue"/>
            <w:vAlign w:val="center"/>
          </w:tcPr>
          <w:p w14:paraId="1DDBD674">
            <w:pPr>
              <w:spacing w:line="276" w:lineRule="auto"/>
              <w:jc w:val="center"/>
              <w:rPr>
                <w:sz w:val="18"/>
                <w:szCs w:val="18"/>
              </w:rPr>
            </w:pPr>
          </w:p>
        </w:tc>
        <w:tc>
          <w:tcPr>
            <w:tcW w:w="501" w:type="pct"/>
            <w:vMerge w:val="continue"/>
            <w:vAlign w:val="center"/>
          </w:tcPr>
          <w:p w14:paraId="75C786F6">
            <w:pPr>
              <w:spacing w:line="276" w:lineRule="auto"/>
              <w:jc w:val="center"/>
              <w:rPr>
                <w:sz w:val="18"/>
                <w:szCs w:val="18"/>
              </w:rPr>
            </w:pPr>
          </w:p>
        </w:tc>
        <w:tc>
          <w:tcPr>
            <w:tcW w:w="977" w:type="pct"/>
            <w:vMerge w:val="continue"/>
            <w:vAlign w:val="center"/>
          </w:tcPr>
          <w:p w14:paraId="4FCABFE4">
            <w:pPr>
              <w:spacing w:line="276" w:lineRule="auto"/>
              <w:jc w:val="center"/>
              <w:rPr>
                <w:sz w:val="18"/>
                <w:szCs w:val="18"/>
              </w:rPr>
            </w:pPr>
          </w:p>
        </w:tc>
      </w:tr>
      <w:tr w14:paraId="294E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2C136FC7">
            <w:pPr>
              <w:spacing w:line="276" w:lineRule="auto"/>
              <w:jc w:val="center"/>
              <w:rPr>
                <w:sz w:val="18"/>
                <w:szCs w:val="18"/>
              </w:rPr>
            </w:pPr>
            <w:r>
              <w:rPr>
                <w:sz w:val="18"/>
                <w:szCs w:val="18"/>
              </w:rPr>
              <w:t>3</w:t>
            </w:r>
          </w:p>
        </w:tc>
        <w:tc>
          <w:tcPr>
            <w:tcW w:w="454" w:type="pct"/>
            <w:vMerge w:val="restart"/>
            <w:shd w:val="clear" w:color="auto" w:fill="auto"/>
            <w:vAlign w:val="center"/>
          </w:tcPr>
          <w:p w14:paraId="7D55D417">
            <w:pPr>
              <w:spacing w:line="276" w:lineRule="auto"/>
              <w:jc w:val="center"/>
              <w:rPr>
                <w:sz w:val="18"/>
                <w:szCs w:val="18"/>
              </w:rPr>
            </w:pPr>
            <w:r>
              <w:rPr>
                <w:sz w:val="18"/>
                <w:szCs w:val="18"/>
              </w:rPr>
              <w:t>3-26</w:t>
            </w:r>
          </w:p>
          <w:p w14:paraId="49BCC19D">
            <w:pPr>
              <w:spacing w:line="276" w:lineRule="auto"/>
              <w:jc w:val="center"/>
              <w:rPr>
                <w:sz w:val="18"/>
                <w:szCs w:val="18"/>
              </w:rPr>
            </w:pPr>
            <w:r>
              <w:rPr>
                <w:sz w:val="18"/>
                <w:szCs w:val="18"/>
              </w:rPr>
              <w:t>3-28</w:t>
            </w:r>
          </w:p>
        </w:tc>
        <w:tc>
          <w:tcPr>
            <w:tcW w:w="569" w:type="pct"/>
            <w:vMerge w:val="continue"/>
            <w:vAlign w:val="center"/>
          </w:tcPr>
          <w:p w14:paraId="4F29AF2A">
            <w:pPr>
              <w:spacing w:line="276" w:lineRule="auto"/>
              <w:jc w:val="center"/>
              <w:rPr>
                <w:sz w:val="18"/>
                <w:szCs w:val="18"/>
              </w:rPr>
            </w:pPr>
          </w:p>
        </w:tc>
        <w:tc>
          <w:tcPr>
            <w:tcW w:w="453" w:type="pct"/>
            <w:vMerge w:val="continue"/>
            <w:vAlign w:val="center"/>
          </w:tcPr>
          <w:p w14:paraId="75101905">
            <w:pPr>
              <w:spacing w:line="276" w:lineRule="auto"/>
              <w:jc w:val="center"/>
              <w:rPr>
                <w:sz w:val="18"/>
                <w:szCs w:val="18"/>
              </w:rPr>
            </w:pPr>
          </w:p>
        </w:tc>
        <w:tc>
          <w:tcPr>
            <w:tcW w:w="568" w:type="pct"/>
            <w:vMerge w:val="restart"/>
            <w:shd w:val="clear" w:color="auto" w:fill="auto"/>
            <w:vAlign w:val="center"/>
          </w:tcPr>
          <w:p w14:paraId="7B2B07F5">
            <w:pPr>
              <w:spacing w:line="276" w:lineRule="auto"/>
              <w:jc w:val="center"/>
              <w:rPr>
                <w:sz w:val="18"/>
                <w:szCs w:val="18"/>
              </w:rPr>
            </w:pPr>
            <w:r>
              <w:rPr>
                <w:sz w:val="18"/>
                <w:szCs w:val="18"/>
              </w:rPr>
              <w:t>600mm</w:t>
            </w:r>
          </w:p>
        </w:tc>
        <w:tc>
          <w:tcPr>
            <w:tcW w:w="569" w:type="pct"/>
            <w:vMerge w:val="restart"/>
            <w:vAlign w:val="center"/>
          </w:tcPr>
          <w:p w14:paraId="25AB290F">
            <w:pPr>
              <w:spacing w:line="276" w:lineRule="auto"/>
              <w:jc w:val="center"/>
              <w:rPr>
                <w:sz w:val="18"/>
                <w:szCs w:val="18"/>
              </w:rPr>
            </w:pPr>
            <w:r>
              <w:rPr>
                <w:sz w:val="18"/>
                <w:szCs w:val="18"/>
              </w:rPr>
              <w:t>351.83</w:t>
            </w:r>
          </w:p>
        </w:tc>
        <w:tc>
          <w:tcPr>
            <w:tcW w:w="598" w:type="pct"/>
            <w:vMerge w:val="restart"/>
            <w:shd w:val="clear" w:color="auto" w:fill="auto"/>
            <w:vAlign w:val="center"/>
          </w:tcPr>
          <w:p w14:paraId="4BE66D2C">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continue"/>
            <w:vAlign w:val="center"/>
          </w:tcPr>
          <w:p w14:paraId="03C16F2B">
            <w:pPr>
              <w:spacing w:line="276" w:lineRule="auto"/>
              <w:jc w:val="center"/>
              <w:rPr>
                <w:sz w:val="18"/>
                <w:szCs w:val="18"/>
              </w:rPr>
            </w:pPr>
          </w:p>
        </w:tc>
        <w:tc>
          <w:tcPr>
            <w:tcW w:w="977" w:type="pct"/>
            <w:vMerge w:val="continue"/>
            <w:vAlign w:val="center"/>
          </w:tcPr>
          <w:p w14:paraId="0EFEF6BC">
            <w:pPr>
              <w:spacing w:line="276" w:lineRule="auto"/>
              <w:jc w:val="center"/>
              <w:rPr>
                <w:sz w:val="18"/>
                <w:szCs w:val="18"/>
              </w:rPr>
            </w:pPr>
          </w:p>
        </w:tc>
      </w:tr>
      <w:tr w14:paraId="5456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0FF60799">
            <w:pPr>
              <w:spacing w:line="276" w:lineRule="auto"/>
              <w:jc w:val="center"/>
              <w:rPr>
                <w:sz w:val="18"/>
                <w:szCs w:val="18"/>
              </w:rPr>
            </w:pPr>
            <w:r>
              <w:rPr>
                <w:sz w:val="18"/>
                <w:szCs w:val="18"/>
              </w:rPr>
              <w:t>4</w:t>
            </w:r>
          </w:p>
        </w:tc>
        <w:tc>
          <w:tcPr>
            <w:tcW w:w="454" w:type="pct"/>
            <w:vMerge w:val="continue"/>
            <w:shd w:val="clear" w:color="auto" w:fill="auto"/>
            <w:vAlign w:val="center"/>
          </w:tcPr>
          <w:p w14:paraId="60D376E5">
            <w:pPr>
              <w:spacing w:line="276" w:lineRule="auto"/>
              <w:jc w:val="center"/>
              <w:rPr>
                <w:sz w:val="18"/>
                <w:szCs w:val="18"/>
              </w:rPr>
            </w:pPr>
          </w:p>
        </w:tc>
        <w:tc>
          <w:tcPr>
            <w:tcW w:w="569" w:type="pct"/>
            <w:vMerge w:val="continue"/>
            <w:vAlign w:val="center"/>
          </w:tcPr>
          <w:p w14:paraId="29ADAA13">
            <w:pPr>
              <w:spacing w:line="276" w:lineRule="auto"/>
              <w:jc w:val="center"/>
              <w:rPr>
                <w:sz w:val="18"/>
                <w:szCs w:val="18"/>
              </w:rPr>
            </w:pPr>
          </w:p>
        </w:tc>
        <w:tc>
          <w:tcPr>
            <w:tcW w:w="453" w:type="pct"/>
            <w:vMerge w:val="continue"/>
            <w:vAlign w:val="center"/>
          </w:tcPr>
          <w:p w14:paraId="1B2380B5">
            <w:pPr>
              <w:spacing w:line="276" w:lineRule="auto"/>
              <w:jc w:val="center"/>
              <w:rPr>
                <w:sz w:val="18"/>
                <w:szCs w:val="18"/>
              </w:rPr>
            </w:pPr>
          </w:p>
        </w:tc>
        <w:tc>
          <w:tcPr>
            <w:tcW w:w="568" w:type="pct"/>
            <w:vMerge w:val="continue"/>
            <w:vAlign w:val="center"/>
          </w:tcPr>
          <w:p w14:paraId="10F42B62">
            <w:pPr>
              <w:spacing w:line="276" w:lineRule="auto"/>
              <w:jc w:val="center"/>
              <w:rPr>
                <w:sz w:val="18"/>
                <w:szCs w:val="18"/>
              </w:rPr>
            </w:pPr>
          </w:p>
        </w:tc>
        <w:tc>
          <w:tcPr>
            <w:tcW w:w="569" w:type="pct"/>
            <w:vMerge w:val="continue"/>
            <w:vAlign w:val="center"/>
          </w:tcPr>
          <w:p w14:paraId="217C198E">
            <w:pPr>
              <w:spacing w:line="276" w:lineRule="auto"/>
              <w:jc w:val="center"/>
              <w:rPr>
                <w:sz w:val="18"/>
                <w:szCs w:val="18"/>
              </w:rPr>
            </w:pPr>
          </w:p>
        </w:tc>
        <w:tc>
          <w:tcPr>
            <w:tcW w:w="598" w:type="pct"/>
            <w:vMerge w:val="continue"/>
            <w:vAlign w:val="center"/>
          </w:tcPr>
          <w:p w14:paraId="75B98576">
            <w:pPr>
              <w:spacing w:line="276" w:lineRule="auto"/>
              <w:jc w:val="center"/>
              <w:rPr>
                <w:sz w:val="18"/>
                <w:szCs w:val="18"/>
              </w:rPr>
            </w:pPr>
          </w:p>
        </w:tc>
        <w:tc>
          <w:tcPr>
            <w:tcW w:w="501" w:type="pct"/>
            <w:vMerge w:val="continue"/>
            <w:vAlign w:val="center"/>
          </w:tcPr>
          <w:p w14:paraId="3E8E71DC">
            <w:pPr>
              <w:spacing w:line="276" w:lineRule="auto"/>
              <w:jc w:val="center"/>
              <w:rPr>
                <w:sz w:val="18"/>
                <w:szCs w:val="18"/>
              </w:rPr>
            </w:pPr>
          </w:p>
        </w:tc>
        <w:tc>
          <w:tcPr>
            <w:tcW w:w="977" w:type="pct"/>
            <w:vMerge w:val="continue"/>
            <w:vAlign w:val="center"/>
          </w:tcPr>
          <w:p w14:paraId="70D99D15">
            <w:pPr>
              <w:spacing w:line="276" w:lineRule="auto"/>
              <w:jc w:val="center"/>
              <w:rPr>
                <w:sz w:val="18"/>
                <w:szCs w:val="18"/>
              </w:rPr>
            </w:pPr>
          </w:p>
        </w:tc>
      </w:tr>
      <w:tr w14:paraId="0A23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5F1AD506">
            <w:pPr>
              <w:spacing w:line="276" w:lineRule="auto"/>
              <w:jc w:val="center"/>
              <w:rPr>
                <w:sz w:val="18"/>
                <w:szCs w:val="18"/>
              </w:rPr>
            </w:pPr>
            <w:r>
              <w:rPr>
                <w:sz w:val="18"/>
                <w:szCs w:val="18"/>
              </w:rPr>
              <w:t>5</w:t>
            </w:r>
          </w:p>
        </w:tc>
        <w:tc>
          <w:tcPr>
            <w:tcW w:w="454" w:type="pct"/>
            <w:vMerge w:val="restart"/>
            <w:shd w:val="clear" w:color="auto" w:fill="auto"/>
            <w:vAlign w:val="center"/>
          </w:tcPr>
          <w:p w14:paraId="4D8D5C72">
            <w:pPr>
              <w:spacing w:line="276" w:lineRule="auto"/>
              <w:jc w:val="center"/>
              <w:rPr>
                <w:sz w:val="18"/>
                <w:szCs w:val="18"/>
              </w:rPr>
            </w:pPr>
            <w:r>
              <w:rPr>
                <w:sz w:val="18"/>
                <w:szCs w:val="18"/>
              </w:rPr>
              <w:t>3-27</w:t>
            </w:r>
          </w:p>
          <w:p w14:paraId="7628FCDA">
            <w:pPr>
              <w:spacing w:line="276" w:lineRule="auto"/>
              <w:jc w:val="center"/>
              <w:rPr>
                <w:sz w:val="18"/>
                <w:szCs w:val="18"/>
              </w:rPr>
            </w:pPr>
            <w:r>
              <w:rPr>
                <w:sz w:val="18"/>
                <w:szCs w:val="18"/>
              </w:rPr>
              <w:t>3-28</w:t>
            </w:r>
          </w:p>
        </w:tc>
        <w:tc>
          <w:tcPr>
            <w:tcW w:w="569" w:type="pct"/>
            <w:vMerge w:val="continue"/>
            <w:vAlign w:val="center"/>
          </w:tcPr>
          <w:p w14:paraId="78482B9B">
            <w:pPr>
              <w:spacing w:line="276" w:lineRule="auto"/>
              <w:jc w:val="center"/>
              <w:rPr>
                <w:sz w:val="18"/>
                <w:szCs w:val="18"/>
              </w:rPr>
            </w:pPr>
          </w:p>
        </w:tc>
        <w:tc>
          <w:tcPr>
            <w:tcW w:w="453" w:type="pct"/>
            <w:vMerge w:val="continue"/>
            <w:vAlign w:val="center"/>
          </w:tcPr>
          <w:p w14:paraId="6D202530">
            <w:pPr>
              <w:spacing w:line="276" w:lineRule="auto"/>
              <w:jc w:val="center"/>
              <w:rPr>
                <w:sz w:val="18"/>
                <w:szCs w:val="18"/>
              </w:rPr>
            </w:pPr>
          </w:p>
        </w:tc>
        <w:tc>
          <w:tcPr>
            <w:tcW w:w="568" w:type="pct"/>
            <w:vMerge w:val="restart"/>
            <w:shd w:val="clear" w:color="auto" w:fill="auto"/>
            <w:vAlign w:val="center"/>
          </w:tcPr>
          <w:p w14:paraId="543DD720">
            <w:pPr>
              <w:spacing w:line="276" w:lineRule="auto"/>
              <w:jc w:val="center"/>
              <w:rPr>
                <w:sz w:val="18"/>
                <w:szCs w:val="18"/>
              </w:rPr>
            </w:pPr>
            <w:r>
              <w:rPr>
                <w:sz w:val="18"/>
                <w:szCs w:val="18"/>
              </w:rPr>
              <w:t>≥800mm</w:t>
            </w:r>
          </w:p>
        </w:tc>
        <w:tc>
          <w:tcPr>
            <w:tcW w:w="569" w:type="pct"/>
            <w:vMerge w:val="restart"/>
            <w:vAlign w:val="center"/>
          </w:tcPr>
          <w:p w14:paraId="372F0914">
            <w:pPr>
              <w:spacing w:line="276" w:lineRule="auto"/>
              <w:jc w:val="center"/>
              <w:rPr>
                <w:sz w:val="18"/>
                <w:szCs w:val="18"/>
              </w:rPr>
            </w:pPr>
            <w:r>
              <w:rPr>
                <w:sz w:val="18"/>
                <w:szCs w:val="18"/>
              </w:rPr>
              <w:t>348.60</w:t>
            </w:r>
          </w:p>
        </w:tc>
        <w:tc>
          <w:tcPr>
            <w:tcW w:w="598" w:type="pct"/>
            <w:vMerge w:val="restart"/>
            <w:shd w:val="clear" w:color="auto" w:fill="auto"/>
            <w:vAlign w:val="center"/>
          </w:tcPr>
          <w:p w14:paraId="164FFEE0">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continue"/>
            <w:vAlign w:val="center"/>
          </w:tcPr>
          <w:p w14:paraId="7430E64E">
            <w:pPr>
              <w:spacing w:line="276" w:lineRule="auto"/>
              <w:jc w:val="center"/>
              <w:rPr>
                <w:sz w:val="18"/>
                <w:szCs w:val="18"/>
              </w:rPr>
            </w:pPr>
          </w:p>
        </w:tc>
        <w:tc>
          <w:tcPr>
            <w:tcW w:w="977" w:type="pct"/>
            <w:vMerge w:val="continue"/>
            <w:vAlign w:val="center"/>
          </w:tcPr>
          <w:p w14:paraId="316F21BB">
            <w:pPr>
              <w:spacing w:line="276" w:lineRule="auto"/>
              <w:jc w:val="center"/>
              <w:rPr>
                <w:sz w:val="18"/>
                <w:szCs w:val="18"/>
              </w:rPr>
            </w:pPr>
          </w:p>
        </w:tc>
      </w:tr>
      <w:tr w14:paraId="36C4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1E3CB8C7">
            <w:pPr>
              <w:spacing w:line="276" w:lineRule="auto"/>
              <w:jc w:val="center"/>
              <w:rPr>
                <w:sz w:val="18"/>
                <w:szCs w:val="18"/>
              </w:rPr>
            </w:pPr>
            <w:r>
              <w:rPr>
                <w:sz w:val="18"/>
                <w:szCs w:val="18"/>
              </w:rPr>
              <w:t>6</w:t>
            </w:r>
          </w:p>
        </w:tc>
        <w:tc>
          <w:tcPr>
            <w:tcW w:w="454" w:type="pct"/>
            <w:vMerge w:val="continue"/>
            <w:shd w:val="clear" w:color="auto" w:fill="auto"/>
            <w:vAlign w:val="center"/>
          </w:tcPr>
          <w:p w14:paraId="1AC4BC1E">
            <w:pPr>
              <w:spacing w:line="276" w:lineRule="auto"/>
              <w:jc w:val="center"/>
              <w:rPr>
                <w:sz w:val="18"/>
                <w:szCs w:val="18"/>
              </w:rPr>
            </w:pPr>
          </w:p>
        </w:tc>
        <w:tc>
          <w:tcPr>
            <w:tcW w:w="569" w:type="pct"/>
            <w:vMerge w:val="continue"/>
            <w:vAlign w:val="center"/>
          </w:tcPr>
          <w:p w14:paraId="08224FA5">
            <w:pPr>
              <w:spacing w:line="276" w:lineRule="auto"/>
              <w:jc w:val="center"/>
              <w:rPr>
                <w:sz w:val="18"/>
                <w:szCs w:val="18"/>
              </w:rPr>
            </w:pPr>
          </w:p>
        </w:tc>
        <w:tc>
          <w:tcPr>
            <w:tcW w:w="453" w:type="pct"/>
            <w:vMerge w:val="continue"/>
            <w:vAlign w:val="center"/>
          </w:tcPr>
          <w:p w14:paraId="03383700">
            <w:pPr>
              <w:spacing w:line="276" w:lineRule="auto"/>
              <w:jc w:val="center"/>
              <w:rPr>
                <w:sz w:val="18"/>
                <w:szCs w:val="18"/>
              </w:rPr>
            </w:pPr>
          </w:p>
        </w:tc>
        <w:tc>
          <w:tcPr>
            <w:tcW w:w="568" w:type="pct"/>
            <w:vMerge w:val="continue"/>
            <w:vAlign w:val="center"/>
          </w:tcPr>
          <w:p w14:paraId="7EB8BC17">
            <w:pPr>
              <w:spacing w:line="276" w:lineRule="auto"/>
              <w:jc w:val="center"/>
              <w:rPr>
                <w:sz w:val="18"/>
                <w:szCs w:val="18"/>
              </w:rPr>
            </w:pPr>
          </w:p>
        </w:tc>
        <w:tc>
          <w:tcPr>
            <w:tcW w:w="569" w:type="pct"/>
            <w:vMerge w:val="continue"/>
            <w:vAlign w:val="center"/>
          </w:tcPr>
          <w:p w14:paraId="5A632A5F">
            <w:pPr>
              <w:spacing w:line="276" w:lineRule="auto"/>
              <w:jc w:val="center"/>
              <w:rPr>
                <w:sz w:val="18"/>
                <w:szCs w:val="18"/>
              </w:rPr>
            </w:pPr>
          </w:p>
        </w:tc>
        <w:tc>
          <w:tcPr>
            <w:tcW w:w="598" w:type="pct"/>
            <w:vMerge w:val="continue"/>
            <w:vAlign w:val="center"/>
          </w:tcPr>
          <w:p w14:paraId="0DEC9EE2">
            <w:pPr>
              <w:spacing w:line="276" w:lineRule="auto"/>
              <w:jc w:val="center"/>
              <w:rPr>
                <w:sz w:val="18"/>
                <w:szCs w:val="18"/>
              </w:rPr>
            </w:pPr>
          </w:p>
        </w:tc>
        <w:tc>
          <w:tcPr>
            <w:tcW w:w="501" w:type="pct"/>
            <w:vMerge w:val="continue"/>
            <w:vAlign w:val="center"/>
          </w:tcPr>
          <w:p w14:paraId="5950E7D9">
            <w:pPr>
              <w:spacing w:line="276" w:lineRule="auto"/>
              <w:jc w:val="center"/>
              <w:rPr>
                <w:sz w:val="18"/>
                <w:szCs w:val="18"/>
              </w:rPr>
            </w:pPr>
          </w:p>
        </w:tc>
        <w:tc>
          <w:tcPr>
            <w:tcW w:w="977" w:type="pct"/>
            <w:vMerge w:val="continue"/>
            <w:vAlign w:val="center"/>
          </w:tcPr>
          <w:p w14:paraId="5B85CDD6">
            <w:pPr>
              <w:spacing w:line="276" w:lineRule="auto"/>
              <w:jc w:val="center"/>
              <w:rPr>
                <w:sz w:val="18"/>
                <w:szCs w:val="18"/>
              </w:rPr>
            </w:pPr>
          </w:p>
        </w:tc>
      </w:tr>
      <w:tr w14:paraId="6B74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1547DC26">
            <w:pPr>
              <w:spacing w:line="276" w:lineRule="auto"/>
              <w:jc w:val="center"/>
              <w:rPr>
                <w:sz w:val="18"/>
                <w:szCs w:val="18"/>
              </w:rPr>
            </w:pPr>
            <w:r>
              <w:rPr>
                <w:sz w:val="18"/>
                <w:szCs w:val="18"/>
              </w:rPr>
              <w:t>7</w:t>
            </w:r>
          </w:p>
        </w:tc>
        <w:tc>
          <w:tcPr>
            <w:tcW w:w="454" w:type="pct"/>
            <w:vMerge w:val="restart"/>
            <w:shd w:val="clear" w:color="auto" w:fill="auto"/>
            <w:vAlign w:val="center"/>
          </w:tcPr>
          <w:p w14:paraId="325792A5">
            <w:pPr>
              <w:spacing w:line="276" w:lineRule="auto"/>
              <w:jc w:val="center"/>
              <w:rPr>
                <w:sz w:val="18"/>
                <w:szCs w:val="18"/>
              </w:rPr>
            </w:pPr>
            <w:r>
              <w:rPr>
                <w:sz w:val="18"/>
                <w:szCs w:val="18"/>
              </w:rPr>
              <w:t>3-18</w:t>
            </w:r>
          </w:p>
          <w:p w14:paraId="1800120D">
            <w:pPr>
              <w:spacing w:line="276" w:lineRule="auto"/>
              <w:jc w:val="center"/>
              <w:rPr>
                <w:sz w:val="18"/>
                <w:szCs w:val="18"/>
              </w:rPr>
            </w:pPr>
            <w:r>
              <w:rPr>
                <w:sz w:val="18"/>
                <w:szCs w:val="18"/>
              </w:rPr>
              <w:t>3-24</w:t>
            </w:r>
          </w:p>
        </w:tc>
        <w:tc>
          <w:tcPr>
            <w:tcW w:w="569" w:type="pct"/>
            <w:vMerge w:val="continue"/>
            <w:vAlign w:val="center"/>
          </w:tcPr>
          <w:p w14:paraId="3C767A06">
            <w:pPr>
              <w:spacing w:line="276" w:lineRule="auto"/>
              <w:jc w:val="center"/>
              <w:rPr>
                <w:sz w:val="18"/>
                <w:szCs w:val="18"/>
              </w:rPr>
            </w:pPr>
          </w:p>
        </w:tc>
        <w:tc>
          <w:tcPr>
            <w:tcW w:w="453" w:type="pct"/>
            <w:vMerge w:val="restart"/>
            <w:shd w:val="clear" w:color="auto" w:fill="auto"/>
            <w:vAlign w:val="center"/>
          </w:tcPr>
          <w:p w14:paraId="7B4C9C5A">
            <w:pPr>
              <w:spacing w:line="276" w:lineRule="auto"/>
              <w:jc w:val="center"/>
              <w:rPr>
                <w:sz w:val="18"/>
                <w:szCs w:val="18"/>
              </w:rPr>
            </w:pPr>
            <w:r>
              <w:rPr>
                <w:sz w:val="18"/>
                <w:szCs w:val="18"/>
              </w:rPr>
              <w:t>泥浆护壁（旋挖）</w:t>
            </w:r>
          </w:p>
        </w:tc>
        <w:tc>
          <w:tcPr>
            <w:tcW w:w="568" w:type="pct"/>
            <w:vMerge w:val="restart"/>
            <w:shd w:val="clear" w:color="auto" w:fill="auto"/>
            <w:vAlign w:val="center"/>
          </w:tcPr>
          <w:p w14:paraId="1B4BD61A">
            <w:pPr>
              <w:spacing w:line="276" w:lineRule="auto"/>
              <w:jc w:val="center"/>
              <w:rPr>
                <w:sz w:val="18"/>
                <w:szCs w:val="18"/>
              </w:rPr>
            </w:pPr>
            <w:r>
              <w:rPr>
                <w:sz w:val="18"/>
                <w:szCs w:val="18"/>
              </w:rPr>
              <w:t>≤800mm</w:t>
            </w:r>
          </w:p>
        </w:tc>
        <w:tc>
          <w:tcPr>
            <w:tcW w:w="569" w:type="pct"/>
            <w:vMerge w:val="restart"/>
            <w:vAlign w:val="center"/>
          </w:tcPr>
          <w:p w14:paraId="7AD4CAFD">
            <w:pPr>
              <w:spacing w:line="276" w:lineRule="auto"/>
              <w:jc w:val="center"/>
              <w:rPr>
                <w:sz w:val="18"/>
                <w:szCs w:val="18"/>
              </w:rPr>
            </w:pPr>
            <w:r>
              <w:rPr>
                <w:sz w:val="18"/>
                <w:szCs w:val="18"/>
              </w:rPr>
              <w:t>400.46</w:t>
            </w:r>
          </w:p>
        </w:tc>
        <w:tc>
          <w:tcPr>
            <w:tcW w:w="598" w:type="pct"/>
            <w:vMerge w:val="restart"/>
            <w:shd w:val="clear" w:color="auto" w:fill="auto"/>
            <w:vAlign w:val="center"/>
          </w:tcPr>
          <w:p w14:paraId="5F5DFDC8">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restart"/>
            <w:shd w:val="clear" w:color="auto" w:fill="auto"/>
            <w:vAlign w:val="center"/>
          </w:tcPr>
          <w:p w14:paraId="0B74B1BF">
            <w:pPr>
              <w:spacing w:line="276" w:lineRule="auto"/>
              <w:jc w:val="center"/>
              <w:rPr>
                <w:sz w:val="18"/>
                <w:szCs w:val="18"/>
              </w:rPr>
            </w:pPr>
            <w:r>
              <w:rPr>
                <w:sz w:val="18"/>
                <w:szCs w:val="18"/>
              </w:rPr>
              <w:t>1.30~1.60（岩层）</w:t>
            </w:r>
          </w:p>
        </w:tc>
        <w:tc>
          <w:tcPr>
            <w:tcW w:w="977" w:type="pct"/>
            <w:vMerge w:val="restart"/>
            <w:shd w:val="clear" w:color="auto" w:fill="auto"/>
            <w:vAlign w:val="center"/>
          </w:tcPr>
          <w:p w14:paraId="4993180F">
            <w:pPr>
              <w:spacing w:line="276" w:lineRule="auto"/>
              <w:jc w:val="center"/>
              <w:rPr>
                <w:sz w:val="18"/>
                <w:szCs w:val="18"/>
              </w:rPr>
            </w:pPr>
            <w:r>
              <w:rPr>
                <w:sz w:val="18"/>
                <w:szCs w:val="18"/>
              </w:rPr>
              <w:t>钢筋另计</w:t>
            </w:r>
          </w:p>
        </w:tc>
      </w:tr>
      <w:tr w14:paraId="6156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353838A0">
            <w:pPr>
              <w:spacing w:line="276" w:lineRule="auto"/>
              <w:jc w:val="center"/>
              <w:rPr>
                <w:sz w:val="18"/>
                <w:szCs w:val="18"/>
              </w:rPr>
            </w:pPr>
            <w:r>
              <w:rPr>
                <w:sz w:val="18"/>
                <w:szCs w:val="18"/>
              </w:rPr>
              <w:t>8</w:t>
            </w:r>
          </w:p>
        </w:tc>
        <w:tc>
          <w:tcPr>
            <w:tcW w:w="454" w:type="pct"/>
            <w:vMerge w:val="continue"/>
            <w:shd w:val="clear" w:color="auto" w:fill="auto"/>
            <w:vAlign w:val="center"/>
          </w:tcPr>
          <w:p w14:paraId="78C81E92">
            <w:pPr>
              <w:spacing w:line="276" w:lineRule="auto"/>
              <w:jc w:val="center"/>
              <w:rPr>
                <w:sz w:val="18"/>
                <w:szCs w:val="18"/>
              </w:rPr>
            </w:pPr>
          </w:p>
        </w:tc>
        <w:tc>
          <w:tcPr>
            <w:tcW w:w="569" w:type="pct"/>
            <w:vMerge w:val="continue"/>
            <w:vAlign w:val="center"/>
          </w:tcPr>
          <w:p w14:paraId="4BAC9057">
            <w:pPr>
              <w:spacing w:line="276" w:lineRule="auto"/>
              <w:jc w:val="center"/>
              <w:rPr>
                <w:sz w:val="18"/>
                <w:szCs w:val="18"/>
              </w:rPr>
            </w:pPr>
          </w:p>
        </w:tc>
        <w:tc>
          <w:tcPr>
            <w:tcW w:w="453" w:type="pct"/>
            <w:vMerge w:val="continue"/>
            <w:shd w:val="clear" w:color="auto" w:fill="auto"/>
            <w:vAlign w:val="center"/>
          </w:tcPr>
          <w:p w14:paraId="6E16531D">
            <w:pPr>
              <w:spacing w:line="276" w:lineRule="auto"/>
              <w:jc w:val="center"/>
              <w:rPr>
                <w:sz w:val="18"/>
                <w:szCs w:val="18"/>
              </w:rPr>
            </w:pPr>
          </w:p>
        </w:tc>
        <w:tc>
          <w:tcPr>
            <w:tcW w:w="568" w:type="pct"/>
            <w:vMerge w:val="continue"/>
            <w:vAlign w:val="center"/>
          </w:tcPr>
          <w:p w14:paraId="043F7148">
            <w:pPr>
              <w:spacing w:line="276" w:lineRule="auto"/>
              <w:jc w:val="center"/>
              <w:rPr>
                <w:sz w:val="18"/>
                <w:szCs w:val="18"/>
              </w:rPr>
            </w:pPr>
          </w:p>
        </w:tc>
        <w:tc>
          <w:tcPr>
            <w:tcW w:w="569" w:type="pct"/>
            <w:vMerge w:val="continue"/>
            <w:vAlign w:val="center"/>
          </w:tcPr>
          <w:p w14:paraId="1E613F18">
            <w:pPr>
              <w:spacing w:line="276" w:lineRule="auto"/>
              <w:jc w:val="center"/>
              <w:rPr>
                <w:sz w:val="18"/>
                <w:szCs w:val="18"/>
              </w:rPr>
            </w:pPr>
          </w:p>
        </w:tc>
        <w:tc>
          <w:tcPr>
            <w:tcW w:w="598" w:type="pct"/>
            <w:vMerge w:val="continue"/>
            <w:vAlign w:val="center"/>
          </w:tcPr>
          <w:p w14:paraId="0ED14D2E">
            <w:pPr>
              <w:spacing w:line="276" w:lineRule="auto"/>
              <w:jc w:val="center"/>
              <w:rPr>
                <w:sz w:val="18"/>
                <w:szCs w:val="18"/>
              </w:rPr>
            </w:pPr>
          </w:p>
        </w:tc>
        <w:tc>
          <w:tcPr>
            <w:tcW w:w="501" w:type="pct"/>
            <w:vMerge w:val="continue"/>
            <w:shd w:val="clear" w:color="auto" w:fill="auto"/>
            <w:vAlign w:val="center"/>
          </w:tcPr>
          <w:p w14:paraId="0C5EC837">
            <w:pPr>
              <w:spacing w:line="276" w:lineRule="auto"/>
              <w:jc w:val="center"/>
              <w:rPr>
                <w:sz w:val="18"/>
                <w:szCs w:val="18"/>
              </w:rPr>
            </w:pPr>
          </w:p>
        </w:tc>
        <w:tc>
          <w:tcPr>
            <w:tcW w:w="977" w:type="pct"/>
            <w:vMerge w:val="continue"/>
            <w:vAlign w:val="center"/>
          </w:tcPr>
          <w:p w14:paraId="495C11CD">
            <w:pPr>
              <w:spacing w:line="276" w:lineRule="auto"/>
              <w:jc w:val="center"/>
              <w:rPr>
                <w:sz w:val="18"/>
                <w:szCs w:val="18"/>
              </w:rPr>
            </w:pPr>
          </w:p>
        </w:tc>
      </w:tr>
      <w:tr w14:paraId="7EFD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2CC7C257">
            <w:pPr>
              <w:spacing w:line="276" w:lineRule="auto"/>
              <w:jc w:val="center"/>
              <w:rPr>
                <w:sz w:val="18"/>
                <w:szCs w:val="18"/>
              </w:rPr>
            </w:pPr>
            <w:r>
              <w:rPr>
                <w:sz w:val="18"/>
                <w:szCs w:val="18"/>
              </w:rPr>
              <w:t>9</w:t>
            </w:r>
          </w:p>
        </w:tc>
        <w:tc>
          <w:tcPr>
            <w:tcW w:w="454" w:type="pct"/>
            <w:vMerge w:val="restart"/>
            <w:shd w:val="clear" w:color="auto" w:fill="auto"/>
            <w:vAlign w:val="center"/>
          </w:tcPr>
          <w:p w14:paraId="772AF691">
            <w:pPr>
              <w:spacing w:line="276" w:lineRule="auto"/>
              <w:jc w:val="center"/>
              <w:rPr>
                <w:sz w:val="18"/>
                <w:szCs w:val="18"/>
              </w:rPr>
            </w:pPr>
            <w:r>
              <w:rPr>
                <w:sz w:val="18"/>
                <w:szCs w:val="18"/>
              </w:rPr>
              <w:t>3-19</w:t>
            </w:r>
          </w:p>
          <w:p w14:paraId="4AC7F544">
            <w:pPr>
              <w:spacing w:line="276" w:lineRule="auto"/>
              <w:jc w:val="center"/>
              <w:rPr>
                <w:sz w:val="18"/>
                <w:szCs w:val="18"/>
              </w:rPr>
            </w:pPr>
            <w:r>
              <w:rPr>
                <w:sz w:val="18"/>
                <w:szCs w:val="18"/>
              </w:rPr>
              <w:t>3-24</w:t>
            </w:r>
          </w:p>
        </w:tc>
        <w:tc>
          <w:tcPr>
            <w:tcW w:w="569" w:type="pct"/>
            <w:vMerge w:val="continue"/>
            <w:vAlign w:val="center"/>
          </w:tcPr>
          <w:p w14:paraId="2B2D524F">
            <w:pPr>
              <w:spacing w:line="276" w:lineRule="auto"/>
              <w:jc w:val="center"/>
              <w:rPr>
                <w:sz w:val="18"/>
                <w:szCs w:val="18"/>
              </w:rPr>
            </w:pPr>
          </w:p>
        </w:tc>
        <w:tc>
          <w:tcPr>
            <w:tcW w:w="453" w:type="pct"/>
            <w:vMerge w:val="continue"/>
            <w:shd w:val="clear" w:color="auto" w:fill="auto"/>
            <w:vAlign w:val="center"/>
          </w:tcPr>
          <w:p w14:paraId="3E11C262">
            <w:pPr>
              <w:spacing w:line="276" w:lineRule="auto"/>
              <w:jc w:val="center"/>
              <w:rPr>
                <w:sz w:val="18"/>
                <w:szCs w:val="18"/>
              </w:rPr>
            </w:pPr>
          </w:p>
        </w:tc>
        <w:tc>
          <w:tcPr>
            <w:tcW w:w="568" w:type="pct"/>
            <w:vMerge w:val="restart"/>
            <w:shd w:val="clear" w:color="auto" w:fill="auto"/>
            <w:vAlign w:val="center"/>
          </w:tcPr>
          <w:p w14:paraId="7A648C88">
            <w:pPr>
              <w:spacing w:line="276" w:lineRule="auto"/>
              <w:jc w:val="center"/>
              <w:rPr>
                <w:sz w:val="18"/>
                <w:szCs w:val="18"/>
              </w:rPr>
            </w:pPr>
            <w:r>
              <w:rPr>
                <w:sz w:val="18"/>
                <w:szCs w:val="18"/>
              </w:rPr>
              <w:t>&gt;800mm</w:t>
            </w:r>
          </w:p>
        </w:tc>
        <w:tc>
          <w:tcPr>
            <w:tcW w:w="569" w:type="pct"/>
            <w:vMerge w:val="restart"/>
            <w:vAlign w:val="center"/>
          </w:tcPr>
          <w:p w14:paraId="0E7D54D4">
            <w:pPr>
              <w:spacing w:line="276" w:lineRule="auto"/>
              <w:jc w:val="center"/>
              <w:rPr>
                <w:sz w:val="18"/>
                <w:szCs w:val="18"/>
              </w:rPr>
            </w:pPr>
            <w:r>
              <w:rPr>
                <w:sz w:val="18"/>
                <w:szCs w:val="18"/>
              </w:rPr>
              <w:t>390.99</w:t>
            </w:r>
          </w:p>
        </w:tc>
        <w:tc>
          <w:tcPr>
            <w:tcW w:w="598" w:type="pct"/>
            <w:vMerge w:val="restart"/>
            <w:shd w:val="clear" w:color="auto" w:fill="auto"/>
            <w:vAlign w:val="center"/>
          </w:tcPr>
          <w:p w14:paraId="6C8361CB">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continue"/>
            <w:shd w:val="clear" w:color="auto" w:fill="auto"/>
            <w:vAlign w:val="center"/>
          </w:tcPr>
          <w:p w14:paraId="7A3BD460">
            <w:pPr>
              <w:spacing w:line="276" w:lineRule="auto"/>
              <w:jc w:val="center"/>
              <w:rPr>
                <w:sz w:val="18"/>
                <w:szCs w:val="18"/>
              </w:rPr>
            </w:pPr>
          </w:p>
        </w:tc>
        <w:tc>
          <w:tcPr>
            <w:tcW w:w="977" w:type="pct"/>
            <w:vMerge w:val="continue"/>
            <w:vAlign w:val="center"/>
          </w:tcPr>
          <w:p w14:paraId="1B744654">
            <w:pPr>
              <w:spacing w:line="276" w:lineRule="auto"/>
              <w:jc w:val="center"/>
              <w:rPr>
                <w:sz w:val="18"/>
                <w:szCs w:val="18"/>
              </w:rPr>
            </w:pPr>
          </w:p>
        </w:tc>
      </w:tr>
      <w:tr w14:paraId="0C59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10418EAB">
            <w:pPr>
              <w:spacing w:line="276" w:lineRule="auto"/>
              <w:jc w:val="center"/>
              <w:rPr>
                <w:sz w:val="18"/>
                <w:szCs w:val="18"/>
              </w:rPr>
            </w:pPr>
            <w:r>
              <w:rPr>
                <w:sz w:val="18"/>
                <w:szCs w:val="18"/>
              </w:rPr>
              <w:t>10</w:t>
            </w:r>
          </w:p>
        </w:tc>
        <w:tc>
          <w:tcPr>
            <w:tcW w:w="454" w:type="pct"/>
            <w:vMerge w:val="continue"/>
            <w:shd w:val="clear" w:color="auto" w:fill="auto"/>
            <w:vAlign w:val="center"/>
          </w:tcPr>
          <w:p w14:paraId="2BBA3208">
            <w:pPr>
              <w:spacing w:line="276" w:lineRule="auto"/>
              <w:jc w:val="center"/>
              <w:rPr>
                <w:sz w:val="18"/>
                <w:szCs w:val="18"/>
              </w:rPr>
            </w:pPr>
          </w:p>
        </w:tc>
        <w:tc>
          <w:tcPr>
            <w:tcW w:w="569" w:type="pct"/>
            <w:vMerge w:val="continue"/>
            <w:vAlign w:val="center"/>
          </w:tcPr>
          <w:p w14:paraId="42B04BBC">
            <w:pPr>
              <w:spacing w:line="276" w:lineRule="auto"/>
              <w:jc w:val="center"/>
              <w:rPr>
                <w:sz w:val="18"/>
                <w:szCs w:val="18"/>
              </w:rPr>
            </w:pPr>
          </w:p>
        </w:tc>
        <w:tc>
          <w:tcPr>
            <w:tcW w:w="453" w:type="pct"/>
            <w:vMerge w:val="continue"/>
            <w:shd w:val="clear" w:color="auto" w:fill="auto"/>
            <w:vAlign w:val="center"/>
          </w:tcPr>
          <w:p w14:paraId="67546151">
            <w:pPr>
              <w:spacing w:line="276" w:lineRule="auto"/>
              <w:jc w:val="center"/>
              <w:rPr>
                <w:sz w:val="18"/>
                <w:szCs w:val="18"/>
              </w:rPr>
            </w:pPr>
          </w:p>
        </w:tc>
        <w:tc>
          <w:tcPr>
            <w:tcW w:w="568" w:type="pct"/>
            <w:vMerge w:val="continue"/>
            <w:vAlign w:val="center"/>
          </w:tcPr>
          <w:p w14:paraId="58D55DFC">
            <w:pPr>
              <w:spacing w:line="276" w:lineRule="auto"/>
              <w:jc w:val="center"/>
              <w:rPr>
                <w:sz w:val="18"/>
                <w:szCs w:val="18"/>
              </w:rPr>
            </w:pPr>
          </w:p>
        </w:tc>
        <w:tc>
          <w:tcPr>
            <w:tcW w:w="569" w:type="pct"/>
            <w:vMerge w:val="continue"/>
            <w:vAlign w:val="center"/>
          </w:tcPr>
          <w:p w14:paraId="3E6F9B69">
            <w:pPr>
              <w:spacing w:line="276" w:lineRule="auto"/>
              <w:jc w:val="center"/>
              <w:rPr>
                <w:sz w:val="18"/>
                <w:szCs w:val="18"/>
              </w:rPr>
            </w:pPr>
          </w:p>
        </w:tc>
        <w:tc>
          <w:tcPr>
            <w:tcW w:w="598" w:type="pct"/>
            <w:vMerge w:val="continue"/>
            <w:vAlign w:val="center"/>
          </w:tcPr>
          <w:p w14:paraId="6B63559C">
            <w:pPr>
              <w:spacing w:line="276" w:lineRule="auto"/>
              <w:jc w:val="center"/>
              <w:rPr>
                <w:sz w:val="18"/>
                <w:szCs w:val="18"/>
              </w:rPr>
            </w:pPr>
          </w:p>
        </w:tc>
        <w:tc>
          <w:tcPr>
            <w:tcW w:w="501" w:type="pct"/>
            <w:vMerge w:val="continue"/>
            <w:shd w:val="clear" w:color="auto" w:fill="auto"/>
            <w:vAlign w:val="center"/>
          </w:tcPr>
          <w:p w14:paraId="389E42F3">
            <w:pPr>
              <w:spacing w:line="276" w:lineRule="auto"/>
              <w:jc w:val="center"/>
              <w:rPr>
                <w:sz w:val="18"/>
                <w:szCs w:val="18"/>
              </w:rPr>
            </w:pPr>
          </w:p>
        </w:tc>
        <w:tc>
          <w:tcPr>
            <w:tcW w:w="977" w:type="pct"/>
            <w:vMerge w:val="continue"/>
            <w:vAlign w:val="center"/>
          </w:tcPr>
          <w:p w14:paraId="3706EFCC">
            <w:pPr>
              <w:spacing w:line="276" w:lineRule="auto"/>
              <w:jc w:val="center"/>
              <w:rPr>
                <w:sz w:val="18"/>
                <w:szCs w:val="18"/>
              </w:rPr>
            </w:pPr>
          </w:p>
        </w:tc>
      </w:tr>
      <w:tr w14:paraId="77D7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29F42F44">
            <w:pPr>
              <w:spacing w:line="276" w:lineRule="auto"/>
              <w:jc w:val="center"/>
              <w:rPr>
                <w:sz w:val="18"/>
                <w:szCs w:val="18"/>
              </w:rPr>
            </w:pPr>
            <w:r>
              <w:rPr>
                <w:sz w:val="18"/>
                <w:szCs w:val="18"/>
              </w:rPr>
              <w:t>11</w:t>
            </w:r>
          </w:p>
        </w:tc>
        <w:tc>
          <w:tcPr>
            <w:tcW w:w="454" w:type="pct"/>
            <w:vMerge w:val="restart"/>
            <w:shd w:val="clear" w:color="auto" w:fill="auto"/>
            <w:vAlign w:val="center"/>
          </w:tcPr>
          <w:p w14:paraId="26F8ED49">
            <w:pPr>
              <w:spacing w:line="276" w:lineRule="auto"/>
              <w:jc w:val="center"/>
              <w:rPr>
                <w:sz w:val="18"/>
                <w:szCs w:val="18"/>
              </w:rPr>
            </w:pPr>
            <w:r>
              <w:rPr>
                <w:sz w:val="18"/>
                <w:szCs w:val="18"/>
              </w:rPr>
              <w:t>3-20</w:t>
            </w:r>
          </w:p>
          <w:p w14:paraId="72F5FE64">
            <w:pPr>
              <w:spacing w:line="276" w:lineRule="auto"/>
              <w:jc w:val="center"/>
              <w:rPr>
                <w:sz w:val="18"/>
                <w:szCs w:val="18"/>
              </w:rPr>
            </w:pPr>
            <w:r>
              <w:rPr>
                <w:sz w:val="18"/>
                <w:szCs w:val="18"/>
              </w:rPr>
              <w:t>3-24</w:t>
            </w:r>
          </w:p>
        </w:tc>
        <w:tc>
          <w:tcPr>
            <w:tcW w:w="569" w:type="pct"/>
            <w:vMerge w:val="continue"/>
            <w:vAlign w:val="center"/>
          </w:tcPr>
          <w:p w14:paraId="54CD4DCE">
            <w:pPr>
              <w:spacing w:line="276" w:lineRule="auto"/>
              <w:jc w:val="center"/>
              <w:rPr>
                <w:sz w:val="18"/>
                <w:szCs w:val="18"/>
              </w:rPr>
            </w:pPr>
          </w:p>
        </w:tc>
        <w:tc>
          <w:tcPr>
            <w:tcW w:w="453" w:type="pct"/>
            <w:vMerge w:val="restart"/>
            <w:shd w:val="clear" w:color="auto" w:fill="auto"/>
            <w:vAlign w:val="center"/>
          </w:tcPr>
          <w:p w14:paraId="367FB14A">
            <w:pPr>
              <w:spacing w:line="276" w:lineRule="auto"/>
              <w:jc w:val="center"/>
              <w:rPr>
                <w:sz w:val="18"/>
                <w:szCs w:val="18"/>
              </w:rPr>
            </w:pPr>
            <w:r>
              <w:rPr>
                <w:sz w:val="18"/>
                <w:szCs w:val="18"/>
              </w:rPr>
              <w:t>泥浆护壁（冲击钻）</w:t>
            </w:r>
          </w:p>
        </w:tc>
        <w:tc>
          <w:tcPr>
            <w:tcW w:w="568" w:type="pct"/>
            <w:vMerge w:val="restart"/>
            <w:shd w:val="clear" w:color="auto" w:fill="auto"/>
            <w:vAlign w:val="center"/>
          </w:tcPr>
          <w:p w14:paraId="2E4F3078">
            <w:pPr>
              <w:spacing w:line="276" w:lineRule="auto"/>
              <w:jc w:val="center"/>
              <w:rPr>
                <w:sz w:val="18"/>
                <w:szCs w:val="18"/>
              </w:rPr>
            </w:pPr>
            <w:r>
              <w:rPr>
                <w:sz w:val="18"/>
                <w:szCs w:val="18"/>
              </w:rPr>
              <w:t>≤800mm</w:t>
            </w:r>
          </w:p>
        </w:tc>
        <w:tc>
          <w:tcPr>
            <w:tcW w:w="569" w:type="pct"/>
            <w:vMerge w:val="restart"/>
            <w:vAlign w:val="center"/>
          </w:tcPr>
          <w:p w14:paraId="2A272629">
            <w:pPr>
              <w:spacing w:line="276" w:lineRule="auto"/>
              <w:jc w:val="center"/>
              <w:rPr>
                <w:sz w:val="18"/>
                <w:szCs w:val="18"/>
              </w:rPr>
            </w:pPr>
            <w:r>
              <w:rPr>
                <w:sz w:val="18"/>
                <w:szCs w:val="18"/>
              </w:rPr>
              <w:t>432.39</w:t>
            </w:r>
          </w:p>
        </w:tc>
        <w:tc>
          <w:tcPr>
            <w:tcW w:w="598" w:type="pct"/>
            <w:vMerge w:val="restart"/>
            <w:shd w:val="clear" w:color="auto" w:fill="auto"/>
            <w:vAlign w:val="center"/>
          </w:tcPr>
          <w:p w14:paraId="27D0BBAC">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restart"/>
            <w:shd w:val="clear" w:color="auto" w:fill="auto"/>
            <w:vAlign w:val="center"/>
          </w:tcPr>
          <w:p w14:paraId="4D1F5C46">
            <w:pPr>
              <w:spacing w:line="276" w:lineRule="auto"/>
              <w:jc w:val="center"/>
              <w:rPr>
                <w:sz w:val="18"/>
                <w:szCs w:val="18"/>
              </w:rPr>
            </w:pPr>
            <w:r>
              <w:rPr>
                <w:sz w:val="18"/>
                <w:szCs w:val="18"/>
              </w:rPr>
              <w:t>1.30~1.60（岩层）</w:t>
            </w:r>
          </w:p>
        </w:tc>
        <w:tc>
          <w:tcPr>
            <w:tcW w:w="977" w:type="pct"/>
            <w:vMerge w:val="restart"/>
            <w:shd w:val="clear" w:color="auto" w:fill="auto"/>
            <w:vAlign w:val="center"/>
          </w:tcPr>
          <w:p w14:paraId="67B302E1">
            <w:pPr>
              <w:spacing w:line="276" w:lineRule="auto"/>
              <w:jc w:val="center"/>
              <w:rPr>
                <w:sz w:val="18"/>
                <w:szCs w:val="18"/>
              </w:rPr>
            </w:pPr>
            <w:r>
              <w:rPr>
                <w:sz w:val="18"/>
                <w:szCs w:val="18"/>
              </w:rPr>
              <w:t>钢筋另计</w:t>
            </w:r>
          </w:p>
        </w:tc>
      </w:tr>
      <w:tr w14:paraId="4940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45EAD1EC">
            <w:pPr>
              <w:spacing w:line="276" w:lineRule="auto"/>
              <w:jc w:val="center"/>
              <w:rPr>
                <w:sz w:val="18"/>
                <w:szCs w:val="18"/>
              </w:rPr>
            </w:pPr>
            <w:r>
              <w:rPr>
                <w:sz w:val="18"/>
                <w:szCs w:val="18"/>
              </w:rPr>
              <w:t>12</w:t>
            </w:r>
          </w:p>
        </w:tc>
        <w:tc>
          <w:tcPr>
            <w:tcW w:w="454" w:type="pct"/>
            <w:vMerge w:val="continue"/>
            <w:shd w:val="clear" w:color="auto" w:fill="auto"/>
            <w:vAlign w:val="center"/>
          </w:tcPr>
          <w:p w14:paraId="18A936AB">
            <w:pPr>
              <w:spacing w:line="276" w:lineRule="auto"/>
              <w:jc w:val="center"/>
              <w:rPr>
                <w:sz w:val="18"/>
                <w:szCs w:val="18"/>
              </w:rPr>
            </w:pPr>
          </w:p>
        </w:tc>
        <w:tc>
          <w:tcPr>
            <w:tcW w:w="569" w:type="pct"/>
            <w:vMerge w:val="continue"/>
            <w:vAlign w:val="center"/>
          </w:tcPr>
          <w:p w14:paraId="6648BB30">
            <w:pPr>
              <w:spacing w:line="276" w:lineRule="auto"/>
              <w:jc w:val="center"/>
              <w:rPr>
                <w:sz w:val="18"/>
                <w:szCs w:val="18"/>
              </w:rPr>
            </w:pPr>
          </w:p>
        </w:tc>
        <w:tc>
          <w:tcPr>
            <w:tcW w:w="453" w:type="pct"/>
            <w:vMerge w:val="continue"/>
            <w:shd w:val="clear" w:color="auto" w:fill="auto"/>
            <w:vAlign w:val="center"/>
          </w:tcPr>
          <w:p w14:paraId="26CD64A4">
            <w:pPr>
              <w:spacing w:line="276" w:lineRule="auto"/>
              <w:jc w:val="center"/>
              <w:rPr>
                <w:sz w:val="18"/>
                <w:szCs w:val="18"/>
              </w:rPr>
            </w:pPr>
          </w:p>
        </w:tc>
        <w:tc>
          <w:tcPr>
            <w:tcW w:w="568" w:type="pct"/>
            <w:vMerge w:val="continue"/>
            <w:vAlign w:val="center"/>
          </w:tcPr>
          <w:p w14:paraId="37FF74F7">
            <w:pPr>
              <w:spacing w:line="276" w:lineRule="auto"/>
              <w:jc w:val="center"/>
              <w:rPr>
                <w:sz w:val="18"/>
                <w:szCs w:val="18"/>
              </w:rPr>
            </w:pPr>
          </w:p>
        </w:tc>
        <w:tc>
          <w:tcPr>
            <w:tcW w:w="569" w:type="pct"/>
            <w:vMerge w:val="continue"/>
            <w:vAlign w:val="center"/>
          </w:tcPr>
          <w:p w14:paraId="390D81EA">
            <w:pPr>
              <w:spacing w:line="276" w:lineRule="auto"/>
              <w:jc w:val="center"/>
              <w:rPr>
                <w:sz w:val="18"/>
                <w:szCs w:val="18"/>
              </w:rPr>
            </w:pPr>
          </w:p>
        </w:tc>
        <w:tc>
          <w:tcPr>
            <w:tcW w:w="598" w:type="pct"/>
            <w:vMerge w:val="continue"/>
            <w:vAlign w:val="center"/>
          </w:tcPr>
          <w:p w14:paraId="577CA7AA">
            <w:pPr>
              <w:spacing w:line="276" w:lineRule="auto"/>
              <w:jc w:val="center"/>
              <w:rPr>
                <w:sz w:val="18"/>
                <w:szCs w:val="18"/>
              </w:rPr>
            </w:pPr>
          </w:p>
        </w:tc>
        <w:tc>
          <w:tcPr>
            <w:tcW w:w="501" w:type="pct"/>
            <w:vMerge w:val="continue"/>
            <w:shd w:val="clear" w:color="auto" w:fill="auto"/>
            <w:vAlign w:val="center"/>
          </w:tcPr>
          <w:p w14:paraId="22AE89E7">
            <w:pPr>
              <w:spacing w:line="276" w:lineRule="auto"/>
              <w:jc w:val="center"/>
              <w:rPr>
                <w:sz w:val="18"/>
                <w:szCs w:val="18"/>
              </w:rPr>
            </w:pPr>
          </w:p>
        </w:tc>
        <w:tc>
          <w:tcPr>
            <w:tcW w:w="977" w:type="pct"/>
            <w:vMerge w:val="continue"/>
            <w:vAlign w:val="center"/>
          </w:tcPr>
          <w:p w14:paraId="0F6DB3AE">
            <w:pPr>
              <w:spacing w:line="276" w:lineRule="auto"/>
              <w:jc w:val="center"/>
              <w:rPr>
                <w:sz w:val="18"/>
                <w:szCs w:val="18"/>
              </w:rPr>
            </w:pPr>
          </w:p>
        </w:tc>
      </w:tr>
      <w:tr w14:paraId="30FE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3ADE5E13">
            <w:pPr>
              <w:spacing w:line="276" w:lineRule="auto"/>
              <w:jc w:val="center"/>
              <w:rPr>
                <w:sz w:val="18"/>
                <w:szCs w:val="18"/>
              </w:rPr>
            </w:pPr>
            <w:r>
              <w:rPr>
                <w:sz w:val="18"/>
                <w:szCs w:val="18"/>
              </w:rPr>
              <w:t>13</w:t>
            </w:r>
          </w:p>
        </w:tc>
        <w:tc>
          <w:tcPr>
            <w:tcW w:w="454" w:type="pct"/>
            <w:vMerge w:val="restart"/>
            <w:shd w:val="clear" w:color="auto" w:fill="auto"/>
            <w:vAlign w:val="center"/>
          </w:tcPr>
          <w:p w14:paraId="5F6471FE">
            <w:pPr>
              <w:spacing w:line="276" w:lineRule="auto"/>
              <w:jc w:val="center"/>
              <w:rPr>
                <w:sz w:val="18"/>
                <w:szCs w:val="18"/>
              </w:rPr>
            </w:pPr>
            <w:r>
              <w:rPr>
                <w:sz w:val="18"/>
                <w:szCs w:val="18"/>
              </w:rPr>
              <w:t>3-21</w:t>
            </w:r>
          </w:p>
          <w:p w14:paraId="587A66B5">
            <w:pPr>
              <w:spacing w:line="276" w:lineRule="auto"/>
              <w:jc w:val="center"/>
              <w:rPr>
                <w:sz w:val="18"/>
                <w:szCs w:val="18"/>
              </w:rPr>
            </w:pPr>
            <w:r>
              <w:rPr>
                <w:sz w:val="18"/>
                <w:szCs w:val="18"/>
              </w:rPr>
              <w:t>3-24</w:t>
            </w:r>
          </w:p>
        </w:tc>
        <w:tc>
          <w:tcPr>
            <w:tcW w:w="569" w:type="pct"/>
            <w:vMerge w:val="continue"/>
            <w:vAlign w:val="center"/>
          </w:tcPr>
          <w:p w14:paraId="6408891E">
            <w:pPr>
              <w:spacing w:line="276" w:lineRule="auto"/>
              <w:jc w:val="center"/>
              <w:rPr>
                <w:sz w:val="18"/>
                <w:szCs w:val="18"/>
              </w:rPr>
            </w:pPr>
          </w:p>
        </w:tc>
        <w:tc>
          <w:tcPr>
            <w:tcW w:w="453" w:type="pct"/>
            <w:vMerge w:val="continue"/>
            <w:shd w:val="clear" w:color="auto" w:fill="auto"/>
            <w:vAlign w:val="center"/>
          </w:tcPr>
          <w:p w14:paraId="07193CB9">
            <w:pPr>
              <w:spacing w:line="276" w:lineRule="auto"/>
              <w:jc w:val="center"/>
              <w:rPr>
                <w:sz w:val="18"/>
                <w:szCs w:val="18"/>
              </w:rPr>
            </w:pPr>
          </w:p>
        </w:tc>
        <w:tc>
          <w:tcPr>
            <w:tcW w:w="568" w:type="pct"/>
            <w:vMerge w:val="restart"/>
            <w:shd w:val="clear" w:color="auto" w:fill="auto"/>
            <w:vAlign w:val="center"/>
          </w:tcPr>
          <w:p w14:paraId="0214AC37">
            <w:pPr>
              <w:spacing w:line="276" w:lineRule="auto"/>
              <w:jc w:val="center"/>
              <w:rPr>
                <w:sz w:val="18"/>
                <w:szCs w:val="18"/>
              </w:rPr>
            </w:pPr>
            <w:r>
              <w:rPr>
                <w:sz w:val="18"/>
                <w:szCs w:val="18"/>
              </w:rPr>
              <w:t>&gt;800mm</w:t>
            </w:r>
          </w:p>
        </w:tc>
        <w:tc>
          <w:tcPr>
            <w:tcW w:w="569" w:type="pct"/>
            <w:vMerge w:val="restart"/>
            <w:vAlign w:val="center"/>
          </w:tcPr>
          <w:p w14:paraId="72074C48">
            <w:pPr>
              <w:spacing w:line="276" w:lineRule="auto"/>
              <w:jc w:val="center"/>
              <w:rPr>
                <w:sz w:val="18"/>
                <w:szCs w:val="18"/>
              </w:rPr>
            </w:pPr>
            <w:r>
              <w:rPr>
                <w:sz w:val="18"/>
                <w:szCs w:val="18"/>
              </w:rPr>
              <w:t>423.58</w:t>
            </w:r>
          </w:p>
        </w:tc>
        <w:tc>
          <w:tcPr>
            <w:tcW w:w="598" w:type="pct"/>
            <w:vMerge w:val="restart"/>
            <w:shd w:val="clear" w:color="auto" w:fill="auto"/>
            <w:vAlign w:val="center"/>
          </w:tcPr>
          <w:p w14:paraId="25539FEA">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continue"/>
            <w:shd w:val="clear" w:color="auto" w:fill="auto"/>
            <w:vAlign w:val="center"/>
          </w:tcPr>
          <w:p w14:paraId="5396886D">
            <w:pPr>
              <w:spacing w:line="276" w:lineRule="auto"/>
              <w:jc w:val="center"/>
              <w:rPr>
                <w:sz w:val="18"/>
                <w:szCs w:val="18"/>
              </w:rPr>
            </w:pPr>
          </w:p>
        </w:tc>
        <w:tc>
          <w:tcPr>
            <w:tcW w:w="977" w:type="pct"/>
            <w:vMerge w:val="continue"/>
            <w:vAlign w:val="center"/>
          </w:tcPr>
          <w:p w14:paraId="3E7A2448">
            <w:pPr>
              <w:spacing w:line="276" w:lineRule="auto"/>
              <w:jc w:val="center"/>
              <w:rPr>
                <w:sz w:val="18"/>
                <w:szCs w:val="18"/>
              </w:rPr>
            </w:pPr>
          </w:p>
        </w:tc>
      </w:tr>
      <w:tr w14:paraId="6C1D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22961720">
            <w:pPr>
              <w:spacing w:line="276" w:lineRule="auto"/>
              <w:jc w:val="center"/>
              <w:rPr>
                <w:sz w:val="18"/>
                <w:szCs w:val="18"/>
              </w:rPr>
            </w:pPr>
            <w:r>
              <w:rPr>
                <w:sz w:val="18"/>
                <w:szCs w:val="18"/>
              </w:rPr>
              <w:t>14</w:t>
            </w:r>
          </w:p>
        </w:tc>
        <w:tc>
          <w:tcPr>
            <w:tcW w:w="454" w:type="pct"/>
            <w:vMerge w:val="continue"/>
            <w:shd w:val="clear" w:color="auto" w:fill="auto"/>
            <w:vAlign w:val="center"/>
          </w:tcPr>
          <w:p w14:paraId="2370D2C4">
            <w:pPr>
              <w:spacing w:line="276" w:lineRule="auto"/>
              <w:jc w:val="center"/>
              <w:rPr>
                <w:sz w:val="18"/>
                <w:szCs w:val="18"/>
              </w:rPr>
            </w:pPr>
          </w:p>
        </w:tc>
        <w:tc>
          <w:tcPr>
            <w:tcW w:w="569" w:type="pct"/>
            <w:vMerge w:val="continue"/>
            <w:vAlign w:val="center"/>
          </w:tcPr>
          <w:p w14:paraId="657E2519">
            <w:pPr>
              <w:spacing w:line="276" w:lineRule="auto"/>
              <w:jc w:val="center"/>
              <w:rPr>
                <w:sz w:val="18"/>
                <w:szCs w:val="18"/>
              </w:rPr>
            </w:pPr>
          </w:p>
        </w:tc>
        <w:tc>
          <w:tcPr>
            <w:tcW w:w="453" w:type="pct"/>
            <w:vMerge w:val="continue"/>
            <w:shd w:val="clear" w:color="auto" w:fill="auto"/>
            <w:vAlign w:val="center"/>
          </w:tcPr>
          <w:p w14:paraId="171BFC9D">
            <w:pPr>
              <w:spacing w:line="276" w:lineRule="auto"/>
              <w:jc w:val="center"/>
              <w:rPr>
                <w:sz w:val="18"/>
                <w:szCs w:val="18"/>
              </w:rPr>
            </w:pPr>
          </w:p>
        </w:tc>
        <w:tc>
          <w:tcPr>
            <w:tcW w:w="568" w:type="pct"/>
            <w:vMerge w:val="continue"/>
            <w:vAlign w:val="center"/>
          </w:tcPr>
          <w:p w14:paraId="4E331A39">
            <w:pPr>
              <w:spacing w:line="276" w:lineRule="auto"/>
              <w:jc w:val="center"/>
              <w:rPr>
                <w:sz w:val="18"/>
                <w:szCs w:val="18"/>
              </w:rPr>
            </w:pPr>
          </w:p>
        </w:tc>
        <w:tc>
          <w:tcPr>
            <w:tcW w:w="569" w:type="pct"/>
            <w:vMerge w:val="continue"/>
            <w:vAlign w:val="center"/>
          </w:tcPr>
          <w:p w14:paraId="2FA95AF0">
            <w:pPr>
              <w:spacing w:line="276" w:lineRule="auto"/>
              <w:jc w:val="center"/>
              <w:rPr>
                <w:sz w:val="18"/>
                <w:szCs w:val="18"/>
              </w:rPr>
            </w:pPr>
          </w:p>
        </w:tc>
        <w:tc>
          <w:tcPr>
            <w:tcW w:w="598" w:type="pct"/>
            <w:vMerge w:val="continue"/>
            <w:vAlign w:val="center"/>
          </w:tcPr>
          <w:p w14:paraId="18F7BC17">
            <w:pPr>
              <w:spacing w:line="276" w:lineRule="auto"/>
              <w:jc w:val="center"/>
              <w:rPr>
                <w:sz w:val="18"/>
                <w:szCs w:val="18"/>
              </w:rPr>
            </w:pPr>
          </w:p>
        </w:tc>
        <w:tc>
          <w:tcPr>
            <w:tcW w:w="501" w:type="pct"/>
            <w:vMerge w:val="continue"/>
            <w:shd w:val="clear" w:color="auto" w:fill="auto"/>
            <w:vAlign w:val="center"/>
          </w:tcPr>
          <w:p w14:paraId="75ECD007">
            <w:pPr>
              <w:spacing w:line="276" w:lineRule="auto"/>
              <w:jc w:val="center"/>
              <w:rPr>
                <w:sz w:val="18"/>
                <w:szCs w:val="18"/>
              </w:rPr>
            </w:pPr>
          </w:p>
        </w:tc>
        <w:tc>
          <w:tcPr>
            <w:tcW w:w="977" w:type="pct"/>
            <w:vMerge w:val="continue"/>
            <w:vAlign w:val="center"/>
          </w:tcPr>
          <w:p w14:paraId="7419988D">
            <w:pPr>
              <w:spacing w:line="276" w:lineRule="auto"/>
              <w:jc w:val="center"/>
              <w:rPr>
                <w:sz w:val="18"/>
                <w:szCs w:val="18"/>
              </w:rPr>
            </w:pPr>
          </w:p>
        </w:tc>
      </w:tr>
      <w:tr w14:paraId="15E0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66FD16BD">
            <w:pPr>
              <w:spacing w:line="276" w:lineRule="auto"/>
              <w:jc w:val="center"/>
              <w:rPr>
                <w:sz w:val="18"/>
                <w:szCs w:val="18"/>
              </w:rPr>
            </w:pPr>
            <w:r>
              <w:rPr>
                <w:sz w:val="18"/>
                <w:szCs w:val="18"/>
              </w:rPr>
              <w:t>15</w:t>
            </w:r>
          </w:p>
        </w:tc>
        <w:tc>
          <w:tcPr>
            <w:tcW w:w="454" w:type="pct"/>
            <w:vMerge w:val="restart"/>
            <w:shd w:val="clear" w:color="auto" w:fill="auto"/>
            <w:vAlign w:val="center"/>
          </w:tcPr>
          <w:p w14:paraId="41CDB5F8">
            <w:pPr>
              <w:spacing w:line="276" w:lineRule="auto"/>
              <w:jc w:val="center"/>
              <w:rPr>
                <w:sz w:val="18"/>
                <w:szCs w:val="18"/>
              </w:rPr>
            </w:pPr>
            <w:r>
              <w:rPr>
                <w:sz w:val="18"/>
                <w:szCs w:val="18"/>
              </w:rPr>
              <w:t>3-22</w:t>
            </w:r>
          </w:p>
          <w:p w14:paraId="4D6F6DDB">
            <w:pPr>
              <w:spacing w:line="276" w:lineRule="auto"/>
              <w:jc w:val="center"/>
              <w:rPr>
                <w:sz w:val="18"/>
                <w:szCs w:val="18"/>
              </w:rPr>
            </w:pPr>
            <w:r>
              <w:rPr>
                <w:sz w:val="18"/>
                <w:szCs w:val="18"/>
              </w:rPr>
              <w:t>3-24</w:t>
            </w:r>
          </w:p>
        </w:tc>
        <w:tc>
          <w:tcPr>
            <w:tcW w:w="569" w:type="pct"/>
            <w:vMerge w:val="continue"/>
            <w:vAlign w:val="center"/>
          </w:tcPr>
          <w:p w14:paraId="00415F06">
            <w:pPr>
              <w:spacing w:line="276" w:lineRule="auto"/>
              <w:jc w:val="center"/>
              <w:rPr>
                <w:sz w:val="18"/>
                <w:szCs w:val="18"/>
              </w:rPr>
            </w:pPr>
          </w:p>
        </w:tc>
        <w:tc>
          <w:tcPr>
            <w:tcW w:w="453" w:type="pct"/>
            <w:vMerge w:val="restart"/>
            <w:shd w:val="clear" w:color="auto" w:fill="auto"/>
            <w:vAlign w:val="center"/>
          </w:tcPr>
          <w:p w14:paraId="7C49EA48">
            <w:pPr>
              <w:spacing w:line="276" w:lineRule="auto"/>
              <w:jc w:val="center"/>
              <w:rPr>
                <w:sz w:val="18"/>
                <w:szCs w:val="18"/>
              </w:rPr>
            </w:pPr>
            <w:r>
              <w:rPr>
                <w:sz w:val="18"/>
                <w:szCs w:val="18"/>
              </w:rPr>
              <w:t>泥浆护壁（回旋钻）</w:t>
            </w:r>
          </w:p>
        </w:tc>
        <w:tc>
          <w:tcPr>
            <w:tcW w:w="568" w:type="pct"/>
            <w:vMerge w:val="restart"/>
            <w:shd w:val="clear" w:color="auto" w:fill="auto"/>
            <w:vAlign w:val="center"/>
          </w:tcPr>
          <w:p w14:paraId="5428C274">
            <w:pPr>
              <w:spacing w:line="276" w:lineRule="auto"/>
              <w:jc w:val="center"/>
              <w:rPr>
                <w:sz w:val="18"/>
                <w:szCs w:val="18"/>
              </w:rPr>
            </w:pPr>
            <w:r>
              <w:rPr>
                <w:sz w:val="18"/>
                <w:szCs w:val="18"/>
              </w:rPr>
              <w:t>≤800mm</w:t>
            </w:r>
          </w:p>
        </w:tc>
        <w:tc>
          <w:tcPr>
            <w:tcW w:w="569" w:type="pct"/>
            <w:vMerge w:val="restart"/>
            <w:vAlign w:val="center"/>
          </w:tcPr>
          <w:p w14:paraId="3A23213F">
            <w:pPr>
              <w:spacing w:line="276" w:lineRule="auto"/>
              <w:jc w:val="center"/>
              <w:rPr>
                <w:sz w:val="18"/>
                <w:szCs w:val="18"/>
              </w:rPr>
            </w:pPr>
            <w:r>
              <w:rPr>
                <w:sz w:val="18"/>
                <w:szCs w:val="18"/>
              </w:rPr>
              <w:t>406.84</w:t>
            </w:r>
          </w:p>
        </w:tc>
        <w:tc>
          <w:tcPr>
            <w:tcW w:w="598" w:type="pct"/>
            <w:vMerge w:val="restart"/>
            <w:shd w:val="clear" w:color="auto" w:fill="auto"/>
            <w:vAlign w:val="center"/>
          </w:tcPr>
          <w:p w14:paraId="510C3EE4">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restart"/>
            <w:shd w:val="clear" w:color="auto" w:fill="auto"/>
            <w:vAlign w:val="center"/>
          </w:tcPr>
          <w:p w14:paraId="66940F42">
            <w:pPr>
              <w:spacing w:line="276" w:lineRule="auto"/>
              <w:jc w:val="center"/>
              <w:rPr>
                <w:sz w:val="18"/>
                <w:szCs w:val="18"/>
              </w:rPr>
            </w:pPr>
            <w:r>
              <w:rPr>
                <w:sz w:val="18"/>
                <w:szCs w:val="18"/>
              </w:rPr>
              <w:t>1.30~1.60（岩层）</w:t>
            </w:r>
          </w:p>
        </w:tc>
        <w:tc>
          <w:tcPr>
            <w:tcW w:w="977" w:type="pct"/>
            <w:vMerge w:val="restart"/>
            <w:shd w:val="clear" w:color="auto" w:fill="auto"/>
            <w:vAlign w:val="center"/>
          </w:tcPr>
          <w:p w14:paraId="253F03F1">
            <w:pPr>
              <w:spacing w:line="276" w:lineRule="auto"/>
              <w:jc w:val="center"/>
              <w:rPr>
                <w:sz w:val="18"/>
                <w:szCs w:val="18"/>
              </w:rPr>
            </w:pPr>
            <w:r>
              <w:rPr>
                <w:sz w:val="18"/>
                <w:szCs w:val="18"/>
              </w:rPr>
              <w:t>钢筋另计</w:t>
            </w:r>
          </w:p>
        </w:tc>
      </w:tr>
      <w:tr w14:paraId="49E1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01FC5049">
            <w:pPr>
              <w:spacing w:line="276" w:lineRule="auto"/>
              <w:jc w:val="center"/>
              <w:rPr>
                <w:sz w:val="18"/>
                <w:szCs w:val="18"/>
              </w:rPr>
            </w:pPr>
            <w:r>
              <w:rPr>
                <w:sz w:val="18"/>
                <w:szCs w:val="18"/>
              </w:rPr>
              <w:t>16</w:t>
            </w:r>
          </w:p>
        </w:tc>
        <w:tc>
          <w:tcPr>
            <w:tcW w:w="454" w:type="pct"/>
            <w:vMerge w:val="continue"/>
            <w:shd w:val="clear" w:color="auto" w:fill="auto"/>
            <w:vAlign w:val="center"/>
          </w:tcPr>
          <w:p w14:paraId="025DADD9">
            <w:pPr>
              <w:spacing w:line="276" w:lineRule="auto"/>
              <w:jc w:val="center"/>
              <w:rPr>
                <w:sz w:val="18"/>
                <w:szCs w:val="18"/>
              </w:rPr>
            </w:pPr>
          </w:p>
        </w:tc>
        <w:tc>
          <w:tcPr>
            <w:tcW w:w="569" w:type="pct"/>
            <w:vMerge w:val="continue"/>
            <w:vAlign w:val="center"/>
          </w:tcPr>
          <w:p w14:paraId="028141CD">
            <w:pPr>
              <w:spacing w:line="276" w:lineRule="auto"/>
              <w:jc w:val="center"/>
              <w:rPr>
                <w:sz w:val="18"/>
                <w:szCs w:val="18"/>
              </w:rPr>
            </w:pPr>
          </w:p>
        </w:tc>
        <w:tc>
          <w:tcPr>
            <w:tcW w:w="453" w:type="pct"/>
            <w:vMerge w:val="continue"/>
            <w:shd w:val="clear" w:color="auto" w:fill="auto"/>
            <w:vAlign w:val="center"/>
          </w:tcPr>
          <w:p w14:paraId="667644E8">
            <w:pPr>
              <w:spacing w:line="276" w:lineRule="auto"/>
              <w:rPr>
                <w:sz w:val="18"/>
                <w:szCs w:val="18"/>
              </w:rPr>
            </w:pPr>
          </w:p>
        </w:tc>
        <w:tc>
          <w:tcPr>
            <w:tcW w:w="568" w:type="pct"/>
            <w:vMerge w:val="continue"/>
            <w:vAlign w:val="center"/>
          </w:tcPr>
          <w:p w14:paraId="777A4F23">
            <w:pPr>
              <w:spacing w:line="276" w:lineRule="auto"/>
              <w:jc w:val="center"/>
              <w:rPr>
                <w:sz w:val="18"/>
                <w:szCs w:val="18"/>
              </w:rPr>
            </w:pPr>
          </w:p>
        </w:tc>
        <w:tc>
          <w:tcPr>
            <w:tcW w:w="569" w:type="pct"/>
            <w:vMerge w:val="continue"/>
            <w:vAlign w:val="center"/>
          </w:tcPr>
          <w:p w14:paraId="434015EA">
            <w:pPr>
              <w:spacing w:line="276" w:lineRule="auto"/>
              <w:jc w:val="center"/>
              <w:rPr>
                <w:sz w:val="18"/>
                <w:szCs w:val="18"/>
              </w:rPr>
            </w:pPr>
          </w:p>
        </w:tc>
        <w:tc>
          <w:tcPr>
            <w:tcW w:w="598" w:type="pct"/>
            <w:vMerge w:val="continue"/>
            <w:vAlign w:val="center"/>
          </w:tcPr>
          <w:p w14:paraId="6E847E6B">
            <w:pPr>
              <w:spacing w:line="276" w:lineRule="auto"/>
              <w:jc w:val="center"/>
              <w:rPr>
                <w:sz w:val="18"/>
                <w:szCs w:val="18"/>
              </w:rPr>
            </w:pPr>
          </w:p>
        </w:tc>
        <w:tc>
          <w:tcPr>
            <w:tcW w:w="501" w:type="pct"/>
            <w:vMerge w:val="continue"/>
            <w:shd w:val="clear" w:color="auto" w:fill="auto"/>
            <w:vAlign w:val="center"/>
          </w:tcPr>
          <w:p w14:paraId="6476B7A0">
            <w:pPr>
              <w:spacing w:line="276" w:lineRule="auto"/>
              <w:jc w:val="center"/>
              <w:rPr>
                <w:sz w:val="18"/>
                <w:szCs w:val="18"/>
              </w:rPr>
            </w:pPr>
          </w:p>
        </w:tc>
        <w:tc>
          <w:tcPr>
            <w:tcW w:w="977" w:type="pct"/>
            <w:vMerge w:val="continue"/>
            <w:vAlign w:val="center"/>
          </w:tcPr>
          <w:p w14:paraId="1416C6A9">
            <w:pPr>
              <w:spacing w:line="276" w:lineRule="auto"/>
              <w:jc w:val="center"/>
              <w:rPr>
                <w:sz w:val="18"/>
                <w:szCs w:val="18"/>
              </w:rPr>
            </w:pPr>
          </w:p>
        </w:tc>
      </w:tr>
      <w:tr w14:paraId="001D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61564002">
            <w:pPr>
              <w:spacing w:line="276" w:lineRule="auto"/>
              <w:jc w:val="center"/>
              <w:rPr>
                <w:sz w:val="18"/>
                <w:szCs w:val="18"/>
              </w:rPr>
            </w:pPr>
            <w:r>
              <w:rPr>
                <w:sz w:val="18"/>
                <w:szCs w:val="18"/>
              </w:rPr>
              <w:t>17</w:t>
            </w:r>
          </w:p>
        </w:tc>
        <w:tc>
          <w:tcPr>
            <w:tcW w:w="454" w:type="pct"/>
            <w:vMerge w:val="restart"/>
            <w:shd w:val="clear" w:color="auto" w:fill="auto"/>
            <w:vAlign w:val="center"/>
          </w:tcPr>
          <w:p w14:paraId="59F39361">
            <w:pPr>
              <w:spacing w:line="276" w:lineRule="auto"/>
              <w:jc w:val="center"/>
              <w:rPr>
                <w:sz w:val="18"/>
                <w:szCs w:val="18"/>
              </w:rPr>
            </w:pPr>
            <w:r>
              <w:rPr>
                <w:sz w:val="18"/>
                <w:szCs w:val="18"/>
              </w:rPr>
              <w:t>3-23</w:t>
            </w:r>
          </w:p>
          <w:p w14:paraId="6F47716C">
            <w:pPr>
              <w:spacing w:line="276" w:lineRule="auto"/>
              <w:jc w:val="center"/>
              <w:rPr>
                <w:sz w:val="18"/>
                <w:szCs w:val="18"/>
              </w:rPr>
            </w:pPr>
            <w:r>
              <w:rPr>
                <w:sz w:val="18"/>
                <w:szCs w:val="18"/>
              </w:rPr>
              <w:t>3-24</w:t>
            </w:r>
          </w:p>
        </w:tc>
        <w:tc>
          <w:tcPr>
            <w:tcW w:w="569" w:type="pct"/>
            <w:vMerge w:val="continue"/>
            <w:vAlign w:val="center"/>
          </w:tcPr>
          <w:p w14:paraId="4F145632">
            <w:pPr>
              <w:spacing w:line="276" w:lineRule="auto"/>
              <w:jc w:val="center"/>
              <w:rPr>
                <w:sz w:val="18"/>
                <w:szCs w:val="18"/>
              </w:rPr>
            </w:pPr>
          </w:p>
        </w:tc>
        <w:tc>
          <w:tcPr>
            <w:tcW w:w="453" w:type="pct"/>
            <w:vMerge w:val="continue"/>
            <w:shd w:val="clear" w:color="auto" w:fill="auto"/>
            <w:vAlign w:val="center"/>
          </w:tcPr>
          <w:p w14:paraId="501A8215">
            <w:pPr>
              <w:spacing w:line="276" w:lineRule="auto"/>
              <w:jc w:val="center"/>
              <w:rPr>
                <w:sz w:val="18"/>
                <w:szCs w:val="18"/>
              </w:rPr>
            </w:pPr>
          </w:p>
        </w:tc>
        <w:tc>
          <w:tcPr>
            <w:tcW w:w="568" w:type="pct"/>
            <w:vMerge w:val="restart"/>
            <w:shd w:val="clear" w:color="auto" w:fill="auto"/>
            <w:vAlign w:val="center"/>
          </w:tcPr>
          <w:p w14:paraId="47C225F6">
            <w:pPr>
              <w:spacing w:line="276" w:lineRule="auto"/>
              <w:jc w:val="center"/>
              <w:rPr>
                <w:sz w:val="18"/>
                <w:szCs w:val="18"/>
              </w:rPr>
            </w:pPr>
            <w:r>
              <w:rPr>
                <w:sz w:val="18"/>
                <w:szCs w:val="18"/>
              </w:rPr>
              <w:t>&gt;800mm</w:t>
            </w:r>
          </w:p>
        </w:tc>
        <w:tc>
          <w:tcPr>
            <w:tcW w:w="569" w:type="pct"/>
            <w:vMerge w:val="restart"/>
            <w:vAlign w:val="center"/>
          </w:tcPr>
          <w:p w14:paraId="06DC6727">
            <w:pPr>
              <w:spacing w:line="276" w:lineRule="auto"/>
              <w:jc w:val="center"/>
              <w:rPr>
                <w:sz w:val="18"/>
                <w:szCs w:val="18"/>
              </w:rPr>
            </w:pPr>
            <w:r>
              <w:rPr>
                <w:sz w:val="18"/>
                <w:szCs w:val="18"/>
              </w:rPr>
              <w:t>402.34</w:t>
            </w:r>
          </w:p>
        </w:tc>
        <w:tc>
          <w:tcPr>
            <w:tcW w:w="598" w:type="pct"/>
            <w:vMerge w:val="restart"/>
            <w:shd w:val="clear" w:color="auto" w:fill="auto"/>
            <w:vAlign w:val="center"/>
          </w:tcPr>
          <w:p w14:paraId="470C098E">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continue"/>
            <w:shd w:val="clear" w:color="auto" w:fill="auto"/>
            <w:vAlign w:val="center"/>
          </w:tcPr>
          <w:p w14:paraId="671B594A">
            <w:pPr>
              <w:spacing w:line="276" w:lineRule="auto"/>
              <w:jc w:val="center"/>
              <w:rPr>
                <w:sz w:val="18"/>
                <w:szCs w:val="18"/>
              </w:rPr>
            </w:pPr>
          </w:p>
        </w:tc>
        <w:tc>
          <w:tcPr>
            <w:tcW w:w="977" w:type="pct"/>
            <w:vMerge w:val="continue"/>
            <w:vAlign w:val="center"/>
          </w:tcPr>
          <w:p w14:paraId="0D041EF8">
            <w:pPr>
              <w:spacing w:line="276" w:lineRule="auto"/>
              <w:jc w:val="center"/>
              <w:rPr>
                <w:sz w:val="18"/>
                <w:szCs w:val="18"/>
              </w:rPr>
            </w:pPr>
          </w:p>
        </w:tc>
      </w:tr>
      <w:tr w14:paraId="005D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06BC17D3">
            <w:pPr>
              <w:spacing w:line="276" w:lineRule="auto"/>
              <w:jc w:val="center"/>
              <w:rPr>
                <w:sz w:val="18"/>
                <w:szCs w:val="18"/>
              </w:rPr>
            </w:pPr>
            <w:r>
              <w:rPr>
                <w:sz w:val="18"/>
                <w:szCs w:val="18"/>
              </w:rPr>
              <w:t>18</w:t>
            </w:r>
          </w:p>
        </w:tc>
        <w:tc>
          <w:tcPr>
            <w:tcW w:w="454" w:type="pct"/>
            <w:vMerge w:val="continue"/>
            <w:shd w:val="clear" w:color="auto" w:fill="auto"/>
            <w:vAlign w:val="center"/>
          </w:tcPr>
          <w:p w14:paraId="61195C1B">
            <w:pPr>
              <w:spacing w:line="276" w:lineRule="auto"/>
              <w:jc w:val="center"/>
              <w:rPr>
                <w:sz w:val="18"/>
                <w:szCs w:val="18"/>
              </w:rPr>
            </w:pPr>
          </w:p>
        </w:tc>
        <w:tc>
          <w:tcPr>
            <w:tcW w:w="569" w:type="pct"/>
            <w:vMerge w:val="continue"/>
            <w:vAlign w:val="center"/>
          </w:tcPr>
          <w:p w14:paraId="3B64BABA">
            <w:pPr>
              <w:spacing w:line="276" w:lineRule="auto"/>
              <w:jc w:val="center"/>
              <w:rPr>
                <w:sz w:val="18"/>
                <w:szCs w:val="18"/>
              </w:rPr>
            </w:pPr>
          </w:p>
        </w:tc>
        <w:tc>
          <w:tcPr>
            <w:tcW w:w="453" w:type="pct"/>
            <w:vMerge w:val="continue"/>
            <w:shd w:val="clear" w:color="auto" w:fill="auto"/>
            <w:vAlign w:val="center"/>
          </w:tcPr>
          <w:p w14:paraId="7C1E2ECC">
            <w:pPr>
              <w:spacing w:line="276" w:lineRule="auto"/>
              <w:jc w:val="center"/>
              <w:rPr>
                <w:sz w:val="18"/>
                <w:szCs w:val="18"/>
              </w:rPr>
            </w:pPr>
          </w:p>
        </w:tc>
        <w:tc>
          <w:tcPr>
            <w:tcW w:w="568" w:type="pct"/>
            <w:vMerge w:val="continue"/>
            <w:vAlign w:val="center"/>
          </w:tcPr>
          <w:p w14:paraId="471BCCFB">
            <w:pPr>
              <w:spacing w:line="276" w:lineRule="auto"/>
              <w:jc w:val="center"/>
              <w:rPr>
                <w:sz w:val="18"/>
                <w:szCs w:val="18"/>
              </w:rPr>
            </w:pPr>
          </w:p>
        </w:tc>
        <w:tc>
          <w:tcPr>
            <w:tcW w:w="569" w:type="pct"/>
            <w:vMerge w:val="continue"/>
            <w:vAlign w:val="center"/>
          </w:tcPr>
          <w:p w14:paraId="4ED160AF">
            <w:pPr>
              <w:spacing w:line="276" w:lineRule="auto"/>
              <w:jc w:val="center"/>
              <w:rPr>
                <w:sz w:val="18"/>
                <w:szCs w:val="18"/>
              </w:rPr>
            </w:pPr>
          </w:p>
        </w:tc>
        <w:tc>
          <w:tcPr>
            <w:tcW w:w="598" w:type="pct"/>
            <w:vMerge w:val="continue"/>
            <w:vAlign w:val="center"/>
          </w:tcPr>
          <w:p w14:paraId="4394F66B">
            <w:pPr>
              <w:spacing w:line="276" w:lineRule="auto"/>
              <w:jc w:val="center"/>
              <w:rPr>
                <w:sz w:val="18"/>
                <w:szCs w:val="18"/>
              </w:rPr>
            </w:pPr>
          </w:p>
        </w:tc>
        <w:tc>
          <w:tcPr>
            <w:tcW w:w="501" w:type="pct"/>
            <w:vMerge w:val="continue"/>
            <w:shd w:val="clear" w:color="auto" w:fill="auto"/>
            <w:vAlign w:val="center"/>
          </w:tcPr>
          <w:p w14:paraId="45E73235">
            <w:pPr>
              <w:spacing w:line="276" w:lineRule="auto"/>
              <w:jc w:val="center"/>
              <w:rPr>
                <w:sz w:val="18"/>
                <w:szCs w:val="18"/>
              </w:rPr>
            </w:pPr>
          </w:p>
        </w:tc>
        <w:tc>
          <w:tcPr>
            <w:tcW w:w="977" w:type="pct"/>
            <w:vMerge w:val="continue"/>
            <w:vAlign w:val="center"/>
          </w:tcPr>
          <w:p w14:paraId="41477ACF">
            <w:pPr>
              <w:spacing w:line="276" w:lineRule="auto"/>
              <w:jc w:val="center"/>
              <w:rPr>
                <w:sz w:val="18"/>
                <w:szCs w:val="18"/>
              </w:rPr>
            </w:pPr>
          </w:p>
        </w:tc>
      </w:tr>
      <w:tr w14:paraId="0A61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373F3362">
            <w:pPr>
              <w:spacing w:line="276" w:lineRule="auto"/>
              <w:jc w:val="center"/>
              <w:rPr>
                <w:sz w:val="18"/>
                <w:szCs w:val="18"/>
              </w:rPr>
            </w:pPr>
            <w:r>
              <w:rPr>
                <w:sz w:val="18"/>
                <w:szCs w:val="18"/>
              </w:rPr>
              <w:t>19</w:t>
            </w:r>
          </w:p>
        </w:tc>
        <w:tc>
          <w:tcPr>
            <w:tcW w:w="454" w:type="pct"/>
            <w:vMerge w:val="restart"/>
            <w:shd w:val="clear" w:color="auto" w:fill="auto"/>
            <w:vAlign w:val="center"/>
          </w:tcPr>
          <w:p w14:paraId="7C2AB6F4">
            <w:pPr>
              <w:spacing w:line="276" w:lineRule="auto"/>
              <w:jc w:val="center"/>
              <w:rPr>
                <w:sz w:val="18"/>
                <w:szCs w:val="18"/>
              </w:rPr>
            </w:pPr>
            <w:r>
              <w:rPr>
                <w:sz w:val="18"/>
                <w:szCs w:val="18"/>
              </w:rPr>
              <w:t>5-120</w:t>
            </w:r>
          </w:p>
          <w:p w14:paraId="5E8A7776">
            <w:pPr>
              <w:spacing w:line="276" w:lineRule="auto"/>
              <w:jc w:val="center"/>
              <w:rPr>
                <w:sz w:val="18"/>
                <w:szCs w:val="18"/>
              </w:rPr>
            </w:pPr>
            <w:r>
              <w:rPr>
                <w:sz w:val="18"/>
                <w:szCs w:val="18"/>
              </w:rPr>
              <w:t>5-121</w:t>
            </w:r>
          </w:p>
        </w:tc>
        <w:tc>
          <w:tcPr>
            <w:tcW w:w="569" w:type="pct"/>
            <w:vMerge w:val="continue"/>
            <w:vAlign w:val="center"/>
          </w:tcPr>
          <w:p w14:paraId="544CBB0F">
            <w:pPr>
              <w:spacing w:line="276" w:lineRule="auto"/>
              <w:jc w:val="center"/>
              <w:rPr>
                <w:sz w:val="18"/>
                <w:szCs w:val="18"/>
              </w:rPr>
            </w:pPr>
          </w:p>
        </w:tc>
        <w:tc>
          <w:tcPr>
            <w:tcW w:w="453" w:type="pct"/>
            <w:vMerge w:val="restart"/>
            <w:shd w:val="clear" w:color="auto" w:fill="auto"/>
            <w:vAlign w:val="center"/>
          </w:tcPr>
          <w:p w14:paraId="015A468F">
            <w:pPr>
              <w:spacing w:line="276" w:lineRule="auto"/>
              <w:jc w:val="center"/>
              <w:rPr>
                <w:sz w:val="18"/>
                <w:szCs w:val="18"/>
              </w:rPr>
            </w:pPr>
            <w:r>
              <w:rPr>
                <w:sz w:val="18"/>
                <w:szCs w:val="18"/>
              </w:rPr>
              <w:t>钢筋笼</w:t>
            </w:r>
          </w:p>
        </w:tc>
        <w:tc>
          <w:tcPr>
            <w:tcW w:w="568" w:type="pct"/>
            <w:vMerge w:val="restart"/>
            <w:shd w:val="clear" w:color="auto" w:fill="auto"/>
            <w:vAlign w:val="center"/>
          </w:tcPr>
          <w:p w14:paraId="787423E6">
            <w:pPr>
              <w:spacing w:line="276" w:lineRule="auto"/>
              <w:jc w:val="center"/>
              <w:rPr>
                <w:sz w:val="18"/>
                <w:szCs w:val="18"/>
              </w:rPr>
            </w:pPr>
            <w:r>
              <w:rPr>
                <w:sz w:val="18"/>
                <w:szCs w:val="18"/>
              </w:rPr>
              <w:t>≤15m</w:t>
            </w:r>
          </w:p>
        </w:tc>
        <w:tc>
          <w:tcPr>
            <w:tcW w:w="569" w:type="pct"/>
            <w:vMerge w:val="restart"/>
            <w:vAlign w:val="center"/>
          </w:tcPr>
          <w:p w14:paraId="5D143D50">
            <w:pPr>
              <w:spacing w:line="276" w:lineRule="auto"/>
              <w:jc w:val="center"/>
              <w:rPr>
                <w:sz w:val="18"/>
                <w:szCs w:val="18"/>
              </w:rPr>
            </w:pPr>
            <w:r>
              <w:rPr>
                <w:sz w:val="18"/>
                <w:szCs w:val="18"/>
              </w:rPr>
              <w:t>2500.04</w:t>
            </w:r>
          </w:p>
        </w:tc>
        <w:tc>
          <w:tcPr>
            <w:tcW w:w="598" w:type="pct"/>
            <w:vMerge w:val="restart"/>
            <w:shd w:val="clear" w:color="auto" w:fill="auto"/>
            <w:vAlign w:val="center"/>
          </w:tcPr>
          <w:p w14:paraId="6A6A0967">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restart"/>
            <w:shd w:val="clear" w:color="auto" w:fill="auto"/>
            <w:vAlign w:val="center"/>
          </w:tcPr>
          <w:p w14:paraId="4974B5A3">
            <w:pPr>
              <w:spacing w:line="276" w:lineRule="auto"/>
              <w:jc w:val="center"/>
              <w:rPr>
                <w:sz w:val="18"/>
                <w:szCs w:val="18"/>
              </w:rPr>
            </w:pPr>
            <w:r>
              <w:rPr>
                <w:sz w:val="18"/>
                <w:szCs w:val="18"/>
              </w:rPr>
              <w:t>1.00</w:t>
            </w:r>
          </w:p>
        </w:tc>
        <w:tc>
          <w:tcPr>
            <w:tcW w:w="977" w:type="pct"/>
            <w:vMerge w:val="restart"/>
            <w:shd w:val="clear" w:color="auto" w:fill="auto"/>
            <w:vAlign w:val="center"/>
          </w:tcPr>
          <w:p w14:paraId="2B590340">
            <w:pPr>
              <w:spacing w:line="276" w:lineRule="auto"/>
              <w:jc w:val="center"/>
              <w:rPr>
                <w:sz w:val="18"/>
                <w:szCs w:val="18"/>
              </w:rPr>
            </w:pPr>
          </w:p>
        </w:tc>
      </w:tr>
      <w:tr w14:paraId="1E19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21CB75E7">
            <w:pPr>
              <w:spacing w:line="276" w:lineRule="auto"/>
              <w:jc w:val="center"/>
              <w:rPr>
                <w:sz w:val="18"/>
                <w:szCs w:val="18"/>
              </w:rPr>
            </w:pPr>
            <w:r>
              <w:rPr>
                <w:sz w:val="18"/>
                <w:szCs w:val="18"/>
              </w:rPr>
              <w:t>20</w:t>
            </w:r>
          </w:p>
        </w:tc>
        <w:tc>
          <w:tcPr>
            <w:tcW w:w="454" w:type="pct"/>
            <w:vMerge w:val="continue"/>
            <w:shd w:val="clear" w:color="auto" w:fill="auto"/>
            <w:vAlign w:val="center"/>
          </w:tcPr>
          <w:p w14:paraId="401B017E">
            <w:pPr>
              <w:spacing w:line="276" w:lineRule="auto"/>
              <w:jc w:val="center"/>
              <w:rPr>
                <w:sz w:val="18"/>
                <w:szCs w:val="18"/>
              </w:rPr>
            </w:pPr>
          </w:p>
        </w:tc>
        <w:tc>
          <w:tcPr>
            <w:tcW w:w="569" w:type="pct"/>
            <w:vMerge w:val="continue"/>
            <w:vAlign w:val="center"/>
          </w:tcPr>
          <w:p w14:paraId="59C851A5">
            <w:pPr>
              <w:spacing w:line="276" w:lineRule="auto"/>
              <w:jc w:val="center"/>
              <w:rPr>
                <w:sz w:val="18"/>
                <w:szCs w:val="18"/>
              </w:rPr>
            </w:pPr>
          </w:p>
        </w:tc>
        <w:tc>
          <w:tcPr>
            <w:tcW w:w="453" w:type="pct"/>
            <w:vMerge w:val="continue"/>
            <w:vAlign w:val="center"/>
          </w:tcPr>
          <w:p w14:paraId="6D9791E3">
            <w:pPr>
              <w:spacing w:line="276" w:lineRule="auto"/>
              <w:jc w:val="center"/>
              <w:rPr>
                <w:sz w:val="18"/>
                <w:szCs w:val="18"/>
              </w:rPr>
            </w:pPr>
          </w:p>
        </w:tc>
        <w:tc>
          <w:tcPr>
            <w:tcW w:w="568" w:type="pct"/>
            <w:vMerge w:val="continue"/>
            <w:vAlign w:val="center"/>
          </w:tcPr>
          <w:p w14:paraId="4806FACE">
            <w:pPr>
              <w:spacing w:line="276" w:lineRule="auto"/>
              <w:jc w:val="center"/>
              <w:rPr>
                <w:sz w:val="18"/>
                <w:szCs w:val="18"/>
              </w:rPr>
            </w:pPr>
          </w:p>
        </w:tc>
        <w:tc>
          <w:tcPr>
            <w:tcW w:w="569" w:type="pct"/>
            <w:vMerge w:val="continue"/>
            <w:vAlign w:val="center"/>
          </w:tcPr>
          <w:p w14:paraId="6D94CD0A">
            <w:pPr>
              <w:spacing w:line="276" w:lineRule="auto"/>
              <w:jc w:val="center"/>
              <w:rPr>
                <w:sz w:val="18"/>
                <w:szCs w:val="18"/>
              </w:rPr>
            </w:pPr>
          </w:p>
        </w:tc>
        <w:tc>
          <w:tcPr>
            <w:tcW w:w="598" w:type="pct"/>
            <w:vMerge w:val="continue"/>
            <w:vAlign w:val="center"/>
          </w:tcPr>
          <w:p w14:paraId="224BFF39">
            <w:pPr>
              <w:spacing w:line="276" w:lineRule="auto"/>
              <w:jc w:val="center"/>
              <w:rPr>
                <w:sz w:val="18"/>
                <w:szCs w:val="18"/>
              </w:rPr>
            </w:pPr>
          </w:p>
        </w:tc>
        <w:tc>
          <w:tcPr>
            <w:tcW w:w="501" w:type="pct"/>
            <w:vMerge w:val="continue"/>
            <w:vAlign w:val="center"/>
          </w:tcPr>
          <w:p w14:paraId="631E578E">
            <w:pPr>
              <w:spacing w:line="276" w:lineRule="auto"/>
              <w:jc w:val="center"/>
              <w:rPr>
                <w:sz w:val="18"/>
                <w:szCs w:val="18"/>
              </w:rPr>
            </w:pPr>
          </w:p>
        </w:tc>
        <w:tc>
          <w:tcPr>
            <w:tcW w:w="977" w:type="pct"/>
            <w:vMerge w:val="continue"/>
            <w:vAlign w:val="center"/>
          </w:tcPr>
          <w:p w14:paraId="73EBA584">
            <w:pPr>
              <w:spacing w:line="276" w:lineRule="auto"/>
              <w:jc w:val="center"/>
              <w:rPr>
                <w:sz w:val="18"/>
                <w:szCs w:val="18"/>
              </w:rPr>
            </w:pPr>
          </w:p>
        </w:tc>
      </w:tr>
      <w:tr w14:paraId="3D15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2EAA6D7B">
            <w:pPr>
              <w:spacing w:line="276" w:lineRule="auto"/>
              <w:jc w:val="center"/>
              <w:rPr>
                <w:sz w:val="18"/>
                <w:szCs w:val="18"/>
              </w:rPr>
            </w:pPr>
            <w:r>
              <w:rPr>
                <w:sz w:val="18"/>
                <w:szCs w:val="18"/>
              </w:rPr>
              <w:t>21</w:t>
            </w:r>
          </w:p>
        </w:tc>
        <w:tc>
          <w:tcPr>
            <w:tcW w:w="454" w:type="pct"/>
            <w:vMerge w:val="restart"/>
            <w:shd w:val="clear" w:color="auto" w:fill="auto"/>
            <w:vAlign w:val="center"/>
          </w:tcPr>
          <w:p w14:paraId="73860F28">
            <w:pPr>
              <w:spacing w:line="276" w:lineRule="auto"/>
              <w:jc w:val="center"/>
              <w:rPr>
                <w:sz w:val="18"/>
                <w:szCs w:val="18"/>
              </w:rPr>
            </w:pPr>
            <w:r>
              <w:rPr>
                <w:sz w:val="18"/>
                <w:szCs w:val="18"/>
              </w:rPr>
              <w:t>5-120</w:t>
            </w:r>
          </w:p>
          <w:p w14:paraId="0F9BB11D">
            <w:pPr>
              <w:spacing w:line="276" w:lineRule="auto"/>
              <w:jc w:val="center"/>
              <w:rPr>
                <w:sz w:val="18"/>
                <w:szCs w:val="18"/>
              </w:rPr>
            </w:pPr>
            <w:r>
              <w:rPr>
                <w:sz w:val="18"/>
                <w:szCs w:val="18"/>
              </w:rPr>
              <w:t>5-122</w:t>
            </w:r>
          </w:p>
        </w:tc>
        <w:tc>
          <w:tcPr>
            <w:tcW w:w="569" w:type="pct"/>
            <w:vMerge w:val="continue"/>
            <w:vAlign w:val="center"/>
          </w:tcPr>
          <w:p w14:paraId="0B79F146">
            <w:pPr>
              <w:spacing w:line="276" w:lineRule="auto"/>
              <w:jc w:val="center"/>
              <w:rPr>
                <w:sz w:val="18"/>
                <w:szCs w:val="18"/>
              </w:rPr>
            </w:pPr>
          </w:p>
        </w:tc>
        <w:tc>
          <w:tcPr>
            <w:tcW w:w="453" w:type="pct"/>
            <w:vMerge w:val="continue"/>
            <w:vAlign w:val="center"/>
          </w:tcPr>
          <w:p w14:paraId="563CC286">
            <w:pPr>
              <w:spacing w:line="276" w:lineRule="auto"/>
              <w:jc w:val="center"/>
              <w:rPr>
                <w:sz w:val="18"/>
                <w:szCs w:val="18"/>
              </w:rPr>
            </w:pPr>
          </w:p>
        </w:tc>
        <w:tc>
          <w:tcPr>
            <w:tcW w:w="568" w:type="pct"/>
            <w:vMerge w:val="restart"/>
            <w:shd w:val="clear" w:color="auto" w:fill="auto"/>
            <w:vAlign w:val="center"/>
          </w:tcPr>
          <w:p w14:paraId="4E7E8AA0">
            <w:pPr>
              <w:spacing w:line="276" w:lineRule="auto"/>
              <w:jc w:val="center"/>
              <w:rPr>
                <w:sz w:val="18"/>
                <w:szCs w:val="18"/>
              </w:rPr>
            </w:pPr>
            <w:r>
              <w:rPr>
                <w:sz w:val="18"/>
                <w:szCs w:val="18"/>
              </w:rPr>
              <w:t>≤25m</w:t>
            </w:r>
          </w:p>
        </w:tc>
        <w:tc>
          <w:tcPr>
            <w:tcW w:w="569" w:type="pct"/>
            <w:vMerge w:val="restart"/>
            <w:vAlign w:val="center"/>
          </w:tcPr>
          <w:p w14:paraId="2A93246B">
            <w:pPr>
              <w:spacing w:line="276" w:lineRule="auto"/>
              <w:jc w:val="center"/>
              <w:rPr>
                <w:sz w:val="18"/>
                <w:szCs w:val="18"/>
              </w:rPr>
            </w:pPr>
            <w:r>
              <w:rPr>
                <w:sz w:val="18"/>
                <w:szCs w:val="18"/>
              </w:rPr>
              <w:t>2507.14</w:t>
            </w:r>
          </w:p>
        </w:tc>
        <w:tc>
          <w:tcPr>
            <w:tcW w:w="598" w:type="pct"/>
            <w:vMerge w:val="restart"/>
            <w:shd w:val="clear" w:color="auto" w:fill="auto"/>
            <w:vAlign w:val="center"/>
          </w:tcPr>
          <w:p w14:paraId="5F889A78">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continue"/>
            <w:vAlign w:val="center"/>
          </w:tcPr>
          <w:p w14:paraId="78CFCB7A">
            <w:pPr>
              <w:spacing w:line="276" w:lineRule="auto"/>
              <w:jc w:val="center"/>
              <w:rPr>
                <w:sz w:val="18"/>
                <w:szCs w:val="18"/>
              </w:rPr>
            </w:pPr>
          </w:p>
        </w:tc>
        <w:tc>
          <w:tcPr>
            <w:tcW w:w="977" w:type="pct"/>
            <w:vMerge w:val="continue"/>
            <w:shd w:val="clear" w:color="auto" w:fill="auto"/>
            <w:vAlign w:val="center"/>
          </w:tcPr>
          <w:p w14:paraId="4776AAD1">
            <w:pPr>
              <w:spacing w:line="276" w:lineRule="auto"/>
              <w:jc w:val="center"/>
              <w:rPr>
                <w:sz w:val="18"/>
                <w:szCs w:val="18"/>
              </w:rPr>
            </w:pPr>
          </w:p>
        </w:tc>
      </w:tr>
      <w:tr w14:paraId="234D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4DB06FF8">
            <w:pPr>
              <w:spacing w:line="276" w:lineRule="auto"/>
              <w:jc w:val="center"/>
              <w:rPr>
                <w:sz w:val="18"/>
                <w:szCs w:val="18"/>
              </w:rPr>
            </w:pPr>
            <w:r>
              <w:rPr>
                <w:sz w:val="18"/>
                <w:szCs w:val="18"/>
              </w:rPr>
              <w:t>22</w:t>
            </w:r>
          </w:p>
        </w:tc>
        <w:tc>
          <w:tcPr>
            <w:tcW w:w="454" w:type="pct"/>
            <w:vMerge w:val="continue"/>
            <w:shd w:val="clear" w:color="auto" w:fill="auto"/>
            <w:vAlign w:val="center"/>
          </w:tcPr>
          <w:p w14:paraId="71C3D366">
            <w:pPr>
              <w:spacing w:line="276" w:lineRule="auto"/>
              <w:jc w:val="center"/>
              <w:rPr>
                <w:sz w:val="18"/>
                <w:szCs w:val="18"/>
              </w:rPr>
            </w:pPr>
          </w:p>
        </w:tc>
        <w:tc>
          <w:tcPr>
            <w:tcW w:w="569" w:type="pct"/>
            <w:vMerge w:val="continue"/>
            <w:vAlign w:val="center"/>
          </w:tcPr>
          <w:p w14:paraId="26F7D7A8">
            <w:pPr>
              <w:spacing w:line="276" w:lineRule="auto"/>
              <w:jc w:val="center"/>
              <w:rPr>
                <w:sz w:val="18"/>
                <w:szCs w:val="18"/>
              </w:rPr>
            </w:pPr>
          </w:p>
        </w:tc>
        <w:tc>
          <w:tcPr>
            <w:tcW w:w="453" w:type="pct"/>
            <w:vMerge w:val="continue"/>
            <w:vAlign w:val="center"/>
          </w:tcPr>
          <w:p w14:paraId="2C2CB38B">
            <w:pPr>
              <w:spacing w:line="276" w:lineRule="auto"/>
              <w:jc w:val="center"/>
              <w:rPr>
                <w:sz w:val="18"/>
                <w:szCs w:val="18"/>
              </w:rPr>
            </w:pPr>
          </w:p>
        </w:tc>
        <w:tc>
          <w:tcPr>
            <w:tcW w:w="568" w:type="pct"/>
            <w:vMerge w:val="continue"/>
            <w:vAlign w:val="center"/>
          </w:tcPr>
          <w:p w14:paraId="411EBAFB">
            <w:pPr>
              <w:spacing w:line="276" w:lineRule="auto"/>
              <w:jc w:val="center"/>
              <w:rPr>
                <w:sz w:val="18"/>
                <w:szCs w:val="18"/>
              </w:rPr>
            </w:pPr>
          </w:p>
        </w:tc>
        <w:tc>
          <w:tcPr>
            <w:tcW w:w="569" w:type="pct"/>
            <w:vMerge w:val="continue"/>
            <w:vAlign w:val="center"/>
          </w:tcPr>
          <w:p w14:paraId="7FB77044">
            <w:pPr>
              <w:spacing w:line="276" w:lineRule="auto"/>
              <w:jc w:val="center"/>
              <w:rPr>
                <w:sz w:val="18"/>
                <w:szCs w:val="18"/>
              </w:rPr>
            </w:pPr>
          </w:p>
        </w:tc>
        <w:tc>
          <w:tcPr>
            <w:tcW w:w="598" w:type="pct"/>
            <w:vMerge w:val="continue"/>
            <w:vAlign w:val="center"/>
          </w:tcPr>
          <w:p w14:paraId="086F2750">
            <w:pPr>
              <w:spacing w:line="276" w:lineRule="auto"/>
              <w:jc w:val="center"/>
              <w:rPr>
                <w:sz w:val="18"/>
                <w:szCs w:val="18"/>
              </w:rPr>
            </w:pPr>
          </w:p>
        </w:tc>
        <w:tc>
          <w:tcPr>
            <w:tcW w:w="501" w:type="pct"/>
            <w:vMerge w:val="continue"/>
            <w:vAlign w:val="center"/>
          </w:tcPr>
          <w:p w14:paraId="25A6C8DE">
            <w:pPr>
              <w:spacing w:line="276" w:lineRule="auto"/>
              <w:jc w:val="center"/>
              <w:rPr>
                <w:sz w:val="18"/>
                <w:szCs w:val="18"/>
              </w:rPr>
            </w:pPr>
          </w:p>
        </w:tc>
        <w:tc>
          <w:tcPr>
            <w:tcW w:w="977" w:type="pct"/>
            <w:vMerge w:val="continue"/>
            <w:vAlign w:val="center"/>
          </w:tcPr>
          <w:p w14:paraId="7BEE49A8">
            <w:pPr>
              <w:spacing w:line="276" w:lineRule="auto"/>
              <w:jc w:val="center"/>
              <w:rPr>
                <w:sz w:val="18"/>
                <w:szCs w:val="18"/>
              </w:rPr>
            </w:pPr>
          </w:p>
        </w:tc>
      </w:tr>
      <w:tr w14:paraId="6785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50FA638C">
            <w:pPr>
              <w:spacing w:line="276" w:lineRule="auto"/>
              <w:jc w:val="center"/>
              <w:rPr>
                <w:sz w:val="18"/>
                <w:szCs w:val="18"/>
              </w:rPr>
            </w:pPr>
            <w:r>
              <w:rPr>
                <w:sz w:val="18"/>
                <w:szCs w:val="18"/>
              </w:rPr>
              <w:t>23</w:t>
            </w:r>
          </w:p>
        </w:tc>
        <w:tc>
          <w:tcPr>
            <w:tcW w:w="454" w:type="pct"/>
            <w:vMerge w:val="restart"/>
            <w:shd w:val="clear" w:color="auto" w:fill="auto"/>
            <w:vAlign w:val="center"/>
          </w:tcPr>
          <w:p w14:paraId="45C154FB">
            <w:pPr>
              <w:spacing w:line="276" w:lineRule="auto"/>
              <w:jc w:val="center"/>
              <w:rPr>
                <w:sz w:val="18"/>
                <w:szCs w:val="18"/>
              </w:rPr>
            </w:pPr>
            <w:r>
              <w:rPr>
                <w:sz w:val="18"/>
                <w:szCs w:val="18"/>
              </w:rPr>
              <w:t>5-120</w:t>
            </w:r>
          </w:p>
          <w:p w14:paraId="6534532C">
            <w:pPr>
              <w:spacing w:line="276" w:lineRule="auto"/>
              <w:jc w:val="center"/>
              <w:rPr>
                <w:sz w:val="18"/>
                <w:szCs w:val="18"/>
              </w:rPr>
            </w:pPr>
            <w:r>
              <w:rPr>
                <w:sz w:val="18"/>
                <w:szCs w:val="18"/>
              </w:rPr>
              <w:t>5-123</w:t>
            </w:r>
          </w:p>
        </w:tc>
        <w:tc>
          <w:tcPr>
            <w:tcW w:w="569" w:type="pct"/>
            <w:vMerge w:val="continue"/>
            <w:vAlign w:val="center"/>
          </w:tcPr>
          <w:p w14:paraId="4772EF18">
            <w:pPr>
              <w:spacing w:line="276" w:lineRule="auto"/>
              <w:jc w:val="center"/>
              <w:rPr>
                <w:sz w:val="18"/>
                <w:szCs w:val="18"/>
              </w:rPr>
            </w:pPr>
          </w:p>
        </w:tc>
        <w:tc>
          <w:tcPr>
            <w:tcW w:w="453" w:type="pct"/>
            <w:vMerge w:val="continue"/>
            <w:vAlign w:val="center"/>
          </w:tcPr>
          <w:p w14:paraId="23C1C0F7">
            <w:pPr>
              <w:spacing w:line="276" w:lineRule="auto"/>
              <w:jc w:val="center"/>
              <w:rPr>
                <w:sz w:val="18"/>
                <w:szCs w:val="18"/>
              </w:rPr>
            </w:pPr>
          </w:p>
        </w:tc>
        <w:tc>
          <w:tcPr>
            <w:tcW w:w="568" w:type="pct"/>
            <w:vMerge w:val="restart"/>
            <w:shd w:val="clear" w:color="auto" w:fill="auto"/>
            <w:vAlign w:val="center"/>
          </w:tcPr>
          <w:p w14:paraId="2417EE97">
            <w:pPr>
              <w:spacing w:line="276" w:lineRule="auto"/>
              <w:jc w:val="center"/>
              <w:rPr>
                <w:sz w:val="18"/>
                <w:szCs w:val="18"/>
              </w:rPr>
            </w:pPr>
            <w:r>
              <w:rPr>
                <w:sz w:val="18"/>
                <w:szCs w:val="18"/>
              </w:rPr>
              <w:t>&gt;25m</w:t>
            </w:r>
          </w:p>
        </w:tc>
        <w:tc>
          <w:tcPr>
            <w:tcW w:w="569" w:type="pct"/>
            <w:vMerge w:val="restart"/>
            <w:vAlign w:val="center"/>
          </w:tcPr>
          <w:p w14:paraId="24841488">
            <w:pPr>
              <w:spacing w:line="276" w:lineRule="auto"/>
              <w:jc w:val="center"/>
              <w:rPr>
                <w:sz w:val="18"/>
                <w:szCs w:val="18"/>
              </w:rPr>
            </w:pPr>
            <w:r>
              <w:rPr>
                <w:sz w:val="18"/>
                <w:szCs w:val="18"/>
              </w:rPr>
              <w:t>2512.21</w:t>
            </w:r>
          </w:p>
        </w:tc>
        <w:tc>
          <w:tcPr>
            <w:tcW w:w="598" w:type="pct"/>
            <w:vMerge w:val="restart"/>
            <w:shd w:val="clear" w:color="auto" w:fill="auto"/>
            <w:vAlign w:val="center"/>
          </w:tcPr>
          <w:p w14:paraId="61E89DC0">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continue"/>
            <w:vAlign w:val="center"/>
          </w:tcPr>
          <w:p w14:paraId="1B7F7C0F">
            <w:pPr>
              <w:spacing w:line="276" w:lineRule="auto"/>
              <w:jc w:val="center"/>
              <w:rPr>
                <w:sz w:val="18"/>
                <w:szCs w:val="18"/>
              </w:rPr>
            </w:pPr>
          </w:p>
        </w:tc>
        <w:tc>
          <w:tcPr>
            <w:tcW w:w="977" w:type="pct"/>
            <w:vMerge w:val="continue"/>
            <w:shd w:val="clear" w:color="auto" w:fill="auto"/>
            <w:vAlign w:val="center"/>
          </w:tcPr>
          <w:p w14:paraId="5C0DD561">
            <w:pPr>
              <w:spacing w:line="276" w:lineRule="auto"/>
              <w:jc w:val="center"/>
              <w:rPr>
                <w:sz w:val="18"/>
                <w:szCs w:val="18"/>
              </w:rPr>
            </w:pPr>
          </w:p>
        </w:tc>
      </w:tr>
      <w:tr w14:paraId="7A10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7DA89B71">
            <w:pPr>
              <w:spacing w:line="276" w:lineRule="auto"/>
              <w:jc w:val="center"/>
              <w:rPr>
                <w:sz w:val="18"/>
                <w:szCs w:val="18"/>
              </w:rPr>
            </w:pPr>
            <w:r>
              <w:rPr>
                <w:sz w:val="18"/>
                <w:szCs w:val="18"/>
              </w:rPr>
              <w:t>24</w:t>
            </w:r>
          </w:p>
        </w:tc>
        <w:tc>
          <w:tcPr>
            <w:tcW w:w="454" w:type="pct"/>
            <w:vMerge w:val="continue"/>
            <w:shd w:val="clear" w:color="auto" w:fill="auto"/>
            <w:vAlign w:val="center"/>
          </w:tcPr>
          <w:p w14:paraId="1FD4F45F">
            <w:pPr>
              <w:spacing w:line="276" w:lineRule="auto"/>
              <w:jc w:val="center"/>
              <w:rPr>
                <w:sz w:val="18"/>
                <w:szCs w:val="18"/>
              </w:rPr>
            </w:pPr>
          </w:p>
        </w:tc>
        <w:tc>
          <w:tcPr>
            <w:tcW w:w="569" w:type="pct"/>
            <w:vMerge w:val="continue"/>
            <w:vAlign w:val="center"/>
          </w:tcPr>
          <w:p w14:paraId="42740CD3">
            <w:pPr>
              <w:spacing w:line="276" w:lineRule="auto"/>
              <w:jc w:val="center"/>
              <w:rPr>
                <w:sz w:val="18"/>
                <w:szCs w:val="18"/>
              </w:rPr>
            </w:pPr>
          </w:p>
        </w:tc>
        <w:tc>
          <w:tcPr>
            <w:tcW w:w="453" w:type="pct"/>
            <w:vMerge w:val="continue"/>
            <w:vAlign w:val="center"/>
          </w:tcPr>
          <w:p w14:paraId="6A84F653">
            <w:pPr>
              <w:spacing w:line="276" w:lineRule="auto"/>
              <w:jc w:val="center"/>
              <w:rPr>
                <w:sz w:val="18"/>
                <w:szCs w:val="18"/>
              </w:rPr>
            </w:pPr>
          </w:p>
        </w:tc>
        <w:tc>
          <w:tcPr>
            <w:tcW w:w="568" w:type="pct"/>
            <w:vMerge w:val="continue"/>
            <w:vAlign w:val="center"/>
          </w:tcPr>
          <w:p w14:paraId="2EF80471">
            <w:pPr>
              <w:spacing w:line="276" w:lineRule="auto"/>
              <w:jc w:val="center"/>
              <w:rPr>
                <w:sz w:val="18"/>
                <w:szCs w:val="18"/>
              </w:rPr>
            </w:pPr>
          </w:p>
        </w:tc>
        <w:tc>
          <w:tcPr>
            <w:tcW w:w="569" w:type="pct"/>
            <w:vMerge w:val="continue"/>
            <w:vAlign w:val="center"/>
          </w:tcPr>
          <w:p w14:paraId="34C2BB62">
            <w:pPr>
              <w:spacing w:line="276" w:lineRule="auto"/>
              <w:jc w:val="center"/>
              <w:rPr>
                <w:sz w:val="18"/>
                <w:szCs w:val="18"/>
              </w:rPr>
            </w:pPr>
          </w:p>
        </w:tc>
        <w:tc>
          <w:tcPr>
            <w:tcW w:w="598" w:type="pct"/>
            <w:vMerge w:val="continue"/>
            <w:vAlign w:val="center"/>
          </w:tcPr>
          <w:p w14:paraId="5FCCD606">
            <w:pPr>
              <w:spacing w:line="276" w:lineRule="auto"/>
              <w:jc w:val="center"/>
              <w:rPr>
                <w:sz w:val="18"/>
                <w:szCs w:val="18"/>
              </w:rPr>
            </w:pPr>
          </w:p>
        </w:tc>
        <w:tc>
          <w:tcPr>
            <w:tcW w:w="501" w:type="pct"/>
            <w:vMerge w:val="continue"/>
            <w:vAlign w:val="center"/>
          </w:tcPr>
          <w:p w14:paraId="583836B8">
            <w:pPr>
              <w:spacing w:line="276" w:lineRule="auto"/>
              <w:jc w:val="center"/>
              <w:rPr>
                <w:sz w:val="18"/>
                <w:szCs w:val="18"/>
              </w:rPr>
            </w:pPr>
          </w:p>
        </w:tc>
        <w:tc>
          <w:tcPr>
            <w:tcW w:w="977" w:type="pct"/>
            <w:vMerge w:val="continue"/>
            <w:vAlign w:val="center"/>
          </w:tcPr>
          <w:p w14:paraId="1E168135">
            <w:pPr>
              <w:spacing w:line="276" w:lineRule="auto"/>
              <w:jc w:val="center"/>
              <w:rPr>
                <w:sz w:val="18"/>
                <w:szCs w:val="18"/>
              </w:rPr>
            </w:pPr>
          </w:p>
        </w:tc>
      </w:tr>
      <w:tr w14:paraId="5227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4FB310D0">
            <w:pPr>
              <w:spacing w:line="276" w:lineRule="auto"/>
              <w:jc w:val="center"/>
              <w:rPr>
                <w:sz w:val="18"/>
                <w:szCs w:val="18"/>
              </w:rPr>
            </w:pPr>
            <w:r>
              <w:rPr>
                <w:sz w:val="18"/>
                <w:szCs w:val="18"/>
              </w:rPr>
              <w:t>25</w:t>
            </w:r>
          </w:p>
        </w:tc>
        <w:tc>
          <w:tcPr>
            <w:tcW w:w="454" w:type="pct"/>
            <w:vMerge w:val="restart"/>
            <w:shd w:val="clear" w:color="auto" w:fill="auto"/>
            <w:vAlign w:val="center"/>
          </w:tcPr>
          <w:p w14:paraId="062A703E">
            <w:pPr>
              <w:spacing w:line="276" w:lineRule="auto"/>
              <w:jc w:val="center"/>
              <w:rPr>
                <w:sz w:val="18"/>
                <w:szCs w:val="18"/>
              </w:rPr>
            </w:pPr>
            <w:r>
              <w:rPr>
                <w:sz w:val="18"/>
                <w:szCs w:val="18"/>
              </w:rPr>
              <w:t>2-28</w:t>
            </w:r>
          </w:p>
          <w:p w14:paraId="66379D33">
            <w:pPr>
              <w:spacing w:line="276" w:lineRule="auto"/>
              <w:jc w:val="center"/>
              <w:rPr>
                <w:sz w:val="18"/>
                <w:szCs w:val="18"/>
              </w:rPr>
            </w:pPr>
            <w:r>
              <w:rPr>
                <w:sz w:val="18"/>
                <w:szCs w:val="18"/>
              </w:rPr>
              <w:t>2-35</w:t>
            </w:r>
          </w:p>
          <w:p w14:paraId="3BFC7C43">
            <w:pPr>
              <w:spacing w:line="276" w:lineRule="auto"/>
              <w:jc w:val="center"/>
              <w:rPr>
                <w:sz w:val="18"/>
                <w:szCs w:val="18"/>
              </w:rPr>
            </w:pPr>
            <w:r>
              <w:rPr>
                <w:sz w:val="18"/>
                <w:szCs w:val="18"/>
              </w:rPr>
              <w:t>2-36</w:t>
            </w:r>
          </w:p>
        </w:tc>
        <w:tc>
          <w:tcPr>
            <w:tcW w:w="569" w:type="pct"/>
            <w:vMerge w:val="restart"/>
            <w:vAlign w:val="center"/>
          </w:tcPr>
          <w:p w14:paraId="7EE1B6E2">
            <w:pPr>
              <w:spacing w:line="276" w:lineRule="auto"/>
              <w:jc w:val="center"/>
              <w:rPr>
                <w:sz w:val="18"/>
                <w:szCs w:val="18"/>
              </w:rPr>
            </w:pPr>
            <w:r>
              <w:rPr>
                <w:sz w:val="18"/>
                <w:szCs w:val="18"/>
              </w:rPr>
              <w:t>地连墙</w:t>
            </w:r>
          </w:p>
        </w:tc>
        <w:tc>
          <w:tcPr>
            <w:tcW w:w="453" w:type="pct"/>
            <w:vMerge w:val="restart"/>
            <w:vAlign w:val="center"/>
          </w:tcPr>
          <w:p w14:paraId="1141008B">
            <w:pPr>
              <w:spacing w:line="276" w:lineRule="auto"/>
              <w:jc w:val="center"/>
              <w:rPr>
                <w:sz w:val="18"/>
                <w:szCs w:val="18"/>
              </w:rPr>
            </w:pPr>
            <w:r>
              <w:rPr>
                <w:sz w:val="18"/>
                <w:szCs w:val="18"/>
              </w:rPr>
              <w:t>履带式液压抓斗成槽</w:t>
            </w:r>
          </w:p>
        </w:tc>
        <w:tc>
          <w:tcPr>
            <w:tcW w:w="568" w:type="pct"/>
            <w:vMerge w:val="restart"/>
            <w:vAlign w:val="center"/>
          </w:tcPr>
          <w:p w14:paraId="4F1EBA32">
            <w:pPr>
              <w:spacing w:line="276" w:lineRule="auto"/>
              <w:jc w:val="center"/>
              <w:rPr>
                <w:sz w:val="18"/>
                <w:szCs w:val="18"/>
              </w:rPr>
            </w:pPr>
            <w:r>
              <w:rPr>
                <w:sz w:val="18"/>
                <w:szCs w:val="18"/>
              </w:rPr>
              <w:t>≤15m</w:t>
            </w:r>
          </w:p>
        </w:tc>
        <w:tc>
          <w:tcPr>
            <w:tcW w:w="569" w:type="pct"/>
            <w:vMerge w:val="restart"/>
            <w:vAlign w:val="center"/>
          </w:tcPr>
          <w:p w14:paraId="23AA6A5F">
            <w:pPr>
              <w:spacing w:line="276" w:lineRule="auto"/>
              <w:jc w:val="center"/>
              <w:rPr>
                <w:sz w:val="18"/>
                <w:szCs w:val="18"/>
              </w:rPr>
            </w:pPr>
            <w:r>
              <w:rPr>
                <w:sz w:val="18"/>
                <w:szCs w:val="18"/>
              </w:rPr>
              <w:t>528.58</w:t>
            </w:r>
          </w:p>
        </w:tc>
        <w:tc>
          <w:tcPr>
            <w:tcW w:w="598" w:type="pct"/>
            <w:vMerge w:val="restart"/>
            <w:vAlign w:val="center"/>
          </w:tcPr>
          <w:p w14:paraId="4F8AC770">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restart"/>
            <w:vAlign w:val="center"/>
          </w:tcPr>
          <w:p w14:paraId="6E24190F">
            <w:pPr>
              <w:spacing w:line="276" w:lineRule="auto"/>
              <w:jc w:val="center"/>
              <w:rPr>
                <w:sz w:val="18"/>
                <w:szCs w:val="18"/>
              </w:rPr>
            </w:pPr>
            <w:r>
              <w:rPr>
                <w:sz w:val="18"/>
                <w:szCs w:val="18"/>
              </w:rPr>
              <w:t>1.00</w:t>
            </w:r>
          </w:p>
        </w:tc>
        <w:tc>
          <w:tcPr>
            <w:tcW w:w="977" w:type="pct"/>
            <w:vMerge w:val="restart"/>
            <w:vAlign w:val="center"/>
          </w:tcPr>
          <w:p w14:paraId="5710279C">
            <w:pPr>
              <w:spacing w:line="276" w:lineRule="auto"/>
              <w:jc w:val="center"/>
              <w:rPr>
                <w:sz w:val="18"/>
                <w:szCs w:val="18"/>
              </w:rPr>
            </w:pPr>
            <w:r>
              <w:rPr>
                <w:sz w:val="18"/>
                <w:szCs w:val="18"/>
              </w:rPr>
              <w:t>钢筋另计</w:t>
            </w:r>
          </w:p>
        </w:tc>
      </w:tr>
      <w:tr w14:paraId="7D2E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4A76E530">
            <w:pPr>
              <w:spacing w:line="276" w:lineRule="auto"/>
              <w:jc w:val="center"/>
              <w:rPr>
                <w:sz w:val="18"/>
                <w:szCs w:val="18"/>
              </w:rPr>
            </w:pPr>
            <w:r>
              <w:rPr>
                <w:sz w:val="18"/>
                <w:szCs w:val="18"/>
              </w:rPr>
              <w:t>26</w:t>
            </w:r>
          </w:p>
        </w:tc>
        <w:tc>
          <w:tcPr>
            <w:tcW w:w="454" w:type="pct"/>
            <w:vMerge w:val="continue"/>
            <w:shd w:val="clear" w:color="auto" w:fill="auto"/>
            <w:vAlign w:val="center"/>
          </w:tcPr>
          <w:p w14:paraId="48245FDF">
            <w:pPr>
              <w:spacing w:line="276" w:lineRule="auto"/>
              <w:jc w:val="center"/>
              <w:rPr>
                <w:sz w:val="18"/>
                <w:szCs w:val="18"/>
              </w:rPr>
            </w:pPr>
          </w:p>
        </w:tc>
        <w:tc>
          <w:tcPr>
            <w:tcW w:w="569" w:type="pct"/>
            <w:vMerge w:val="continue"/>
            <w:vAlign w:val="center"/>
          </w:tcPr>
          <w:p w14:paraId="2B5F66B0">
            <w:pPr>
              <w:spacing w:line="276" w:lineRule="auto"/>
              <w:jc w:val="center"/>
              <w:rPr>
                <w:sz w:val="18"/>
                <w:szCs w:val="18"/>
              </w:rPr>
            </w:pPr>
          </w:p>
        </w:tc>
        <w:tc>
          <w:tcPr>
            <w:tcW w:w="453" w:type="pct"/>
            <w:vMerge w:val="continue"/>
            <w:vAlign w:val="center"/>
          </w:tcPr>
          <w:p w14:paraId="5AEBD1BB">
            <w:pPr>
              <w:spacing w:line="276" w:lineRule="auto"/>
              <w:jc w:val="center"/>
              <w:rPr>
                <w:sz w:val="18"/>
                <w:szCs w:val="18"/>
              </w:rPr>
            </w:pPr>
          </w:p>
        </w:tc>
        <w:tc>
          <w:tcPr>
            <w:tcW w:w="568" w:type="pct"/>
            <w:vMerge w:val="continue"/>
            <w:vAlign w:val="center"/>
          </w:tcPr>
          <w:p w14:paraId="3341A10D">
            <w:pPr>
              <w:spacing w:line="276" w:lineRule="auto"/>
              <w:jc w:val="center"/>
              <w:rPr>
                <w:sz w:val="18"/>
                <w:szCs w:val="18"/>
              </w:rPr>
            </w:pPr>
          </w:p>
        </w:tc>
        <w:tc>
          <w:tcPr>
            <w:tcW w:w="569" w:type="pct"/>
            <w:vMerge w:val="continue"/>
            <w:vAlign w:val="center"/>
          </w:tcPr>
          <w:p w14:paraId="1D3BD1F3">
            <w:pPr>
              <w:spacing w:line="276" w:lineRule="auto"/>
              <w:jc w:val="center"/>
              <w:rPr>
                <w:sz w:val="18"/>
                <w:szCs w:val="18"/>
              </w:rPr>
            </w:pPr>
          </w:p>
        </w:tc>
        <w:tc>
          <w:tcPr>
            <w:tcW w:w="598" w:type="pct"/>
            <w:vMerge w:val="continue"/>
            <w:vAlign w:val="center"/>
          </w:tcPr>
          <w:p w14:paraId="73137CAB">
            <w:pPr>
              <w:spacing w:line="276" w:lineRule="auto"/>
              <w:jc w:val="center"/>
              <w:rPr>
                <w:sz w:val="18"/>
                <w:szCs w:val="18"/>
              </w:rPr>
            </w:pPr>
          </w:p>
        </w:tc>
        <w:tc>
          <w:tcPr>
            <w:tcW w:w="501" w:type="pct"/>
            <w:vMerge w:val="continue"/>
            <w:vAlign w:val="center"/>
          </w:tcPr>
          <w:p w14:paraId="496F8511">
            <w:pPr>
              <w:spacing w:line="276" w:lineRule="auto"/>
              <w:jc w:val="center"/>
              <w:rPr>
                <w:sz w:val="18"/>
                <w:szCs w:val="18"/>
              </w:rPr>
            </w:pPr>
          </w:p>
        </w:tc>
        <w:tc>
          <w:tcPr>
            <w:tcW w:w="977" w:type="pct"/>
            <w:vMerge w:val="continue"/>
            <w:vAlign w:val="center"/>
          </w:tcPr>
          <w:p w14:paraId="273BDABE">
            <w:pPr>
              <w:spacing w:line="276" w:lineRule="auto"/>
              <w:jc w:val="center"/>
              <w:rPr>
                <w:sz w:val="18"/>
                <w:szCs w:val="18"/>
              </w:rPr>
            </w:pPr>
          </w:p>
        </w:tc>
      </w:tr>
      <w:tr w14:paraId="5776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4A7CEAEA">
            <w:pPr>
              <w:spacing w:line="276" w:lineRule="auto"/>
              <w:jc w:val="center"/>
              <w:rPr>
                <w:sz w:val="18"/>
                <w:szCs w:val="18"/>
              </w:rPr>
            </w:pPr>
            <w:r>
              <w:rPr>
                <w:sz w:val="18"/>
                <w:szCs w:val="18"/>
              </w:rPr>
              <w:t>27</w:t>
            </w:r>
          </w:p>
        </w:tc>
        <w:tc>
          <w:tcPr>
            <w:tcW w:w="454" w:type="pct"/>
            <w:vMerge w:val="continue"/>
            <w:shd w:val="clear" w:color="auto" w:fill="auto"/>
            <w:vAlign w:val="center"/>
          </w:tcPr>
          <w:p w14:paraId="02BEBEF7">
            <w:pPr>
              <w:spacing w:line="276" w:lineRule="auto"/>
              <w:jc w:val="center"/>
              <w:rPr>
                <w:sz w:val="18"/>
                <w:szCs w:val="18"/>
              </w:rPr>
            </w:pPr>
          </w:p>
        </w:tc>
        <w:tc>
          <w:tcPr>
            <w:tcW w:w="569" w:type="pct"/>
            <w:vMerge w:val="continue"/>
            <w:vAlign w:val="center"/>
          </w:tcPr>
          <w:p w14:paraId="603E0FBF">
            <w:pPr>
              <w:spacing w:line="276" w:lineRule="auto"/>
              <w:jc w:val="center"/>
              <w:rPr>
                <w:sz w:val="18"/>
                <w:szCs w:val="18"/>
              </w:rPr>
            </w:pPr>
          </w:p>
        </w:tc>
        <w:tc>
          <w:tcPr>
            <w:tcW w:w="453" w:type="pct"/>
            <w:vMerge w:val="continue"/>
            <w:vAlign w:val="center"/>
          </w:tcPr>
          <w:p w14:paraId="493838E7">
            <w:pPr>
              <w:spacing w:line="276" w:lineRule="auto"/>
              <w:jc w:val="center"/>
              <w:rPr>
                <w:sz w:val="18"/>
                <w:szCs w:val="18"/>
              </w:rPr>
            </w:pPr>
          </w:p>
        </w:tc>
        <w:tc>
          <w:tcPr>
            <w:tcW w:w="568" w:type="pct"/>
            <w:vMerge w:val="continue"/>
            <w:vAlign w:val="center"/>
          </w:tcPr>
          <w:p w14:paraId="1D06BBB4">
            <w:pPr>
              <w:spacing w:line="276" w:lineRule="auto"/>
              <w:jc w:val="center"/>
              <w:rPr>
                <w:sz w:val="18"/>
                <w:szCs w:val="18"/>
              </w:rPr>
            </w:pPr>
          </w:p>
        </w:tc>
        <w:tc>
          <w:tcPr>
            <w:tcW w:w="569" w:type="pct"/>
            <w:vMerge w:val="continue"/>
            <w:vAlign w:val="center"/>
          </w:tcPr>
          <w:p w14:paraId="6895B004">
            <w:pPr>
              <w:spacing w:line="276" w:lineRule="auto"/>
              <w:jc w:val="center"/>
              <w:rPr>
                <w:sz w:val="18"/>
                <w:szCs w:val="18"/>
              </w:rPr>
            </w:pPr>
          </w:p>
        </w:tc>
        <w:tc>
          <w:tcPr>
            <w:tcW w:w="598" w:type="pct"/>
            <w:vMerge w:val="continue"/>
            <w:vAlign w:val="center"/>
          </w:tcPr>
          <w:p w14:paraId="7E4B55A3">
            <w:pPr>
              <w:spacing w:line="276" w:lineRule="auto"/>
              <w:jc w:val="center"/>
              <w:rPr>
                <w:sz w:val="18"/>
                <w:szCs w:val="18"/>
              </w:rPr>
            </w:pPr>
          </w:p>
        </w:tc>
        <w:tc>
          <w:tcPr>
            <w:tcW w:w="501" w:type="pct"/>
            <w:vMerge w:val="continue"/>
            <w:vAlign w:val="center"/>
          </w:tcPr>
          <w:p w14:paraId="2687048F">
            <w:pPr>
              <w:spacing w:line="276" w:lineRule="auto"/>
              <w:jc w:val="center"/>
              <w:rPr>
                <w:sz w:val="18"/>
                <w:szCs w:val="18"/>
              </w:rPr>
            </w:pPr>
          </w:p>
        </w:tc>
        <w:tc>
          <w:tcPr>
            <w:tcW w:w="977" w:type="pct"/>
            <w:vMerge w:val="continue"/>
            <w:vAlign w:val="center"/>
          </w:tcPr>
          <w:p w14:paraId="2331D8A2">
            <w:pPr>
              <w:spacing w:line="276" w:lineRule="auto"/>
              <w:jc w:val="center"/>
              <w:rPr>
                <w:sz w:val="18"/>
                <w:szCs w:val="18"/>
              </w:rPr>
            </w:pPr>
          </w:p>
        </w:tc>
      </w:tr>
      <w:tr w14:paraId="7148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0D174972">
            <w:pPr>
              <w:spacing w:line="276" w:lineRule="auto"/>
              <w:jc w:val="center"/>
              <w:rPr>
                <w:sz w:val="18"/>
                <w:szCs w:val="18"/>
              </w:rPr>
            </w:pPr>
            <w:r>
              <w:rPr>
                <w:sz w:val="18"/>
                <w:szCs w:val="18"/>
              </w:rPr>
              <w:t>28</w:t>
            </w:r>
          </w:p>
        </w:tc>
        <w:tc>
          <w:tcPr>
            <w:tcW w:w="454" w:type="pct"/>
            <w:vMerge w:val="restart"/>
            <w:shd w:val="clear" w:color="auto" w:fill="auto"/>
            <w:vAlign w:val="center"/>
          </w:tcPr>
          <w:p w14:paraId="1B176573">
            <w:pPr>
              <w:spacing w:line="276" w:lineRule="auto"/>
              <w:jc w:val="center"/>
              <w:rPr>
                <w:sz w:val="18"/>
                <w:szCs w:val="18"/>
              </w:rPr>
            </w:pPr>
            <w:r>
              <w:rPr>
                <w:sz w:val="18"/>
                <w:szCs w:val="18"/>
              </w:rPr>
              <w:t>2-29</w:t>
            </w:r>
          </w:p>
          <w:p w14:paraId="73524232">
            <w:pPr>
              <w:spacing w:line="276" w:lineRule="auto"/>
              <w:jc w:val="center"/>
              <w:rPr>
                <w:sz w:val="18"/>
                <w:szCs w:val="18"/>
              </w:rPr>
            </w:pPr>
            <w:r>
              <w:rPr>
                <w:sz w:val="18"/>
                <w:szCs w:val="18"/>
              </w:rPr>
              <w:t>2-35</w:t>
            </w:r>
          </w:p>
          <w:p w14:paraId="45792F2D">
            <w:pPr>
              <w:spacing w:line="276" w:lineRule="auto"/>
              <w:jc w:val="center"/>
              <w:rPr>
                <w:sz w:val="18"/>
                <w:szCs w:val="18"/>
              </w:rPr>
            </w:pPr>
            <w:r>
              <w:rPr>
                <w:sz w:val="18"/>
                <w:szCs w:val="18"/>
              </w:rPr>
              <w:t>2-36</w:t>
            </w:r>
          </w:p>
        </w:tc>
        <w:tc>
          <w:tcPr>
            <w:tcW w:w="569" w:type="pct"/>
            <w:vMerge w:val="continue"/>
            <w:vAlign w:val="center"/>
          </w:tcPr>
          <w:p w14:paraId="544B17AA">
            <w:pPr>
              <w:spacing w:line="276" w:lineRule="auto"/>
              <w:jc w:val="center"/>
              <w:rPr>
                <w:sz w:val="18"/>
                <w:szCs w:val="18"/>
              </w:rPr>
            </w:pPr>
          </w:p>
        </w:tc>
        <w:tc>
          <w:tcPr>
            <w:tcW w:w="453" w:type="pct"/>
            <w:vMerge w:val="continue"/>
            <w:vAlign w:val="center"/>
          </w:tcPr>
          <w:p w14:paraId="057523DD">
            <w:pPr>
              <w:spacing w:line="276" w:lineRule="auto"/>
              <w:jc w:val="center"/>
              <w:rPr>
                <w:sz w:val="18"/>
                <w:szCs w:val="18"/>
              </w:rPr>
            </w:pPr>
          </w:p>
        </w:tc>
        <w:tc>
          <w:tcPr>
            <w:tcW w:w="568" w:type="pct"/>
            <w:vMerge w:val="restart"/>
            <w:vAlign w:val="center"/>
          </w:tcPr>
          <w:p w14:paraId="285EB1DC">
            <w:pPr>
              <w:spacing w:line="276" w:lineRule="auto"/>
              <w:jc w:val="center"/>
              <w:rPr>
                <w:sz w:val="18"/>
                <w:szCs w:val="18"/>
              </w:rPr>
            </w:pPr>
            <w:r>
              <w:rPr>
                <w:sz w:val="18"/>
                <w:szCs w:val="18"/>
              </w:rPr>
              <w:t>≤25m</w:t>
            </w:r>
          </w:p>
        </w:tc>
        <w:tc>
          <w:tcPr>
            <w:tcW w:w="569" w:type="pct"/>
            <w:vMerge w:val="restart"/>
            <w:vAlign w:val="center"/>
          </w:tcPr>
          <w:p w14:paraId="766C1E01">
            <w:pPr>
              <w:spacing w:line="276" w:lineRule="auto"/>
              <w:jc w:val="center"/>
              <w:rPr>
                <w:sz w:val="18"/>
                <w:szCs w:val="18"/>
              </w:rPr>
            </w:pPr>
            <w:r>
              <w:rPr>
                <w:sz w:val="18"/>
                <w:szCs w:val="18"/>
              </w:rPr>
              <w:t>544.03</w:t>
            </w:r>
          </w:p>
        </w:tc>
        <w:tc>
          <w:tcPr>
            <w:tcW w:w="598" w:type="pct"/>
            <w:vMerge w:val="restart"/>
            <w:vAlign w:val="center"/>
          </w:tcPr>
          <w:p w14:paraId="538099AE">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continue"/>
            <w:vAlign w:val="center"/>
          </w:tcPr>
          <w:p w14:paraId="1F4B1F2B">
            <w:pPr>
              <w:spacing w:line="276" w:lineRule="auto"/>
              <w:jc w:val="center"/>
              <w:rPr>
                <w:sz w:val="18"/>
                <w:szCs w:val="18"/>
              </w:rPr>
            </w:pPr>
          </w:p>
        </w:tc>
        <w:tc>
          <w:tcPr>
            <w:tcW w:w="977" w:type="pct"/>
            <w:vMerge w:val="continue"/>
            <w:vAlign w:val="center"/>
          </w:tcPr>
          <w:p w14:paraId="31EAE8FF">
            <w:pPr>
              <w:spacing w:line="276" w:lineRule="auto"/>
              <w:jc w:val="center"/>
              <w:rPr>
                <w:sz w:val="18"/>
                <w:szCs w:val="18"/>
              </w:rPr>
            </w:pPr>
          </w:p>
        </w:tc>
      </w:tr>
      <w:tr w14:paraId="1398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18C633DC">
            <w:pPr>
              <w:spacing w:line="276" w:lineRule="auto"/>
              <w:jc w:val="center"/>
              <w:rPr>
                <w:sz w:val="18"/>
                <w:szCs w:val="18"/>
              </w:rPr>
            </w:pPr>
            <w:r>
              <w:rPr>
                <w:sz w:val="18"/>
                <w:szCs w:val="18"/>
              </w:rPr>
              <w:t>29</w:t>
            </w:r>
          </w:p>
        </w:tc>
        <w:tc>
          <w:tcPr>
            <w:tcW w:w="454" w:type="pct"/>
            <w:vMerge w:val="continue"/>
            <w:shd w:val="clear" w:color="auto" w:fill="auto"/>
            <w:vAlign w:val="center"/>
          </w:tcPr>
          <w:p w14:paraId="283E5558">
            <w:pPr>
              <w:spacing w:line="276" w:lineRule="auto"/>
              <w:jc w:val="center"/>
              <w:rPr>
                <w:sz w:val="18"/>
                <w:szCs w:val="18"/>
              </w:rPr>
            </w:pPr>
          </w:p>
        </w:tc>
        <w:tc>
          <w:tcPr>
            <w:tcW w:w="569" w:type="pct"/>
            <w:vMerge w:val="continue"/>
            <w:vAlign w:val="center"/>
          </w:tcPr>
          <w:p w14:paraId="7FCD54D5">
            <w:pPr>
              <w:spacing w:line="276" w:lineRule="auto"/>
              <w:jc w:val="center"/>
              <w:rPr>
                <w:sz w:val="18"/>
                <w:szCs w:val="18"/>
              </w:rPr>
            </w:pPr>
          </w:p>
        </w:tc>
        <w:tc>
          <w:tcPr>
            <w:tcW w:w="453" w:type="pct"/>
            <w:vMerge w:val="continue"/>
            <w:vAlign w:val="center"/>
          </w:tcPr>
          <w:p w14:paraId="1CAF69BF">
            <w:pPr>
              <w:spacing w:line="276" w:lineRule="auto"/>
              <w:jc w:val="center"/>
              <w:rPr>
                <w:sz w:val="18"/>
                <w:szCs w:val="18"/>
              </w:rPr>
            </w:pPr>
          </w:p>
        </w:tc>
        <w:tc>
          <w:tcPr>
            <w:tcW w:w="568" w:type="pct"/>
            <w:vMerge w:val="continue"/>
            <w:vAlign w:val="center"/>
          </w:tcPr>
          <w:p w14:paraId="58EF3110">
            <w:pPr>
              <w:spacing w:line="276" w:lineRule="auto"/>
              <w:jc w:val="center"/>
              <w:rPr>
                <w:sz w:val="18"/>
                <w:szCs w:val="18"/>
              </w:rPr>
            </w:pPr>
          </w:p>
        </w:tc>
        <w:tc>
          <w:tcPr>
            <w:tcW w:w="569" w:type="pct"/>
            <w:vMerge w:val="continue"/>
            <w:vAlign w:val="center"/>
          </w:tcPr>
          <w:p w14:paraId="5031AE8E">
            <w:pPr>
              <w:spacing w:line="276" w:lineRule="auto"/>
              <w:jc w:val="center"/>
              <w:rPr>
                <w:sz w:val="18"/>
                <w:szCs w:val="18"/>
              </w:rPr>
            </w:pPr>
          </w:p>
        </w:tc>
        <w:tc>
          <w:tcPr>
            <w:tcW w:w="598" w:type="pct"/>
            <w:vMerge w:val="continue"/>
            <w:vAlign w:val="center"/>
          </w:tcPr>
          <w:p w14:paraId="5818E327">
            <w:pPr>
              <w:spacing w:line="276" w:lineRule="auto"/>
              <w:jc w:val="center"/>
              <w:rPr>
                <w:sz w:val="18"/>
                <w:szCs w:val="18"/>
              </w:rPr>
            </w:pPr>
          </w:p>
        </w:tc>
        <w:tc>
          <w:tcPr>
            <w:tcW w:w="501" w:type="pct"/>
            <w:vMerge w:val="continue"/>
            <w:vAlign w:val="center"/>
          </w:tcPr>
          <w:p w14:paraId="74E9CD65">
            <w:pPr>
              <w:spacing w:line="276" w:lineRule="auto"/>
              <w:jc w:val="center"/>
              <w:rPr>
                <w:sz w:val="18"/>
                <w:szCs w:val="18"/>
              </w:rPr>
            </w:pPr>
          </w:p>
        </w:tc>
        <w:tc>
          <w:tcPr>
            <w:tcW w:w="977" w:type="pct"/>
            <w:vMerge w:val="continue"/>
            <w:vAlign w:val="center"/>
          </w:tcPr>
          <w:p w14:paraId="3157301E">
            <w:pPr>
              <w:spacing w:line="276" w:lineRule="auto"/>
              <w:jc w:val="center"/>
              <w:rPr>
                <w:sz w:val="18"/>
                <w:szCs w:val="18"/>
              </w:rPr>
            </w:pPr>
          </w:p>
        </w:tc>
      </w:tr>
      <w:tr w14:paraId="052B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3B33E410">
            <w:pPr>
              <w:spacing w:line="276" w:lineRule="auto"/>
              <w:jc w:val="center"/>
              <w:rPr>
                <w:sz w:val="18"/>
                <w:szCs w:val="18"/>
              </w:rPr>
            </w:pPr>
            <w:r>
              <w:rPr>
                <w:sz w:val="18"/>
                <w:szCs w:val="18"/>
              </w:rPr>
              <w:t>30</w:t>
            </w:r>
          </w:p>
        </w:tc>
        <w:tc>
          <w:tcPr>
            <w:tcW w:w="454" w:type="pct"/>
            <w:vMerge w:val="continue"/>
            <w:shd w:val="clear" w:color="auto" w:fill="auto"/>
            <w:vAlign w:val="center"/>
          </w:tcPr>
          <w:p w14:paraId="1C1415D6">
            <w:pPr>
              <w:spacing w:line="276" w:lineRule="auto"/>
              <w:jc w:val="center"/>
              <w:rPr>
                <w:sz w:val="18"/>
                <w:szCs w:val="18"/>
              </w:rPr>
            </w:pPr>
          </w:p>
        </w:tc>
        <w:tc>
          <w:tcPr>
            <w:tcW w:w="569" w:type="pct"/>
            <w:vMerge w:val="continue"/>
            <w:vAlign w:val="center"/>
          </w:tcPr>
          <w:p w14:paraId="469B12BA">
            <w:pPr>
              <w:spacing w:line="276" w:lineRule="auto"/>
              <w:jc w:val="center"/>
              <w:rPr>
                <w:sz w:val="18"/>
                <w:szCs w:val="18"/>
              </w:rPr>
            </w:pPr>
          </w:p>
        </w:tc>
        <w:tc>
          <w:tcPr>
            <w:tcW w:w="453" w:type="pct"/>
            <w:vMerge w:val="continue"/>
            <w:vAlign w:val="center"/>
          </w:tcPr>
          <w:p w14:paraId="1B01BA70">
            <w:pPr>
              <w:spacing w:line="276" w:lineRule="auto"/>
              <w:jc w:val="center"/>
              <w:rPr>
                <w:sz w:val="18"/>
                <w:szCs w:val="18"/>
              </w:rPr>
            </w:pPr>
          </w:p>
        </w:tc>
        <w:tc>
          <w:tcPr>
            <w:tcW w:w="568" w:type="pct"/>
            <w:vMerge w:val="continue"/>
            <w:vAlign w:val="center"/>
          </w:tcPr>
          <w:p w14:paraId="32C6E47C">
            <w:pPr>
              <w:spacing w:line="276" w:lineRule="auto"/>
              <w:jc w:val="center"/>
              <w:rPr>
                <w:sz w:val="18"/>
                <w:szCs w:val="18"/>
              </w:rPr>
            </w:pPr>
          </w:p>
        </w:tc>
        <w:tc>
          <w:tcPr>
            <w:tcW w:w="569" w:type="pct"/>
            <w:vMerge w:val="continue"/>
            <w:vAlign w:val="center"/>
          </w:tcPr>
          <w:p w14:paraId="026E80C6">
            <w:pPr>
              <w:spacing w:line="276" w:lineRule="auto"/>
              <w:jc w:val="center"/>
              <w:rPr>
                <w:sz w:val="18"/>
                <w:szCs w:val="18"/>
              </w:rPr>
            </w:pPr>
          </w:p>
        </w:tc>
        <w:tc>
          <w:tcPr>
            <w:tcW w:w="598" w:type="pct"/>
            <w:vMerge w:val="continue"/>
            <w:vAlign w:val="center"/>
          </w:tcPr>
          <w:p w14:paraId="6C3F9892">
            <w:pPr>
              <w:spacing w:line="276" w:lineRule="auto"/>
              <w:jc w:val="center"/>
              <w:rPr>
                <w:sz w:val="18"/>
                <w:szCs w:val="18"/>
              </w:rPr>
            </w:pPr>
          </w:p>
        </w:tc>
        <w:tc>
          <w:tcPr>
            <w:tcW w:w="501" w:type="pct"/>
            <w:vMerge w:val="continue"/>
            <w:vAlign w:val="center"/>
          </w:tcPr>
          <w:p w14:paraId="514C1006">
            <w:pPr>
              <w:spacing w:line="276" w:lineRule="auto"/>
              <w:jc w:val="center"/>
              <w:rPr>
                <w:sz w:val="18"/>
                <w:szCs w:val="18"/>
              </w:rPr>
            </w:pPr>
          </w:p>
        </w:tc>
        <w:tc>
          <w:tcPr>
            <w:tcW w:w="977" w:type="pct"/>
            <w:vMerge w:val="continue"/>
            <w:vAlign w:val="center"/>
          </w:tcPr>
          <w:p w14:paraId="7A6CAC1D">
            <w:pPr>
              <w:spacing w:line="276" w:lineRule="auto"/>
              <w:jc w:val="center"/>
              <w:rPr>
                <w:sz w:val="18"/>
                <w:szCs w:val="18"/>
              </w:rPr>
            </w:pPr>
          </w:p>
        </w:tc>
      </w:tr>
      <w:tr w14:paraId="5C62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084C148B">
            <w:pPr>
              <w:spacing w:line="276" w:lineRule="auto"/>
              <w:jc w:val="center"/>
              <w:rPr>
                <w:sz w:val="18"/>
                <w:szCs w:val="18"/>
              </w:rPr>
            </w:pPr>
            <w:r>
              <w:rPr>
                <w:sz w:val="18"/>
                <w:szCs w:val="18"/>
              </w:rPr>
              <w:t>31</w:t>
            </w:r>
          </w:p>
        </w:tc>
        <w:tc>
          <w:tcPr>
            <w:tcW w:w="454" w:type="pct"/>
            <w:vMerge w:val="restart"/>
            <w:shd w:val="clear" w:color="auto" w:fill="auto"/>
            <w:vAlign w:val="center"/>
          </w:tcPr>
          <w:p w14:paraId="78FF09E6">
            <w:pPr>
              <w:spacing w:line="276" w:lineRule="auto"/>
              <w:jc w:val="center"/>
              <w:rPr>
                <w:sz w:val="18"/>
                <w:szCs w:val="18"/>
              </w:rPr>
            </w:pPr>
            <w:r>
              <w:rPr>
                <w:sz w:val="18"/>
                <w:szCs w:val="18"/>
              </w:rPr>
              <w:t>2-30</w:t>
            </w:r>
          </w:p>
          <w:p w14:paraId="3E276C0B">
            <w:pPr>
              <w:spacing w:line="276" w:lineRule="auto"/>
              <w:jc w:val="center"/>
              <w:rPr>
                <w:sz w:val="18"/>
                <w:szCs w:val="18"/>
              </w:rPr>
            </w:pPr>
            <w:r>
              <w:rPr>
                <w:sz w:val="18"/>
                <w:szCs w:val="18"/>
              </w:rPr>
              <w:t>2-35</w:t>
            </w:r>
          </w:p>
          <w:p w14:paraId="7A1E7291">
            <w:pPr>
              <w:spacing w:line="276" w:lineRule="auto"/>
              <w:jc w:val="center"/>
              <w:rPr>
                <w:sz w:val="18"/>
                <w:szCs w:val="18"/>
              </w:rPr>
            </w:pPr>
            <w:r>
              <w:rPr>
                <w:sz w:val="18"/>
                <w:szCs w:val="18"/>
              </w:rPr>
              <w:t>2-36</w:t>
            </w:r>
          </w:p>
        </w:tc>
        <w:tc>
          <w:tcPr>
            <w:tcW w:w="569" w:type="pct"/>
            <w:vMerge w:val="continue"/>
            <w:vAlign w:val="center"/>
          </w:tcPr>
          <w:p w14:paraId="6A57A451">
            <w:pPr>
              <w:spacing w:line="276" w:lineRule="auto"/>
              <w:jc w:val="center"/>
              <w:rPr>
                <w:sz w:val="18"/>
                <w:szCs w:val="18"/>
              </w:rPr>
            </w:pPr>
          </w:p>
        </w:tc>
        <w:tc>
          <w:tcPr>
            <w:tcW w:w="453" w:type="pct"/>
            <w:vMerge w:val="continue"/>
            <w:vAlign w:val="center"/>
          </w:tcPr>
          <w:p w14:paraId="0F5BB364">
            <w:pPr>
              <w:spacing w:line="276" w:lineRule="auto"/>
              <w:jc w:val="center"/>
              <w:rPr>
                <w:sz w:val="18"/>
                <w:szCs w:val="18"/>
              </w:rPr>
            </w:pPr>
          </w:p>
        </w:tc>
        <w:tc>
          <w:tcPr>
            <w:tcW w:w="568" w:type="pct"/>
            <w:vMerge w:val="restart"/>
            <w:vAlign w:val="center"/>
          </w:tcPr>
          <w:p w14:paraId="4B5E06FC">
            <w:pPr>
              <w:spacing w:line="276" w:lineRule="auto"/>
              <w:jc w:val="center"/>
              <w:rPr>
                <w:sz w:val="18"/>
                <w:szCs w:val="18"/>
              </w:rPr>
            </w:pPr>
            <w:r>
              <w:rPr>
                <w:sz w:val="18"/>
                <w:szCs w:val="18"/>
              </w:rPr>
              <w:t>&gt;25m</w:t>
            </w:r>
          </w:p>
        </w:tc>
        <w:tc>
          <w:tcPr>
            <w:tcW w:w="569" w:type="pct"/>
            <w:vMerge w:val="restart"/>
            <w:vAlign w:val="center"/>
          </w:tcPr>
          <w:p w14:paraId="432AF112">
            <w:pPr>
              <w:spacing w:line="276" w:lineRule="auto"/>
              <w:jc w:val="center"/>
              <w:rPr>
                <w:sz w:val="18"/>
                <w:szCs w:val="18"/>
              </w:rPr>
            </w:pPr>
            <w:r>
              <w:rPr>
                <w:sz w:val="18"/>
                <w:szCs w:val="18"/>
              </w:rPr>
              <w:t>560.45</w:t>
            </w:r>
          </w:p>
        </w:tc>
        <w:tc>
          <w:tcPr>
            <w:tcW w:w="598" w:type="pct"/>
            <w:vMerge w:val="restart"/>
            <w:vAlign w:val="center"/>
          </w:tcPr>
          <w:p w14:paraId="6C89D752">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continue"/>
            <w:vAlign w:val="center"/>
          </w:tcPr>
          <w:p w14:paraId="3607A6CB">
            <w:pPr>
              <w:spacing w:line="276" w:lineRule="auto"/>
              <w:jc w:val="center"/>
              <w:rPr>
                <w:sz w:val="18"/>
                <w:szCs w:val="18"/>
              </w:rPr>
            </w:pPr>
          </w:p>
        </w:tc>
        <w:tc>
          <w:tcPr>
            <w:tcW w:w="977" w:type="pct"/>
            <w:vMerge w:val="continue"/>
            <w:vAlign w:val="center"/>
          </w:tcPr>
          <w:p w14:paraId="02B1793E">
            <w:pPr>
              <w:spacing w:line="276" w:lineRule="auto"/>
              <w:jc w:val="center"/>
              <w:rPr>
                <w:sz w:val="18"/>
                <w:szCs w:val="18"/>
              </w:rPr>
            </w:pPr>
          </w:p>
        </w:tc>
      </w:tr>
      <w:tr w14:paraId="1738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5782AC09">
            <w:pPr>
              <w:spacing w:line="276" w:lineRule="auto"/>
              <w:jc w:val="center"/>
              <w:rPr>
                <w:sz w:val="18"/>
                <w:szCs w:val="18"/>
              </w:rPr>
            </w:pPr>
            <w:r>
              <w:rPr>
                <w:sz w:val="18"/>
                <w:szCs w:val="18"/>
              </w:rPr>
              <w:t>32</w:t>
            </w:r>
          </w:p>
        </w:tc>
        <w:tc>
          <w:tcPr>
            <w:tcW w:w="454" w:type="pct"/>
            <w:vMerge w:val="continue"/>
            <w:shd w:val="clear" w:color="auto" w:fill="auto"/>
            <w:vAlign w:val="center"/>
          </w:tcPr>
          <w:p w14:paraId="130D079B">
            <w:pPr>
              <w:spacing w:line="276" w:lineRule="auto"/>
              <w:jc w:val="center"/>
              <w:rPr>
                <w:sz w:val="18"/>
                <w:szCs w:val="18"/>
              </w:rPr>
            </w:pPr>
          </w:p>
        </w:tc>
        <w:tc>
          <w:tcPr>
            <w:tcW w:w="569" w:type="pct"/>
            <w:vMerge w:val="continue"/>
            <w:vAlign w:val="center"/>
          </w:tcPr>
          <w:p w14:paraId="551E0497">
            <w:pPr>
              <w:spacing w:line="276" w:lineRule="auto"/>
              <w:jc w:val="center"/>
              <w:rPr>
                <w:sz w:val="18"/>
                <w:szCs w:val="18"/>
              </w:rPr>
            </w:pPr>
          </w:p>
        </w:tc>
        <w:tc>
          <w:tcPr>
            <w:tcW w:w="453" w:type="pct"/>
            <w:vMerge w:val="continue"/>
            <w:vAlign w:val="center"/>
          </w:tcPr>
          <w:p w14:paraId="06FA2470">
            <w:pPr>
              <w:spacing w:line="276" w:lineRule="auto"/>
              <w:jc w:val="center"/>
              <w:rPr>
                <w:sz w:val="18"/>
                <w:szCs w:val="18"/>
              </w:rPr>
            </w:pPr>
          </w:p>
        </w:tc>
        <w:tc>
          <w:tcPr>
            <w:tcW w:w="568" w:type="pct"/>
            <w:vMerge w:val="continue"/>
            <w:vAlign w:val="center"/>
          </w:tcPr>
          <w:p w14:paraId="660E3B6C">
            <w:pPr>
              <w:spacing w:line="276" w:lineRule="auto"/>
              <w:jc w:val="center"/>
              <w:rPr>
                <w:sz w:val="18"/>
                <w:szCs w:val="18"/>
              </w:rPr>
            </w:pPr>
          </w:p>
        </w:tc>
        <w:tc>
          <w:tcPr>
            <w:tcW w:w="569" w:type="pct"/>
            <w:vMerge w:val="continue"/>
            <w:vAlign w:val="center"/>
          </w:tcPr>
          <w:p w14:paraId="7D2E7872">
            <w:pPr>
              <w:spacing w:line="276" w:lineRule="auto"/>
              <w:jc w:val="center"/>
              <w:rPr>
                <w:sz w:val="18"/>
                <w:szCs w:val="18"/>
              </w:rPr>
            </w:pPr>
          </w:p>
        </w:tc>
        <w:tc>
          <w:tcPr>
            <w:tcW w:w="598" w:type="pct"/>
            <w:vMerge w:val="continue"/>
            <w:vAlign w:val="center"/>
          </w:tcPr>
          <w:p w14:paraId="070200EE">
            <w:pPr>
              <w:spacing w:line="276" w:lineRule="auto"/>
              <w:jc w:val="center"/>
              <w:rPr>
                <w:sz w:val="18"/>
                <w:szCs w:val="18"/>
              </w:rPr>
            </w:pPr>
          </w:p>
        </w:tc>
        <w:tc>
          <w:tcPr>
            <w:tcW w:w="501" w:type="pct"/>
            <w:vMerge w:val="continue"/>
            <w:vAlign w:val="center"/>
          </w:tcPr>
          <w:p w14:paraId="2BC87D33">
            <w:pPr>
              <w:spacing w:line="276" w:lineRule="auto"/>
              <w:jc w:val="center"/>
              <w:rPr>
                <w:sz w:val="18"/>
                <w:szCs w:val="18"/>
              </w:rPr>
            </w:pPr>
          </w:p>
        </w:tc>
        <w:tc>
          <w:tcPr>
            <w:tcW w:w="977" w:type="pct"/>
            <w:vMerge w:val="continue"/>
            <w:vAlign w:val="center"/>
          </w:tcPr>
          <w:p w14:paraId="52836956">
            <w:pPr>
              <w:spacing w:line="276" w:lineRule="auto"/>
              <w:jc w:val="center"/>
              <w:rPr>
                <w:sz w:val="18"/>
                <w:szCs w:val="18"/>
              </w:rPr>
            </w:pPr>
          </w:p>
        </w:tc>
      </w:tr>
      <w:tr w14:paraId="7F40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61455DFC">
            <w:pPr>
              <w:spacing w:line="276" w:lineRule="auto"/>
              <w:jc w:val="center"/>
              <w:rPr>
                <w:sz w:val="18"/>
                <w:szCs w:val="18"/>
              </w:rPr>
            </w:pPr>
            <w:r>
              <w:rPr>
                <w:sz w:val="18"/>
                <w:szCs w:val="18"/>
              </w:rPr>
              <w:t>33</w:t>
            </w:r>
          </w:p>
        </w:tc>
        <w:tc>
          <w:tcPr>
            <w:tcW w:w="454" w:type="pct"/>
            <w:vMerge w:val="continue"/>
            <w:shd w:val="clear" w:color="auto" w:fill="auto"/>
            <w:vAlign w:val="center"/>
          </w:tcPr>
          <w:p w14:paraId="2064BCC1">
            <w:pPr>
              <w:spacing w:line="276" w:lineRule="auto"/>
              <w:jc w:val="center"/>
              <w:rPr>
                <w:sz w:val="18"/>
                <w:szCs w:val="18"/>
              </w:rPr>
            </w:pPr>
          </w:p>
        </w:tc>
        <w:tc>
          <w:tcPr>
            <w:tcW w:w="569" w:type="pct"/>
            <w:vMerge w:val="continue"/>
            <w:vAlign w:val="center"/>
          </w:tcPr>
          <w:p w14:paraId="4B1C823B">
            <w:pPr>
              <w:spacing w:line="276" w:lineRule="auto"/>
              <w:jc w:val="center"/>
              <w:rPr>
                <w:sz w:val="18"/>
                <w:szCs w:val="18"/>
              </w:rPr>
            </w:pPr>
          </w:p>
        </w:tc>
        <w:tc>
          <w:tcPr>
            <w:tcW w:w="453" w:type="pct"/>
            <w:vMerge w:val="continue"/>
            <w:vAlign w:val="center"/>
          </w:tcPr>
          <w:p w14:paraId="2B8CDC11">
            <w:pPr>
              <w:spacing w:line="276" w:lineRule="auto"/>
              <w:jc w:val="center"/>
              <w:rPr>
                <w:sz w:val="18"/>
                <w:szCs w:val="18"/>
              </w:rPr>
            </w:pPr>
          </w:p>
        </w:tc>
        <w:tc>
          <w:tcPr>
            <w:tcW w:w="568" w:type="pct"/>
            <w:vMerge w:val="continue"/>
            <w:vAlign w:val="center"/>
          </w:tcPr>
          <w:p w14:paraId="76DCF94C">
            <w:pPr>
              <w:spacing w:line="276" w:lineRule="auto"/>
              <w:jc w:val="center"/>
              <w:rPr>
                <w:sz w:val="18"/>
                <w:szCs w:val="18"/>
              </w:rPr>
            </w:pPr>
          </w:p>
        </w:tc>
        <w:tc>
          <w:tcPr>
            <w:tcW w:w="569" w:type="pct"/>
            <w:vMerge w:val="continue"/>
            <w:vAlign w:val="center"/>
          </w:tcPr>
          <w:p w14:paraId="543C571C">
            <w:pPr>
              <w:spacing w:line="276" w:lineRule="auto"/>
              <w:jc w:val="center"/>
              <w:rPr>
                <w:sz w:val="18"/>
                <w:szCs w:val="18"/>
              </w:rPr>
            </w:pPr>
          </w:p>
        </w:tc>
        <w:tc>
          <w:tcPr>
            <w:tcW w:w="598" w:type="pct"/>
            <w:vMerge w:val="continue"/>
            <w:vAlign w:val="center"/>
          </w:tcPr>
          <w:p w14:paraId="5C0E5A5F">
            <w:pPr>
              <w:spacing w:line="276" w:lineRule="auto"/>
              <w:jc w:val="center"/>
              <w:rPr>
                <w:sz w:val="18"/>
                <w:szCs w:val="18"/>
              </w:rPr>
            </w:pPr>
          </w:p>
        </w:tc>
        <w:tc>
          <w:tcPr>
            <w:tcW w:w="501" w:type="pct"/>
            <w:vMerge w:val="continue"/>
            <w:vAlign w:val="center"/>
          </w:tcPr>
          <w:p w14:paraId="2F5E2DB0">
            <w:pPr>
              <w:spacing w:line="276" w:lineRule="auto"/>
              <w:jc w:val="center"/>
              <w:rPr>
                <w:sz w:val="18"/>
                <w:szCs w:val="18"/>
              </w:rPr>
            </w:pPr>
          </w:p>
        </w:tc>
        <w:tc>
          <w:tcPr>
            <w:tcW w:w="977" w:type="pct"/>
            <w:vMerge w:val="continue"/>
            <w:vAlign w:val="center"/>
          </w:tcPr>
          <w:p w14:paraId="56D66434">
            <w:pPr>
              <w:spacing w:line="276" w:lineRule="auto"/>
              <w:jc w:val="center"/>
              <w:rPr>
                <w:sz w:val="18"/>
                <w:szCs w:val="18"/>
              </w:rPr>
            </w:pPr>
          </w:p>
        </w:tc>
      </w:tr>
      <w:tr w14:paraId="3893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11D8489C">
            <w:pPr>
              <w:spacing w:line="276" w:lineRule="auto"/>
              <w:jc w:val="center"/>
              <w:rPr>
                <w:sz w:val="18"/>
                <w:szCs w:val="18"/>
              </w:rPr>
            </w:pPr>
            <w:r>
              <w:rPr>
                <w:sz w:val="18"/>
                <w:szCs w:val="18"/>
              </w:rPr>
              <w:t>34</w:t>
            </w:r>
          </w:p>
        </w:tc>
        <w:tc>
          <w:tcPr>
            <w:tcW w:w="454" w:type="pct"/>
            <w:vMerge w:val="restart"/>
            <w:shd w:val="clear" w:color="auto" w:fill="auto"/>
            <w:vAlign w:val="center"/>
          </w:tcPr>
          <w:p w14:paraId="33D24A8A">
            <w:pPr>
              <w:jc w:val="center"/>
              <w:rPr>
                <w:sz w:val="18"/>
                <w:szCs w:val="18"/>
              </w:rPr>
            </w:pPr>
            <w:r>
              <w:rPr>
                <w:sz w:val="18"/>
                <w:szCs w:val="18"/>
              </w:rPr>
              <w:t>2-31</w:t>
            </w:r>
          </w:p>
          <w:p w14:paraId="69E5C58B">
            <w:pPr>
              <w:jc w:val="center"/>
              <w:rPr>
                <w:sz w:val="18"/>
                <w:szCs w:val="18"/>
              </w:rPr>
            </w:pPr>
            <w:r>
              <w:rPr>
                <w:sz w:val="18"/>
                <w:szCs w:val="18"/>
              </w:rPr>
              <w:t>2-35</w:t>
            </w:r>
          </w:p>
          <w:p w14:paraId="289BEFC7">
            <w:pPr>
              <w:jc w:val="center"/>
              <w:rPr>
                <w:sz w:val="18"/>
                <w:szCs w:val="18"/>
              </w:rPr>
            </w:pPr>
            <w:r>
              <w:rPr>
                <w:sz w:val="18"/>
                <w:szCs w:val="18"/>
              </w:rPr>
              <w:t>2-36</w:t>
            </w:r>
          </w:p>
        </w:tc>
        <w:tc>
          <w:tcPr>
            <w:tcW w:w="569" w:type="pct"/>
            <w:vMerge w:val="continue"/>
            <w:vAlign w:val="center"/>
          </w:tcPr>
          <w:p w14:paraId="4013FB80">
            <w:pPr>
              <w:spacing w:line="276" w:lineRule="auto"/>
              <w:jc w:val="center"/>
              <w:rPr>
                <w:sz w:val="18"/>
                <w:szCs w:val="18"/>
              </w:rPr>
            </w:pPr>
          </w:p>
        </w:tc>
        <w:tc>
          <w:tcPr>
            <w:tcW w:w="453" w:type="pct"/>
            <w:vMerge w:val="restart"/>
            <w:vAlign w:val="center"/>
          </w:tcPr>
          <w:p w14:paraId="0E9B9FF1">
            <w:pPr>
              <w:spacing w:line="276" w:lineRule="auto"/>
              <w:jc w:val="center"/>
              <w:rPr>
                <w:sz w:val="18"/>
                <w:szCs w:val="18"/>
              </w:rPr>
            </w:pPr>
            <w:r>
              <w:rPr>
                <w:sz w:val="18"/>
                <w:szCs w:val="18"/>
              </w:rPr>
              <w:t>二钻一抓成槽</w:t>
            </w:r>
          </w:p>
        </w:tc>
        <w:tc>
          <w:tcPr>
            <w:tcW w:w="568" w:type="pct"/>
            <w:vMerge w:val="restart"/>
            <w:vAlign w:val="center"/>
          </w:tcPr>
          <w:p w14:paraId="320D2762">
            <w:pPr>
              <w:spacing w:line="276" w:lineRule="auto"/>
              <w:jc w:val="center"/>
              <w:rPr>
                <w:sz w:val="18"/>
                <w:szCs w:val="18"/>
              </w:rPr>
            </w:pPr>
            <w:r>
              <w:rPr>
                <w:sz w:val="18"/>
                <w:szCs w:val="18"/>
              </w:rPr>
              <w:t>≤25m</w:t>
            </w:r>
          </w:p>
        </w:tc>
        <w:tc>
          <w:tcPr>
            <w:tcW w:w="569" w:type="pct"/>
            <w:vMerge w:val="restart"/>
            <w:vAlign w:val="center"/>
          </w:tcPr>
          <w:p w14:paraId="22C38F1E">
            <w:pPr>
              <w:spacing w:line="276" w:lineRule="auto"/>
              <w:jc w:val="center"/>
              <w:rPr>
                <w:sz w:val="18"/>
                <w:szCs w:val="18"/>
              </w:rPr>
            </w:pPr>
            <w:r>
              <w:rPr>
                <w:sz w:val="18"/>
                <w:szCs w:val="18"/>
              </w:rPr>
              <w:t>536.85</w:t>
            </w:r>
          </w:p>
        </w:tc>
        <w:tc>
          <w:tcPr>
            <w:tcW w:w="598" w:type="pct"/>
            <w:vMerge w:val="restart"/>
            <w:vAlign w:val="center"/>
          </w:tcPr>
          <w:p w14:paraId="5F4495BA">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restart"/>
            <w:vAlign w:val="center"/>
          </w:tcPr>
          <w:p w14:paraId="6B7CB9F8">
            <w:pPr>
              <w:spacing w:line="276" w:lineRule="auto"/>
              <w:jc w:val="center"/>
              <w:rPr>
                <w:sz w:val="18"/>
                <w:szCs w:val="18"/>
              </w:rPr>
            </w:pPr>
            <w:r>
              <w:rPr>
                <w:sz w:val="18"/>
                <w:szCs w:val="18"/>
              </w:rPr>
              <w:t>1.00</w:t>
            </w:r>
          </w:p>
        </w:tc>
        <w:tc>
          <w:tcPr>
            <w:tcW w:w="977" w:type="pct"/>
            <w:vMerge w:val="restart"/>
            <w:vAlign w:val="center"/>
          </w:tcPr>
          <w:p w14:paraId="6ABF62E8">
            <w:pPr>
              <w:spacing w:line="276" w:lineRule="auto"/>
              <w:jc w:val="center"/>
              <w:rPr>
                <w:sz w:val="18"/>
                <w:szCs w:val="18"/>
              </w:rPr>
            </w:pPr>
            <w:r>
              <w:rPr>
                <w:sz w:val="18"/>
                <w:szCs w:val="18"/>
              </w:rPr>
              <w:t>钢筋另计</w:t>
            </w:r>
          </w:p>
        </w:tc>
      </w:tr>
      <w:tr w14:paraId="463E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3343B4ED">
            <w:pPr>
              <w:spacing w:line="276" w:lineRule="auto"/>
              <w:jc w:val="center"/>
              <w:rPr>
                <w:sz w:val="18"/>
                <w:szCs w:val="18"/>
              </w:rPr>
            </w:pPr>
            <w:r>
              <w:rPr>
                <w:sz w:val="18"/>
                <w:szCs w:val="18"/>
              </w:rPr>
              <w:t>35</w:t>
            </w:r>
          </w:p>
        </w:tc>
        <w:tc>
          <w:tcPr>
            <w:tcW w:w="454" w:type="pct"/>
            <w:vMerge w:val="continue"/>
            <w:shd w:val="clear" w:color="auto" w:fill="auto"/>
            <w:vAlign w:val="center"/>
          </w:tcPr>
          <w:p w14:paraId="2A53BAF4">
            <w:pPr>
              <w:jc w:val="center"/>
              <w:rPr>
                <w:sz w:val="18"/>
                <w:szCs w:val="18"/>
              </w:rPr>
            </w:pPr>
          </w:p>
        </w:tc>
        <w:tc>
          <w:tcPr>
            <w:tcW w:w="569" w:type="pct"/>
            <w:vMerge w:val="continue"/>
            <w:vAlign w:val="center"/>
          </w:tcPr>
          <w:p w14:paraId="2B17F0B9">
            <w:pPr>
              <w:spacing w:line="276" w:lineRule="auto"/>
              <w:jc w:val="center"/>
              <w:rPr>
                <w:sz w:val="18"/>
                <w:szCs w:val="18"/>
              </w:rPr>
            </w:pPr>
          </w:p>
        </w:tc>
        <w:tc>
          <w:tcPr>
            <w:tcW w:w="453" w:type="pct"/>
            <w:vMerge w:val="continue"/>
            <w:vAlign w:val="center"/>
          </w:tcPr>
          <w:p w14:paraId="143D07BC">
            <w:pPr>
              <w:spacing w:line="276" w:lineRule="auto"/>
              <w:jc w:val="center"/>
              <w:rPr>
                <w:sz w:val="18"/>
                <w:szCs w:val="18"/>
              </w:rPr>
            </w:pPr>
          </w:p>
        </w:tc>
        <w:tc>
          <w:tcPr>
            <w:tcW w:w="568" w:type="pct"/>
            <w:vMerge w:val="continue"/>
            <w:vAlign w:val="center"/>
          </w:tcPr>
          <w:p w14:paraId="40AA6857">
            <w:pPr>
              <w:spacing w:line="276" w:lineRule="auto"/>
              <w:jc w:val="center"/>
              <w:rPr>
                <w:sz w:val="18"/>
                <w:szCs w:val="18"/>
              </w:rPr>
            </w:pPr>
          </w:p>
        </w:tc>
        <w:tc>
          <w:tcPr>
            <w:tcW w:w="569" w:type="pct"/>
            <w:vMerge w:val="continue"/>
            <w:vAlign w:val="center"/>
          </w:tcPr>
          <w:p w14:paraId="3AAD40B0">
            <w:pPr>
              <w:spacing w:line="276" w:lineRule="auto"/>
              <w:jc w:val="center"/>
              <w:rPr>
                <w:sz w:val="18"/>
                <w:szCs w:val="18"/>
              </w:rPr>
            </w:pPr>
          </w:p>
        </w:tc>
        <w:tc>
          <w:tcPr>
            <w:tcW w:w="598" w:type="pct"/>
            <w:vMerge w:val="continue"/>
            <w:vAlign w:val="center"/>
          </w:tcPr>
          <w:p w14:paraId="7A004DEE">
            <w:pPr>
              <w:spacing w:line="276" w:lineRule="auto"/>
              <w:jc w:val="center"/>
              <w:rPr>
                <w:sz w:val="18"/>
                <w:szCs w:val="18"/>
              </w:rPr>
            </w:pPr>
          </w:p>
        </w:tc>
        <w:tc>
          <w:tcPr>
            <w:tcW w:w="501" w:type="pct"/>
            <w:vMerge w:val="continue"/>
            <w:vAlign w:val="center"/>
          </w:tcPr>
          <w:p w14:paraId="4885E6B4">
            <w:pPr>
              <w:spacing w:line="276" w:lineRule="auto"/>
              <w:jc w:val="center"/>
              <w:rPr>
                <w:sz w:val="18"/>
                <w:szCs w:val="18"/>
              </w:rPr>
            </w:pPr>
          </w:p>
        </w:tc>
        <w:tc>
          <w:tcPr>
            <w:tcW w:w="977" w:type="pct"/>
            <w:vMerge w:val="continue"/>
            <w:vAlign w:val="center"/>
          </w:tcPr>
          <w:p w14:paraId="5B59B0C6">
            <w:pPr>
              <w:spacing w:line="276" w:lineRule="auto"/>
              <w:jc w:val="center"/>
              <w:rPr>
                <w:sz w:val="18"/>
                <w:szCs w:val="18"/>
              </w:rPr>
            </w:pPr>
          </w:p>
        </w:tc>
      </w:tr>
      <w:tr w14:paraId="5F3E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7791D9B0">
            <w:pPr>
              <w:spacing w:line="276" w:lineRule="auto"/>
              <w:jc w:val="center"/>
              <w:rPr>
                <w:sz w:val="18"/>
                <w:szCs w:val="18"/>
              </w:rPr>
            </w:pPr>
            <w:r>
              <w:rPr>
                <w:sz w:val="18"/>
                <w:szCs w:val="18"/>
              </w:rPr>
              <w:t>36</w:t>
            </w:r>
          </w:p>
        </w:tc>
        <w:tc>
          <w:tcPr>
            <w:tcW w:w="454" w:type="pct"/>
            <w:vMerge w:val="continue"/>
            <w:shd w:val="clear" w:color="auto" w:fill="auto"/>
            <w:vAlign w:val="center"/>
          </w:tcPr>
          <w:p w14:paraId="5B6A6CE3">
            <w:pPr>
              <w:jc w:val="center"/>
              <w:rPr>
                <w:sz w:val="18"/>
                <w:szCs w:val="18"/>
              </w:rPr>
            </w:pPr>
          </w:p>
        </w:tc>
        <w:tc>
          <w:tcPr>
            <w:tcW w:w="569" w:type="pct"/>
            <w:vMerge w:val="continue"/>
            <w:vAlign w:val="center"/>
          </w:tcPr>
          <w:p w14:paraId="00474D5A">
            <w:pPr>
              <w:spacing w:line="276" w:lineRule="auto"/>
              <w:jc w:val="center"/>
              <w:rPr>
                <w:sz w:val="18"/>
                <w:szCs w:val="18"/>
              </w:rPr>
            </w:pPr>
          </w:p>
        </w:tc>
        <w:tc>
          <w:tcPr>
            <w:tcW w:w="453" w:type="pct"/>
            <w:vMerge w:val="continue"/>
            <w:vAlign w:val="center"/>
          </w:tcPr>
          <w:p w14:paraId="7140DB32">
            <w:pPr>
              <w:spacing w:line="276" w:lineRule="auto"/>
              <w:jc w:val="center"/>
              <w:rPr>
                <w:sz w:val="18"/>
                <w:szCs w:val="18"/>
              </w:rPr>
            </w:pPr>
          </w:p>
        </w:tc>
        <w:tc>
          <w:tcPr>
            <w:tcW w:w="568" w:type="pct"/>
            <w:vMerge w:val="continue"/>
            <w:vAlign w:val="center"/>
          </w:tcPr>
          <w:p w14:paraId="19EE3613">
            <w:pPr>
              <w:spacing w:line="276" w:lineRule="auto"/>
              <w:jc w:val="center"/>
              <w:rPr>
                <w:sz w:val="18"/>
                <w:szCs w:val="18"/>
              </w:rPr>
            </w:pPr>
          </w:p>
        </w:tc>
        <w:tc>
          <w:tcPr>
            <w:tcW w:w="569" w:type="pct"/>
            <w:vMerge w:val="continue"/>
            <w:vAlign w:val="center"/>
          </w:tcPr>
          <w:p w14:paraId="38C1A4D1">
            <w:pPr>
              <w:spacing w:line="276" w:lineRule="auto"/>
              <w:jc w:val="center"/>
              <w:rPr>
                <w:sz w:val="18"/>
                <w:szCs w:val="18"/>
              </w:rPr>
            </w:pPr>
          </w:p>
        </w:tc>
        <w:tc>
          <w:tcPr>
            <w:tcW w:w="598" w:type="pct"/>
            <w:vMerge w:val="continue"/>
            <w:vAlign w:val="center"/>
          </w:tcPr>
          <w:p w14:paraId="184FE209">
            <w:pPr>
              <w:spacing w:line="276" w:lineRule="auto"/>
              <w:jc w:val="center"/>
              <w:rPr>
                <w:sz w:val="18"/>
                <w:szCs w:val="18"/>
              </w:rPr>
            </w:pPr>
          </w:p>
        </w:tc>
        <w:tc>
          <w:tcPr>
            <w:tcW w:w="501" w:type="pct"/>
            <w:vMerge w:val="continue"/>
            <w:vAlign w:val="center"/>
          </w:tcPr>
          <w:p w14:paraId="41288A78">
            <w:pPr>
              <w:spacing w:line="276" w:lineRule="auto"/>
              <w:jc w:val="center"/>
              <w:rPr>
                <w:sz w:val="18"/>
                <w:szCs w:val="18"/>
              </w:rPr>
            </w:pPr>
          </w:p>
        </w:tc>
        <w:tc>
          <w:tcPr>
            <w:tcW w:w="977" w:type="pct"/>
            <w:vMerge w:val="continue"/>
            <w:vAlign w:val="center"/>
          </w:tcPr>
          <w:p w14:paraId="7456AA50">
            <w:pPr>
              <w:spacing w:line="276" w:lineRule="auto"/>
              <w:jc w:val="center"/>
              <w:rPr>
                <w:sz w:val="18"/>
                <w:szCs w:val="18"/>
              </w:rPr>
            </w:pPr>
          </w:p>
        </w:tc>
      </w:tr>
      <w:tr w14:paraId="1457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0BD0A6E4">
            <w:pPr>
              <w:spacing w:line="276" w:lineRule="auto"/>
              <w:jc w:val="center"/>
              <w:rPr>
                <w:sz w:val="18"/>
                <w:szCs w:val="18"/>
              </w:rPr>
            </w:pPr>
            <w:r>
              <w:rPr>
                <w:sz w:val="18"/>
                <w:szCs w:val="18"/>
              </w:rPr>
              <w:t>37</w:t>
            </w:r>
          </w:p>
        </w:tc>
        <w:tc>
          <w:tcPr>
            <w:tcW w:w="454" w:type="pct"/>
            <w:shd w:val="clear" w:color="auto" w:fill="auto"/>
            <w:vAlign w:val="center"/>
          </w:tcPr>
          <w:p w14:paraId="627DB748">
            <w:pPr>
              <w:jc w:val="center"/>
              <w:rPr>
                <w:sz w:val="18"/>
                <w:szCs w:val="18"/>
              </w:rPr>
            </w:pPr>
            <w:r>
              <w:rPr>
                <w:sz w:val="18"/>
                <w:szCs w:val="18"/>
              </w:rPr>
              <w:t>2-32</w:t>
            </w:r>
          </w:p>
        </w:tc>
        <w:tc>
          <w:tcPr>
            <w:tcW w:w="569" w:type="pct"/>
            <w:vMerge w:val="continue"/>
            <w:vAlign w:val="center"/>
          </w:tcPr>
          <w:p w14:paraId="628464E3">
            <w:pPr>
              <w:spacing w:line="276" w:lineRule="auto"/>
              <w:jc w:val="center"/>
              <w:rPr>
                <w:sz w:val="18"/>
                <w:szCs w:val="18"/>
              </w:rPr>
            </w:pPr>
          </w:p>
        </w:tc>
        <w:tc>
          <w:tcPr>
            <w:tcW w:w="453" w:type="pct"/>
            <w:vMerge w:val="restart"/>
            <w:vAlign w:val="center"/>
          </w:tcPr>
          <w:p w14:paraId="39625955">
            <w:pPr>
              <w:spacing w:line="276" w:lineRule="auto"/>
              <w:jc w:val="center"/>
              <w:rPr>
                <w:sz w:val="18"/>
                <w:szCs w:val="18"/>
              </w:rPr>
            </w:pPr>
            <w:r>
              <w:rPr>
                <w:sz w:val="18"/>
                <w:szCs w:val="18"/>
              </w:rPr>
              <w:t>锁口管吊拔</w:t>
            </w:r>
          </w:p>
        </w:tc>
        <w:tc>
          <w:tcPr>
            <w:tcW w:w="568" w:type="pct"/>
            <w:vAlign w:val="center"/>
          </w:tcPr>
          <w:p w14:paraId="4EDF0468">
            <w:pPr>
              <w:spacing w:line="276" w:lineRule="auto"/>
              <w:jc w:val="center"/>
              <w:rPr>
                <w:sz w:val="18"/>
                <w:szCs w:val="18"/>
              </w:rPr>
            </w:pPr>
            <w:r>
              <w:rPr>
                <w:sz w:val="18"/>
                <w:szCs w:val="18"/>
              </w:rPr>
              <w:t>≤15m</w:t>
            </w:r>
          </w:p>
        </w:tc>
        <w:tc>
          <w:tcPr>
            <w:tcW w:w="569" w:type="pct"/>
            <w:vAlign w:val="center"/>
          </w:tcPr>
          <w:p w14:paraId="088B515A">
            <w:pPr>
              <w:spacing w:line="276" w:lineRule="auto"/>
              <w:jc w:val="center"/>
              <w:rPr>
                <w:sz w:val="18"/>
                <w:szCs w:val="18"/>
              </w:rPr>
            </w:pPr>
            <w:r>
              <w:rPr>
                <w:sz w:val="18"/>
                <w:szCs w:val="18"/>
              </w:rPr>
              <w:t>406.83</w:t>
            </w:r>
          </w:p>
        </w:tc>
        <w:tc>
          <w:tcPr>
            <w:tcW w:w="598" w:type="pct"/>
            <w:vAlign w:val="center"/>
          </w:tcPr>
          <w:p w14:paraId="47A26FAC">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restart"/>
            <w:vAlign w:val="center"/>
          </w:tcPr>
          <w:p w14:paraId="607396BE">
            <w:pPr>
              <w:spacing w:line="276" w:lineRule="auto"/>
              <w:jc w:val="center"/>
              <w:rPr>
                <w:sz w:val="18"/>
                <w:szCs w:val="18"/>
              </w:rPr>
            </w:pPr>
            <w:r>
              <w:rPr>
                <w:sz w:val="18"/>
                <w:szCs w:val="18"/>
              </w:rPr>
              <w:t>1.00</w:t>
            </w:r>
          </w:p>
        </w:tc>
        <w:tc>
          <w:tcPr>
            <w:tcW w:w="977" w:type="pct"/>
            <w:vMerge w:val="restart"/>
            <w:vAlign w:val="center"/>
          </w:tcPr>
          <w:p w14:paraId="3E642081">
            <w:pPr>
              <w:spacing w:line="276" w:lineRule="auto"/>
              <w:jc w:val="center"/>
              <w:rPr>
                <w:sz w:val="18"/>
                <w:szCs w:val="18"/>
              </w:rPr>
            </w:pPr>
          </w:p>
        </w:tc>
      </w:tr>
      <w:tr w14:paraId="74E0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2EFBA880">
            <w:pPr>
              <w:spacing w:line="276" w:lineRule="auto"/>
              <w:jc w:val="center"/>
              <w:rPr>
                <w:sz w:val="18"/>
                <w:szCs w:val="18"/>
              </w:rPr>
            </w:pPr>
            <w:r>
              <w:rPr>
                <w:sz w:val="18"/>
                <w:szCs w:val="18"/>
              </w:rPr>
              <w:t>38</w:t>
            </w:r>
          </w:p>
        </w:tc>
        <w:tc>
          <w:tcPr>
            <w:tcW w:w="454" w:type="pct"/>
            <w:shd w:val="clear" w:color="auto" w:fill="auto"/>
            <w:vAlign w:val="center"/>
          </w:tcPr>
          <w:p w14:paraId="51548A33">
            <w:pPr>
              <w:jc w:val="center"/>
              <w:rPr>
                <w:sz w:val="18"/>
                <w:szCs w:val="18"/>
              </w:rPr>
            </w:pPr>
            <w:r>
              <w:rPr>
                <w:sz w:val="18"/>
                <w:szCs w:val="18"/>
              </w:rPr>
              <w:t>2-33</w:t>
            </w:r>
          </w:p>
        </w:tc>
        <w:tc>
          <w:tcPr>
            <w:tcW w:w="569" w:type="pct"/>
            <w:vMerge w:val="continue"/>
            <w:vAlign w:val="center"/>
          </w:tcPr>
          <w:p w14:paraId="36B37E17">
            <w:pPr>
              <w:spacing w:line="276" w:lineRule="auto"/>
              <w:jc w:val="center"/>
              <w:rPr>
                <w:sz w:val="18"/>
                <w:szCs w:val="18"/>
              </w:rPr>
            </w:pPr>
          </w:p>
        </w:tc>
        <w:tc>
          <w:tcPr>
            <w:tcW w:w="453" w:type="pct"/>
            <w:vMerge w:val="continue"/>
            <w:vAlign w:val="center"/>
          </w:tcPr>
          <w:p w14:paraId="5D497E47">
            <w:pPr>
              <w:spacing w:line="276" w:lineRule="auto"/>
              <w:jc w:val="center"/>
              <w:rPr>
                <w:sz w:val="18"/>
                <w:szCs w:val="18"/>
              </w:rPr>
            </w:pPr>
          </w:p>
        </w:tc>
        <w:tc>
          <w:tcPr>
            <w:tcW w:w="568" w:type="pct"/>
            <w:vAlign w:val="center"/>
          </w:tcPr>
          <w:p w14:paraId="2CFB9194">
            <w:pPr>
              <w:spacing w:line="276" w:lineRule="auto"/>
              <w:jc w:val="center"/>
              <w:rPr>
                <w:sz w:val="18"/>
                <w:szCs w:val="18"/>
              </w:rPr>
            </w:pPr>
            <w:r>
              <w:rPr>
                <w:sz w:val="18"/>
                <w:szCs w:val="18"/>
              </w:rPr>
              <w:t>≤25m</w:t>
            </w:r>
          </w:p>
        </w:tc>
        <w:tc>
          <w:tcPr>
            <w:tcW w:w="569" w:type="pct"/>
            <w:vAlign w:val="center"/>
          </w:tcPr>
          <w:p w14:paraId="5D370DE8">
            <w:pPr>
              <w:spacing w:line="276" w:lineRule="auto"/>
              <w:jc w:val="center"/>
              <w:rPr>
                <w:sz w:val="18"/>
                <w:szCs w:val="18"/>
              </w:rPr>
            </w:pPr>
            <w:r>
              <w:rPr>
                <w:sz w:val="18"/>
                <w:szCs w:val="18"/>
              </w:rPr>
              <w:t>480.06</w:t>
            </w:r>
          </w:p>
        </w:tc>
        <w:tc>
          <w:tcPr>
            <w:tcW w:w="598" w:type="pct"/>
            <w:vAlign w:val="center"/>
          </w:tcPr>
          <w:p w14:paraId="78360F9A">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continue"/>
            <w:vAlign w:val="center"/>
          </w:tcPr>
          <w:p w14:paraId="13C529F8">
            <w:pPr>
              <w:spacing w:line="276" w:lineRule="auto"/>
              <w:jc w:val="center"/>
              <w:rPr>
                <w:sz w:val="18"/>
                <w:szCs w:val="18"/>
              </w:rPr>
            </w:pPr>
          </w:p>
        </w:tc>
        <w:tc>
          <w:tcPr>
            <w:tcW w:w="977" w:type="pct"/>
            <w:vMerge w:val="continue"/>
            <w:vAlign w:val="center"/>
          </w:tcPr>
          <w:p w14:paraId="03A98C30">
            <w:pPr>
              <w:spacing w:line="276" w:lineRule="auto"/>
              <w:jc w:val="center"/>
              <w:rPr>
                <w:sz w:val="18"/>
                <w:szCs w:val="18"/>
              </w:rPr>
            </w:pPr>
          </w:p>
        </w:tc>
      </w:tr>
      <w:tr w14:paraId="70AE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2DCC8F1F">
            <w:pPr>
              <w:spacing w:line="276" w:lineRule="auto"/>
              <w:jc w:val="center"/>
              <w:rPr>
                <w:sz w:val="18"/>
                <w:szCs w:val="18"/>
              </w:rPr>
            </w:pPr>
            <w:r>
              <w:rPr>
                <w:sz w:val="18"/>
                <w:szCs w:val="18"/>
              </w:rPr>
              <w:t>39</w:t>
            </w:r>
          </w:p>
        </w:tc>
        <w:tc>
          <w:tcPr>
            <w:tcW w:w="454" w:type="pct"/>
            <w:shd w:val="clear" w:color="auto" w:fill="auto"/>
            <w:vAlign w:val="center"/>
          </w:tcPr>
          <w:p w14:paraId="39D4C6EE">
            <w:pPr>
              <w:jc w:val="center"/>
              <w:rPr>
                <w:sz w:val="18"/>
                <w:szCs w:val="18"/>
              </w:rPr>
            </w:pPr>
            <w:r>
              <w:rPr>
                <w:sz w:val="18"/>
                <w:szCs w:val="18"/>
              </w:rPr>
              <w:t>2-34</w:t>
            </w:r>
          </w:p>
        </w:tc>
        <w:tc>
          <w:tcPr>
            <w:tcW w:w="569" w:type="pct"/>
            <w:vMerge w:val="continue"/>
            <w:vAlign w:val="center"/>
          </w:tcPr>
          <w:p w14:paraId="1B003B6B">
            <w:pPr>
              <w:spacing w:line="276" w:lineRule="auto"/>
              <w:jc w:val="center"/>
              <w:rPr>
                <w:sz w:val="18"/>
                <w:szCs w:val="18"/>
              </w:rPr>
            </w:pPr>
          </w:p>
        </w:tc>
        <w:tc>
          <w:tcPr>
            <w:tcW w:w="453" w:type="pct"/>
            <w:vMerge w:val="continue"/>
            <w:vAlign w:val="center"/>
          </w:tcPr>
          <w:p w14:paraId="0812FC8B">
            <w:pPr>
              <w:spacing w:line="276" w:lineRule="auto"/>
              <w:jc w:val="center"/>
              <w:rPr>
                <w:sz w:val="18"/>
                <w:szCs w:val="18"/>
              </w:rPr>
            </w:pPr>
          </w:p>
        </w:tc>
        <w:tc>
          <w:tcPr>
            <w:tcW w:w="568" w:type="pct"/>
            <w:vAlign w:val="center"/>
          </w:tcPr>
          <w:p w14:paraId="32596E14">
            <w:pPr>
              <w:spacing w:line="276" w:lineRule="auto"/>
              <w:jc w:val="center"/>
              <w:rPr>
                <w:sz w:val="18"/>
                <w:szCs w:val="18"/>
              </w:rPr>
            </w:pPr>
            <w:r>
              <w:rPr>
                <w:sz w:val="18"/>
                <w:szCs w:val="18"/>
              </w:rPr>
              <w:t>&gt;25m</w:t>
            </w:r>
          </w:p>
        </w:tc>
        <w:tc>
          <w:tcPr>
            <w:tcW w:w="569" w:type="pct"/>
            <w:vAlign w:val="center"/>
          </w:tcPr>
          <w:p w14:paraId="5208A291">
            <w:pPr>
              <w:spacing w:line="276" w:lineRule="auto"/>
              <w:jc w:val="center"/>
              <w:rPr>
                <w:sz w:val="18"/>
                <w:szCs w:val="18"/>
              </w:rPr>
            </w:pPr>
            <w:r>
              <w:rPr>
                <w:sz w:val="18"/>
                <w:szCs w:val="18"/>
              </w:rPr>
              <w:t>623.50</w:t>
            </w:r>
          </w:p>
        </w:tc>
        <w:tc>
          <w:tcPr>
            <w:tcW w:w="598" w:type="pct"/>
            <w:vAlign w:val="center"/>
          </w:tcPr>
          <w:p w14:paraId="2BC18427">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Merge w:val="continue"/>
            <w:vAlign w:val="center"/>
          </w:tcPr>
          <w:p w14:paraId="5EEC8757">
            <w:pPr>
              <w:spacing w:line="276" w:lineRule="auto"/>
              <w:jc w:val="center"/>
              <w:rPr>
                <w:sz w:val="18"/>
                <w:szCs w:val="18"/>
              </w:rPr>
            </w:pPr>
          </w:p>
        </w:tc>
        <w:tc>
          <w:tcPr>
            <w:tcW w:w="977" w:type="pct"/>
            <w:vMerge w:val="continue"/>
            <w:vAlign w:val="center"/>
          </w:tcPr>
          <w:p w14:paraId="7DB4205A">
            <w:pPr>
              <w:spacing w:line="276" w:lineRule="auto"/>
              <w:jc w:val="center"/>
              <w:rPr>
                <w:sz w:val="18"/>
                <w:szCs w:val="18"/>
              </w:rPr>
            </w:pPr>
          </w:p>
        </w:tc>
      </w:tr>
      <w:tr w14:paraId="23E2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19077DE0">
            <w:pPr>
              <w:spacing w:line="276" w:lineRule="auto"/>
              <w:jc w:val="center"/>
              <w:rPr>
                <w:sz w:val="18"/>
                <w:szCs w:val="18"/>
              </w:rPr>
            </w:pPr>
            <w:r>
              <w:rPr>
                <w:sz w:val="18"/>
                <w:szCs w:val="18"/>
              </w:rPr>
              <w:t>40</w:t>
            </w:r>
          </w:p>
        </w:tc>
        <w:tc>
          <w:tcPr>
            <w:tcW w:w="454" w:type="pct"/>
            <w:shd w:val="clear" w:color="auto" w:fill="auto"/>
            <w:vAlign w:val="center"/>
          </w:tcPr>
          <w:p w14:paraId="6398AAEA">
            <w:pPr>
              <w:jc w:val="center"/>
              <w:rPr>
                <w:sz w:val="18"/>
                <w:szCs w:val="18"/>
              </w:rPr>
            </w:pPr>
            <w:r>
              <w:rPr>
                <w:sz w:val="18"/>
                <w:szCs w:val="18"/>
              </w:rPr>
              <w:t>5-125</w:t>
            </w:r>
          </w:p>
        </w:tc>
        <w:tc>
          <w:tcPr>
            <w:tcW w:w="569" w:type="pct"/>
            <w:vMerge w:val="continue"/>
            <w:vAlign w:val="center"/>
          </w:tcPr>
          <w:p w14:paraId="2253C4E0">
            <w:pPr>
              <w:spacing w:line="276" w:lineRule="auto"/>
              <w:jc w:val="center"/>
              <w:rPr>
                <w:sz w:val="18"/>
                <w:szCs w:val="18"/>
              </w:rPr>
            </w:pPr>
          </w:p>
        </w:tc>
        <w:tc>
          <w:tcPr>
            <w:tcW w:w="453" w:type="pct"/>
            <w:vMerge w:val="restart"/>
            <w:vAlign w:val="center"/>
          </w:tcPr>
          <w:p w14:paraId="7A87EA51">
            <w:pPr>
              <w:spacing w:line="276" w:lineRule="auto"/>
              <w:jc w:val="center"/>
              <w:rPr>
                <w:sz w:val="18"/>
                <w:szCs w:val="18"/>
              </w:rPr>
            </w:pPr>
            <w:r>
              <w:rPr>
                <w:sz w:val="18"/>
                <w:szCs w:val="18"/>
              </w:rPr>
              <w:t>钢筋笼</w:t>
            </w:r>
          </w:p>
        </w:tc>
        <w:tc>
          <w:tcPr>
            <w:tcW w:w="568" w:type="pct"/>
            <w:vAlign w:val="center"/>
          </w:tcPr>
          <w:p w14:paraId="030ED26B">
            <w:pPr>
              <w:spacing w:line="276" w:lineRule="auto"/>
              <w:jc w:val="center"/>
              <w:rPr>
                <w:sz w:val="18"/>
                <w:szCs w:val="18"/>
              </w:rPr>
            </w:pPr>
            <w:r>
              <w:rPr>
                <w:sz w:val="18"/>
                <w:szCs w:val="18"/>
              </w:rPr>
              <w:t>≤15m</w:t>
            </w:r>
          </w:p>
        </w:tc>
        <w:tc>
          <w:tcPr>
            <w:tcW w:w="569" w:type="pct"/>
            <w:vAlign w:val="center"/>
          </w:tcPr>
          <w:p w14:paraId="3D5F550B">
            <w:pPr>
              <w:spacing w:line="276" w:lineRule="auto"/>
              <w:jc w:val="center"/>
              <w:rPr>
                <w:sz w:val="18"/>
                <w:szCs w:val="18"/>
              </w:rPr>
            </w:pPr>
            <w:r>
              <w:rPr>
                <w:sz w:val="18"/>
                <w:szCs w:val="18"/>
              </w:rPr>
              <w:t>2711.16</w:t>
            </w:r>
          </w:p>
        </w:tc>
        <w:tc>
          <w:tcPr>
            <w:tcW w:w="598" w:type="pct"/>
            <w:vAlign w:val="center"/>
          </w:tcPr>
          <w:p w14:paraId="53B220F7">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restart"/>
            <w:vAlign w:val="center"/>
          </w:tcPr>
          <w:p w14:paraId="342A6857">
            <w:pPr>
              <w:spacing w:line="276" w:lineRule="auto"/>
              <w:jc w:val="center"/>
              <w:rPr>
                <w:sz w:val="18"/>
                <w:szCs w:val="18"/>
              </w:rPr>
            </w:pPr>
            <w:r>
              <w:rPr>
                <w:sz w:val="18"/>
                <w:szCs w:val="18"/>
              </w:rPr>
              <w:t>1.00</w:t>
            </w:r>
          </w:p>
        </w:tc>
        <w:tc>
          <w:tcPr>
            <w:tcW w:w="977" w:type="pct"/>
            <w:vMerge w:val="restart"/>
            <w:vAlign w:val="center"/>
          </w:tcPr>
          <w:p w14:paraId="60B2B1A7">
            <w:pPr>
              <w:spacing w:line="276" w:lineRule="auto"/>
              <w:jc w:val="center"/>
              <w:rPr>
                <w:sz w:val="18"/>
                <w:szCs w:val="18"/>
              </w:rPr>
            </w:pPr>
          </w:p>
        </w:tc>
      </w:tr>
      <w:tr w14:paraId="72BB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021DBEAD">
            <w:pPr>
              <w:jc w:val="center"/>
              <w:rPr>
                <w:sz w:val="18"/>
                <w:szCs w:val="18"/>
              </w:rPr>
            </w:pPr>
            <w:r>
              <w:rPr>
                <w:sz w:val="18"/>
                <w:szCs w:val="18"/>
              </w:rPr>
              <w:t>41</w:t>
            </w:r>
          </w:p>
        </w:tc>
        <w:tc>
          <w:tcPr>
            <w:tcW w:w="454" w:type="pct"/>
            <w:shd w:val="clear" w:color="auto" w:fill="auto"/>
            <w:vAlign w:val="center"/>
          </w:tcPr>
          <w:p w14:paraId="049F827B">
            <w:pPr>
              <w:jc w:val="center"/>
              <w:rPr>
                <w:sz w:val="18"/>
                <w:szCs w:val="18"/>
              </w:rPr>
            </w:pPr>
            <w:r>
              <w:rPr>
                <w:sz w:val="18"/>
                <w:szCs w:val="18"/>
              </w:rPr>
              <w:t>5-126</w:t>
            </w:r>
          </w:p>
        </w:tc>
        <w:tc>
          <w:tcPr>
            <w:tcW w:w="569" w:type="pct"/>
            <w:vMerge w:val="continue"/>
            <w:vAlign w:val="center"/>
          </w:tcPr>
          <w:p w14:paraId="3A2B9A98">
            <w:pPr>
              <w:spacing w:line="276" w:lineRule="auto"/>
              <w:jc w:val="center"/>
              <w:rPr>
                <w:sz w:val="18"/>
                <w:szCs w:val="18"/>
              </w:rPr>
            </w:pPr>
          </w:p>
        </w:tc>
        <w:tc>
          <w:tcPr>
            <w:tcW w:w="453" w:type="pct"/>
            <w:vMerge w:val="continue"/>
            <w:vAlign w:val="center"/>
          </w:tcPr>
          <w:p w14:paraId="1B032AFD">
            <w:pPr>
              <w:spacing w:line="276" w:lineRule="auto"/>
              <w:jc w:val="center"/>
              <w:rPr>
                <w:sz w:val="18"/>
                <w:szCs w:val="18"/>
              </w:rPr>
            </w:pPr>
          </w:p>
        </w:tc>
        <w:tc>
          <w:tcPr>
            <w:tcW w:w="568" w:type="pct"/>
            <w:vAlign w:val="center"/>
          </w:tcPr>
          <w:p w14:paraId="2D7CD6AD">
            <w:pPr>
              <w:spacing w:line="276" w:lineRule="auto"/>
              <w:jc w:val="center"/>
              <w:rPr>
                <w:sz w:val="18"/>
                <w:szCs w:val="18"/>
              </w:rPr>
            </w:pPr>
            <w:r>
              <w:rPr>
                <w:sz w:val="18"/>
                <w:szCs w:val="18"/>
              </w:rPr>
              <w:t>≤25m</w:t>
            </w:r>
          </w:p>
        </w:tc>
        <w:tc>
          <w:tcPr>
            <w:tcW w:w="569" w:type="pct"/>
            <w:vAlign w:val="center"/>
          </w:tcPr>
          <w:p w14:paraId="083DEDA6">
            <w:pPr>
              <w:spacing w:line="276" w:lineRule="auto"/>
              <w:jc w:val="center"/>
              <w:rPr>
                <w:sz w:val="18"/>
                <w:szCs w:val="18"/>
              </w:rPr>
            </w:pPr>
            <w:r>
              <w:rPr>
                <w:sz w:val="18"/>
                <w:szCs w:val="18"/>
              </w:rPr>
              <w:t>2704.58</w:t>
            </w:r>
          </w:p>
        </w:tc>
        <w:tc>
          <w:tcPr>
            <w:tcW w:w="598" w:type="pct"/>
            <w:vAlign w:val="center"/>
          </w:tcPr>
          <w:p w14:paraId="5FFDDA76">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continue"/>
            <w:vAlign w:val="center"/>
          </w:tcPr>
          <w:p w14:paraId="0E9E2E11">
            <w:pPr>
              <w:spacing w:line="276" w:lineRule="auto"/>
              <w:jc w:val="center"/>
              <w:rPr>
                <w:sz w:val="18"/>
                <w:szCs w:val="18"/>
              </w:rPr>
            </w:pPr>
          </w:p>
        </w:tc>
        <w:tc>
          <w:tcPr>
            <w:tcW w:w="977" w:type="pct"/>
            <w:vMerge w:val="continue"/>
            <w:vAlign w:val="center"/>
          </w:tcPr>
          <w:p w14:paraId="41960F39">
            <w:pPr>
              <w:spacing w:line="276" w:lineRule="auto"/>
              <w:jc w:val="center"/>
              <w:rPr>
                <w:sz w:val="18"/>
                <w:szCs w:val="18"/>
              </w:rPr>
            </w:pPr>
          </w:p>
        </w:tc>
      </w:tr>
      <w:tr w14:paraId="48C1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1FFA62D1">
            <w:pPr>
              <w:spacing w:line="276" w:lineRule="auto"/>
              <w:jc w:val="center"/>
              <w:rPr>
                <w:sz w:val="18"/>
                <w:szCs w:val="18"/>
              </w:rPr>
            </w:pPr>
            <w:r>
              <w:rPr>
                <w:sz w:val="18"/>
                <w:szCs w:val="18"/>
              </w:rPr>
              <w:t>42</w:t>
            </w:r>
          </w:p>
        </w:tc>
        <w:tc>
          <w:tcPr>
            <w:tcW w:w="454" w:type="pct"/>
            <w:shd w:val="clear" w:color="auto" w:fill="auto"/>
            <w:vAlign w:val="center"/>
          </w:tcPr>
          <w:p w14:paraId="517B321A">
            <w:pPr>
              <w:jc w:val="center"/>
              <w:rPr>
                <w:sz w:val="18"/>
                <w:szCs w:val="18"/>
              </w:rPr>
            </w:pPr>
            <w:r>
              <w:rPr>
                <w:sz w:val="18"/>
                <w:szCs w:val="18"/>
              </w:rPr>
              <w:t>5-127</w:t>
            </w:r>
          </w:p>
        </w:tc>
        <w:tc>
          <w:tcPr>
            <w:tcW w:w="569" w:type="pct"/>
            <w:vMerge w:val="continue"/>
            <w:vAlign w:val="center"/>
          </w:tcPr>
          <w:p w14:paraId="6DB12507">
            <w:pPr>
              <w:spacing w:line="276" w:lineRule="auto"/>
              <w:jc w:val="center"/>
              <w:rPr>
                <w:sz w:val="18"/>
                <w:szCs w:val="18"/>
              </w:rPr>
            </w:pPr>
          </w:p>
        </w:tc>
        <w:tc>
          <w:tcPr>
            <w:tcW w:w="453" w:type="pct"/>
            <w:vMerge w:val="continue"/>
            <w:vAlign w:val="center"/>
          </w:tcPr>
          <w:p w14:paraId="0E210EE0">
            <w:pPr>
              <w:spacing w:line="276" w:lineRule="auto"/>
              <w:jc w:val="center"/>
              <w:rPr>
                <w:sz w:val="18"/>
                <w:szCs w:val="18"/>
              </w:rPr>
            </w:pPr>
          </w:p>
        </w:tc>
        <w:tc>
          <w:tcPr>
            <w:tcW w:w="568" w:type="pct"/>
            <w:vAlign w:val="center"/>
          </w:tcPr>
          <w:p w14:paraId="6DEFCA75">
            <w:pPr>
              <w:spacing w:line="276" w:lineRule="auto"/>
              <w:jc w:val="center"/>
              <w:rPr>
                <w:sz w:val="18"/>
                <w:szCs w:val="18"/>
              </w:rPr>
            </w:pPr>
            <w:r>
              <w:rPr>
                <w:sz w:val="18"/>
                <w:szCs w:val="18"/>
              </w:rPr>
              <w:t>&gt;25m</w:t>
            </w:r>
          </w:p>
        </w:tc>
        <w:tc>
          <w:tcPr>
            <w:tcW w:w="569" w:type="pct"/>
            <w:vAlign w:val="center"/>
          </w:tcPr>
          <w:p w14:paraId="7612F7D5">
            <w:pPr>
              <w:spacing w:line="276" w:lineRule="auto"/>
              <w:jc w:val="center"/>
              <w:rPr>
                <w:sz w:val="18"/>
                <w:szCs w:val="18"/>
              </w:rPr>
            </w:pPr>
            <w:r>
              <w:rPr>
                <w:sz w:val="18"/>
                <w:szCs w:val="18"/>
              </w:rPr>
              <w:t>2699.68</w:t>
            </w:r>
          </w:p>
        </w:tc>
        <w:tc>
          <w:tcPr>
            <w:tcW w:w="598" w:type="pct"/>
            <w:vAlign w:val="center"/>
          </w:tcPr>
          <w:p w14:paraId="62D72579">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continue"/>
            <w:vAlign w:val="center"/>
          </w:tcPr>
          <w:p w14:paraId="218D7657">
            <w:pPr>
              <w:spacing w:line="276" w:lineRule="auto"/>
              <w:jc w:val="center"/>
              <w:rPr>
                <w:sz w:val="18"/>
                <w:szCs w:val="18"/>
              </w:rPr>
            </w:pPr>
          </w:p>
        </w:tc>
        <w:tc>
          <w:tcPr>
            <w:tcW w:w="977" w:type="pct"/>
            <w:vMerge w:val="continue"/>
            <w:vAlign w:val="center"/>
          </w:tcPr>
          <w:p w14:paraId="398B0512">
            <w:pPr>
              <w:spacing w:line="276" w:lineRule="auto"/>
              <w:jc w:val="center"/>
              <w:rPr>
                <w:sz w:val="18"/>
                <w:szCs w:val="18"/>
              </w:rPr>
            </w:pPr>
          </w:p>
        </w:tc>
      </w:tr>
      <w:tr w14:paraId="56B6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7093C621">
            <w:pPr>
              <w:spacing w:line="276" w:lineRule="auto"/>
              <w:jc w:val="center"/>
              <w:rPr>
                <w:sz w:val="18"/>
                <w:szCs w:val="18"/>
              </w:rPr>
            </w:pPr>
            <w:r>
              <w:rPr>
                <w:sz w:val="18"/>
                <w:szCs w:val="18"/>
              </w:rPr>
              <w:t>43</w:t>
            </w:r>
          </w:p>
        </w:tc>
        <w:tc>
          <w:tcPr>
            <w:tcW w:w="454" w:type="pct"/>
            <w:shd w:val="clear" w:color="auto" w:fill="auto"/>
            <w:vAlign w:val="center"/>
          </w:tcPr>
          <w:p w14:paraId="08A926CA">
            <w:pPr>
              <w:spacing w:line="276" w:lineRule="auto"/>
              <w:jc w:val="center"/>
              <w:rPr>
                <w:sz w:val="18"/>
                <w:szCs w:val="18"/>
              </w:rPr>
            </w:pPr>
            <w:r>
              <w:rPr>
                <w:sz w:val="18"/>
                <w:szCs w:val="18"/>
              </w:rPr>
              <w:t>2-19</w:t>
            </w:r>
          </w:p>
        </w:tc>
        <w:tc>
          <w:tcPr>
            <w:tcW w:w="569" w:type="pct"/>
            <w:vMerge w:val="restart"/>
            <w:vAlign w:val="center"/>
          </w:tcPr>
          <w:p w14:paraId="12C84E20">
            <w:pPr>
              <w:spacing w:line="276" w:lineRule="auto"/>
              <w:jc w:val="center"/>
              <w:rPr>
                <w:sz w:val="18"/>
                <w:szCs w:val="18"/>
              </w:rPr>
            </w:pPr>
            <w:r>
              <w:rPr>
                <w:sz w:val="18"/>
                <w:szCs w:val="18"/>
              </w:rPr>
              <w:t>导墙</w:t>
            </w:r>
          </w:p>
        </w:tc>
        <w:tc>
          <w:tcPr>
            <w:tcW w:w="1021" w:type="pct"/>
            <w:gridSpan w:val="2"/>
            <w:vAlign w:val="center"/>
          </w:tcPr>
          <w:p w14:paraId="1328CD25">
            <w:pPr>
              <w:spacing w:line="276" w:lineRule="auto"/>
              <w:jc w:val="center"/>
              <w:rPr>
                <w:sz w:val="18"/>
                <w:szCs w:val="18"/>
              </w:rPr>
            </w:pPr>
            <w:r>
              <w:rPr>
                <w:sz w:val="18"/>
                <w:szCs w:val="18"/>
              </w:rPr>
              <w:t>导墙开挖</w:t>
            </w:r>
          </w:p>
        </w:tc>
        <w:tc>
          <w:tcPr>
            <w:tcW w:w="569" w:type="pct"/>
            <w:vAlign w:val="center"/>
          </w:tcPr>
          <w:p w14:paraId="18053872">
            <w:pPr>
              <w:spacing w:line="276" w:lineRule="auto"/>
              <w:jc w:val="center"/>
              <w:rPr>
                <w:sz w:val="18"/>
                <w:szCs w:val="18"/>
              </w:rPr>
            </w:pPr>
            <w:r>
              <w:rPr>
                <w:sz w:val="18"/>
                <w:szCs w:val="18"/>
              </w:rPr>
              <w:t>2.17</w:t>
            </w:r>
          </w:p>
        </w:tc>
        <w:tc>
          <w:tcPr>
            <w:tcW w:w="598" w:type="pct"/>
            <w:vAlign w:val="center"/>
          </w:tcPr>
          <w:p w14:paraId="2F9CF09E">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Align w:val="center"/>
          </w:tcPr>
          <w:p w14:paraId="44BD1E99">
            <w:pPr>
              <w:spacing w:line="276" w:lineRule="auto"/>
              <w:jc w:val="center"/>
              <w:rPr>
                <w:sz w:val="18"/>
                <w:szCs w:val="18"/>
              </w:rPr>
            </w:pPr>
            <w:r>
              <w:rPr>
                <w:sz w:val="18"/>
                <w:szCs w:val="18"/>
              </w:rPr>
              <w:t>1.00</w:t>
            </w:r>
          </w:p>
        </w:tc>
        <w:tc>
          <w:tcPr>
            <w:tcW w:w="977" w:type="pct"/>
            <w:vAlign w:val="center"/>
          </w:tcPr>
          <w:p w14:paraId="4F41A5B6">
            <w:pPr>
              <w:spacing w:line="276" w:lineRule="auto"/>
              <w:jc w:val="center"/>
              <w:rPr>
                <w:sz w:val="18"/>
                <w:szCs w:val="18"/>
              </w:rPr>
            </w:pPr>
            <w:r>
              <w:rPr>
                <w:sz w:val="18"/>
                <w:szCs w:val="18"/>
              </w:rPr>
              <w:t>依据2021版预算定额</w:t>
            </w:r>
          </w:p>
        </w:tc>
      </w:tr>
      <w:tr w14:paraId="4FE3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1B542BC4">
            <w:pPr>
              <w:spacing w:line="276" w:lineRule="auto"/>
              <w:jc w:val="center"/>
              <w:rPr>
                <w:sz w:val="18"/>
                <w:szCs w:val="18"/>
              </w:rPr>
            </w:pPr>
            <w:r>
              <w:rPr>
                <w:sz w:val="18"/>
                <w:szCs w:val="18"/>
              </w:rPr>
              <w:t>44</w:t>
            </w:r>
          </w:p>
        </w:tc>
        <w:tc>
          <w:tcPr>
            <w:tcW w:w="454" w:type="pct"/>
            <w:shd w:val="clear" w:color="auto" w:fill="auto"/>
            <w:vAlign w:val="center"/>
          </w:tcPr>
          <w:p w14:paraId="21C418CA">
            <w:pPr>
              <w:spacing w:line="276" w:lineRule="auto"/>
              <w:jc w:val="center"/>
              <w:rPr>
                <w:sz w:val="18"/>
                <w:szCs w:val="18"/>
              </w:rPr>
            </w:pPr>
            <w:r>
              <w:rPr>
                <w:sz w:val="18"/>
                <w:szCs w:val="18"/>
              </w:rPr>
              <w:t>5-21</w:t>
            </w:r>
          </w:p>
        </w:tc>
        <w:tc>
          <w:tcPr>
            <w:tcW w:w="569" w:type="pct"/>
            <w:vMerge w:val="continue"/>
            <w:vAlign w:val="center"/>
          </w:tcPr>
          <w:p w14:paraId="1D00207D">
            <w:pPr>
              <w:spacing w:line="276" w:lineRule="auto"/>
              <w:jc w:val="center"/>
              <w:rPr>
                <w:sz w:val="18"/>
                <w:szCs w:val="18"/>
              </w:rPr>
            </w:pPr>
          </w:p>
        </w:tc>
        <w:tc>
          <w:tcPr>
            <w:tcW w:w="1021" w:type="pct"/>
            <w:gridSpan w:val="2"/>
            <w:vAlign w:val="center"/>
          </w:tcPr>
          <w:p w14:paraId="776634E0">
            <w:pPr>
              <w:spacing w:line="276" w:lineRule="auto"/>
              <w:jc w:val="center"/>
              <w:rPr>
                <w:sz w:val="18"/>
                <w:szCs w:val="18"/>
              </w:rPr>
            </w:pPr>
            <w:r>
              <w:rPr>
                <w:sz w:val="18"/>
                <w:szCs w:val="18"/>
              </w:rPr>
              <w:t>导墙混凝土</w:t>
            </w:r>
          </w:p>
        </w:tc>
        <w:tc>
          <w:tcPr>
            <w:tcW w:w="569" w:type="pct"/>
            <w:vAlign w:val="center"/>
          </w:tcPr>
          <w:p w14:paraId="193E364D">
            <w:pPr>
              <w:spacing w:line="276" w:lineRule="auto"/>
              <w:jc w:val="center"/>
              <w:rPr>
                <w:sz w:val="18"/>
                <w:szCs w:val="18"/>
              </w:rPr>
            </w:pPr>
            <w:r>
              <w:rPr>
                <w:sz w:val="18"/>
                <w:szCs w:val="18"/>
              </w:rPr>
              <w:t>291.48</w:t>
            </w:r>
          </w:p>
        </w:tc>
        <w:tc>
          <w:tcPr>
            <w:tcW w:w="598" w:type="pct"/>
            <w:vAlign w:val="center"/>
          </w:tcPr>
          <w:p w14:paraId="2A9A4819">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vAlign w:val="center"/>
          </w:tcPr>
          <w:p w14:paraId="3FC9EAC0">
            <w:pPr>
              <w:spacing w:line="276" w:lineRule="auto"/>
              <w:jc w:val="center"/>
              <w:rPr>
                <w:sz w:val="18"/>
                <w:szCs w:val="18"/>
              </w:rPr>
            </w:pPr>
            <w:r>
              <w:rPr>
                <w:sz w:val="18"/>
                <w:szCs w:val="18"/>
              </w:rPr>
              <w:t>1.00</w:t>
            </w:r>
          </w:p>
        </w:tc>
        <w:tc>
          <w:tcPr>
            <w:tcW w:w="977" w:type="pct"/>
            <w:vAlign w:val="center"/>
          </w:tcPr>
          <w:p w14:paraId="6818A8B1">
            <w:pPr>
              <w:spacing w:line="276" w:lineRule="auto"/>
              <w:jc w:val="center"/>
              <w:rPr>
                <w:sz w:val="18"/>
                <w:szCs w:val="18"/>
              </w:rPr>
            </w:pPr>
          </w:p>
        </w:tc>
      </w:tr>
      <w:tr w14:paraId="7110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528AC819">
            <w:pPr>
              <w:spacing w:line="276" w:lineRule="auto"/>
              <w:jc w:val="center"/>
              <w:rPr>
                <w:sz w:val="18"/>
                <w:szCs w:val="18"/>
              </w:rPr>
            </w:pPr>
            <w:r>
              <w:rPr>
                <w:sz w:val="18"/>
                <w:szCs w:val="18"/>
              </w:rPr>
              <w:t>45</w:t>
            </w:r>
          </w:p>
        </w:tc>
        <w:tc>
          <w:tcPr>
            <w:tcW w:w="454" w:type="pct"/>
            <w:vMerge w:val="restart"/>
            <w:shd w:val="clear" w:color="auto" w:fill="auto"/>
            <w:vAlign w:val="center"/>
          </w:tcPr>
          <w:p w14:paraId="1AAFE8F6">
            <w:pPr>
              <w:jc w:val="center"/>
              <w:rPr>
                <w:sz w:val="18"/>
                <w:szCs w:val="18"/>
              </w:rPr>
            </w:pPr>
            <w:r>
              <w:rPr>
                <w:sz w:val="18"/>
                <w:szCs w:val="18"/>
              </w:rPr>
              <w:t>5-112</w:t>
            </w:r>
          </w:p>
          <w:p w14:paraId="7585B692">
            <w:pPr>
              <w:jc w:val="center"/>
              <w:rPr>
                <w:sz w:val="18"/>
                <w:szCs w:val="18"/>
              </w:rPr>
            </w:pPr>
            <w:r>
              <w:rPr>
                <w:sz w:val="18"/>
                <w:szCs w:val="18"/>
              </w:rPr>
              <w:t>5-115</w:t>
            </w:r>
          </w:p>
        </w:tc>
        <w:tc>
          <w:tcPr>
            <w:tcW w:w="569" w:type="pct"/>
            <w:vMerge w:val="continue"/>
            <w:vAlign w:val="center"/>
          </w:tcPr>
          <w:p w14:paraId="04E69FE7">
            <w:pPr>
              <w:spacing w:line="276" w:lineRule="auto"/>
              <w:jc w:val="center"/>
              <w:rPr>
                <w:sz w:val="18"/>
                <w:szCs w:val="18"/>
              </w:rPr>
            </w:pPr>
          </w:p>
        </w:tc>
        <w:tc>
          <w:tcPr>
            <w:tcW w:w="453" w:type="pct"/>
            <w:vMerge w:val="restart"/>
            <w:vAlign w:val="center"/>
          </w:tcPr>
          <w:p w14:paraId="0C1400E2">
            <w:pPr>
              <w:spacing w:line="276" w:lineRule="auto"/>
              <w:jc w:val="center"/>
              <w:rPr>
                <w:sz w:val="18"/>
                <w:szCs w:val="18"/>
              </w:rPr>
            </w:pPr>
            <w:r>
              <w:rPr>
                <w:sz w:val="18"/>
                <w:szCs w:val="18"/>
              </w:rPr>
              <w:t>导墙钢筋</w:t>
            </w:r>
          </w:p>
        </w:tc>
        <w:tc>
          <w:tcPr>
            <w:tcW w:w="568" w:type="pct"/>
            <w:vMerge w:val="restart"/>
            <w:vAlign w:val="center"/>
          </w:tcPr>
          <w:p w14:paraId="6B8AB0E3">
            <w:pPr>
              <w:spacing w:line="276" w:lineRule="auto"/>
              <w:jc w:val="center"/>
              <w:rPr>
                <w:sz w:val="18"/>
                <w:szCs w:val="18"/>
              </w:rPr>
            </w:pPr>
            <w:r>
              <w:rPr>
                <w:sz w:val="18"/>
                <w:szCs w:val="18"/>
              </w:rPr>
              <w:t>≤Φ10</w:t>
            </w:r>
          </w:p>
        </w:tc>
        <w:tc>
          <w:tcPr>
            <w:tcW w:w="569" w:type="pct"/>
            <w:vMerge w:val="restart"/>
            <w:vAlign w:val="center"/>
          </w:tcPr>
          <w:p w14:paraId="72667242">
            <w:pPr>
              <w:spacing w:line="276" w:lineRule="auto"/>
              <w:jc w:val="center"/>
              <w:rPr>
                <w:sz w:val="18"/>
                <w:szCs w:val="18"/>
              </w:rPr>
            </w:pPr>
            <w:r>
              <w:rPr>
                <w:sz w:val="18"/>
                <w:szCs w:val="18"/>
              </w:rPr>
              <w:t>2519.06</w:t>
            </w:r>
          </w:p>
        </w:tc>
        <w:tc>
          <w:tcPr>
            <w:tcW w:w="598" w:type="pct"/>
            <w:vMerge w:val="restart"/>
            <w:vAlign w:val="center"/>
          </w:tcPr>
          <w:p w14:paraId="6DD88E85">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restart"/>
            <w:vAlign w:val="center"/>
          </w:tcPr>
          <w:p w14:paraId="03487AC3">
            <w:pPr>
              <w:spacing w:line="276" w:lineRule="auto"/>
              <w:jc w:val="center"/>
              <w:rPr>
                <w:sz w:val="18"/>
                <w:szCs w:val="18"/>
              </w:rPr>
            </w:pPr>
            <w:r>
              <w:rPr>
                <w:sz w:val="18"/>
                <w:szCs w:val="18"/>
              </w:rPr>
              <w:t>1.00</w:t>
            </w:r>
          </w:p>
        </w:tc>
        <w:tc>
          <w:tcPr>
            <w:tcW w:w="977" w:type="pct"/>
            <w:vMerge w:val="restart"/>
            <w:vAlign w:val="center"/>
          </w:tcPr>
          <w:p w14:paraId="4D391208">
            <w:pPr>
              <w:spacing w:line="276" w:lineRule="auto"/>
              <w:jc w:val="center"/>
              <w:rPr>
                <w:sz w:val="18"/>
                <w:szCs w:val="18"/>
              </w:rPr>
            </w:pPr>
          </w:p>
        </w:tc>
      </w:tr>
      <w:tr w14:paraId="1FFB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7CF9E294">
            <w:pPr>
              <w:spacing w:line="276" w:lineRule="auto"/>
              <w:jc w:val="center"/>
              <w:rPr>
                <w:sz w:val="18"/>
                <w:szCs w:val="18"/>
              </w:rPr>
            </w:pPr>
            <w:r>
              <w:rPr>
                <w:sz w:val="18"/>
                <w:szCs w:val="18"/>
              </w:rPr>
              <w:t>46</w:t>
            </w:r>
          </w:p>
        </w:tc>
        <w:tc>
          <w:tcPr>
            <w:tcW w:w="454" w:type="pct"/>
            <w:vMerge w:val="continue"/>
            <w:shd w:val="clear" w:color="auto" w:fill="auto"/>
            <w:vAlign w:val="center"/>
          </w:tcPr>
          <w:p w14:paraId="444161C3">
            <w:pPr>
              <w:jc w:val="center"/>
              <w:rPr>
                <w:sz w:val="18"/>
                <w:szCs w:val="18"/>
              </w:rPr>
            </w:pPr>
          </w:p>
        </w:tc>
        <w:tc>
          <w:tcPr>
            <w:tcW w:w="569" w:type="pct"/>
            <w:vMerge w:val="continue"/>
            <w:vAlign w:val="center"/>
          </w:tcPr>
          <w:p w14:paraId="46F69746">
            <w:pPr>
              <w:spacing w:line="276" w:lineRule="auto"/>
              <w:jc w:val="center"/>
              <w:rPr>
                <w:sz w:val="18"/>
                <w:szCs w:val="18"/>
              </w:rPr>
            </w:pPr>
          </w:p>
        </w:tc>
        <w:tc>
          <w:tcPr>
            <w:tcW w:w="453" w:type="pct"/>
            <w:vMerge w:val="continue"/>
            <w:vAlign w:val="center"/>
          </w:tcPr>
          <w:p w14:paraId="17BBFE22">
            <w:pPr>
              <w:spacing w:line="276" w:lineRule="auto"/>
              <w:jc w:val="center"/>
              <w:rPr>
                <w:sz w:val="18"/>
                <w:szCs w:val="18"/>
              </w:rPr>
            </w:pPr>
          </w:p>
        </w:tc>
        <w:tc>
          <w:tcPr>
            <w:tcW w:w="568" w:type="pct"/>
            <w:vMerge w:val="continue"/>
            <w:vAlign w:val="center"/>
          </w:tcPr>
          <w:p w14:paraId="778E78B5">
            <w:pPr>
              <w:spacing w:line="276" w:lineRule="auto"/>
              <w:jc w:val="center"/>
              <w:rPr>
                <w:sz w:val="18"/>
                <w:szCs w:val="18"/>
              </w:rPr>
            </w:pPr>
          </w:p>
        </w:tc>
        <w:tc>
          <w:tcPr>
            <w:tcW w:w="569" w:type="pct"/>
            <w:vMerge w:val="continue"/>
            <w:vAlign w:val="center"/>
          </w:tcPr>
          <w:p w14:paraId="3CEB3392">
            <w:pPr>
              <w:spacing w:line="276" w:lineRule="auto"/>
              <w:jc w:val="center"/>
              <w:rPr>
                <w:sz w:val="18"/>
                <w:szCs w:val="18"/>
              </w:rPr>
            </w:pPr>
          </w:p>
        </w:tc>
        <w:tc>
          <w:tcPr>
            <w:tcW w:w="598" w:type="pct"/>
            <w:vMerge w:val="continue"/>
            <w:vAlign w:val="center"/>
          </w:tcPr>
          <w:p w14:paraId="236B7AEF">
            <w:pPr>
              <w:spacing w:line="276" w:lineRule="auto"/>
              <w:jc w:val="center"/>
              <w:rPr>
                <w:sz w:val="18"/>
                <w:szCs w:val="18"/>
              </w:rPr>
            </w:pPr>
          </w:p>
        </w:tc>
        <w:tc>
          <w:tcPr>
            <w:tcW w:w="501" w:type="pct"/>
            <w:vMerge w:val="continue"/>
            <w:vAlign w:val="center"/>
          </w:tcPr>
          <w:p w14:paraId="6A1C59C6">
            <w:pPr>
              <w:spacing w:line="276" w:lineRule="auto"/>
              <w:jc w:val="center"/>
              <w:rPr>
                <w:sz w:val="18"/>
                <w:szCs w:val="18"/>
              </w:rPr>
            </w:pPr>
          </w:p>
        </w:tc>
        <w:tc>
          <w:tcPr>
            <w:tcW w:w="977" w:type="pct"/>
            <w:vMerge w:val="continue"/>
            <w:vAlign w:val="center"/>
          </w:tcPr>
          <w:p w14:paraId="1F75782B">
            <w:pPr>
              <w:spacing w:line="276" w:lineRule="auto"/>
              <w:jc w:val="center"/>
              <w:rPr>
                <w:sz w:val="18"/>
                <w:szCs w:val="18"/>
              </w:rPr>
            </w:pPr>
          </w:p>
        </w:tc>
      </w:tr>
      <w:tr w14:paraId="79DF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4626FE59">
            <w:pPr>
              <w:spacing w:line="276" w:lineRule="auto"/>
              <w:jc w:val="center"/>
              <w:rPr>
                <w:sz w:val="18"/>
                <w:szCs w:val="18"/>
              </w:rPr>
            </w:pPr>
            <w:r>
              <w:rPr>
                <w:sz w:val="18"/>
                <w:szCs w:val="18"/>
              </w:rPr>
              <w:t>47</w:t>
            </w:r>
          </w:p>
        </w:tc>
        <w:tc>
          <w:tcPr>
            <w:tcW w:w="454" w:type="pct"/>
            <w:vMerge w:val="restart"/>
            <w:shd w:val="clear" w:color="auto" w:fill="auto"/>
            <w:vAlign w:val="center"/>
          </w:tcPr>
          <w:p w14:paraId="5EBD7F3E">
            <w:pPr>
              <w:jc w:val="center"/>
              <w:rPr>
                <w:sz w:val="18"/>
                <w:szCs w:val="18"/>
              </w:rPr>
            </w:pPr>
            <w:r>
              <w:rPr>
                <w:sz w:val="18"/>
                <w:szCs w:val="18"/>
              </w:rPr>
              <w:t>5-113</w:t>
            </w:r>
          </w:p>
          <w:p w14:paraId="70DCE6D4">
            <w:pPr>
              <w:jc w:val="center"/>
              <w:rPr>
                <w:sz w:val="18"/>
                <w:szCs w:val="18"/>
              </w:rPr>
            </w:pPr>
            <w:r>
              <w:rPr>
                <w:sz w:val="18"/>
                <w:szCs w:val="18"/>
              </w:rPr>
              <w:t>5-116</w:t>
            </w:r>
          </w:p>
        </w:tc>
        <w:tc>
          <w:tcPr>
            <w:tcW w:w="569" w:type="pct"/>
            <w:vMerge w:val="continue"/>
            <w:vAlign w:val="center"/>
          </w:tcPr>
          <w:p w14:paraId="4682BDA1">
            <w:pPr>
              <w:spacing w:line="276" w:lineRule="auto"/>
              <w:jc w:val="center"/>
              <w:rPr>
                <w:sz w:val="18"/>
                <w:szCs w:val="18"/>
              </w:rPr>
            </w:pPr>
          </w:p>
        </w:tc>
        <w:tc>
          <w:tcPr>
            <w:tcW w:w="453" w:type="pct"/>
            <w:vMerge w:val="continue"/>
            <w:vAlign w:val="center"/>
          </w:tcPr>
          <w:p w14:paraId="0AB49AC3">
            <w:pPr>
              <w:spacing w:line="276" w:lineRule="auto"/>
              <w:jc w:val="center"/>
              <w:rPr>
                <w:sz w:val="18"/>
                <w:szCs w:val="18"/>
              </w:rPr>
            </w:pPr>
          </w:p>
        </w:tc>
        <w:tc>
          <w:tcPr>
            <w:tcW w:w="568" w:type="pct"/>
            <w:vMerge w:val="restart"/>
            <w:vAlign w:val="center"/>
          </w:tcPr>
          <w:p w14:paraId="79D86947">
            <w:pPr>
              <w:spacing w:line="276" w:lineRule="auto"/>
              <w:jc w:val="center"/>
              <w:rPr>
                <w:sz w:val="18"/>
                <w:szCs w:val="18"/>
              </w:rPr>
            </w:pPr>
            <w:r>
              <w:rPr>
                <w:sz w:val="18"/>
                <w:szCs w:val="18"/>
              </w:rPr>
              <w:t>&gt;Φ10</w:t>
            </w:r>
          </w:p>
        </w:tc>
        <w:tc>
          <w:tcPr>
            <w:tcW w:w="569" w:type="pct"/>
            <w:vMerge w:val="restart"/>
            <w:vAlign w:val="center"/>
          </w:tcPr>
          <w:p w14:paraId="5C38C6AF">
            <w:pPr>
              <w:spacing w:line="276" w:lineRule="auto"/>
              <w:jc w:val="center"/>
              <w:rPr>
                <w:sz w:val="18"/>
                <w:szCs w:val="18"/>
              </w:rPr>
            </w:pPr>
            <w:r>
              <w:rPr>
                <w:sz w:val="18"/>
                <w:szCs w:val="18"/>
              </w:rPr>
              <w:t>2543.75</w:t>
            </w:r>
          </w:p>
        </w:tc>
        <w:tc>
          <w:tcPr>
            <w:tcW w:w="598" w:type="pct"/>
            <w:vMerge w:val="restart"/>
            <w:vAlign w:val="center"/>
          </w:tcPr>
          <w:p w14:paraId="5928CF1F">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continue"/>
            <w:vAlign w:val="center"/>
          </w:tcPr>
          <w:p w14:paraId="48A45255">
            <w:pPr>
              <w:spacing w:line="276" w:lineRule="auto"/>
              <w:jc w:val="center"/>
              <w:rPr>
                <w:sz w:val="18"/>
                <w:szCs w:val="18"/>
              </w:rPr>
            </w:pPr>
          </w:p>
        </w:tc>
        <w:tc>
          <w:tcPr>
            <w:tcW w:w="977" w:type="pct"/>
            <w:vMerge w:val="continue"/>
            <w:vAlign w:val="center"/>
          </w:tcPr>
          <w:p w14:paraId="394FEDAB">
            <w:pPr>
              <w:spacing w:line="276" w:lineRule="auto"/>
              <w:jc w:val="center"/>
              <w:rPr>
                <w:sz w:val="18"/>
                <w:szCs w:val="18"/>
              </w:rPr>
            </w:pPr>
          </w:p>
        </w:tc>
      </w:tr>
      <w:tr w14:paraId="249D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2D9A7AF1">
            <w:pPr>
              <w:spacing w:line="276" w:lineRule="auto"/>
              <w:jc w:val="center"/>
              <w:rPr>
                <w:sz w:val="18"/>
                <w:szCs w:val="18"/>
              </w:rPr>
            </w:pPr>
            <w:r>
              <w:rPr>
                <w:sz w:val="18"/>
                <w:szCs w:val="18"/>
              </w:rPr>
              <w:t>48</w:t>
            </w:r>
          </w:p>
        </w:tc>
        <w:tc>
          <w:tcPr>
            <w:tcW w:w="454" w:type="pct"/>
            <w:vMerge w:val="continue"/>
            <w:shd w:val="clear" w:color="auto" w:fill="auto"/>
            <w:vAlign w:val="center"/>
          </w:tcPr>
          <w:p w14:paraId="0A5A9D24">
            <w:pPr>
              <w:jc w:val="center"/>
              <w:rPr>
                <w:sz w:val="18"/>
                <w:szCs w:val="18"/>
              </w:rPr>
            </w:pPr>
          </w:p>
        </w:tc>
        <w:tc>
          <w:tcPr>
            <w:tcW w:w="569" w:type="pct"/>
            <w:vMerge w:val="continue"/>
            <w:vAlign w:val="center"/>
          </w:tcPr>
          <w:p w14:paraId="0D7F2F48">
            <w:pPr>
              <w:spacing w:line="276" w:lineRule="auto"/>
              <w:jc w:val="center"/>
              <w:rPr>
                <w:sz w:val="18"/>
                <w:szCs w:val="18"/>
              </w:rPr>
            </w:pPr>
          </w:p>
        </w:tc>
        <w:tc>
          <w:tcPr>
            <w:tcW w:w="453" w:type="pct"/>
            <w:vMerge w:val="continue"/>
            <w:vAlign w:val="center"/>
          </w:tcPr>
          <w:p w14:paraId="6FA1D345">
            <w:pPr>
              <w:spacing w:line="276" w:lineRule="auto"/>
              <w:jc w:val="center"/>
              <w:rPr>
                <w:sz w:val="18"/>
                <w:szCs w:val="18"/>
              </w:rPr>
            </w:pPr>
          </w:p>
        </w:tc>
        <w:tc>
          <w:tcPr>
            <w:tcW w:w="568" w:type="pct"/>
            <w:vMerge w:val="continue"/>
            <w:vAlign w:val="center"/>
          </w:tcPr>
          <w:p w14:paraId="434B714C">
            <w:pPr>
              <w:spacing w:line="276" w:lineRule="auto"/>
              <w:jc w:val="center"/>
              <w:rPr>
                <w:sz w:val="18"/>
                <w:szCs w:val="18"/>
              </w:rPr>
            </w:pPr>
          </w:p>
        </w:tc>
        <w:tc>
          <w:tcPr>
            <w:tcW w:w="569" w:type="pct"/>
            <w:vMerge w:val="continue"/>
            <w:vAlign w:val="center"/>
          </w:tcPr>
          <w:p w14:paraId="140DB9DB">
            <w:pPr>
              <w:spacing w:line="276" w:lineRule="auto"/>
              <w:jc w:val="center"/>
              <w:rPr>
                <w:sz w:val="18"/>
                <w:szCs w:val="18"/>
              </w:rPr>
            </w:pPr>
          </w:p>
        </w:tc>
        <w:tc>
          <w:tcPr>
            <w:tcW w:w="598" w:type="pct"/>
            <w:vMerge w:val="continue"/>
            <w:vAlign w:val="center"/>
          </w:tcPr>
          <w:p w14:paraId="56419387">
            <w:pPr>
              <w:spacing w:line="276" w:lineRule="auto"/>
              <w:jc w:val="center"/>
              <w:rPr>
                <w:sz w:val="18"/>
                <w:szCs w:val="18"/>
              </w:rPr>
            </w:pPr>
          </w:p>
        </w:tc>
        <w:tc>
          <w:tcPr>
            <w:tcW w:w="501" w:type="pct"/>
            <w:vMerge w:val="continue"/>
            <w:vAlign w:val="center"/>
          </w:tcPr>
          <w:p w14:paraId="25777660">
            <w:pPr>
              <w:spacing w:line="276" w:lineRule="auto"/>
              <w:jc w:val="center"/>
              <w:rPr>
                <w:sz w:val="18"/>
                <w:szCs w:val="18"/>
              </w:rPr>
            </w:pPr>
          </w:p>
        </w:tc>
        <w:tc>
          <w:tcPr>
            <w:tcW w:w="977" w:type="pct"/>
            <w:vMerge w:val="continue"/>
            <w:vAlign w:val="center"/>
          </w:tcPr>
          <w:p w14:paraId="6B42D8C9">
            <w:pPr>
              <w:spacing w:line="276" w:lineRule="auto"/>
              <w:jc w:val="center"/>
              <w:rPr>
                <w:sz w:val="18"/>
                <w:szCs w:val="18"/>
              </w:rPr>
            </w:pPr>
          </w:p>
        </w:tc>
      </w:tr>
      <w:tr w14:paraId="5C7D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18DDD2CF">
            <w:pPr>
              <w:spacing w:line="276" w:lineRule="auto"/>
              <w:jc w:val="center"/>
              <w:rPr>
                <w:sz w:val="18"/>
                <w:szCs w:val="18"/>
              </w:rPr>
            </w:pPr>
            <w:r>
              <w:rPr>
                <w:sz w:val="18"/>
                <w:szCs w:val="18"/>
              </w:rPr>
              <w:t>49</w:t>
            </w:r>
          </w:p>
        </w:tc>
        <w:tc>
          <w:tcPr>
            <w:tcW w:w="454" w:type="pct"/>
            <w:shd w:val="clear" w:color="auto" w:fill="auto"/>
            <w:vAlign w:val="center"/>
          </w:tcPr>
          <w:p w14:paraId="65E9D3C3">
            <w:pPr>
              <w:spacing w:line="276" w:lineRule="auto"/>
              <w:jc w:val="center"/>
              <w:rPr>
                <w:sz w:val="18"/>
                <w:szCs w:val="18"/>
              </w:rPr>
            </w:pPr>
            <w:r>
              <w:rPr>
                <w:sz w:val="18"/>
                <w:szCs w:val="18"/>
              </w:rPr>
              <w:t>2-44</w:t>
            </w:r>
          </w:p>
        </w:tc>
        <w:tc>
          <w:tcPr>
            <w:tcW w:w="569" w:type="pct"/>
            <w:shd w:val="clear" w:color="auto" w:fill="auto"/>
            <w:vAlign w:val="center"/>
          </w:tcPr>
          <w:p w14:paraId="7EB077E8">
            <w:pPr>
              <w:spacing w:line="276" w:lineRule="auto"/>
              <w:jc w:val="center"/>
              <w:rPr>
                <w:sz w:val="18"/>
                <w:szCs w:val="18"/>
              </w:rPr>
            </w:pPr>
            <w:r>
              <w:rPr>
                <w:sz w:val="18"/>
                <w:szCs w:val="18"/>
              </w:rPr>
              <w:t>钢腰梁</w:t>
            </w:r>
          </w:p>
        </w:tc>
        <w:tc>
          <w:tcPr>
            <w:tcW w:w="1021" w:type="pct"/>
            <w:gridSpan w:val="2"/>
            <w:shd w:val="clear" w:color="auto" w:fill="auto"/>
            <w:vAlign w:val="center"/>
          </w:tcPr>
          <w:p w14:paraId="2F4D1327">
            <w:pPr>
              <w:spacing w:line="276" w:lineRule="auto"/>
              <w:jc w:val="center"/>
              <w:rPr>
                <w:sz w:val="18"/>
                <w:szCs w:val="18"/>
              </w:rPr>
            </w:pPr>
            <w:r>
              <w:rPr>
                <w:sz w:val="18"/>
                <w:szCs w:val="18"/>
              </w:rPr>
              <w:t>/</w:t>
            </w:r>
          </w:p>
        </w:tc>
        <w:tc>
          <w:tcPr>
            <w:tcW w:w="569" w:type="pct"/>
            <w:vAlign w:val="center"/>
          </w:tcPr>
          <w:p w14:paraId="13C3FD0C">
            <w:pPr>
              <w:spacing w:line="276" w:lineRule="auto"/>
              <w:jc w:val="center"/>
              <w:rPr>
                <w:sz w:val="18"/>
                <w:szCs w:val="18"/>
              </w:rPr>
            </w:pPr>
            <w:r>
              <w:rPr>
                <w:sz w:val="18"/>
                <w:szCs w:val="18"/>
              </w:rPr>
              <w:t>356.41</w:t>
            </w:r>
          </w:p>
        </w:tc>
        <w:tc>
          <w:tcPr>
            <w:tcW w:w="598" w:type="pct"/>
            <w:shd w:val="clear" w:color="auto" w:fill="auto"/>
            <w:vAlign w:val="center"/>
          </w:tcPr>
          <w:p w14:paraId="74882425">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m</w:t>
            </w:r>
          </w:p>
        </w:tc>
        <w:tc>
          <w:tcPr>
            <w:tcW w:w="501" w:type="pct"/>
            <w:shd w:val="clear" w:color="auto" w:fill="auto"/>
            <w:vAlign w:val="center"/>
          </w:tcPr>
          <w:p w14:paraId="039BB221">
            <w:pPr>
              <w:spacing w:line="276" w:lineRule="auto"/>
              <w:jc w:val="center"/>
              <w:rPr>
                <w:sz w:val="18"/>
                <w:szCs w:val="18"/>
              </w:rPr>
            </w:pPr>
            <w:r>
              <w:rPr>
                <w:sz w:val="18"/>
                <w:szCs w:val="18"/>
              </w:rPr>
              <w:t>1.00</w:t>
            </w:r>
          </w:p>
        </w:tc>
        <w:tc>
          <w:tcPr>
            <w:tcW w:w="977" w:type="pct"/>
            <w:shd w:val="clear" w:color="auto" w:fill="auto"/>
            <w:vAlign w:val="center"/>
          </w:tcPr>
          <w:p w14:paraId="36CA4A76">
            <w:pPr>
              <w:spacing w:line="276" w:lineRule="auto"/>
              <w:jc w:val="center"/>
              <w:rPr>
                <w:sz w:val="18"/>
                <w:szCs w:val="18"/>
              </w:rPr>
            </w:pPr>
          </w:p>
        </w:tc>
      </w:tr>
      <w:tr w14:paraId="0DB5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52C71C83">
            <w:pPr>
              <w:spacing w:line="276" w:lineRule="auto"/>
              <w:jc w:val="center"/>
              <w:rPr>
                <w:sz w:val="18"/>
                <w:szCs w:val="18"/>
              </w:rPr>
            </w:pPr>
            <w:r>
              <w:rPr>
                <w:sz w:val="18"/>
                <w:szCs w:val="18"/>
              </w:rPr>
              <w:t>50</w:t>
            </w:r>
          </w:p>
        </w:tc>
        <w:tc>
          <w:tcPr>
            <w:tcW w:w="454" w:type="pct"/>
            <w:shd w:val="clear" w:color="auto" w:fill="auto"/>
            <w:vAlign w:val="center"/>
          </w:tcPr>
          <w:p w14:paraId="1986D885">
            <w:pPr>
              <w:spacing w:line="276" w:lineRule="auto"/>
              <w:jc w:val="center"/>
              <w:rPr>
                <w:sz w:val="18"/>
                <w:szCs w:val="18"/>
              </w:rPr>
            </w:pPr>
            <w:r>
              <w:rPr>
                <w:sz w:val="18"/>
                <w:szCs w:val="18"/>
              </w:rPr>
              <w:t>5-12</w:t>
            </w:r>
          </w:p>
        </w:tc>
        <w:tc>
          <w:tcPr>
            <w:tcW w:w="569" w:type="pct"/>
            <w:vMerge w:val="restart"/>
            <w:shd w:val="clear" w:color="auto" w:fill="auto"/>
            <w:vAlign w:val="center"/>
          </w:tcPr>
          <w:p w14:paraId="643BE2A4">
            <w:pPr>
              <w:spacing w:line="276" w:lineRule="auto"/>
              <w:jc w:val="center"/>
              <w:rPr>
                <w:sz w:val="18"/>
                <w:szCs w:val="18"/>
              </w:rPr>
            </w:pPr>
            <w:r>
              <w:rPr>
                <w:sz w:val="18"/>
                <w:szCs w:val="18"/>
              </w:rPr>
              <w:t>冠梁</w:t>
            </w:r>
          </w:p>
        </w:tc>
        <w:tc>
          <w:tcPr>
            <w:tcW w:w="1021" w:type="pct"/>
            <w:gridSpan w:val="2"/>
            <w:shd w:val="clear" w:color="auto" w:fill="auto"/>
            <w:vAlign w:val="center"/>
          </w:tcPr>
          <w:p w14:paraId="5843FEE2">
            <w:pPr>
              <w:spacing w:line="276" w:lineRule="auto"/>
              <w:jc w:val="center"/>
              <w:rPr>
                <w:sz w:val="18"/>
                <w:szCs w:val="18"/>
              </w:rPr>
            </w:pPr>
            <w:r>
              <w:rPr>
                <w:sz w:val="18"/>
                <w:szCs w:val="18"/>
              </w:rPr>
              <w:t>冠梁（不含钢筋）</w:t>
            </w:r>
          </w:p>
        </w:tc>
        <w:tc>
          <w:tcPr>
            <w:tcW w:w="569" w:type="pct"/>
            <w:vAlign w:val="center"/>
          </w:tcPr>
          <w:p w14:paraId="4A727B9F">
            <w:pPr>
              <w:spacing w:line="276" w:lineRule="auto"/>
              <w:jc w:val="center"/>
              <w:rPr>
                <w:sz w:val="18"/>
                <w:szCs w:val="18"/>
              </w:rPr>
            </w:pPr>
            <w:r>
              <w:rPr>
                <w:sz w:val="18"/>
                <w:szCs w:val="18"/>
              </w:rPr>
              <w:t>299.43</w:t>
            </w:r>
          </w:p>
        </w:tc>
        <w:tc>
          <w:tcPr>
            <w:tcW w:w="598" w:type="pct"/>
            <w:shd w:val="clear" w:color="auto" w:fill="auto"/>
            <w:vAlign w:val="center"/>
          </w:tcPr>
          <w:p w14:paraId="7E6E7CB0">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shd w:val="clear" w:color="auto" w:fill="auto"/>
            <w:vAlign w:val="center"/>
          </w:tcPr>
          <w:p w14:paraId="5F10BC5C">
            <w:pPr>
              <w:spacing w:line="276" w:lineRule="auto"/>
              <w:jc w:val="center"/>
              <w:rPr>
                <w:sz w:val="18"/>
                <w:szCs w:val="18"/>
              </w:rPr>
            </w:pPr>
            <w:r>
              <w:rPr>
                <w:sz w:val="18"/>
                <w:szCs w:val="18"/>
              </w:rPr>
              <w:t>1.00</w:t>
            </w:r>
          </w:p>
        </w:tc>
        <w:tc>
          <w:tcPr>
            <w:tcW w:w="977" w:type="pct"/>
            <w:shd w:val="clear" w:color="auto" w:fill="auto"/>
            <w:vAlign w:val="center"/>
          </w:tcPr>
          <w:p w14:paraId="616F0D0E">
            <w:pPr>
              <w:spacing w:line="276" w:lineRule="auto"/>
              <w:jc w:val="center"/>
              <w:rPr>
                <w:sz w:val="18"/>
                <w:szCs w:val="18"/>
              </w:rPr>
            </w:pPr>
          </w:p>
        </w:tc>
      </w:tr>
      <w:tr w14:paraId="7ABB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643C8B76">
            <w:pPr>
              <w:spacing w:line="276" w:lineRule="auto"/>
              <w:jc w:val="center"/>
              <w:rPr>
                <w:sz w:val="18"/>
                <w:szCs w:val="18"/>
              </w:rPr>
            </w:pPr>
            <w:r>
              <w:rPr>
                <w:sz w:val="18"/>
                <w:szCs w:val="18"/>
              </w:rPr>
              <w:t>51</w:t>
            </w:r>
          </w:p>
        </w:tc>
        <w:tc>
          <w:tcPr>
            <w:tcW w:w="454" w:type="pct"/>
            <w:vMerge w:val="restart"/>
            <w:shd w:val="clear" w:color="auto" w:fill="auto"/>
            <w:vAlign w:val="center"/>
          </w:tcPr>
          <w:p w14:paraId="75165444">
            <w:pPr>
              <w:spacing w:line="276" w:lineRule="auto"/>
              <w:jc w:val="center"/>
              <w:rPr>
                <w:sz w:val="18"/>
                <w:szCs w:val="18"/>
              </w:rPr>
            </w:pPr>
            <w:r>
              <w:rPr>
                <w:sz w:val="18"/>
                <w:szCs w:val="18"/>
              </w:rPr>
              <w:t>5-112</w:t>
            </w:r>
          </w:p>
          <w:p w14:paraId="626CCB05">
            <w:pPr>
              <w:spacing w:line="276" w:lineRule="auto"/>
              <w:jc w:val="center"/>
              <w:rPr>
                <w:sz w:val="18"/>
                <w:szCs w:val="18"/>
              </w:rPr>
            </w:pPr>
            <w:r>
              <w:rPr>
                <w:sz w:val="18"/>
                <w:szCs w:val="18"/>
              </w:rPr>
              <w:t>5-115</w:t>
            </w:r>
          </w:p>
        </w:tc>
        <w:tc>
          <w:tcPr>
            <w:tcW w:w="569" w:type="pct"/>
            <w:vMerge w:val="continue"/>
            <w:vAlign w:val="center"/>
          </w:tcPr>
          <w:p w14:paraId="027F3415">
            <w:pPr>
              <w:spacing w:line="276" w:lineRule="auto"/>
              <w:jc w:val="center"/>
              <w:rPr>
                <w:sz w:val="18"/>
                <w:szCs w:val="18"/>
              </w:rPr>
            </w:pPr>
          </w:p>
        </w:tc>
        <w:tc>
          <w:tcPr>
            <w:tcW w:w="453" w:type="pct"/>
            <w:vMerge w:val="restart"/>
            <w:shd w:val="clear" w:color="auto" w:fill="auto"/>
            <w:vAlign w:val="center"/>
          </w:tcPr>
          <w:p w14:paraId="0EDE437D">
            <w:pPr>
              <w:spacing w:line="276" w:lineRule="auto"/>
              <w:jc w:val="center"/>
              <w:rPr>
                <w:sz w:val="18"/>
                <w:szCs w:val="18"/>
              </w:rPr>
            </w:pPr>
            <w:r>
              <w:rPr>
                <w:sz w:val="18"/>
                <w:szCs w:val="18"/>
              </w:rPr>
              <w:t>冠梁钢筋</w:t>
            </w:r>
          </w:p>
        </w:tc>
        <w:tc>
          <w:tcPr>
            <w:tcW w:w="568" w:type="pct"/>
            <w:vMerge w:val="restart"/>
            <w:shd w:val="clear" w:color="auto" w:fill="auto"/>
            <w:vAlign w:val="center"/>
          </w:tcPr>
          <w:p w14:paraId="0A8754AB">
            <w:pPr>
              <w:spacing w:line="276" w:lineRule="auto"/>
              <w:jc w:val="center"/>
              <w:rPr>
                <w:sz w:val="18"/>
                <w:szCs w:val="18"/>
              </w:rPr>
            </w:pPr>
            <w:r>
              <w:rPr>
                <w:sz w:val="18"/>
                <w:szCs w:val="18"/>
              </w:rPr>
              <w:t xml:space="preserve">≤Φ10 </w:t>
            </w:r>
          </w:p>
        </w:tc>
        <w:tc>
          <w:tcPr>
            <w:tcW w:w="569" w:type="pct"/>
            <w:vMerge w:val="restart"/>
            <w:vAlign w:val="center"/>
          </w:tcPr>
          <w:p w14:paraId="58936765">
            <w:pPr>
              <w:spacing w:line="276" w:lineRule="auto"/>
              <w:jc w:val="center"/>
              <w:rPr>
                <w:sz w:val="18"/>
                <w:szCs w:val="18"/>
              </w:rPr>
            </w:pPr>
            <w:r>
              <w:rPr>
                <w:sz w:val="18"/>
                <w:szCs w:val="18"/>
              </w:rPr>
              <w:t>2519.06</w:t>
            </w:r>
          </w:p>
        </w:tc>
        <w:tc>
          <w:tcPr>
            <w:tcW w:w="598" w:type="pct"/>
            <w:vMerge w:val="restart"/>
            <w:shd w:val="clear" w:color="auto" w:fill="auto"/>
            <w:vAlign w:val="center"/>
          </w:tcPr>
          <w:p w14:paraId="4B10FAF3">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restart"/>
            <w:shd w:val="clear" w:color="auto" w:fill="auto"/>
            <w:vAlign w:val="center"/>
          </w:tcPr>
          <w:p w14:paraId="3401E565">
            <w:pPr>
              <w:spacing w:line="276" w:lineRule="auto"/>
              <w:jc w:val="center"/>
              <w:rPr>
                <w:sz w:val="18"/>
                <w:szCs w:val="18"/>
              </w:rPr>
            </w:pPr>
            <w:r>
              <w:rPr>
                <w:sz w:val="18"/>
                <w:szCs w:val="18"/>
              </w:rPr>
              <w:t>1.00</w:t>
            </w:r>
          </w:p>
        </w:tc>
        <w:tc>
          <w:tcPr>
            <w:tcW w:w="977" w:type="pct"/>
            <w:vMerge w:val="restart"/>
            <w:shd w:val="clear" w:color="auto" w:fill="auto"/>
            <w:vAlign w:val="center"/>
          </w:tcPr>
          <w:p w14:paraId="45D8A959">
            <w:pPr>
              <w:spacing w:line="276" w:lineRule="auto"/>
              <w:jc w:val="center"/>
              <w:rPr>
                <w:sz w:val="18"/>
                <w:szCs w:val="18"/>
              </w:rPr>
            </w:pPr>
          </w:p>
        </w:tc>
      </w:tr>
      <w:tr w14:paraId="60D8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43AF87BB">
            <w:pPr>
              <w:spacing w:line="276" w:lineRule="auto"/>
              <w:jc w:val="center"/>
              <w:rPr>
                <w:sz w:val="18"/>
                <w:szCs w:val="18"/>
              </w:rPr>
            </w:pPr>
            <w:r>
              <w:rPr>
                <w:sz w:val="18"/>
                <w:szCs w:val="18"/>
              </w:rPr>
              <w:t>52</w:t>
            </w:r>
          </w:p>
        </w:tc>
        <w:tc>
          <w:tcPr>
            <w:tcW w:w="454" w:type="pct"/>
            <w:vMerge w:val="continue"/>
            <w:shd w:val="clear" w:color="auto" w:fill="auto"/>
            <w:vAlign w:val="center"/>
          </w:tcPr>
          <w:p w14:paraId="479826B2">
            <w:pPr>
              <w:spacing w:line="276" w:lineRule="auto"/>
              <w:jc w:val="center"/>
              <w:rPr>
                <w:sz w:val="18"/>
                <w:szCs w:val="18"/>
              </w:rPr>
            </w:pPr>
          </w:p>
        </w:tc>
        <w:tc>
          <w:tcPr>
            <w:tcW w:w="569" w:type="pct"/>
            <w:vMerge w:val="continue"/>
            <w:vAlign w:val="center"/>
          </w:tcPr>
          <w:p w14:paraId="1380844F">
            <w:pPr>
              <w:spacing w:line="276" w:lineRule="auto"/>
              <w:jc w:val="center"/>
              <w:rPr>
                <w:sz w:val="18"/>
                <w:szCs w:val="18"/>
              </w:rPr>
            </w:pPr>
          </w:p>
        </w:tc>
        <w:tc>
          <w:tcPr>
            <w:tcW w:w="453" w:type="pct"/>
            <w:vMerge w:val="continue"/>
            <w:vAlign w:val="center"/>
          </w:tcPr>
          <w:p w14:paraId="550C4984">
            <w:pPr>
              <w:spacing w:line="276" w:lineRule="auto"/>
              <w:jc w:val="center"/>
              <w:rPr>
                <w:sz w:val="18"/>
                <w:szCs w:val="18"/>
              </w:rPr>
            </w:pPr>
          </w:p>
        </w:tc>
        <w:tc>
          <w:tcPr>
            <w:tcW w:w="568" w:type="pct"/>
            <w:vMerge w:val="continue"/>
            <w:vAlign w:val="center"/>
          </w:tcPr>
          <w:p w14:paraId="10FB4D9F">
            <w:pPr>
              <w:spacing w:line="276" w:lineRule="auto"/>
              <w:jc w:val="center"/>
              <w:rPr>
                <w:sz w:val="18"/>
                <w:szCs w:val="18"/>
              </w:rPr>
            </w:pPr>
          </w:p>
        </w:tc>
        <w:tc>
          <w:tcPr>
            <w:tcW w:w="569" w:type="pct"/>
            <w:vMerge w:val="continue"/>
            <w:vAlign w:val="center"/>
          </w:tcPr>
          <w:p w14:paraId="21EA5E2C">
            <w:pPr>
              <w:spacing w:line="276" w:lineRule="auto"/>
              <w:jc w:val="center"/>
              <w:rPr>
                <w:sz w:val="18"/>
                <w:szCs w:val="18"/>
              </w:rPr>
            </w:pPr>
          </w:p>
        </w:tc>
        <w:tc>
          <w:tcPr>
            <w:tcW w:w="598" w:type="pct"/>
            <w:vMerge w:val="continue"/>
            <w:vAlign w:val="center"/>
          </w:tcPr>
          <w:p w14:paraId="0050416A">
            <w:pPr>
              <w:spacing w:line="276" w:lineRule="auto"/>
              <w:jc w:val="center"/>
              <w:rPr>
                <w:sz w:val="18"/>
                <w:szCs w:val="18"/>
              </w:rPr>
            </w:pPr>
          </w:p>
        </w:tc>
        <w:tc>
          <w:tcPr>
            <w:tcW w:w="501" w:type="pct"/>
            <w:vMerge w:val="continue"/>
            <w:vAlign w:val="center"/>
          </w:tcPr>
          <w:p w14:paraId="62240F19">
            <w:pPr>
              <w:spacing w:line="276" w:lineRule="auto"/>
              <w:jc w:val="center"/>
              <w:rPr>
                <w:sz w:val="18"/>
                <w:szCs w:val="18"/>
              </w:rPr>
            </w:pPr>
          </w:p>
        </w:tc>
        <w:tc>
          <w:tcPr>
            <w:tcW w:w="977" w:type="pct"/>
            <w:vMerge w:val="continue"/>
            <w:vAlign w:val="center"/>
          </w:tcPr>
          <w:p w14:paraId="37FB6BF5">
            <w:pPr>
              <w:spacing w:line="276" w:lineRule="auto"/>
              <w:jc w:val="center"/>
              <w:rPr>
                <w:sz w:val="18"/>
                <w:szCs w:val="18"/>
              </w:rPr>
            </w:pPr>
          </w:p>
        </w:tc>
      </w:tr>
      <w:tr w14:paraId="1EF5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0A537F27">
            <w:pPr>
              <w:spacing w:line="276" w:lineRule="auto"/>
              <w:jc w:val="center"/>
              <w:rPr>
                <w:sz w:val="18"/>
                <w:szCs w:val="18"/>
              </w:rPr>
            </w:pPr>
            <w:r>
              <w:rPr>
                <w:sz w:val="18"/>
                <w:szCs w:val="18"/>
              </w:rPr>
              <w:t>53</w:t>
            </w:r>
          </w:p>
        </w:tc>
        <w:tc>
          <w:tcPr>
            <w:tcW w:w="454" w:type="pct"/>
            <w:vMerge w:val="restart"/>
            <w:shd w:val="clear" w:color="auto" w:fill="auto"/>
            <w:vAlign w:val="center"/>
          </w:tcPr>
          <w:p w14:paraId="14C4E795">
            <w:pPr>
              <w:spacing w:line="276" w:lineRule="auto"/>
              <w:jc w:val="center"/>
              <w:rPr>
                <w:sz w:val="18"/>
                <w:szCs w:val="18"/>
              </w:rPr>
            </w:pPr>
            <w:r>
              <w:rPr>
                <w:sz w:val="18"/>
                <w:szCs w:val="18"/>
              </w:rPr>
              <w:t>5-113</w:t>
            </w:r>
          </w:p>
          <w:p w14:paraId="6119E27A">
            <w:pPr>
              <w:spacing w:line="276" w:lineRule="auto"/>
              <w:jc w:val="center"/>
              <w:rPr>
                <w:sz w:val="18"/>
                <w:szCs w:val="18"/>
              </w:rPr>
            </w:pPr>
            <w:r>
              <w:rPr>
                <w:sz w:val="18"/>
                <w:szCs w:val="18"/>
              </w:rPr>
              <w:t>5-116</w:t>
            </w:r>
          </w:p>
        </w:tc>
        <w:tc>
          <w:tcPr>
            <w:tcW w:w="569" w:type="pct"/>
            <w:vMerge w:val="continue"/>
            <w:vAlign w:val="center"/>
          </w:tcPr>
          <w:p w14:paraId="381D984F">
            <w:pPr>
              <w:spacing w:line="276" w:lineRule="auto"/>
              <w:jc w:val="center"/>
              <w:rPr>
                <w:sz w:val="18"/>
                <w:szCs w:val="18"/>
              </w:rPr>
            </w:pPr>
          </w:p>
        </w:tc>
        <w:tc>
          <w:tcPr>
            <w:tcW w:w="453" w:type="pct"/>
            <w:vMerge w:val="continue"/>
            <w:vAlign w:val="center"/>
          </w:tcPr>
          <w:p w14:paraId="2D8CE459">
            <w:pPr>
              <w:spacing w:line="276" w:lineRule="auto"/>
              <w:jc w:val="center"/>
              <w:rPr>
                <w:sz w:val="18"/>
                <w:szCs w:val="18"/>
              </w:rPr>
            </w:pPr>
          </w:p>
        </w:tc>
        <w:tc>
          <w:tcPr>
            <w:tcW w:w="568" w:type="pct"/>
            <w:vMerge w:val="restart"/>
            <w:shd w:val="clear" w:color="auto" w:fill="auto"/>
            <w:vAlign w:val="center"/>
          </w:tcPr>
          <w:p w14:paraId="118D69DE">
            <w:pPr>
              <w:spacing w:line="276" w:lineRule="auto"/>
              <w:jc w:val="center"/>
              <w:rPr>
                <w:sz w:val="18"/>
                <w:szCs w:val="18"/>
              </w:rPr>
            </w:pPr>
            <w:r>
              <w:rPr>
                <w:sz w:val="18"/>
                <w:szCs w:val="18"/>
              </w:rPr>
              <w:t>&gt;Φ10</w:t>
            </w:r>
          </w:p>
        </w:tc>
        <w:tc>
          <w:tcPr>
            <w:tcW w:w="569" w:type="pct"/>
            <w:vMerge w:val="restart"/>
            <w:vAlign w:val="center"/>
          </w:tcPr>
          <w:p w14:paraId="7A6458C0">
            <w:pPr>
              <w:spacing w:line="276" w:lineRule="auto"/>
              <w:jc w:val="center"/>
              <w:rPr>
                <w:sz w:val="18"/>
                <w:szCs w:val="18"/>
              </w:rPr>
            </w:pPr>
            <w:r>
              <w:rPr>
                <w:sz w:val="18"/>
                <w:szCs w:val="18"/>
              </w:rPr>
              <w:t>2543.75</w:t>
            </w:r>
          </w:p>
        </w:tc>
        <w:tc>
          <w:tcPr>
            <w:tcW w:w="598" w:type="pct"/>
            <w:vMerge w:val="restart"/>
            <w:shd w:val="clear" w:color="auto" w:fill="auto"/>
            <w:vAlign w:val="center"/>
          </w:tcPr>
          <w:p w14:paraId="1DE2E3F1">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continue"/>
            <w:vAlign w:val="center"/>
          </w:tcPr>
          <w:p w14:paraId="53397BDE">
            <w:pPr>
              <w:spacing w:line="276" w:lineRule="auto"/>
              <w:jc w:val="center"/>
              <w:rPr>
                <w:sz w:val="18"/>
                <w:szCs w:val="18"/>
              </w:rPr>
            </w:pPr>
          </w:p>
        </w:tc>
        <w:tc>
          <w:tcPr>
            <w:tcW w:w="977" w:type="pct"/>
            <w:vMerge w:val="continue"/>
            <w:shd w:val="clear" w:color="auto" w:fill="auto"/>
            <w:vAlign w:val="center"/>
          </w:tcPr>
          <w:p w14:paraId="52C0FAE6">
            <w:pPr>
              <w:spacing w:line="276" w:lineRule="auto"/>
              <w:jc w:val="center"/>
              <w:rPr>
                <w:sz w:val="18"/>
                <w:szCs w:val="18"/>
              </w:rPr>
            </w:pPr>
          </w:p>
        </w:tc>
      </w:tr>
      <w:tr w14:paraId="7098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5A151914">
            <w:pPr>
              <w:spacing w:line="276" w:lineRule="auto"/>
              <w:jc w:val="center"/>
              <w:rPr>
                <w:sz w:val="18"/>
                <w:szCs w:val="18"/>
              </w:rPr>
            </w:pPr>
            <w:r>
              <w:rPr>
                <w:sz w:val="18"/>
                <w:szCs w:val="18"/>
              </w:rPr>
              <w:t>54</w:t>
            </w:r>
          </w:p>
        </w:tc>
        <w:tc>
          <w:tcPr>
            <w:tcW w:w="454" w:type="pct"/>
            <w:vMerge w:val="continue"/>
            <w:shd w:val="clear" w:color="auto" w:fill="auto"/>
            <w:vAlign w:val="center"/>
          </w:tcPr>
          <w:p w14:paraId="26652574">
            <w:pPr>
              <w:spacing w:line="276" w:lineRule="auto"/>
              <w:jc w:val="center"/>
              <w:rPr>
                <w:sz w:val="18"/>
                <w:szCs w:val="18"/>
              </w:rPr>
            </w:pPr>
          </w:p>
        </w:tc>
        <w:tc>
          <w:tcPr>
            <w:tcW w:w="569" w:type="pct"/>
            <w:vMerge w:val="continue"/>
            <w:vAlign w:val="center"/>
          </w:tcPr>
          <w:p w14:paraId="436ECFD3">
            <w:pPr>
              <w:spacing w:line="276" w:lineRule="auto"/>
              <w:jc w:val="center"/>
              <w:rPr>
                <w:sz w:val="18"/>
                <w:szCs w:val="18"/>
              </w:rPr>
            </w:pPr>
          </w:p>
        </w:tc>
        <w:tc>
          <w:tcPr>
            <w:tcW w:w="453" w:type="pct"/>
            <w:vMerge w:val="continue"/>
            <w:vAlign w:val="center"/>
          </w:tcPr>
          <w:p w14:paraId="00789142">
            <w:pPr>
              <w:spacing w:line="276" w:lineRule="auto"/>
              <w:jc w:val="center"/>
              <w:rPr>
                <w:sz w:val="18"/>
                <w:szCs w:val="18"/>
              </w:rPr>
            </w:pPr>
          </w:p>
        </w:tc>
        <w:tc>
          <w:tcPr>
            <w:tcW w:w="568" w:type="pct"/>
            <w:vMerge w:val="continue"/>
            <w:vAlign w:val="center"/>
          </w:tcPr>
          <w:p w14:paraId="70BF3F2D">
            <w:pPr>
              <w:spacing w:line="276" w:lineRule="auto"/>
              <w:jc w:val="center"/>
              <w:rPr>
                <w:sz w:val="18"/>
                <w:szCs w:val="18"/>
              </w:rPr>
            </w:pPr>
          </w:p>
        </w:tc>
        <w:tc>
          <w:tcPr>
            <w:tcW w:w="569" w:type="pct"/>
            <w:vMerge w:val="continue"/>
            <w:vAlign w:val="center"/>
          </w:tcPr>
          <w:p w14:paraId="65A631E6">
            <w:pPr>
              <w:spacing w:line="276" w:lineRule="auto"/>
              <w:jc w:val="center"/>
              <w:rPr>
                <w:sz w:val="18"/>
                <w:szCs w:val="18"/>
              </w:rPr>
            </w:pPr>
          </w:p>
        </w:tc>
        <w:tc>
          <w:tcPr>
            <w:tcW w:w="598" w:type="pct"/>
            <w:vMerge w:val="continue"/>
            <w:vAlign w:val="center"/>
          </w:tcPr>
          <w:p w14:paraId="081E14A2">
            <w:pPr>
              <w:spacing w:line="276" w:lineRule="auto"/>
              <w:jc w:val="center"/>
              <w:rPr>
                <w:sz w:val="18"/>
                <w:szCs w:val="18"/>
              </w:rPr>
            </w:pPr>
          </w:p>
        </w:tc>
        <w:tc>
          <w:tcPr>
            <w:tcW w:w="501" w:type="pct"/>
            <w:vMerge w:val="continue"/>
            <w:vAlign w:val="center"/>
          </w:tcPr>
          <w:p w14:paraId="5B13D9F0">
            <w:pPr>
              <w:spacing w:line="276" w:lineRule="auto"/>
              <w:jc w:val="center"/>
              <w:rPr>
                <w:sz w:val="18"/>
                <w:szCs w:val="18"/>
              </w:rPr>
            </w:pPr>
          </w:p>
        </w:tc>
        <w:tc>
          <w:tcPr>
            <w:tcW w:w="977" w:type="pct"/>
            <w:vMerge w:val="continue"/>
            <w:vAlign w:val="center"/>
          </w:tcPr>
          <w:p w14:paraId="16B6648A">
            <w:pPr>
              <w:spacing w:line="276" w:lineRule="auto"/>
              <w:jc w:val="center"/>
              <w:rPr>
                <w:sz w:val="18"/>
                <w:szCs w:val="18"/>
              </w:rPr>
            </w:pPr>
          </w:p>
        </w:tc>
      </w:tr>
      <w:tr w14:paraId="1050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6D52AAF4">
            <w:pPr>
              <w:spacing w:line="276" w:lineRule="auto"/>
              <w:jc w:val="center"/>
              <w:rPr>
                <w:sz w:val="18"/>
                <w:szCs w:val="18"/>
              </w:rPr>
            </w:pPr>
            <w:r>
              <w:rPr>
                <w:sz w:val="18"/>
                <w:szCs w:val="18"/>
              </w:rPr>
              <w:t>55</w:t>
            </w:r>
          </w:p>
        </w:tc>
        <w:tc>
          <w:tcPr>
            <w:tcW w:w="454" w:type="pct"/>
            <w:vMerge w:val="restart"/>
            <w:shd w:val="clear" w:color="auto" w:fill="auto"/>
            <w:vAlign w:val="center"/>
          </w:tcPr>
          <w:p w14:paraId="54922E07">
            <w:pPr>
              <w:spacing w:line="276" w:lineRule="auto"/>
              <w:jc w:val="center"/>
              <w:rPr>
                <w:sz w:val="18"/>
                <w:szCs w:val="18"/>
              </w:rPr>
            </w:pPr>
            <w:r>
              <w:rPr>
                <w:sz w:val="18"/>
                <w:szCs w:val="18"/>
              </w:rPr>
              <w:t>2-46</w:t>
            </w:r>
          </w:p>
          <w:p w14:paraId="3FE0C95C">
            <w:pPr>
              <w:spacing w:line="276" w:lineRule="auto"/>
              <w:jc w:val="center"/>
              <w:rPr>
                <w:sz w:val="18"/>
                <w:szCs w:val="18"/>
              </w:rPr>
            </w:pPr>
            <w:r>
              <w:rPr>
                <w:sz w:val="18"/>
                <w:szCs w:val="18"/>
              </w:rPr>
              <w:t>2-47</w:t>
            </w:r>
          </w:p>
        </w:tc>
        <w:tc>
          <w:tcPr>
            <w:tcW w:w="569" w:type="pct"/>
            <w:vMerge w:val="restart"/>
            <w:shd w:val="clear" w:color="auto" w:fill="auto"/>
            <w:vAlign w:val="center"/>
          </w:tcPr>
          <w:p w14:paraId="1FE41744">
            <w:pPr>
              <w:spacing w:line="276" w:lineRule="auto"/>
              <w:jc w:val="center"/>
              <w:rPr>
                <w:sz w:val="18"/>
                <w:szCs w:val="18"/>
              </w:rPr>
            </w:pPr>
            <w:r>
              <w:rPr>
                <w:sz w:val="18"/>
                <w:szCs w:val="18"/>
              </w:rPr>
              <w:t>喷射</w:t>
            </w:r>
          </w:p>
          <w:p w14:paraId="2BA2174D">
            <w:pPr>
              <w:spacing w:line="276" w:lineRule="auto"/>
              <w:jc w:val="center"/>
              <w:rPr>
                <w:sz w:val="18"/>
                <w:szCs w:val="18"/>
              </w:rPr>
            </w:pPr>
            <w:r>
              <w:rPr>
                <w:sz w:val="18"/>
                <w:szCs w:val="18"/>
              </w:rPr>
              <w:t>混凝土</w:t>
            </w:r>
          </w:p>
        </w:tc>
        <w:tc>
          <w:tcPr>
            <w:tcW w:w="453" w:type="pct"/>
            <w:vMerge w:val="restart"/>
            <w:shd w:val="clear" w:color="auto" w:fill="auto"/>
            <w:vAlign w:val="center"/>
          </w:tcPr>
          <w:p w14:paraId="414420C1">
            <w:pPr>
              <w:spacing w:line="276" w:lineRule="auto"/>
              <w:jc w:val="center"/>
              <w:rPr>
                <w:sz w:val="18"/>
                <w:szCs w:val="18"/>
              </w:rPr>
            </w:pPr>
            <w:r>
              <w:rPr>
                <w:sz w:val="18"/>
                <w:szCs w:val="18"/>
              </w:rPr>
              <w:t>80mm厚</w:t>
            </w:r>
          </w:p>
        </w:tc>
        <w:tc>
          <w:tcPr>
            <w:tcW w:w="568" w:type="pct"/>
            <w:shd w:val="clear" w:color="auto" w:fill="auto"/>
            <w:vAlign w:val="center"/>
          </w:tcPr>
          <w:p w14:paraId="1E7EB617">
            <w:pPr>
              <w:spacing w:line="276" w:lineRule="auto"/>
              <w:jc w:val="center"/>
              <w:rPr>
                <w:sz w:val="18"/>
                <w:szCs w:val="18"/>
              </w:rPr>
            </w:pPr>
            <w:r>
              <w:rPr>
                <w:sz w:val="18"/>
                <w:szCs w:val="18"/>
              </w:rPr>
              <w:t>钢板网</w:t>
            </w:r>
          </w:p>
        </w:tc>
        <w:tc>
          <w:tcPr>
            <w:tcW w:w="569" w:type="pct"/>
            <w:vAlign w:val="center"/>
          </w:tcPr>
          <w:p w14:paraId="178CBD7F">
            <w:pPr>
              <w:spacing w:line="276" w:lineRule="auto"/>
              <w:jc w:val="center"/>
              <w:rPr>
                <w:sz w:val="18"/>
                <w:szCs w:val="18"/>
              </w:rPr>
            </w:pPr>
            <w:r>
              <w:rPr>
                <w:sz w:val="18"/>
                <w:szCs w:val="18"/>
              </w:rPr>
              <w:t>34.87</w:t>
            </w:r>
          </w:p>
        </w:tc>
        <w:tc>
          <w:tcPr>
            <w:tcW w:w="598" w:type="pct"/>
            <w:shd w:val="clear" w:color="auto" w:fill="auto"/>
            <w:vAlign w:val="center"/>
          </w:tcPr>
          <w:p w14:paraId="366CE2FC">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501" w:type="pct"/>
            <w:vMerge w:val="restart"/>
            <w:shd w:val="clear" w:color="auto" w:fill="auto"/>
            <w:vAlign w:val="center"/>
          </w:tcPr>
          <w:p w14:paraId="7AB567E4">
            <w:pPr>
              <w:spacing w:line="276" w:lineRule="auto"/>
              <w:jc w:val="center"/>
              <w:rPr>
                <w:sz w:val="18"/>
                <w:szCs w:val="18"/>
              </w:rPr>
            </w:pPr>
            <w:r>
              <w:rPr>
                <w:sz w:val="18"/>
                <w:szCs w:val="18"/>
              </w:rPr>
              <w:t>1.09（垂直面）</w:t>
            </w:r>
          </w:p>
        </w:tc>
        <w:tc>
          <w:tcPr>
            <w:tcW w:w="977" w:type="pct"/>
            <w:vMerge w:val="restart"/>
            <w:shd w:val="clear" w:color="auto" w:fill="auto"/>
            <w:vAlign w:val="center"/>
          </w:tcPr>
          <w:p w14:paraId="057F04DD">
            <w:pPr>
              <w:spacing w:line="276" w:lineRule="auto"/>
              <w:jc w:val="center"/>
              <w:rPr>
                <w:sz w:val="18"/>
                <w:szCs w:val="18"/>
              </w:rPr>
            </w:pPr>
          </w:p>
        </w:tc>
      </w:tr>
      <w:tr w14:paraId="2A2F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560AD6DB">
            <w:pPr>
              <w:spacing w:line="276" w:lineRule="auto"/>
              <w:jc w:val="center"/>
              <w:rPr>
                <w:sz w:val="18"/>
                <w:szCs w:val="18"/>
              </w:rPr>
            </w:pPr>
            <w:r>
              <w:rPr>
                <w:sz w:val="18"/>
                <w:szCs w:val="18"/>
              </w:rPr>
              <w:t>56</w:t>
            </w:r>
          </w:p>
        </w:tc>
        <w:tc>
          <w:tcPr>
            <w:tcW w:w="454" w:type="pct"/>
            <w:vMerge w:val="continue"/>
            <w:shd w:val="clear" w:color="auto" w:fill="auto"/>
            <w:vAlign w:val="center"/>
          </w:tcPr>
          <w:p w14:paraId="78F8B2AC">
            <w:pPr>
              <w:spacing w:line="276" w:lineRule="auto"/>
              <w:jc w:val="center"/>
              <w:rPr>
                <w:sz w:val="18"/>
                <w:szCs w:val="18"/>
              </w:rPr>
            </w:pPr>
          </w:p>
        </w:tc>
        <w:tc>
          <w:tcPr>
            <w:tcW w:w="569" w:type="pct"/>
            <w:vMerge w:val="continue"/>
            <w:shd w:val="clear" w:color="auto" w:fill="auto"/>
            <w:vAlign w:val="center"/>
          </w:tcPr>
          <w:p w14:paraId="4136AAEE">
            <w:pPr>
              <w:spacing w:line="276" w:lineRule="auto"/>
              <w:jc w:val="center"/>
              <w:rPr>
                <w:sz w:val="18"/>
                <w:szCs w:val="18"/>
              </w:rPr>
            </w:pPr>
          </w:p>
        </w:tc>
        <w:tc>
          <w:tcPr>
            <w:tcW w:w="453" w:type="pct"/>
            <w:vMerge w:val="continue"/>
            <w:vAlign w:val="center"/>
          </w:tcPr>
          <w:p w14:paraId="5FB2C65C">
            <w:pPr>
              <w:spacing w:line="276" w:lineRule="auto"/>
              <w:jc w:val="center"/>
              <w:rPr>
                <w:sz w:val="18"/>
                <w:szCs w:val="18"/>
              </w:rPr>
            </w:pPr>
          </w:p>
        </w:tc>
        <w:tc>
          <w:tcPr>
            <w:tcW w:w="568" w:type="pct"/>
            <w:shd w:val="clear" w:color="auto" w:fill="auto"/>
            <w:vAlign w:val="center"/>
          </w:tcPr>
          <w:p w14:paraId="5B154A9B">
            <w:pPr>
              <w:spacing w:line="276" w:lineRule="auto"/>
              <w:jc w:val="center"/>
              <w:rPr>
                <w:sz w:val="18"/>
                <w:szCs w:val="18"/>
              </w:rPr>
            </w:pPr>
            <w:r>
              <w:rPr>
                <w:sz w:val="18"/>
                <w:szCs w:val="18"/>
              </w:rPr>
              <w:t>钢筋网</w:t>
            </w:r>
          </w:p>
        </w:tc>
        <w:tc>
          <w:tcPr>
            <w:tcW w:w="569" w:type="pct"/>
            <w:vAlign w:val="center"/>
          </w:tcPr>
          <w:p w14:paraId="6A38AE8D">
            <w:pPr>
              <w:spacing w:line="276" w:lineRule="auto"/>
              <w:jc w:val="center"/>
              <w:rPr>
                <w:sz w:val="18"/>
                <w:szCs w:val="18"/>
              </w:rPr>
            </w:pPr>
            <w:r>
              <w:rPr>
                <w:sz w:val="18"/>
                <w:szCs w:val="18"/>
              </w:rPr>
              <w:t>53.37</w:t>
            </w:r>
          </w:p>
        </w:tc>
        <w:tc>
          <w:tcPr>
            <w:tcW w:w="598" w:type="pct"/>
            <w:shd w:val="clear" w:color="auto" w:fill="auto"/>
            <w:vAlign w:val="center"/>
          </w:tcPr>
          <w:p w14:paraId="74743DFE">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501" w:type="pct"/>
            <w:vMerge w:val="continue"/>
            <w:shd w:val="clear" w:color="auto" w:fill="auto"/>
            <w:vAlign w:val="center"/>
          </w:tcPr>
          <w:p w14:paraId="245057D4">
            <w:pPr>
              <w:spacing w:line="276" w:lineRule="auto"/>
              <w:jc w:val="center"/>
              <w:rPr>
                <w:sz w:val="18"/>
                <w:szCs w:val="18"/>
              </w:rPr>
            </w:pPr>
          </w:p>
        </w:tc>
        <w:tc>
          <w:tcPr>
            <w:tcW w:w="977" w:type="pct"/>
            <w:vMerge w:val="continue"/>
            <w:shd w:val="clear" w:color="auto" w:fill="auto"/>
            <w:vAlign w:val="center"/>
          </w:tcPr>
          <w:p w14:paraId="339A80AC">
            <w:pPr>
              <w:spacing w:line="276" w:lineRule="auto"/>
              <w:jc w:val="center"/>
              <w:rPr>
                <w:sz w:val="18"/>
                <w:szCs w:val="18"/>
              </w:rPr>
            </w:pPr>
          </w:p>
        </w:tc>
      </w:tr>
      <w:tr w14:paraId="2C15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35EC25BD">
            <w:pPr>
              <w:spacing w:line="276" w:lineRule="auto"/>
              <w:jc w:val="center"/>
              <w:rPr>
                <w:sz w:val="18"/>
                <w:szCs w:val="18"/>
              </w:rPr>
            </w:pPr>
            <w:r>
              <w:rPr>
                <w:sz w:val="18"/>
                <w:szCs w:val="18"/>
              </w:rPr>
              <w:t>57</w:t>
            </w:r>
          </w:p>
        </w:tc>
        <w:tc>
          <w:tcPr>
            <w:tcW w:w="454" w:type="pct"/>
            <w:shd w:val="clear" w:color="auto" w:fill="auto"/>
            <w:vAlign w:val="center"/>
          </w:tcPr>
          <w:p w14:paraId="091A6621">
            <w:pPr>
              <w:spacing w:line="276" w:lineRule="auto"/>
              <w:jc w:val="center"/>
              <w:rPr>
                <w:sz w:val="18"/>
                <w:szCs w:val="18"/>
              </w:rPr>
            </w:pPr>
            <w:r>
              <w:rPr>
                <w:sz w:val="18"/>
                <w:szCs w:val="18"/>
              </w:rPr>
              <w:t>2-48</w:t>
            </w:r>
          </w:p>
        </w:tc>
        <w:tc>
          <w:tcPr>
            <w:tcW w:w="569" w:type="pct"/>
            <w:vMerge w:val="continue"/>
            <w:shd w:val="clear" w:color="auto" w:fill="auto"/>
            <w:vAlign w:val="center"/>
          </w:tcPr>
          <w:p w14:paraId="6D9155ED">
            <w:pPr>
              <w:spacing w:line="276" w:lineRule="auto"/>
              <w:jc w:val="center"/>
              <w:rPr>
                <w:sz w:val="18"/>
                <w:szCs w:val="18"/>
              </w:rPr>
            </w:pPr>
          </w:p>
        </w:tc>
        <w:tc>
          <w:tcPr>
            <w:tcW w:w="453" w:type="pct"/>
            <w:vMerge w:val="continue"/>
            <w:vAlign w:val="center"/>
          </w:tcPr>
          <w:p w14:paraId="5D460A60">
            <w:pPr>
              <w:spacing w:line="276" w:lineRule="auto"/>
              <w:jc w:val="center"/>
              <w:rPr>
                <w:sz w:val="18"/>
                <w:szCs w:val="18"/>
              </w:rPr>
            </w:pPr>
          </w:p>
        </w:tc>
        <w:tc>
          <w:tcPr>
            <w:tcW w:w="568" w:type="pct"/>
            <w:shd w:val="clear" w:color="auto" w:fill="auto"/>
            <w:vAlign w:val="center"/>
          </w:tcPr>
          <w:p w14:paraId="34935618">
            <w:pPr>
              <w:spacing w:line="276" w:lineRule="auto"/>
              <w:jc w:val="center"/>
              <w:rPr>
                <w:sz w:val="18"/>
                <w:szCs w:val="18"/>
              </w:rPr>
            </w:pPr>
            <w:r>
              <w:rPr>
                <w:sz w:val="18"/>
                <w:szCs w:val="18"/>
              </w:rPr>
              <w:t>素喷</w:t>
            </w:r>
          </w:p>
        </w:tc>
        <w:tc>
          <w:tcPr>
            <w:tcW w:w="569" w:type="pct"/>
            <w:vAlign w:val="center"/>
          </w:tcPr>
          <w:p w14:paraId="3158F10E">
            <w:pPr>
              <w:spacing w:line="276" w:lineRule="auto"/>
              <w:jc w:val="center"/>
              <w:rPr>
                <w:sz w:val="18"/>
                <w:szCs w:val="18"/>
              </w:rPr>
            </w:pPr>
            <w:r>
              <w:rPr>
                <w:sz w:val="18"/>
                <w:szCs w:val="18"/>
              </w:rPr>
              <w:t>27.06</w:t>
            </w:r>
          </w:p>
        </w:tc>
        <w:tc>
          <w:tcPr>
            <w:tcW w:w="598" w:type="pct"/>
            <w:shd w:val="clear" w:color="auto" w:fill="auto"/>
            <w:vAlign w:val="center"/>
          </w:tcPr>
          <w:p w14:paraId="54C901CE">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501" w:type="pct"/>
            <w:shd w:val="clear" w:color="auto" w:fill="auto"/>
            <w:vAlign w:val="center"/>
          </w:tcPr>
          <w:p w14:paraId="1C231418">
            <w:pPr>
              <w:spacing w:line="276" w:lineRule="auto"/>
              <w:jc w:val="center"/>
              <w:rPr>
                <w:sz w:val="18"/>
                <w:szCs w:val="18"/>
              </w:rPr>
            </w:pPr>
            <w:r>
              <w:rPr>
                <w:sz w:val="18"/>
                <w:szCs w:val="18"/>
              </w:rPr>
              <w:t>1.00</w:t>
            </w:r>
          </w:p>
        </w:tc>
        <w:tc>
          <w:tcPr>
            <w:tcW w:w="977" w:type="pct"/>
            <w:shd w:val="clear" w:color="auto" w:fill="auto"/>
            <w:vAlign w:val="center"/>
          </w:tcPr>
          <w:p w14:paraId="62F030F6">
            <w:pPr>
              <w:spacing w:line="276" w:lineRule="auto"/>
              <w:jc w:val="center"/>
              <w:rPr>
                <w:sz w:val="18"/>
                <w:szCs w:val="18"/>
              </w:rPr>
            </w:pPr>
          </w:p>
        </w:tc>
      </w:tr>
      <w:tr w14:paraId="27C0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38AEAFD6">
            <w:pPr>
              <w:spacing w:line="276" w:lineRule="auto"/>
              <w:jc w:val="center"/>
              <w:rPr>
                <w:sz w:val="18"/>
                <w:szCs w:val="18"/>
              </w:rPr>
            </w:pPr>
            <w:r>
              <w:rPr>
                <w:sz w:val="18"/>
                <w:szCs w:val="18"/>
              </w:rPr>
              <w:t>58</w:t>
            </w:r>
          </w:p>
        </w:tc>
        <w:tc>
          <w:tcPr>
            <w:tcW w:w="454" w:type="pct"/>
            <w:shd w:val="clear" w:color="auto" w:fill="auto"/>
            <w:vAlign w:val="center"/>
          </w:tcPr>
          <w:p w14:paraId="446DEA33">
            <w:pPr>
              <w:spacing w:line="276" w:lineRule="auto"/>
              <w:jc w:val="center"/>
              <w:rPr>
                <w:sz w:val="18"/>
                <w:szCs w:val="18"/>
              </w:rPr>
            </w:pPr>
            <w:r>
              <w:rPr>
                <w:sz w:val="18"/>
                <w:szCs w:val="18"/>
              </w:rPr>
              <w:t>2-49</w:t>
            </w:r>
          </w:p>
        </w:tc>
        <w:tc>
          <w:tcPr>
            <w:tcW w:w="569" w:type="pct"/>
            <w:vMerge w:val="continue"/>
            <w:shd w:val="clear" w:color="auto" w:fill="auto"/>
            <w:vAlign w:val="center"/>
          </w:tcPr>
          <w:p w14:paraId="75938F89">
            <w:pPr>
              <w:spacing w:line="276" w:lineRule="auto"/>
              <w:jc w:val="center"/>
              <w:rPr>
                <w:sz w:val="18"/>
                <w:szCs w:val="18"/>
              </w:rPr>
            </w:pPr>
          </w:p>
        </w:tc>
        <w:tc>
          <w:tcPr>
            <w:tcW w:w="1021" w:type="pct"/>
            <w:gridSpan w:val="2"/>
            <w:shd w:val="clear" w:color="auto" w:fill="auto"/>
            <w:vAlign w:val="center"/>
          </w:tcPr>
          <w:p w14:paraId="07DE70AE">
            <w:pPr>
              <w:spacing w:line="276" w:lineRule="auto"/>
              <w:jc w:val="center"/>
              <w:rPr>
                <w:sz w:val="18"/>
                <w:szCs w:val="18"/>
              </w:rPr>
            </w:pPr>
            <w:r>
              <w:rPr>
                <w:sz w:val="18"/>
                <w:szCs w:val="18"/>
              </w:rPr>
              <w:t>每增减10mm</w:t>
            </w:r>
          </w:p>
        </w:tc>
        <w:tc>
          <w:tcPr>
            <w:tcW w:w="569" w:type="pct"/>
            <w:vAlign w:val="center"/>
          </w:tcPr>
          <w:p w14:paraId="2649C510">
            <w:pPr>
              <w:spacing w:line="276" w:lineRule="auto"/>
              <w:jc w:val="center"/>
              <w:rPr>
                <w:sz w:val="18"/>
                <w:szCs w:val="18"/>
              </w:rPr>
            </w:pPr>
            <w:r>
              <w:rPr>
                <w:sz w:val="18"/>
                <w:szCs w:val="18"/>
              </w:rPr>
              <w:t>2.91</w:t>
            </w:r>
          </w:p>
        </w:tc>
        <w:tc>
          <w:tcPr>
            <w:tcW w:w="598" w:type="pct"/>
            <w:shd w:val="clear" w:color="auto" w:fill="auto"/>
            <w:vAlign w:val="center"/>
          </w:tcPr>
          <w:p w14:paraId="38F1EC68">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501" w:type="pct"/>
            <w:shd w:val="clear" w:color="auto" w:fill="auto"/>
            <w:vAlign w:val="center"/>
          </w:tcPr>
          <w:p w14:paraId="023805E0">
            <w:pPr>
              <w:spacing w:line="276" w:lineRule="auto"/>
              <w:jc w:val="center"/>
              <w:rPr>
                <w:sz w:val="18"/>
                <w:szCs w:val="18"/>
              </w:rPr>
            </w:pPr>
            <w:r>
              <w:rPr>
                <w:sz w:val="18"/>
                <w:szCs w:val="18"/>
              </w:rPr>
              <w:t>1.00</w:t>
            </w:r>
          </w:p>
        </w:tc>
        <w:tc>
          <w:tcPr>
            <w:tcW w:w="977" w:type="pct"/>
            <w:shd w:val="clear" w:color="auto" w:fill="auto"/>
            <w:vAlign w:val="center"/>
          </w:tcPr>
          <w:p w14:paraId="67E32081">
            <w:pPr>
              <w:spacing w:line="276" w:lineRule="auto"/>
              <w:jc w:val="center"/>
              <w:rPr>
                <w:sz w:val="18"/>
                <w:szCs w:val="18"/>
              </w:rPr>
            </w:pPr>
          </w:p>
        </w:tc>
      </w:tr>
      <w:tr w14:paraId="40C1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08A33679">
            <w:pPr>
              <w:spacing w:line="276" w:lineRule="auto"/>
              <w:jc w:val="center"/>
              <w:rPr>
                <w:sz w:val="18"/>
                <w:szCs w:val="18"/>
              </w:rPr>
            </w:pPr>
            <w:r>
              <w:rPr>
                <w:sz w:val="18"/>
                <w:szCs w:val="18"/>
              </w:rPr>
              <w:t>59</w:t>
            </w:r>
          </w:p>
        </w:tc>
        <w:tc>
          <w:tcPr>
            <w:tcW w:w="454" w:type="pct"/>
            <w:shd w:val="clear" w:color="auto" w:fill="auto"/>
            <w:vAlign w:val="center"/>
          </w:tcPr>
          <w:p w14:paraId="174C5C30">
            <w:pPr>
              <w:spacing w:line="276" w:lineRule="auto"/>
              <w:jc w:val="center"/>
              <w:rPr>
                <w:sz w:val="18"/>
                <w:szCs w:val="18"/>
              </w:rPr>
            </w:pPr>
            <w:r>
              <w:rPr>
                <w:sz w:val="18"/>
                <w:szCs w:val="18"/>
              </w:rPr>
              <w:t>5-12</w:t>
            </w:r>
          </w:p>
        </w:tc>
        <w:tc>
          <w:tcPr>
            <w:tcW w:w="569" w:type="pct"/>
            <w:vMerge w:val="restart"/>
            <w:shd w:val="clear" w:color="auto" w:fill="auto"/>
            <w:vAlign w:val="center"/>
          </w:tcPr>
          <w:p w14:paraId="09C88CC1">
            <w:pPr>
              <w:spacing w:line="276" w:lineRule="auto"/>
              <w:jc w:val="center"/>
              <w:rPr>
                <w:sz w:val="18"/>
                <w:szCs w:val="18"/>
              </w:rPr>
            </w:pPr>
            <w:r>
              <w:rPr>
                <w:sz w:val="18"/>
                <w:szCs w:val="18"/>
              </w:rPr>
              <w:t>混凝土支撑</w:t>
            </w:r>
          </w:p>
        </w:tc>
        <w:tc>
          <w:tcPr>
            <w:tcW w:w="1021" w:type="pct"/>
            <w:gridSpan w:val="2"/>
            <w:shd w:val="clear" w:color="auto" w:fill="auto"/>
            <w:vAlign w:val="center"/>
          </w:tcPr>
          <w:p w14:paraId="6B44C4C5">
            <w:pPr>
              <w:spacing w:line="276" w:lineRule="auto"/>
              <w:jc w:val="center"/>
              <w:rPr>
                <w:sz w:val="18"/>
                <w:szCs w:val="18"/>
              </w:rPr>
            </w:pPr>
            <w:r>
              <w:rPr>
                <w:sz w:val="18"/>
                <w:szCs w:val="18"/>
              </w:rPr>
              <w:t>支撑（不含钢筋）</w:t>
            </w:r>
          </w:p>
        </w:tc>
        <w:tc>
          <w:tcPr>
            <w:tcW w:w="569" w:type="pct"/>
            <w:vAlign w:val="center"/>
          </w:tcPr>
          <w:p w14:paraId="1F13A8F4">
            <w:pPr>
              <w:spacing w:line="276" w:lineRule="auto"/>
              <w:jc w:val="center"/>
              <w:rPr>
                <w:sz w:val="18"/>
                <w:szCs w:val="18"/>
              </w:rPr>
            </w:pPr>
            <w:r>
              <w:rPr>
                <w:sz w:val="18"/>
                <w:szCs w:val="18"/>
              </w:rPr>
              <w:t>299.43</w:t>
            </w:r>
          </w:p>
        </w:tc>
        <w:tc>
          <w:tcPr>
            <w:tcW w:w="598" w:type="pct"/>
            <w:shd w:val="clear" w:color="auto" w:fill="auto"/>
            <w:vAlign w:val="center"/>
          </w:tcPr>
          <w:p w14:paraId="12CCFAE7">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501" w:type="pct"/>
            <w:shd w:val="clear" w:color="auto" w:fill="auto"/>
            <w:vAlign w:val="center"/>
          </w:tcPr>
          <w:p w14:paraId="133FD2AB">
            <w:pPr>
              <w:spacing w:line="276" w:lineRule="auto"/>
              <w:jc w:val="center"/>
              <w:rPr>
                <w:sz w:val="18"/>
                <w:szCs w:val="18"/>
              </w:rPr>
            </w:pPr>
            <w:r>
              <w:rPr>
                <w:sz w:val="18"/>
                <w:szCs w:val="18"/>
              </w:rPr>
              <w:t>1.00</w:t>
            </w:r>
          </w:p>
        </w:tc>
        <w:tc>
          <w:tcPr>
            <w:tcW w:w="977" w:type="pct"/>
            <w:shd w:val="clear" w:color="auto" w:fill="auto"/>
            <w:vAlign w:val="center"/>
          </w:tcPr>
          <w:p w14:paraId="6058B931">
            <w:pPr>
              <w:spacing w:line="276" w:lineRule="auto"/>
              <w:jc w:val="center"/>
              <w:rPr>
                <w:sz w:val="18"/>
                <w:szCs w:val="18"/>
              </w:rPr>
            </w:pPr>
          </w:p>
        </w:tc>
      </w:tr>
      <w:tr w14:paraId="1A36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6F852DD0">
            <w:pPr>
              <w:spacing w:line="276" w:lineRule="auto"/>
              <w:jc w:val="center"/>
              <w:rPr>
                <w:sz w:val="18"/>
                <w:szCs w:val="18"/>
              </w:rPr>
            </w:pPr>
            <w:r>
              <w:rPr>
                <w:sz w:val="18"/>
                <w:szCs w:val="18"/>
              </w:rPr>
              <w:t>60</w:t>
            </w:r>
          </w:p>
        </w:tc>
        <w:tc>
          <w:tcPr>
            <w:tcW w:w="454" w:type="pct"/>
            <w:vMerge w:val="restart"/>
            <w:shd w:val="clear" w:color="auto" w:fill="auto"/>
            <w:vAlign w:val="center"/>
          </w:tcPr>
          <w:p w14:paraId="33F9C531">
            <w:pPr>
              <w:spacing w:line="276" w:lineRule="auto"/>
              <w:jc w:val="center"/>
              <w:rPr>
                <w:sz w:val="18"/>
                <w:szCs w:val="18"/>
              </w:rPr>
            </w:pPr>
            <w:r>
              <w:rPr>
                <w:sz w:val="18"/>
                <w:szCs w:val="18"/>
              </w:rPr>
              <w:t>5-112</w:t>
            </w:r>
          </w:p>
          <w:p w14:paraId="0B68879E">
            <w:pPr>
              <w:spacing w:line="276" w:lineRule="auto"/>
              <w:jc w:val="center"/>
              <w:rPr>
                <w:sz w:val="18"/>
                <w:szCs w:val="18"/>
              </w:rPr>
            </w:pPr>
            <w:r>
              <w:rPr>
                <w:sz w:val="18"/>
                <w:szCs w:val="18"/>
              </w:rPr>
              <w:t>5-115</w:t>
            </w:r>
          </w:p>
        </w:tc>
        <w:tc>
          <w:tcPr>
            <w:tcW w:w="569" w:type="pct"/>
            <w:vMerge w:val="continue"/>
            <w:vAlign w:val="center"/>
          </w:tcPr>
          <w:p w14:paraId="5B5367DC">
            <w:pPr>
              <w:spacing w:line="276" w:lineRule="auto"/>
              <w:jc w:val="center"/>
              <w:rPr>
                <w:sz w:val="18"/>
                <w:szCs w:val="18"/>
              </w:rPr>
            </w:pPr>
          </w:p>
        </w:tc>
        <w:tc>
          <w:tcPr>
            <w:tcW w:w="453" w:type="pct"/>
            <w:vMerge w:val="restart"/>
            <w:shd w:val="clear" w:color="auto" w:fill="auto"/>
            <w:vAlign w:val="center"/>
          </w:tcPr>
          <w:p w14:paraId="58042B9B">
            <w:pPr>
              <w:spacing w:line="276" w:lineRule="auto"/>
              <w:jc w:val="center"/>
              <w:rPr>
                <w:sz w:val="18"/>
                <w:szCs w:val="18"/>
              </w:rPr>
            </w:pPr>
            <w:r>
              <w:rPr>
                <w:sz w:val="18"/>
                <w:szCs w:val="18"/>
              </w:rPr>
              <w:t>支撑钢筋</w:t>
            </w:r>
          </w:p>
        </w:tc>
        <w:tc>
          <w:tcPr>
            <w:tcW w:w="568" w:type="pct"/>
            <w:vMerge w:val="restart"/>
            <w:shd w:val="clear" w:color="auto" w:fill="auto"/>
            <w:vAlign w:val="center"/>
          </w:tcPr>
          <w:p w14:paraId="2221D874">
            <w:pPr>
              <w:spacing w:line="276" w:lineRule="auto"/>
              <w:jc w:val="center"/>
              <w:rPr>
                <w:sz w:val="18"/>
                <w:szCs w:val="18"/>
              </w:rPr>
            </w:pPr>
            <w:r>
              <w:rPr>
                <w:sz w:val="18"/>
                <w:szCs w:val="18"/>
              </w:rPr>
              <w:t>≤Φ10</w:t>
            </w:r>
          </w:p>
        </w:tc>
        <w:tc>
          <w:tcPr>
            <w:tcW w:w="569" w:type="pct"/>
            <w:vMerge w:val="restart"/>
            <w:vAlign w:val="center"/>
          </w:tcPr>
          <w:p w14:paraId="01AAD1DC">
            <w:pPr>
              <w:spacing w:line="276" w:lineRule="auto"/>
              <w:jc w:val="center"/>
              <w:rPr>
                <w:sz w:val="18"/>
                <w:szCs w:val="18"/>
              </w:rPr>
            </w:pPr>
            <w:r>
              <w:rPr>
                <w:sz w:val="18"/>
                <w:szCs w:val="18"/>
              </w:rPr>
              <w:t>2519.06</w:t>
            </w:r>
          </w:p>
        </w:tc>
        <w:tc>
          <w:tcPr>
            <w:tcW w:w="598" w:type="pct"/>
            <w:vMerge w:val="restart"/>
            <w:shd w:val="clear" w:color="auto" w:fill="auto"/>
            <w:vAlign w:val="center"/>
          </w:tcPr>
          <w:p w14:paraId="1D3A2E4B">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restart"/>
            <w:shd w:val="clear" w:color="auto" w:fill="auto"/>
            <w:vAlign w:val="center"/>
          </w:tcPr>
          <w:p w14:paraId="27EB692C">
            <w:pPr>
              <w:spacing w:line="276" w:lineRule="auto"/>
              <w:jc w:val="center"/>
              <w:rPr>
                <w:sz w:val="18"/>
                <w:szCs w:val="18"/>
              </w:rPr>
            </w:pPr>
            <w:r>
              <w:rPr>
                <w:sz w:val="18"/>
                <w:szCs w:val="18"/>
              </w:rPr>
              <w:t>1.00</w:t>
            </w:r>
          </w:p>
        </w:tc>
        <w:tc>
          <w:tcPr>
            <w:tcW w:w="977" w:type="pct"/>
            <w:vMerge w:val="restart"/>
            <w:shd w:val="clear" w:color="auto" w:fill="auto"/>
            <w:vAlign w:val="center"/>
          </w:tcPr>
          <w:p w14:paraId="69F8506A">
            <w:pPr>
              <w:spacing w:line="276" w:lineRule="auto"/>
              <w:jc w:val="center"/>
              <w:rPr>
                <w:sz w:val="18"/>
                <w:szCs w:val="18"/>
              </w:rPr>
            </w:pPr>
          </w:p>
        </w:tc>
      </w:tr>
      <w:tr w14:paraId="1A1B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7B52E61C">
            <w:pPr>
              <w:spacing w:line="276" w:lineRule="auto"/>
              <w:jc w:val="center"/>
              <w:rPr>
                <w:sz w:val="18"/>
                <w:szCs w:val="18"/>
              </w:rPr>
            </w:pPr>
            <w:r>
              <w:rPr>
                <w:sz w:val="18"/>
                <w:szCs w:val="18"/>
              </w:rPr>
              <w:t>61</w:t>
            </w:r>
          </w:p>
        </w:tc>
        <w:tc>
          <w:tcPr>
            <w:tcW w:w="454" w:type="pct"/>
            <w:vMerge w:val="continue"/>
            <w:shd w:val="clear" w:color="auto" w:fill="auto"/>
            <w:vAlign w:val="center"/>
          </w:tcPr>
          <w:p w14:paraId="30880639">
            <w:pPr>
              <w:spacing w:line="276" w:lineRule="auto"/>
              <w:jc w:val="center"/>
              <w:rPr>
                <w:sz w:val="18"/>
                <w:szCs w:val="18"/>
              </w:rPr>
            </w:pPr>
          </w:p>
        </w:tc>
        <w:tc>
          <w:tcPr>
            <w:tcW w:w="569" w:type="pct"/>
            <w:vMerge w:val="continue"/>
            <w:vAlign w:val="center"/>
          </w:tcPr>
          <w:p w14:paraId="6BF8BFAE">
            <w:pPr>
              <w:spacing w:line="276" w:lineRule="auto"/>
              <w:jc w:val="center"/>
              <w:rPr>
                <w:sz w:val="18"/>
                <w:szCs w:val="18"/>
              </w:rPr>
            </w:pPr>
          </w:p>
        </w:tc>
        <w:tc>
          <w:tcPr>
            <w:tcW w:w="453" w:type="pct"/>
            <w:vMerge w:val="continue"/>
            <w:vAlign w:val="center"/>
          </w:tcPr>
          <w:p w14:paraId="5EAA0624">
            <w:pPr>
              <w:spacing w:line="276" w:lineRule="auto"/>
              <w:jc w:val="center"/>
              <w:rPr>
                <w:sz w:val="18"/>
                <w:szCs w:val="18"/>
              </w:rPr>
            </w:pPr>
          </w:p>
        </w:tc>
        <w:tc>
          <w:tcPr>
            <w:tcW w:w="568" w:type="pct"/>
            <w:vMerge w:val="continue"/>
            <w:vAlign w:val="center"/>
          </w:tcPr>
          <w:p w14:paraId="0CF4ABF9">
            <w:pPr>
              <w:spacing w:line="276" w:lineRule="auto"/>
              <w:jc w:val="center"/>
              <w:rPr>
                <w:sz w:val="18"/>
                <w:szCs w:val="18"/>
              </w:rPr>
            </w:pPr>
          </w:p>
        </w:tc>
        <w:tc>
          <w:tcPr>
            <w:tcW w:w="569" w:type="pct"/>
            <w:vMerge w:val="continue"/>
            <w:vAlign w:val="center"/>
          </w:tcPr>
          <w:p w14:paraId="2F569E6B">
            <w:pPr>
              <w:spacing w:line="276" w:lineRule="auto"/>
              <w:jc w:val="center"/>
              <w:rPr>
                <w:sz w:val="18"/>
                <w:szCs w:val="18"/>
              </w:rPr>
            </w:pPr>
          </w:p>
        </w:tc>
        <w:tc>
          <w:tcPr>
            <w:tcW w:w="598" w:type="pct"/>
            <w:vMerge w:val="continue"/>
            <w:vAlign w:val="center"/>
          </w:tcPr>
          <w:p w14:paraId="70DFFCA4">
            <w:pPr>
              <w:spacing w:line="276" w:lineRule="auto"/>
              <w:jc w:val="center"/>
              <w:rPr>
                <w:sz w:val="18"/>
                <w:szCs w:val="18"/>
              </w:rPr>
            </w:pPr>
          </w:p>
        </w:tc>
        <w:tc>
          <w:tcPr>
            <w:tcW w:w="501" w:type="pct"/>
            <w:vMerge w:val="continue"/>
            <w:vAlign w:val="center"/>
          </w:tcPr>
          <w:p w14:paraId="1D96BC7C">
            <w:pPr>
              <w:spacing w:line="276" w:lineRule="auto"/>
              <w:jc w:val="center"/>
              <w:rPr>
                <w:sz w:val="18"/>
                <w:szCs w:val="18"/>
              </w:rPr>
            </w:pPr>
          </w:p>
        </w:tc>
        <w:tc>
          <w:tcPr>
            <w:tcW w:w="977" w:type="pct"/>
            <w:vMerge w:val="continue"/>
            <w:vAlign w:val="center"/>
          </w:tcPr>
          <w:p w14:paraId="061EFCF1">
            <w:pPr>
              <w:spacing w:line="276" w:lineRule="auto"/>
              <w:jc w:val="center"/>
              <w:rPr>
                <w:sz w:val="18"/>
                <w:szCs w:val="18"/>
              </w:rPr>
            </w:pPr>
          </w:p>
        </w:tc>
      </w:tr>
      <w:tr w14:paraId="086F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439F1BE3">
            <w:pPr>
              <w:spacing w:line="276" w:lineRule="auto"/>
              <w:jc w:val="center"/>
              <w:rPr>
                <w:sz w:val="18"/>
                <w:szCs w:val="18"/>
              </w:rPr>
            </w:pPr>
            <w:r>
              <w:rPr>
                <w:sz w:val="18"/>
                <w:szCs w:val="18"/>
              </w:rPr>
              <w:t>62</w:t>
            </w:r>
          </w:p>
        </w:tc>
        <w:tc>
          <w:tcPr>
            <w:tcW w:w="454" w:type="pct"/>
            <w:vMerge w:val="restart"/>
            <w:shd w:val="clear" w:color="auto" w:fill="auto"/>
            <w:vAlign w:val="center"/>
          </w:tcPr>
          <w:p w14:paraId="1C4D24C7">
            <w:pPr>
              <w:spacing w:line="276" w:lineRule="auto"/>
              <w:jc w:val="center"/>
              <w:rPr>
                <w:sz w:val="18"/>
                <w:szCs w:val="18"/>
              </w:rPr>
            </w:pPr>
            <w:r>
              <w:rPr>
                <w:sz w:val="18"/>
                <w:szCs w:val="18"/>
              </w:rPr>
              <w:t>5-113</w:t>
            </w:r>
          </w:p>
          <w:p w14:paraId="37CC14FC">
            <w:pPr>
              <w:spacing w:line="276" w:lineRule="auto"/>
              <w:jc w:val="center"/>
              <w:rPr>
                <w:sz w:val="18"/>
                <w:szCs w:val="18"/>
              </w:rPr>
            </w:pPr>
            <w:r>
              <w:rPr>
                <w:sz w:val="18"/>
                <w:szCs w:val="18"/>
              </w:rPr>
              <w:t>5-116</w:t>
            </w:r>
          </w:p>
        </w:tc>
        <w:tc>
          <w:tcPr>
            <w:tcW w:w="569" w:type="pct"/>
            <w:vMerge w:val="continue"/>
            <w:vAlign w:val="center"/>
          </w:tcPr>
          <w:p w14:paraId="4393BB13">
            <w:pPr>
              <w:spacing w:line="276" w:lineRule="auto"/>
              <w:jc w:val="center"/>
              <w:rPr>
                <w:sz w:val="18"/>
                <w:szCs w:val="18"/>
              </w:rPr>
            </w:pPr>
          </w:p>
        </w:tc>
        <w:tc>
          <w:tcPr>
            <w:tcW w:w="453" w:type="pct"/>
            <w:vMerge w:val="continue"/>
            <w:vAlign w:val="center"/>
          </w:tcPr>
          <w:p w14:paraId="2D3EA019">
            <w:pPr>
              <w:spacing w:line="276" w:lineRule="auto"/>
              <w:jc w:val="center"/>
              <w:rPr>
                <w:sz w:val="18"/>
                <w:szCs w:val="18"/>
              </w:rPr>
            </w:pPr>
          </w:p>
        </w:tc>
        <w:tc>
          <w:tcPr>
            <w:tcW w:w="568" w:type="pct"/>
            <w:vMerge w:val="restart"/>
            <w:shd w:val="clear" w:color="auto" w:fill="auto"/>
            <w:vAlign w:val="center"/>
          </w:tcPr>
          <w:p w14:paraId="6B3ED70C">
            <w:pPr>
              <w:spacing w:line="276" w:lineRule="auto"/>
              <w:jc w:val="center"/>
              <w:rPr>
                <w:sz w:val="18"/>
                <w:szCs w:val="18"/>
              </w:rPr>
            </w:pPr>
            <w:r>
              <w:rPr>
                <w:sz w:val="18"/>
                <w:szCs w:val="18"/>
              </w:rPr>
              <w:t>&gt;Φ10</w:t>
            </w:r>
          </w:p>
        </w:tc>
        <w:tc>
          <w:tcPr>
            <w:tcW w:w="569" w:type="pct"/>
            <w:vMerge w:val="restart"/>
            <w:vAlign w:val="center"/>
          </w:tcPr>
          <w:p w14:paraId="6D2A7EF0">
            <w:pPr>
              <w:spacing w:line="276" w:lineRule="auto"/>
              <w:jc w:val="center"/>
              <w:rPr>
                <w:sz w:val="18"/>
                <w:szCs w:val="18"/>
              </w:rPr>
            </w:pPr>
            <w:r>
              <w:rPr>
                <w:sz w:val="18"/>
                <w:szCs w:val="18"/>
              </w:rPr>
              <w:t>2543.75</w:t>
            </w:r>
          </w:p>
        </w:tc>
        <w:tc>
          <w:tcPr>
            <w:tcW w:w="598" w:type="pct"/>
            <w:vMerge w:val="restart"/>
            <w:shd w:val="clear" w:color="auto" w:fill="auto"/>
            <w:vAlign w:val="center"/>
          </w:tcPr>
          <w:p w14:paraId="44893522">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continue"/>
            <w:vAlign w:val="center"/>
          </w:tcPr>
          <w:p w14:paraId="4240AA07">
            <w:pPr>
              <w:spacing w:line="276" w:lineRule="auto"/>
              <w:jc w:val="center"/>
              <w:rPr>
                <w:sz w:val="18"/>
                <w:szCs w:val="18"/>
              </w:rPr>
            </w:pPr>
          </w:p>
        </w:tc>
        <w:tc>
          <w:tcPr>
            <w:tcW w:w="977" w:type="pct"/>
            <w:vMerge w:val="continue"/>
            <w:shd w:val="clear" w:color="auto" w:fill="auto"/>
            <w:vAlign w:val="center"/>
          </w:tcPr>
          <w:p w14:paraId="22A31FBB">
            <w:pPr>
              <w:spacing w:line="276" w:lineRule="auto"/>
              <w:jc w:val="center"/>
              <w:rPr>
                <w:sz w:val="18"/>
                <w:szCs w:val="18"/>
              </w:rPr>
            </w:pPr>
          </w:p>
        </w:tc>
      </w:tr>
      <w:tr w14:paraId="4273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577F5D48">
            <w:pPr>
              <w:spacing w:line="276" w:lineRule="auto"/>
              <w:jc w:val="center"/>
              <w:rPr>
                <w:sz w:val="18"/>
                <w:szCs w:val="18"/>
              </w:rPr>
            </w:pPr>
            <w:r>
              <w:rPr>
                <w:sz w:val="18"/>
                <w:szCs w:val="18"/>
              </w:rPr>
              <w:t>63</w:t>
            </w:r>
          </w:p>
        </w:tc>
        <w:tc>
          <w:tcPr>
            <w:tcW w:w="454" w:type="pct"/>
            <w:vMerge w:val="continue"/>
            <w:shd w:val="clear" w:color="auto" w:fill="auto"/>
            <w:vAlign w:val="center"/>
          </w:tcPr>
          <w:p w14:paraId="2187608B">
            <w:pPr>
              <w:spacing w:line="276" w:lineRule="auto"/>
              <w:jc w:val="center"/>
              <w:rPr>
                <w:sz w:val="18"/>
                <w:szCs w:val="18"/>
              </w:rPr>
            </w:pPr>
          </w:p>
        </w:tc>
        <w:tc>
          <w:tcPr>
            <w:tcW w:w="569" w:type="pct"/>
            <w:vMerge w:val="continue"/>
            <w:vAlign w:val="center"/>
          </w:tcPr>
          <w:p w14:paraId="55694BFC">
            <w:pPr>
              <w:spacing w:line="276" w:lineRule="auto"/>
              <w:jc w:val="center"/>
              <w:rPr>
                <w:sz w:val="18"/>
                <w:szCs w:val="18"/>
              </w:rPr>
            </w:pPr>
          </w:p>
        </w:tc>
        <w:tc>
          <w:tcPr>
            <w:tcW w:w="453" w:type="pct"/>
            <w:vMerge w:val="continue"/>
            <w:vAlign w:val="center"/>
          </w:tcPr>
          <w:p w14:paraId="431A5209">
            <w:pPr>
              <w:spacing w:line="276" w:lineRule="auto"/>
              <w:jc w:val="center"/>
              <w:rPr>
                <w:sz w:val="18"/>
                <w:szCs w:val="18"/>
              </w:rPr>
            </w:pPr>
          </w:p>
        </w:tc>
        <w:tc>
          <w:tcPr>
            <w:tcW w:w="568" w:type="pct"/>
            <w:vMerge w:val="continue"/>
            <w:vAlign w:val="center"/>
          </w:tcPr>
          <w:p w14:paraId="234DD06E">
            <w:pPr>
              <w:spacing w:line="276" w:lineRule="auto"/>
              <w:jc w:val="center"/>
              <w:rPr>
                <w:sz w:val="18"/>
                <w:szCs w:val="18"/>
              </w:rPr>
            </w:pPr>
          </w:p>
        </w:tc>
        <w:tc>
          <w:tcPr>
            <w:tcW w:w="569" w:type="pct"/>
            <w:vMerge w:val="continue"/>
            <w:vAlign w:val="center"/>
          </w:tcPr>
          <w:p w14:paraId="4AB30D6A">
            <w:pPr>
              <w:spacing w:line="276" w:lineRule="auto"/>
              <w:jc w:val="center"/>
              <w:rPr>
                <w:sz w:val="18"/>
                <w:szCs w:val="18"/>
              </w:rPr>
            </w:pPr>
          </w:p>
        </w:tc>
        <w:tc>
          <w:tcPr>
            <w:tcW w:w="598" w:type="pct"/>
            <w:vMerge w:val="continue"/>
            <w:vAlign w:val="center"/>
          </w:tcPr>
          <w:p w14:paraId="11241098">
            <w:pPr>
              <w:spacing w:line="276" w:lineRule="auto"/>
              <w:jc w:val="center"/>
              <w:rPr>
                <w:sz w:val="18"/>
                <w:szCs w:val="18"/>
              </w:rPr>
            </w:pPr>
          </w:p>
        </w:tc>
        <w:tc>
          <w:tcPr>
            <w:tcW w:w="501" w:type="pct"/>
            <w:vMerge w:val="continue"/>
            <w:vAlign w:val="center"/>
          </w:tcPr>
          <w:p w14:paraId="5B02C16A">
            <w:pPr>
              <w:spacing w:line="276" w:lineRule="auto"/>
              <w:jc w:val="center"/>
              <w:rPr>
                <w:sz w:val="18"/>
                <w:szCs w:val="18"/>
              </w:rPr>
            </w:pPr>
          </w:p>
        </w:tc>
        <w:tc>
          <w:tcPr>
            <w:tcW w:w="977" w:type="pct"/>
            <w:vMerge w:val="continue"/>
            <w:vAlign w:val="center"/>
          </w:tcPr>
          <w:p w14:paraId="24EDF21D">
            <w:pPr>
              <w:spacing w:line="276" w:lineRule="auto"/>
              <w:jc w:val="center"/>
              <w:rPr>
                <w:sz w:val="18"/>
                <w:szCs w:val="18"/>
              </w:rPr>
            </w:pPr>
          </w:p>
        </w:tc>
      </w:tr>
      <w:tr w14:paraId="2899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12" w:type="pct"/>
            <w:vAlign w:val="center"/>
          </w:tcPr>
          <w:p w14:paraId="2B78E2FA">
            <w:pPr>
              <w:spacing w:line="276" w:lineRule="auto"/>
              <w:jc w:val="center"/>
              <w:rPr>
                <w:sz w:val="18"/>
                <w:szCs w:val="18"/>
              </w:rPr>
            </w:pPr>
            <w:r>
              <w:rPr>
                <w:sz w:val="18"/>
                <w:szCs w:val="18"/>
              </w:rPr>
              <w:t>64</w:t>
            </w:r>
          </w:p>
        </w:tc>
        <w:tc>
          <w:tcPr>
            <w:tcW w:w="454" w:type="pct"/>
            <w:shd w:val="clear" w:color="auto" w:fill="auto"/>
            <w:vAlign w:val="center"/>
          </w:tcPr>
          <w:p w14:paraId="5DB1B139">
            <w:pPr>
              <w:spacing w:line="276" w:lineRule="auto"/>
              <w:jc w:val="center"/>
              <w:rPr>
                <w:sz w:val="18"/>
                <w:szCs w:val="18"/>
              </w:rPr>
            </w:pPr>
            <w:r>
              <w:rPr>
                <w:sz w:val="18"/>
                <w:szCs w:val="18"/>
              </w:rPr>
              <w:t>2-90</w:t>
            </w:r>
          </w:p>
        </w:tc>
        <w:tc>
          <w:tcPr>
            <w:tcW w:w="569" w:type="pct"/>
            <w:vMerge w:val="restart"/>
            <w:shd w:val="clear" w:color="auto" w:fill="auto"/>
            <w:noWrap/>
            <w:vAlign w:val="center"/>
          </w:tcPr>
          <w:p w14:paraId="3A74A604">
            <w:pPr>
              <w:spacing w:line="276" w:lineRule="auto"/>
              <w:jc w:val="center"/>
              <w:rPr>
                <w:sz w:val="18"/>
                <w:szCs w:val="18"/>
              </w:rPr>
            </w:pPr>
            <w:r>
              <w:rPr>
                <w:sz w:val="18"/>
                <w:szCs w:val="18"/>
              </w:rPr>
              <w:t>钢支撑</w:t>
            </w:r>
          </w:p>
        </w:tc>
        <w:tc>
          <w:tcPr>
            <w:tcW w:w="1021" w:type="pct"/>
            <w:gridSpan w:val="2"/>
            <w:shd w:val="clear" w:color="auto" w:fill="auto"/>
            <w:noWrap/>
            <w:vAlign w:val="center"/>
          </w:tcPr>
          <w:p w14:paraId="24479549">
            <w:pPr>
              <w:spacing w:line="276" w:lineRule="auto"/>
              <w:jc w:val="center"/>
              <w:rPr>
                <w:sz w:val="18"/>
                <w:szCs w:val="18"/>
              </w:rPr>
            </w:pPr>
            <w:r>
              <w:rPr>
                <w:sz w:val="18"/>
                <w:szCs w:val="18"/>
              </w:rPr>
              <w:t>制作</w:t>
            </w:r>
          </w:p>
        </w:tc>
        <w:tc>
          <w:tcPr>
            <w:tcW w:w="569" w:type="pct"/>
            <w:vAlign w:val="center"/>
          </w:tcPr>
          <w:p w14:paraId="6009B924">
            <w:pPr>
              <w:spacing w:line="276" w:lineRule="auto"/>
              <w:jc w:val="center"/>
              <w:rPr>
                <w:sz w:val="18"/>
                <w:szCs w:val="18"/>
              </w:rPr>
            </w:pPr>
            <w:r>
              <w:rPr>
                <w:sz w:val="18"/>
                <w:szCs w:val="18"/>
              </w:rPr>
              <w:t>2836.04</w:t>
            </w:r>
          </w:p>
        </w:tc>
        <w:tc>
          <w:tcPr>
            <w:tcW w:w="598" w:type="pct"/>
            <w:shd w:val="clear" w:color="auto" w:fill="auto"/>
            <w:vAlign w:val="center"/>
          </w:tcPr>
          <w:p w14:paraId="192E6BB2">
            <w:pPr>
              <w:spacing w:line="276" w:lineRule="auto"/>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restart"/>
            <w:shd w:val="clear" w:color="auto" w:fill="auto"/>
            <w:vAlign w:val="center"/>
          </w:tcPr>
          <w:p w14:paraId="0F12B548">
            <w:pPr>
              <w:spacing w:line="276" w:lineRule="auto"/>
              <w:jc w:val="center"/>
              <w:rPr>
                <w:sz w:val="18"/>
                <w:szCs w:val="18"/>
              </w:rPr>
            </w:pPr>
            <w:r>
              <w:rPr>
                <w:sz w:val="18"/>
                <w:szCs w:val="18"/>
              </w:rPr>
              <w:t>0.05（重复利用时）</w:t>
            </w:r>
          </w:p>
        </w:tc>
        <w:tc>
          <w:tcPr>
            <w:tcW w:w="977" w:type="pct"/>
            <w:vMerge w:val="restart"/>
            <w:shd w:val="clear" w:color="auto" w:fill="auto"/>
            <w:noWrap/>
            <w:vAlign w:val="center"/>
          </w:tcPr>
          <w:p w14:paraId="4DEEC3E2">
            <w:pPr>
              <w:spacing w:line="276" w:lineRule="auto"/>
              <w:jc w:val="center"/>
              <w:rPr>
                <w:sz w:val="18"/>
                <w:szCs w:val="18"/>
              </w:rPr>
            </w:pPr>
            <w:r>
              <w:rPr>
                <w:sz w:val="18"/>
                <w:szCs w:val="18"/>
              </w:rPr>
              <w:t>依据2021版预算定额</w:t>
            </w:r>
          </w:p>
        </w:tc>
      </w:tr>
      <w:tr w14:paraId="244B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2" w:type="pct"/>
            <w:vAlign w:val="center"/>
          </w:tcPr>
          <w:p w14:paraId="2DA015B8">
            <w:pPr>
              <w:spacing w:line="276" w:lineRule="auto"/>
              <w:jc w:val="center"/>
              <w:rPr>
                <w:sz w:val="18"/>
                <w:szCs w:val="18"/>
              </w:rPr>
            </w:pPr>
            <w:r>
              <w:rPr>
                <w:sz w:val="18"/>
                <w:szCs w:val="18"/>
              </w:rPr>
              <w:t>65</w:t>
            </w:r>
          </w:p>
        </w:tc>
        <w:tc>
          <w:tcPr>
            <w:tcW w:w="454" w:type="pct"/>
            <w:shd w:val="clear" w:color="auto" w:fill="auto"/>
            <w:vAlign w:val="center"/>
          </w:tcPr>
          <w:p w14:paraId="63AA86BC">
            <w:pPr>
              <w:jc w:val="center"/>
              <w:rPr>
                <w:sz w:val="18"/>
                <w:szCs w:val="18"/>
              </w:rPr>
            </w:pPr>
            <w:r>
              <w:rPr>
                <w:sz w:val="18"/>
                <w:szCs w:val="18"/>
              </w:rPr>
              <w:t>2-92</w:t>
            </w:r>
          </w:p>
        </w:tc>
        <w:tc>
          <w:tcPr>
            <w:tcW w:w="569" w:type="pct"/>
            <w:vMerge w:val="continue"/>
            <w:vAlign w:val="center"/>
          </w:tcPr>
          <w:p w14:paraId="5C11D5A4">
            <w:pPr>
              <w:jc w:val="center"/>
              <w:rPr>
                <w:sz w:val="18"/>
                <w:szCs w:val="18"/>
              </w:rPr>
            </w:pPr>
          </w:p>
        </w:tc>
        <w:tc>
          <w:tcPr>
            <w:tcW w:w="1021" w:type="pct"/>
            <w:gridSpan w:val="2"/>
            <w:shd w:val="clear" w:color="auto" w:fill="auto"/>
            <w:noWrap/>
            <w:vAlign w:val="center"/>
          </w:tcPr>
          <w:p w14:paraId="3EEB8F2C">
            <w:pPr>
              <w:jc w:val="center"/>
              <w:rPr>
                <w:sz w:val="18"/>
                <w:szCs w:val="18"/>
              </w:rPr>
            </w:pPr>
            <w:r>
              <w:rPr>
                <w:sz w:val="18"/>
                <w:szCs w:val="18"/>
              </w:rPr>
              <w:t>安装及拆除</w:t>
            </w:r>
          </w:p>
        </w:tc>
        <w:tc>
          <w:tcPr>
            <w:tcW w:w="569" w:type="pct"/>
            <w:vAlign w:val="center"/>
          </w:tcPr>
          <w:p w14:paraId="52482F76">
            <w:pPr>
              <w:jc w:val="center"/>
              <w:rPr>
                <w:sz w:val="18"/>
                <w:szCs w:val="18"/>
              </w:rPr>
            </w:pPr>
            <w:r>
              <w:rPr>
                <w:sz w:val="18"/>
                <w:szCs w:val="18"/>
              </w:rPr>
              <w:t>75.54</w:t>
            </w:r>
          </w:p>
        </w:tc>
        <w:tc>
          <w:tcPr>
            <w:tcW w:w="598" w:type="pct"/>
            <w:shd w:val="clear" w:color="auto" w:fill="auto"/>
            <w:vAlign w:val="center"/>
          </w:tcPr>
          <w:p w14:paraId="5C98EF04">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t</w:t>
            </w:r>
          </w:p>
        </w:tc>
        <w:tc>
          <w:tcPr>
            <w:tcW w:w="501" w:type="pct"/>
            <w:vMerge w:val="continue"/>
            <w:vAlign w:val="center"/>
          </w:tcPr>
          <w:p w14:paraId="5F5128E9">
            <w:pPr>
              <w:jc w:val="center"/>
              <w:rPr>
                <w:sz w:val="18"/>
                <w:szCs w:val="18"/>
              </w:rPr>
            </w:pPr>
          </w:p>
        </w:tc>
        <w:tc>
          <w:tcPr>
            <w:tcW w:w="977" w:type="pct"/>
            <w:vMerge w:val="continue"/>
            <w:vAlign w:val="center"/>
          </w:tcPr>
          <w:p w14:paraId="163845A9">
            <w:pPr>
              <w:jc w:val="center"/>
              <w:rPr>
                <w:sz w:val="18"/>
                <w:szCs w:val="18"/>
              </w:rPr>
            </w:pPr>
          </w:p>
        </w:tc>
      </w:tr>
    </w:tbl>
    <w:p w14:paraId="1D613F9A">
      <w:pPr>
        <w:spacing w:line="276" w:lineRule="auto"/>
        <w:jc w:val="center"/>
        <w:rPr>
          <w:b/>
          <w:sz w:val="22"/>
          <w:szCs w:val="22"/>
        </w:rPr>
      </w:pPr>
    </w:p>
    <w:p w14:paraId="624C643F">
      <w:pPr>
        <w:spacing w:line="276" w:lineRule="auto"/>
        <w:jc w:val="center"/>
        <w:rPr>
          <w:rFonts w:ascii="宋体" w:hAnsi="宋体" w:cstheme="majorBidi"/>
          <w:b/>
          <w:sz w:val="20"/>
          <w:szCs w:val="20"/>
        </w:rPr>
      </w:pPr>
      <w:r>
        <w:rPr>
          <w:b/>
          <w:sz w:val="20"/>
          <w:szCs w:val="20"/>
        </w:rPr>
        <w:t>表D.0.11-4 基坑</w:t>
      </w:r>
      <w:r>
        <w:rPr>
          <w:rFonts w:ascii="宋体" w:hAnsi="宋体" w:cstheme="majorBidi"/>
          <w:b/>
          <w:sz w:val="20"/>
          <w:szCs w:val="20"/>
        </w:rPr>
        <w:t>监测工程碳排放量</w:t>
      </w:r>
      <w:r>
        <w:rPr>
          <w:rFonts w:hint="eastAsia" w:ascii="宋体" w:hAnsi="宋体" w:cstheme="majorBidi"/>
          <w:b/>
          <w:sz w:val="20"/>
          <w:szCs w:val="20"/>
        </w:rPr>
        <w:t>计算用表</w:t>
      </w:r>
    </w:p>
    <w:tbl>
      <w:tblPr>
        <w:tblStyle w:val="34"/>
        <w:tblW w:w="5000" w:type="pct"/>
        <w:jc w:val="center"/>
        <w:tblLayout w:type="autofit"/>
        <w:tblCellMar>
          <w:top w:w="0" w:type="dxa"/>
          <w:left w:w="108" w:type="dxa"/>
          <w:bottom w:w="0" w:type="dxa"/>
          <w:right w:w="108" w:type="dxa"/>
        </w:tblCellMar>
      </w:tblPr>
      <w:tblGrid>
        <w:gridCol w:w="947"/>
        <w:gridCol w:w="954"/>
        <w:gridCol w:w="1756"/>
        <w:gridCol w:w="1482"/>
        <w:gridCol w:w="1438"/>
        <w:gridCol w:w="1438"/>
        <w:gridCol w:w="1210"/>
        <w:gridCol w:w="855"/>
      </w:tblGrid>
      <w:tr w14:paraId="79A63068">
        <w:tblPrEx>
          <w:tblCellMar>
            <w:top w:w="0" w:type="dxa"/>
            <w:left w:w="108" w:type="dxa"/>
            <w:bottom w:w="0" w:type="dxa"/>
            <w:right w:w="108" w:type="dxa"/>
          </w:tblCellMar>
        </w:tblPrEx>
        <w:trPr>
          <w:trHeight w:val="530" w:hRule="atLeast"/>
          <w:jc w:val="center"/>
        </w:trPr>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14:paraId="0D412E6B">
            <w:pPr>
              <w:jc w:val="center"/>
              <w:rPr>
                <w:sz w:val="18"/>
                <w:szCs w:val="18"/>
              </w:rPr>
            </w:pPr>
            <w:r>
              <w:rPr>
                <w:sz w:val="18"/>
                <w:szCs w:val="18"/>
              </w:rPr>
              <w:t>序号</w:t>
            </w:r>
          </w:p>
        </w:tc>
        <w:tc>
          <w:tcPr>
            <w:tcW w:w="473" w:type="pct"/>
            <w:tcBorders>
              <w:top w:val="single" w:color="auto" w:sz="4" w:space="0"/>
              <w:left w:val="nil"/>
              <w:bottom w:val="single" w:color="auto" w:sz="4" w:space="0"/>
              <w:right w:val="single" w:color="auto" w:sz="4" w:space="0"/>
            </w:tcBorders>
            <w:shd w:val="clear" w:color="auto" w:fill="auto"/>
            <w:vAlign w:val="center"/>
          </w:tcPr>
          <w:p w14:paraId="6CFAD5E1">
            <w:pPr>
              <w:jc w:val="center"/>
              <w:rPr>
                <w:sz w:val="18"/>
                <w:szCs w:val="18"/>
              </w:rPr>
            </w:pPr>
            <w:r>
              <w:rPr>
                <w:sz w:val="18"/>
                <w:szCs w:val="18"/>
              </w:rPr>
              <w:t>定额编号</w:t>
            </w:r>
          </w:p>
        </w:tc>
        <w:tc>
          <w:tcPr>
            <w:tcW w:w="871" w:type="pct"/>
            <w:tcBorders>
              <w:top w:val="single" w:color="auto" w:sz="4" w:space="0"/>
              <w:left w:val="nil"/>
              <w:bottom w:val="single" w:color="auto" w:sz="4" w:space="0"/>
              <w:right w:val="single" w:color="auto" w:sz="4" w:space="0"/>
            </w:tcBorders>
            <w:shd w:val="clear" w:color="auto" w:fill="auto"/>
            <w:vAlign w:val="center"/>
          </w:tcPr>
          <w:p w14:paraId="729702D5">
            <w:pPr>
              <w:jc w:val="center"/>
              <w:rPr>
                <w:sz w:val="18"/>
                <w:szCs w:val="18"/>
              </w:rPr>
            </w:pPr>
            <w:r>
              <w:rPr>
                <w:rFonts w:hint="eastAsia"/>
                <w:sz w:val="18"/>
                <w:szCs w:val="18"/>
              </w:rPr>
              <w:t>项目</w:t>
            </w:r>
          </w:p>
        </w:tc>
        <w:tc>
          <w:tcPr>
            <w:tcW w:w="735" w:type="pct"/>
            <w:tcBorders>
              <w:top w:val="single" w:color="auto" w:sz="4" w:space="0"/>
              <w:left w:val="nil"/>
              <w:bottom w:val="single" w:color="auto" w:sz="4" w:space="0"/>
              <w:right w:val="single" w:color="auto" w:sz="4" w:space="0"/>
            </w:tcBorders>
            <w:shd w:val="clear" w:color="auto" w:fill="auto"/>
            <w:vAlign w:val="center"/>
          </w:tcPr>
          <w:p w14:paraId="41CF487B">
            <w:pPr>
              <w:jc w:val="center"/>
              <w:rPr>
                <w:sz w:val="18"/>
                <w:szCs w:val="18"/>
              </w:rPr>
            </w:pPr>
            <w:r>
              <w:rPr>
                <w:sz w:val="18"/>
                <w:szCs w:val="18"/>
              </w:rPr>
              <w:t>特征</w:t>
            </w:r>
          </w:p>
        </w:tc>
        <w:tc>
          <w:tcPr>
            <w:tcW w:w="713" w:type="pct"/>
            <w:tcBorders>
              <w:top w:val="single" w:color="auto" w:sz="4" w:space="0"/>
              <w:left w:val="nil"/>
              <w:bottom w:val="single" w:color="auto" w:sz="4" w:space="0"/>
              <w:right w:val="single" w:color="auto" w:sz="4" w:space="0"/>
            </w:tcBorders>
            <w:shd w:val="clear" w:color="auto" w:fill="auto"/>
            <w:vAlign w:val="center"/>
          </w:tcPr>
          <w:p w14:paraId="6DADED74">
            <w:pPr>
              <w:jc w:val="center"/>
              <w:rPr>
                <w:sz w:val="18"/>
                <w:szCs w:val="18"/>
              </w:rPr>
            </w:pPr>
            <w:r>
              <w:rPr>
                <w:sz w:val="18"/>
                <w:szCs w:val="18"/>
              </w:rPr>
              <w:t>单位工程量碳排放因子</w:t>
            </w:r>
          </w:p>
        </w:tc>
        <w:tc>
          <w:tcPr>
            <w:tcW w:w="713" w:type="pct"/>
            <w:tcBorders>
              <w:top w:val="single" w:color="auto" w:sz="4" w:space="0"/>
              <w:left w:val="nil"/>
              <w:bottom w:val="single" w:color="auto" w:sz="4" w:space="0"/>
              <w:right w:val="single" w:color="auto" w:sz="4" w:space="0"/>
            </w:tcBorders>
            <w:shd w:val="clear" w:color="auto" w:fill="auto"/>
            <w:vAlign w:val="center"/>
          </w:tcPr>
          <w:p w14:paraId="62A222C8">
            <w:pPr>
              <w:jc w:val="center"/>
              <w:rPr>
                <w:sz w:val="18"/>
                <w:szCs w:val="18"/>
              </w:rPr>
            </w:pPr>
            <w:r>
              <w:rPr>
                <w:sz w:val="18"/>
                <w:szCs w:val="18"/>
              </w:rPr>
              <w:t>单位</w:t>
            </w:r>
          </w:p>
        </w:tc>
        <w:tc>
          <w:tcPr>
            <w:tcW w:w="600" w:type="pct"/>
            <w:tcBorders>
              <w:top w:val="single" w:color="auto" w:sz="4" w:space="0"/>
              <w:left w:val="nil"/>
              <w:bottom w:val="single" w:color="auto" w:sz="4" w:space="0"/>
              <w:right w:val="single" w:color="auto" w:sz="4" w:space="0"/>
            </w:tcBorders>
            <w:shd w:val="clear" w:color="auto" w:fill="auto"/>
            <w:vAlign w:val="center"/>
          </w:tcPr>
          <w:p w14:paraId="6FD0B48F">
            <w:pPr>
              <w:jc w:val="center"/>
              <w:rPr>
                <w:sz w:val="18"/>
                <w:szCs w:val="18"/>
              </w:rPr>
            </w:pPr>
            <w:r>
              <w:rPr>
                <w:sz w:val="18"/>
                <w:szCs w:val="18"/>
              </w:rPr>
              <w:t>调整系数</w:t>
            </w:r>
          </w:p>
        </w:tc>
        <w:tc>
          <w:tcPr>
            <w:tcW w:w="424" w:type="pct"/>
            <w:tcBorders>
              <w:top w:val="single" w:color="auto" w:sz="4" w:space="0"/>
              <w:left w:val="nil"/>
              <w:bottom w:val="single" w:color="auto" w:sz="4" w:space="0"/>
              <w:right w:val="single" w:color="auto" w:sz="4" w:space="0"/>
            </w:tcBorders>
            <w:shd w:val="clear" w:color="auto" w:fill="auto"/>
            <w:vAlign w:val="center"/>
          </w:tcPr>
          <w:p w14:paraId="768EB213">
            <w:pPr>
              <w:jc w:val="center"/>
              <w:rPr>
                <w:sz w:val="18"/>
                <w:szCs w:val="18"/>
              </w:rPr>
            </w:pPr>
            <w:r>
              <w:rPr>
                <w:sz w:val="18"/>
                <w:szCs w:val="18"/>
              </w:rPr>
              <w:t>备注</w:t>
            </w:r>
          </w:p>
        </w:tc>
      </w:tr>
      <w:tr w14:paraId="0542D1B1">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1E1045DF">
            <w:pPr>
              <w:jc w:val="center"/>
              <w:rPr>
                <w:sz w:val="18"/>
                <w:szCs w:val="18"/>
              </w:rPr>
            </w:pPr>
            <w:r>
              <w:rPr>
                <w:sz w:val="18"/>
                <w:szCs w:val="18"/>
              </w:rPr>
              <w:t>1</w:t>
            </w:r>
          </w:p>
        </w:tc>
        <w:tc>
          <w:tcPr>
            <w:tcW w:w="473" w:type="pct"/>
            <w:tcBorders>
              <w:top w:val="nil"/>
              <w:left w:val="nil"/>
              <w:bottom w:val="single" w:color="auto" w:sz="4" w:space="0"/>
              <w:right w:val="single" w:color="auto" w:sz="4" w:space="0"/>
            </w:tcBorders>
            <w:shd w:val="clear" w:color="auto" w:fill="auto"/>
            <w:vAlign w:val="center"/>
          </w:tcPr>
          <w:p w14:paraId="172BD2D7">
            <w:pPr>
              <w:jc w:val="center"/>
              <w:rPr>
                <w:sz w:val="18"/>
                <w:szCs w:val="18"/>
              </w:rPr>
            </w:pPr>
            <w:r>
              <w:rPr>
                <w:sz w:val="18"/>
                <w:szCs w:val="18"/>
              </w:rPr>
              <w:t>11-1</w:t>
            </w:r>
          </w:p>
        </w:tc>
        <w:tc>
          <w:tcPr>
            <w:tcW w:w="871" w:type="pct"/>
            <w:vMerge w:val="restart"/>
            <w:tcBorders>
              <w:top w:val="nil"/>
              <w:left w:val="single" w:color="auto" w:sz="4" w:space="0"/>
              <w:bottom w:val="single" w:color="auto" w:sz="4" w:space="0"/>
              <w:right w:val="single" w:color="auto" w:sz="4" w:space="0"/>
            </w:tcBorders>
            <w:shd w:val="clear" w:color="auto" w:fill="auto"/>
            <w:vAlign w:val="center"/>
          </w:tcPr>
          <w:p w14:paraId="6785C721">
            <w:pPr>
              <w:jc w:val="center"/>
              <w:rPr>
                <w:sz w:val="18"/>
                <w:szCs w:val="18"/>
              </w:rPr>
            </w:pPr>
            <w:r>
              <w:rPr>
                <w:sz w:val="18"/>
                <w:szCs w:val="18"/>
              </w:rPr>
              <w:t>基准点布设</w:t>
            </w:r>
          </w:p>
        </w:tc>
        <w:tc>
          <w:tcPr>
            <w:tcW w:w="735" w:type="pct"/>
            <w:tcBorders>
              <w:top w:val="nil"/>
              <w:left w:val="nil"/>
              <w:bottom w:val="single" w:color="auto" w:sz="4" w:space="0"/>
              <w:right w:val="single" w:color="auto" w:sz="4" w:space="0"/>
            </w:tcBorders>
            <w:shd w:val="clear" w:color="auto" w:fill="auto"/>
            <w:vAlign w:val="center"/>
          </w:tcPr>
          <w:p w14:paraId="641F089A">
            <w:pPr>
              <w:jc w:val="center"/>
              <w:rPr>
                <w:sz w:val="18"/>
                <w:szCs w:val="18"/>
              </w:rPr>
            </w:pPr>
            <w:r>
              <w:rPr>
                <w:sz w:val="18"/>
                <w:szCs w:val="18"/>
              </w:rPr>
              <w:t>深埋钢管</w:t>
            </w:r>
          </w:p>
        </w:tc>
        <w:tc>
          <w:tcPr>
            <w:tcW w:w="713" w:type="pct"/>
            <w:tcBorders>
              <w:top w:val="nil"/>
              <w:left w:val="nil"/>
              <w:bottom w:val="single" w:color="auto" w:sz="4" w:space="0"/>
              <w:right w:val="single" w:color="auto" w:sz="4" w:space="0"/>
            </w:tcBorders>
            <w:shd w:val="clear" w:color="auto" w:fill="auto"/>
          </w:tcPr>
          <w:p w14:paraId="436F9C68">
            <w:pPr>
              <w:jc w:val="center"/>
              <w:rPr>
                <w:sz w:val="18"/>
                <w:szCs w:val="18"/>
              </w:rPr>
            </w:pPr>
            <w:r>
              <w:rPr>
                <w:sz w:val="18"/>
                <w:szCs w:val="18"/>
              </w:rPr>
              <w:t xml:space="preserve">366.10 </w:t>
            </w:r>
          </w:p>
        </w:tc>
        <w:tc>
          <w:tcPr>
            <w:tcW w:w="713" w:type="pct"/>
            <w:tcBorders>
              <w:top w:val="nil"/>
              <w:left w:val="nil"/>
              <w:bottom w:val="single" w:color="auto" w:sz="4" w:space="0"/>
              <w:right w:val="single" w:color="auto" w:sz="4" w:space="0"/>
            </w:tcBorders>
            <w:shd w:val="clear" w:color="auto" w:fill="auto"/>
            <w:vAlign w:val="center"/>
          </w:tcPr>
          <w:p w14:paraId="0EC90760">
            <w:pPr>
              <w:jc w:val="center"/>
              <w:rPr>
                <w:sz w:val="18"/>
                <w:szCs w:val="18"/>
              </w:rPr>
            </w:pPr>
            <w:r>
              <w:rPr>
                <w:sz w:val="18"/>
                <w:szCs w:val="18"/>
              </w:rPr>
              <w:t>kgCO</w:t>
            </w:r>
            <w:r>
              <w:rPr>
                <w:sz w:val="18"/>
                <w:szCs w:val="18"/>
                <w:vertAlign w:val="subscript"/>
              </w:rPr>
              <w:t>2</w:t>
            </w:r>
            <w:r>
              <w:rPr>
                <w:sz w:val="18"/>
                <w:szCs w:val="18"/>
              </w:rPr>
              <w:t>e/点</w:t>
            </w:r>
          </w:p>
        </w:tc>
        <w:tc>
          <w:tcPr>
            <w:tcW w:w="600" w:type="pct"/>
            <w:tcBorders>
              <w:top w:val="nil"/>
              <w:left w:val="nil"/>
              <w:bottom w:val="single" w:color="auto" w:sz="4" w:space="0"/>
              <w:right w:val="single" w:color="auto" w:sz="4" w:space="0"/>
            </w:tcBorders>
            <w:shd w:val="clear" w:color="auto" w:fill="auto"/>
            <w:vAlign w:val="center"/>
          </w:tcPr>
          <w:p w14:paraId="60698DD5">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3E4D2E09">
            <w:pPr>
              <w:jc w:val="center"/>
              <w:rPr>
                <w:sz w:val="18"/>
                <w:szCs w:val="18"/>
              </w:rPr>
            </w:pPr>
            <w:r>
              <w:rPr>
                <w:sz w:val="18"/>
                <w:szCs w:val="18"/>
              </w:rPr>
              <w:t>/</w:t>
            </w:r>
          </w:p>
        </w:tc>
      </w:tr>
      <w:tr w14:paraId="01D8F910">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396F4F59">
            <w:pPr>
              <w:jc w:val="center"/>
              <w:rPr>
                <w:sz w:val="18"/>
                <w:szCs w:val="18"/>
              </w:rPr>
            </w:pPr>
            <w:r>
              <w:rPr>
                <w:sz w:val="18"/>
                <w:szCs w:val="18"/>
              </w:rPr>
              <w:t>2</w:t>
            </w:r>
          </w:p>
        </w:tc>
        <w:tc>
          <w:tcPr>
            <w:tcW w:w="473" w:type="pct"/>
            <w:tcBorders>
              <w:top w:val="nil"/>
              <w:left w:val="nil"/>
              <w:bottom w:val="single" w:color="auto" w:sz="4" w:space="0"/>
              <w:right w:val="single" w:color="auto" w:sz="4" w:space="0"/>
            </w:tcBorders>
            <w:shd w:val="clear" w:color="auto" w:fill="auto"/>
            <w:vAlign w:val="center"/>
          </w:tcPr>
          <w:p w14:paraId="11564251">
            <w:pPr>
              <w:jc w:val="center"/>
              <w:rPr>
                <w:sz w:val="18"/>
                <w:szCs w:val="18"/>
              </w:rPr>
            </w:pPr>
            <w:r>
              <w:rPr>
                <w:sz w:val="18"/>
                <w:szCs w:val="18"/>
              </w:rPr>
              <w:t>11-2</w:t>
            </w:r>
          </w:p>
        </w:tc>
        <w:tc>
          <w:tcPr>
            <w:tcW w:w="871" w:type="pct"/>
            <w:vMerge w:val="continue"/>
            <w:tcBorders>
              <w:top w:val="nil"/>
              <w:left w:val="single" w:color="auto" w:sz="4" w:space="0"/>
              <w:bottom w:val="single" w:color="auto" w:sz="4" w:space="0"/>
              <w:right w:val="single" w:color="auto" w:sz="4" w:space="0"/>
            </w:tcBorders>
            <w:vAlign w:val="center"/>
          </w:tcPr>
          <w:p w14:paraId="1E86B3EB">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15BE6181">
            <w:pPr>
              <w:jc w:val="center"/>
              <w:rPr>
                <w:sz w:val="18"/>
                <w:szCs w:val="18"/>
              </w:rPr>
            </w:pPr>
            <w:r>
              <w:rPr>
                <w:sz w:val="18"/>
                <w:szCs w:val="18"/>
              </w:rPr>
              <w:t>钢筋混凝土</w:t>
            </w:r>
          </w:p>
        </w:tc>
        <w:tc>
          <w:tcPr>
            <w:tcW w:w="713" w:type="pct"/>
            <w:tcBorders>
              <w:top w:val="nil"/>
              <w:left w:val="nil"/>
              <w:bottom w:val="single" w:color="auto" w:sz="4" w:space="0"/>
              <w:right w:val="single" w:color="auto" w:sz="4" w:space="0"/>
            </w:tcBorders>
            <w:shd w:val="clear" w:color="auto" w:fill="auto"/>
          </w:tcPr>
          <w:p w14:paraId="6F1FC508">
            <w:pPr>
              <w:jc w:val="center"/>
              <w:rPr>
                <w:sz w:val="18"/>
                <w:szCs w:val="18"/>
              </w:rPr>
            </w:pPr>
            <w:r>
              <w:rPr>
                <w:sz w:val="18"/>
                <w:szCs w:val="18"/>
              </w:rPr>
              <w:t xml:space="preserve">277.04 </w:t>
            </w:r>
          </w:p>
        </w:tc>
        <w:tc>
          <w:tcPr>
            <w:tcW w:w="713" w:type="pct"/>
            <w:tcBorders>
              <w:top w:val="nil"/>
              <w:left w:val="nil"/>
              <w:bottom w:val="single" w:color="auto" w:sz="4" w:space="0"/>
              <w:right w:val="single" w:color="auto" w:sz="4" w:space="0"/>
            </w:tcBorders>
            <w:shd w:val="clear" w:color="auto" w:fill="auto"/>
          </w:tcPr>
          <w:p w14:paraId="3AC396A1">
            <w:pPr>
              <w:jc w:val="center"/>
              <w:rPr>
                <w:sz w:val="18"/>
                <w:szCs w:val="18"/>
              </w:rPr>
            </w:pPr>
            <w:r>
              <w:rPr>
                <w:sz w:val="18"/>
                <w:szCs w:val="18"/>
              </w:rPr>
              <w:t>kgCO</w:t>
            </w:r>
            <w:r>
              <w:rPr>
                <w:sz w:val="18"/>
                <w:szCs w:val="18"/>
                <w:vertAlign w:val="subscript"/>
              </w:rPr>
              <w:t>2</w:t>
            </w:r>
            <w:r>
              <w:rPr>
                <w:sz w:val="18"/>
                <w:szCs w:val="18"/>
              </w:rPr>
              <w:t>e/点</w:t>
            </w:r>
          </w:p>
        </w:tc>
        <w:tc>
          <w:tcPr>
            <w:tcW w:w="600" w:type="pct"/>
            <w:tcBorders>
              <w:top w:val="nil"/>
              <w:left w:val="nil"/>
              <w:bottom w:val="single" w:color="auto" w:sz="4" w:space="0"/>
              <w:right w:val="single" w:color="auto" w:sz="4" w:space="0"/>
            </w:tcBorders>
            <w:shd w:val="clear" w:color="auto" w:fill="auto"/>
            <w:vAlign w:val="center"/>
          </w:tcPr>
          <w:p w14:paraId="700ED68A">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03C44217">
            <w:pPr>
              <w:jc w:val="center"/>
              <w:rPr>
                <w:sz w:val="18"/>
                <w:szCs w:val="18"/>
              </w:rPr>
            </w:pPr>
            <w:r>
              <w:rPr>
                <w:sz w:val="18"/>
                <w:szCs w:val="18"/>
              </w:rPr>
              <w:t>/</w:t>
            </w:r>
          </w:p>
        </w:tc>
      </w:tr>
      <w:tr w14:paraId="515D5086">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011E37BB">
            <w:pPr>
              <w:jc w:val="center"/>
              <w:rPr>
                <w:sz w:val="18"/>
                <w:szCs w:val="18"/>
              </w:rPr>
            </w:pPr>
            <w:r>
              <w:rPr>
                <w:sz w:val="18"/>
                <w:szCs w:val="18"/>
              </w:rPr>
              <w:t>3</w:t>
            </w:r>
          </w:p>
        </w:tc>
        <w:tc>
          <w:tcPr>
            <w:tcW w:w="473" w:type="pct"/>
            <w:tcBorders>
              <w:top w:val="nil"/>
              <w:left w:val="nil"/>
              <w:bottom w:val="single" w:color="auto" w:sz="4" w:space="0"/>
              <w:right w:val="single" w:color="auto" w:sz="4" w:space="0"/>
            </w:tcBorders>
            <w:shd w:val="clear" w:color="auto" w:fill="auto"/>
            <w:vAlign w:val="center"/>
          </w:tcPr>
          <w:p w14:paraId="2994C0B3">
            <w:pPr>
              <w:jc w:val="center"/>
              <w:rPr>
                <w:sz w:val="18"/>
                <w:szCs w:val="18"/>
              </w:rPr>
            </w:pPr>
            <w:r>
              <w:rPr>
                <w:sz w:val="18"/>
                <w:szCs w:val="18"/>
              </w:rPr>
              <w:t>11-3</w:t>
            </w:r>
          </w:p>
        </w:tc>
        <w:tc>
          <w:tcPr>
            <w:tcW w:w="871" w:type="pct"/>
            <w:vMerge w:val="restart"/>
            <w:tcBorders>
              <w:top w:val="nil"/>
              <w:left w:val="single" w:color="auto" w:sz="4" w:space="0"/>
              <w:bottom w:val="single" w:color="auto" w:sz="4" w:space="0"/>
              <w:right w:val="single" w:color="auto" w:sz="4" w:space="0"/>
            </w:tcBorders>
            <w:shd w:val="clear" w:color="auto" w:fill="auto"/>
            <w:vAlign w:val="center"/>
          </w:tcPr>
          <w:p w14:paraId="62913863">
            <w:pPr>
              <w:jc w:val="center"/>
              <w:rPr>
                <w:sz w:val="18"/>
                <w:szCs w:val="18"/>
              </w:rPr>
            </w:pPr>
            <w:r>
              <w:rPr>
                <w:sz w:val="18"/>
                <w:szCs w:val="18"/>
              </w:rPr>
              <w:t>地表沉降与位移测点布设</w:t>
            </w:r>
          </w:p>
        </w:tc>
        <w:tc>
          <w:tcPr>
            <w:tcW w:w="735" w:type="pct"/>
            <w:tcBorders>
              <w:top w:val="nil"/>
              <w:left w:val="nil"/>
              <w:bottom w:val="single" w:color="auto" w:sz="4" w:space="0"/>
              <w:right w:val="single" w:color="auto" w:sz="4" w:space="0"/>
            </w:tcBorders>
            <w:shd w:val="clear" w:color="auto" w:fill="auto"/>
            <w:vAlign w:val="center"/>
          </w:tcPr>
          <w:p w14:paraId="3235E7C1">
            <w:pPr>
              <w:jc w:val="center"/>
              <w:rPr>
                <w:sz w:val="18"/>
                <w:szCs w:val="18"/>
              </w:rPr>
            </w:pPr>
            <w:r>
              <w:rPr>
                <w:sz w:val="18"/>
                <w:szCs w:val="18"/>
              </w:rPr>
              <w:t>混凝土结构</w:t>
            </w:r>
          </w:p>
        </w:tc>
        <w:tc>
          <w:tcPr>
            <w:tcW w:w="713" w:type="pct"/>
            <w:tcBorders>
              <w:top w:val="nil"/>
              <w:left w:val="nil"/>
              <w:bottom w:val="single" w:color="auto" w:sz="4" w:space="0"/>
              <w:right w:val="single" w:color="auto" w:sz="4" w:space="0"/>
            </w:tcBorders>
            <w:shd w:val="clear" w:color="auto" w:fill="auto"/>
          </w:tcPr>
          <w:p w14:paraId="7881277C">
            <w:pPr>
              <w:jc w:val="center"/>
              <w:rPr>
                <w:sz w:val="18"/>
                <w:szCs w:val="18"/>
              </w:rPr>
            </w:pPr>
            <w:r>
              <w:rPr>
                <w:sz w:val="18"/>
                <w:szCs w:val="18"/>
              </w:rPr>
              <w:t xml:space="preserve">75.65 </w:t>
            </w:r>
          </w:p>
        </w:tc>
        <w:tc>
          <w:tcPr>
            <w:tcW w:w="713" w:type="pct"/>
            <w:tcBorders>
              <w:top w:val="nil"/>
              <w:left w:val="nil"/>
              <w:bottom w:val="single" w:color="auto" w:sz="4" w:space="0"/>
              <w:right w:val="single" w:color="auto" w:sz="4" w:space="0"/>
            </w:tcBorders>
            <w:shd w:val="clear" w:color="auto" w:fill="auto"/>
          </w:tcPr>
          <w:p w14:paraId="1EC00476">
            <w:pPr>
              <w:jc w:val="center"/>
              <w:rPr>
                <w:sz w:val="18"/>
                <w:szCs w:val="18"/>
              </w:rPr>
            </w:pPr>
            <w:r>
              <w:rPr>
                <w:sz w:val="18"/>
                <w:szCs w:val="18"/>
              </w:rPr>
              <w:t>kgCO</w:t>
            </w:r>
            <w:r>
              <w:rPr>
                <w:sz w:val="18"/>
                <w:szCs w:val="18"/>
                <w:vertAlign w:val="subscript"/>
              </w:rPr>
              <w:t>2</w:t>
            </w:r>
            <w:r>
              <w:rPr>
                <w:sz w:val="18"/>
                <w:szCs w:val="18"/>
              </w:rPr>
              <w:t>e/点</w:t>
            </w:r>
          </w:p>
        </w:tc>
        <w:tc>
          <w:tcPr>
            <w:tcW w:w="600" w:type="pct"/>
            <w:tcBorders>
              <w:top w:val="nil"/>
              <w:left w:val="nil"/>
              <w:bottom w:val="single" w:color="auto" w:sz="4" w:space="0"/>
              <w:right w:val="single" w:color="auto" w:sz="4" w:space="0"/>
            </w:tcBorders>
            <w:shd w:val="clear" w:color="auto" w:fill="auto"/>
            <w:vAlign w:val="center"/>
          </w:tcPr>
          <w:p w14:paraId="52E7EFF9">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5C144B2E">
            <w:pPr>
              <w:jc w:val="center"/>
              <w:rPr>
                <w:sz w:val="18"/>
                <w:szCs w:val="18"/>
              </w:rPr>
            </w:pPr>
            <w:r>
              <w:rPr>
                <w:sz w:val="18"/>
                <w:szCs w:val="18"/>
              </w:rPr>
              <w:t>/</w:t>
            </w:r>
          </w:p>
        </w:tc>
      </w:tr>
      <w:tr w14:paraId="595A5E93">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728A56D6">
            <w:pPr>
              <w:jc w:val="center"/>
              <w:rPr>
                <w:sz w:val="18"/>
                <w:szCs w:val="18"/>
              </w:rPr>
            </w:pPr>
            <w:r>
              <w:rPr>
                <w:sz w:val="18"/>
                <w:szCs w:val="18"/>
              </w:rPr>
              <w:t>4</w:t>
            </w:r>
          </w:p>
        </w:tc>
        <w:tc>
          <w:tcPr>
            <w:tcW w:w="473" w:type="pct"/>
            <w:tcBorders>
              <w:top w:val="nil"/>
              <w:left w:val="nil"/>
              <w:bottom w:val="single" w:color="auto" w:sz="4" w:space="0"/>
              <w:right w:val="single" w:color="auto" w:sz="4" w:space="0"/>
            </w:tcBorders>
            <w:shd w:val="clear" w:color="auto" w:fill="auto"/>
            <w:vAlign w:val="center"/>
          </w:tcPr>
          <w:p w14:paraId="14681976">
            <w:pPr>
              <w:jc w:val="center"/>
              <w:rPr>
                <w:sz w:val="18"/>
                <w:szCs w:val="18"/>
              </w:rPr>
            </w:pPr>
            <w:r>
              <w:rPr>
                <w:sz w:val="18"/>
                <w:szCs w:val="18"/>
              </w:rPr>
              <w:t>11-4</w:t>
            </w:r>
          </w:p>
        </w:tc>
        <w:tc>
          <w:tcPr>
            <w:tcW w:w="871" w:type="pct"/>
            <w:vMerge w:val="continue"/>
            <w:tcBorders>
              <w:top w:val="nil"/>
              <w:left w:val="single" w:color="auto" w:sz="4" w:space="0"/>
              <w:bottom w:val="single" w:color="auto" w:sz="4" w:space="0"/>
              <w:right w:val="single" w:color="auto" w:sz="4" w:space="0"/>
            </w:tcBorders>
            <w:vAlign w:val="center"/>
          </w:tcPr>
          <w:p w14:paraId="0952C5F0">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794FFAC0">
            <w:pPr>
              <w:jc w:val="center"/>
              <w:rPr>
                <w:sz w:val="18"/>
                <w:szCs w:val="18"/>
              </w:rPr>
            </w:pPr>
            <w:r>
              <w:rPr>
                <w:sz w:val="18"/>
                <w:szCs w:val="18"/>
              </w:rPr>
              <w:t>沥青混凝土结构</w:t>
            </w:r>
          </w:p>
        </w:tc>
        <w:tc>
          <w:tcPr>
            <w:tcW w:w="713" w:type="pct"/>
            <w:tcBorders>
              <w:top w:val="nil"/>
              <w:left w:val="nil"/>
              <w:bottom w:val="single" w:color="auto" w:sz="4" w:space="0"/>
              <w:right w:val="single" w:color="auto" w:sz="4" w:space="0"/>
            </w:tcBorders>
            <w:shd w:val="clear" w:color="auto" w:fill="auto"/>
          </w:tcPr>
          <w:p w14:paraId="7888E950">
            <w:pPr>
              <w:jc w:val="center"/>
              <w:rPr>
                <w:sz w:val="18"/>
                <w:szCs w:val="18"/>
              </w:rPr>
            </w:pPr>
            <w:r>
              <w:rPr>
                <w:sz w:val="18"/>
                <w:szCs w:val="18"/>
              </w:rPr>
              <w:t xml:space="preserve">75.65 </w:t>
            </w:r>
          </w:p>
        </w:tc>
        <w:tc>
          <w:tcPr>
            <w:tcW w:w="713" w:type="pct"/>
            <w:tcBorders>
              <w:top w:val="nil"/>
              <w:left w:val="nil"/>
              <w:bottom w:val="single" w:color="auto" w:sz="4" w:space="0"/>
              <w:right w:val="single" w:color="auto" w:sz="4" w:space="0"/>
            </w:tcBorders>
            <w:shd w:val="clear" w:color="auto" w:fill="auto"/>
          </w:tcPr>
          <w:p w14:paraId="728692EF">
            <w:pPr>
              <w:jc w:val="center"/>
              <w:rPr>
                <w:sz w:val="18"/>
                <w:szCs w:val="18"/>
              </w:rPr>
            </w:pPr>
            <w:r>
              <w:rPr>
                <w:sz w:val="18"/>
                <w:szCs w:val="18"/>
              </w:rPr>
              <w:t>kgCO</w:t>
            </w:r>
            <w:r>
              <w:rPr>
                <w:sz w:val="18"/>
                <w:szCs w:val="18"/>
                <w:vertAlign w:val="subscript"/>
              </w:rPr>
              <w:t>2</w:t>
            </w:r>
            <w:r>
              <w:rPr>
                <w:sz w:val="18"/>
                <w:szCs w:val="18"/>
              </w:rPr>
              <w:t>e/点</w:t>
            </w:r>
          </w:p>
        </w:tc>
        <w:tc>
          <w:tcPr>
            <w:tcW w:w="600" w:type="pct"/>
            <w:tcBorders>
              <w:top w:val="nil"/>
              <w:left w:val="nil"/>
              <w:bottom w:val="single" w:color="auto" w:sz="4" w:space="0"/>
              <w:right w:val="single" w:color="auto" w:sz="4" w:space="0"/>
            </w:tcBorders>
            <w:shd w:val="clear" w:color="auto" w:fill="auto"/>
            <w:vAlign w:val="center"/>
          </w:tcPr>
          <w:p w14:paraId="2656C5EC">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42EC1749">
            <w:pPr>
              <w:jc w:val="center"/>
              <w:rPr>
                <w:sz w:val="18"/>
                <w:szCs w:val="18"/>
              </w:rPr>
            </w:pPr>
            <w:r>
              <w:rPr>
                <w:sz w:val="18"/>
                <w:szCs w:val="18"/>
              </w:rPr>
              <w:t>/</w:t>
            </w:r>
          </w:p>
        </w:tc>
      </w:tr>
      <w:tr w14:paraId="237BD8C2">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603BE937">
            <w:pPr>
              <w:jc w:val="center"/>
              <w:rPr>
                <w:sz w:val="18"/>
                <w:szCs w:val="18"/>
              </w:rPr>
            </w:pPr>
            <w:r>
              <w:rPr>
                <w:sz w:val="18"/>
                <w:szCs w:val="18"/>
              </w:rPr>
              <w:t>5</w:t>
            </w:r>
          </w:p>
        </w:tc>
        <w:tc>
          <w:tcPr>
            <w:tcW w:w="473" w:type="pct"/>
            <w:tcBorders>
              <w:top w:val="nil"/>
              <w:left w:val="nil"/>
              <w:bottom w:val="single" w:color="auto" w:sz="4" w:space="0"/>
              <w:right w:val="single" w:color="auto" w:sz="4" w:space="0"/>
            </w:tcBorders>
            <w:shd w:val="clear" w:color="auto" w:fill="auto"/>
            <w:vAlign w:val="center"/>
          </w:tcPr>
          <w:p w14:paraId="50D457D0">
            <w:pPr>
              <w:jc w:val="center"/>
              <w:rPr>
                <w:sz w:val="18"/>
                <w:szCs w:val="18"/>
              </w:rPr>
            </w:pPr>
            <w:r>
              <w:rPr>
                <w:sz w:val="18"/>
                <w:szCs w:val="18"/>
              </w:rPr>
              <w:t>11-5</w:t>
            </w:r>
          </w:p>
        </w:tc>
        <w:tc>
          <w:tcPr>
            <w:tcW w:w="871" w:type="pct"/>
            <w:vMerge w:val="continue"/>
            <w:tcBorders>
              <w:top w:val="nil"/>
              <w:left w:val="single" w:color="auto" w:sz="4" w:space="0"/>
              <w:bottom w:val="single" w:color="auto" w:sz="4" w:space="0"/>
              <w:right w:val="single" w:color="auto" w:sz="4" w:space="0"/>
            </w:tcBorders>
            <w:vAlign w:val="center"/>
          </w:tcPr>
          <w:p w14:paraId="5A5273D2">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56D35EE2">
            <w:pPr>
              <w:jc w:val="center"/>
              <w:rPr>
                <w:sz w:val="18"/>
                <w:szCs w:val="18"/>
              </w:rPr>
            </w:pPr>
            <w:r>
              <w:rPr>
                <w:sz w:val="18"/>
                <w:szCs w:val="18"/>
              </w:rPr>
              <w:t>其他地面</w:t>
            </w:r>
          </w:p>
        </w:tc>
        <w:tc>
          <w:tcPr>
            <w:tcW w:w="713" w:type="pct"/>
            <w:tcBorders>
              <w:top w:val="nil"/>
              <w:left w:val="nil"/>
              <w:bottom w:val="single" w:color="auto" w:sz="4" w:space="0"/>
              <w:right w:val="single" w:color="auto" w:sz="4" w:space="0"/>
            </w:tcBorders>
            <w:shd w:val="clear" w:color="auto" w:fill="auto"/>
          </w:tcPr>
          <w:p w14:paraId="5B30E887">
            <w:pPr>
              <w:jc w:val="center"/>
              <w:rPr>
                <w:sz w:val="18"/>
                <w:szCs w:val="18"/>
              </w:rPr>
            </w:pPr>
            <w:r>
              <w:rPr>
                <w:sz w:val="18"/>
                <w:szCs w:val="18"/>
              </w:rPr>
              <w:t xml:space="preserve">75.18 </w:t>
            </w:r>
          </w:p>
        </w:tc>
        <w:tc>
          <w:tcPr>
            <w:tcW w:w="713" w:type="pct"/>
            <w:tcBorders>
              <w:top w:val="nil"/>
              <w:left w:val="nil"/>
              <w:bottom w:val="single" w:color="auto" w:sz="4" w:space="0"/>
              <w:right w:val="single" w:color="auto" w:sz="4" w:space="0"/>
            </w:tcBorders>
            <w:shd w:val="clear" w:color="auto" w:fill="auto"/>
          </w:tcPr>
          <w:p w14:paraId="0792AD8E">
            <w:pPr>
              <w:jc w:val="center"/>
              <w:rPr>
                <w:sz w:val="18"/>
                <w:szCs w:val="18"/>
              </w:rPr>
            </w:pPr>
            <w:r>
              <w:rPr>
                <w:sz w:val="18"/>
                <w:szCs w:val="18"/>
              </w:rPr>
              <w:t>kgCO</w:t>
            </w:r>
            <w:r>
              <w:rPr>
                <w:sz w:val="18"/>
                <w:szCs w:val="18"/>
                <w:vertAlign w:val="subscript"/>
              </w:rPr>
              <w:t>2</w:t>
            </w:r>
            <w:r>
              <w:rPr>
                <w:sz w:val="18"/>
                <w:szCs w:val="18"/>
              </w:rPr>
              <w:t>e/点</w:t>
            </w:r>
          </w:p>
        </w:tc>
        <w:tc>
          <w:tcPr>
            <w:tcW w:w="600" w:type="pct"/>
            <w:tcBorders>
              <w:top w:val="nil"/>
              <w:left w:val="nil"/>
              <w:bottom w:val="single" w:color="auto" w:sz="4" w:space="0"/>
              <w:right w:val="single" w:color="auto" w:sz="4" w:space="0"/>
            </w:tcBorders>
            <w:shd w:val="clear" w:color="auto" w:fill="auto"/>
            <w:vAlign w:val="center"/>
          </w:tcPr>
          <w:p w14:paraId="13732234">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4DE9024C">
            <w:pPr>
              <w:jc w:val="center"/>
              <w:rPr>
                <w:sz w:val="18"/>
                <w:szCs w:val="18"/>
              </w:rPr>
            </w:pPr>
            <w:r>
              <w:rPr>
                <w:sz w:val="18"/>
                <w:szCs w:val="18"/>
              </w:rPr>
              <w:t>/</w:t>
            </w:r>
          </w:p>
        </w:tc>
      </w:tr>
      <w:tr w14:paraId="52F26E96">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0CE20167">
            <w:pPr>
              <w:jc w:val="center"/>
              <w:rPr>
                <w:sz w:val="18"/>
                <w:szCs w:val="18"/>
              </w:rPr>
            </w:pPr>
            <w:r>
              <w:rPr>
                <w:sz w:val="18"/>
                <w:szCs w:val="18"/>
              </w:rPr>
              <w:t>6</w:t>
            </w:r>
          </w:p>
        </w:tc>
        <w:tc>
          <w:tcPr>
            <w:tcW w:w="473" w:type="pct"/>
            <w:tcBorders>
              <w:top w:val="nil"/>
              <w:left w:val="nil"/>
              <w:bottom w:val="single" w:color="auto" w:sz="4" w:space="0"/>
              <w:right w:val="single" w:color="auto" w:sz="4" w:space="0"/>
            </w:tcBorders>
            <w:shd w:val="clear" w:color="auto" w:fill="auto"/>
            <w:vAlign w:val="center"/>
          </w:tcPr>
          <w:p w14:paraId="4A3FE3F1">
            <w:pPr>
              <w:jc w:val="center"/>
              <w:rPr>
                <w:sz w:val="18"/>
                <w:szCs w:val="18"/>
              </w:rPr>
            </w:pPr>
            <w:r>
              <w:rPr>
                <w:sz w:val="18"/>
                <w:szCs w:val="18"/>
              </w:rPr>
              <w:t>11-6</w:t>
            </w:r>
          </w:p>
        </w:tc>
        <w:tc>
          <w:tcPr>
            <w:tcW w:w="871" w:type="pct"/>
            <w:vMerge w:val="restart"/>
            <w:tcBorders>
              <w:top w:val="nil"/>
              <w:left w:val="single" w:color="auto" w:sz="4" w:space="0"/>
              <w:bottom w:val="single" w:color="auto" w:sz="4" w:space="0"/>
              <w:right w:val="single" w:color="auto" w:sz="4" w:space="0"/>
            </w:tcBorders>
            <w:shd w:val="clear" w:color="auto" w:fill="auto"/>
            <w:vAlign w:val="center"/>
          </w:tcPr>
          <w:p w14:paraId="003CF647">
            <w:pPr>
              <w:jc w:val="center"/>
              <w:rPr>
                <w:sz w:val="18"/>
                <w:szCs w:val="18"/>
              </w:rPr>
            </w:pPr>
            <w:r>
              <w:rPr>
                <w:sz w:val="18"/>
                <w:szCs w:val="18"/>
              </w:rPr>
              <w:t>建筑物变形测点布设</w:t>
            </w:r>
          </w:p>
        </w:tc>
        <w:tc>
          <w:tcPr>
            <w:tcW w:w="735" w:type="pct"/>
            <w:tcBorders>
              <w:top w:val="nil"/>
              <w:left w:val="nil"/>
              <w:bottom w:val="single" w:color="auto" w:sz="4" w:space="0"/>
              <w:right w:val="single" w:color="auto" w:sz="4" w:space="0"/>
            </w:tcBorders>
            <w:shd w:val="clear" w:color="auto" w:fill="auto"/>
            <w:vAlign w:val="center"/>
          </w:tcPr>
          <w:p w14:paraId="423EE752">
            <w:pPr>
              <w:jc w:val="center"/>
              <w:rPr>
                <w:sz w:val="18"/>
                <w:szCs w:val="18"/>
              </w:rPr>
            </w:pPr>
            <w:r>
              <w:rPr>
                <w:sz w:val="18"/>
                <w:szCs w:val="18"/>
              </w:rPr>
              <w:t>沉降</w:t>
            </w:r>
          </w:p>
        </w:tc>
        <w:tc>
          <w:tcPr>
            <w:tcW w:w="713" w:type="pct"/>
            <w:tcBorders>
              <w:top w:val="nil"/>
              <w:left w:val="nil"/>
              <w:bottom w:val="single" w:color="auto" w:sz="4" w:space="0"/>
              <w:right w:val="single" w:color="auto" w:sz="4" w:space="0"/>
            </w:tcBorders>
            <w:shd w:val="clear" w:color="auto" w:fill="auto"/>
          </w:tcPr>
          <w:p w14:paraId="09D21C85">
            <w:pPr>
              <w:jc w:val="center"/>
              <w:rPr>
                <w:sz w:val="18"/>
                <w:szCs w:val="18"/>
              </w:rPr>
            </w:pPr>
            <w:r>
              <w:rPr>
                <w:sz w:val="18"/>
                <w:szCs w:val="18"/>
              </w:rPr>
              <w:t xml:space="preserve">1.70 </w:t>
            </w:r>
          </w:p>
        </w:tc>
        <w:tc>
          <w:tcPr>
            <w:tcW w:w="713" w:type="pct"/>
            <w:tcBorders>
              <w:top w:val="nil"/>
              <w:left w:val="nil"/>
              <w:bottom w:val="single" w:color="auto" w:sz="4" w:space="0"/>
              <w:right w:val="single" w:color="auto" w:sz="4" w:space="0"/>
            </w:tcBorders>
            <w:shd w:val="clear" w:color="auto" w:fill="auto"/>
          </w:tcPr>
          <w:p w14:paraId="1FD45CF8">
            <w:pPr>
              <w:jc w:val="center"/>
              <w:rPr>
                <w:sz w:val="18"/>
                <w:szCs w:val="18"/>
              </w:rPr>
            </w:pPr>
            <w:r>
              <w:rPr>
                <w:sz w:val="18"/>
                <w:szCs w:val="18"/>
              </w:rPr>
              <w:t>kgCO</w:t>
            </w:r>
            <w:r>
              <w:rPr>
                <w:sz w:val="18"/>
                <w:szCs w:val="18"/>
                <w:vertAlign w:val="subscript"/>
              </w:rPr>
              <w:t>2</w:t>
            </w:r>
            <w:r>
              <w:rPr>
                <w:sz w:val="18"/>
                <w:szCs w:val="18"/>
              </w:rPr>
              <w:t>e/点</w:t>
            </w:r>
          </w:p>
        </w:tc>
        <w:tc>
          <w:tcPr>
            <w:tcW w:w="600" w:type="pct"/>
            <w:tcBorders>
              <w:top w:val="nil"/>
              <w:left w:val="nil"/>
              <w:bottom w:val="single" w:color="auto" w:sz="4" w:space="0"/>
              <w:right w:val="single" w:color="auto" w:sz="4" w:space="0"/>
            </w:tcBorders>
            <w:shd w:val="clear" w:color="auto" w:fill="auto"/>
            <w:vAlign w:val="center"/>
          </w:tcPr>
          <w:p w14:paraId="21A306A5">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1DF65663">
            <w:pPr>
              <w:jc w:val="center"/>
              <w:rPr>
                <w:sz w:val="18"/>
                <w:szCs w:val="18"/>
              </w:rPr>
            </w:pPr>
            <w:r>
              <w:rPr>
                <w:sz w:val="18"/>
                <w:szCs w:val="18"/>
              </w:rPr>
              <w:t>/</w:t>
            </w:r>
          </w:p>
        </w:tc>
      </w:tr>
      <w:tr w14:paraId="7C795654">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036E872B">
            <w:pPr>
              <w:jc w:val="center"/>
              <w:rPr>
                <w:sz w:val="18"/>
                <w:szCs w:val="18"/>
              </w:rPr>
            </w:pPr>
            <w:r>
              <w:rPr>
                <w:sz w:val="18"/>
                <w:szCs w:val="18"/>
              </w:rPr>
              <w:t>7</w:t>
            </w:r>
          </w:p>
        </w:tc>
        <w:tc>
          <w:tcPr>
            <w:tcW w:w="473" w:type="pct"/>
            <w:tcBorders>
              <w:top w:val="nil"/>
              <w:left w:val="nil"/>
              <w:bottom w:val="single" w:color="auto" w:sz="4" w:space="0"/>
              <w:right w:val="single" w:color="auto" w:sz="4" w:space="0"/>
            </w:tcBorders>
            <w:shd w:val="clear" w:color="auto" w:fill="auto"/>
            <w:vAlign w:val="center"/>
          </w:tcPr>
          <w:p w14:paraId="342BE932">
            <w:pPr>
              <w:jc w:val="center"/>
              <w:rPr>
                <w:sz w:val="18"/>
                <w:szCs w:val="18"/>
              </w:rPr>
            </w:pPr>
            <w:r>
              <w:rPr>
                <w:sz w:val="18"/>
                <w:szCs w:val="18"/>
              </w:rPr>
              <w:t>11-7</w:t>
            </w:r>
          </w:p>
        </w:tc>
        <w:tc>
          <w:tcPr>
            <w:tcW w:w="871" w:type="pct"/>
            <w:vMerge w:val="continue"/>
            <w:tcBorders>
              <w:top w:val="nil"/>
              <w:left w:val="single" w:color="auto" w:sz="4" w:space="0"/>
              <w:bottom w:val="single" w:color="auto" w:sz="4" w:space="0"/>
              <w:right w:val="single" w:color="auto" w:sz="4" w:space="0"/>
            </w:tcBorders>
            <w:vAlign w:val="center"/>
          </w:tcPr>
          <w:p w14:paraId="59186747">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3C226F18">
            <w:pPr>
              <w:jc w:val="center"/>
              <w:rPr>
                <w:sz w:val="18"/>
                <w:szCs w:val="18"/>
              </w:rPr>
            </w:pPr>
            <w:r>
              <w:rPr>
                <w:sz w:val="18"/>
                <w:szCs w:val="18"/>
              </w:rPr>
              <w:t>倾斜</w:t>
            </w:r>
          </w:p>
        </w:tc>
        <w:tc>
          <w:tcPr>
            <w:tcW w:w="713" w:type="pct"/>
            <w:tcBorders>
              <w:top w:val="nil"/>
              <w:left w:val="nil"/>
              <w:bottom w:val="single" w:color="auto" w:sz="4" w:space="0"/>
              <w:right w:val="single" w:color="auto" w:sz="4" w:space="0"/>
            </w:tcBorders>
            <w:shd w:val="clear" w:color="auto" w:fill="auto"/>
          </w:tcPr>
          <w:p w14:paraId="3447A9EE">
            <w:pPr>
              <w:jc w:val="center"/>
              <w:rPr>
                <w:sz w:val="18"/>
                <w:szCs w:val="18"/>
              </w:rPr>
            </w:pPr>
            <w:r>
              <w:rPr>
                <w:sz w:val="18"/>
                <w:szCs w:val="18"/>
              </w:rPr>
              <w:t xml:space="preserve">148.50 </w:t>
            </w:r>
          </w:p>
        </w:tc>
        <w:tc>
          <w:tcPr>
            <w:tcW w:w="713" w:type="pct"/>
            <w:tcBorders>
              <w:top w:val="nil"/>
              <w:left w:val="nil"/>
              <w:bottom w:val="single" w:color="auto" w:sz="4" w:space="0"/>
              <w:right w:val="single" w:color="auto" w:sz="4" w:space="0"/>
            </w:tcBorders>
            <w:shd w:val="clear" w:color="auto" w:fill="auto"/>
          </w:tcPr>
          <w:p w14:paraId="67D5680A">
            <w:pPr>
              <w:jc w:val="center"/>
              <w:rPr>
                <w:sz w:val="18"/>
                <w:szCs w:val="18"/>
              </w:rPr>
            </w:pPr>
            <w:r>
              <w:rPr>
                <w:sz w:val="18"/>
                <w:szCs w:val="18"/>
              </w:rPr>
              <w:t>kgCO</w:t>
            </w:r>
            <w:r>
              <w:rPr>
                <w:sz w:val="18"/>
                <w:szCs w:val="18"/>
                <w:vertAlign w:val="subscript"/>
              </w:rPr>
              <w:t>2</w:t>
            </w:r>
            <w:r>
              <w:rPr>
                <w:sz w:val="18"/>
                <w:szCs w:val="18"/>
              </w:rPr>
              <w:t>e/点</w:t>
            </w:r>
          </w:p>
        </w:tc>
        <w:tc>
          <w:tcPr>
            <w:tcW w:w="600" w:type="pct"/>
            <w:tcBorders>
              <w:top w:val="nil"/>
              <w:left w:val="nil"/>
              <w:bottom w:val="single" w:color="auto" w:sz="4" w:space="0"/>
              <w:right w:val="single" w:color="auto" w:sz="4" w:space="0"/>
            </w:tcBorders>
            <w:shd w:val="clear" w:color="auto" w:fill="auto"/>
            <w:vAlign w:val="center"/>
          </w:tcPr>
          <w:p w14:paraId="1DD9DFCC">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0289A543">
            <w:pPr>
              <w:jc w:val="center"/>
              <w:rPr>
                <w:sz w:val="18"/>
                <w:szCs w:val="18"/>
              </w:rPr>
            </w:pPr>
            <w:r>
              <w:rPr>
                <w:sz w:val="18"/>
                <w:szCs w:val="18"/>
              </w:rPr>
              <w:t>/</w:t>
            </w:r>
          </w:p>
        </w:tc>
      </w:tr>
      <w:tr w14:paraId="1AF27CB9">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643A1611">
            <w:pPr>
              <w:jc w:val="center"/>
              <w:rPr>
                <w:sz w:val="18"/>
                <w:szCs w:val="18"/>
              </w:rPr>
            </w:pPr>
            <w:r>
              <w:rPr>
                <w:sz w:val="18"/>
                <w:szCs w:val="18"/>
              </w:rPr>
              <w:t>8</w:t>
            </w:r>
          </w:p>
        </w:tc>
        <w:tc>
          <w:tcPr>
            <w:tcW w:w="473" w:type="pct"/>
            <w:tcBorders>
              <w:top w:val="nil"/>
              <w:left w:val="nil"/>
              <w:bottom w:val="single" w:color="auto" w:sz="4" w:space="0"/>
              <w:right w:val="single" w:color="auto" w:sz="4" w:space="0"/>
            </w:tcBorders>
            <w:shd w:val="clear" w:color="auto" w:fill="auto"/>
            <w:vAlign w:val="center"/>
          </w:tcPr>
          <w:p w14:paraId="334DC5EB">
            <w:pPr>
              <w:jc w:val="center"/>
              <w:rPr>
                <w:sz w:val="18"/>
                <w:szCs w:val="18"/>
              </w:rPr>
            </w:pPr>
            <w:r>
              <w:rPr>
                <w:sz w:val="18"/>
                <w:szCs w:val="18"/>
              </w:rPr>
              <w:t>11-8</w:t>
            </w:r>
          </w:p>
        </w:tc>
        <w:tc>
          <w:tcPr>
            <w:tcW w:w="871" w:type="pct"/>
            <w:vMerge w:val="restart"/>
            <w:tcBorders>
              <w:top w:val="nil"/>
              <w:left w:val="single" w:color="auto" w:sz="4" w:space="0"/>
              <w:bottom w:val="single" w:color="auto" w:sz="4" w:space="0"/>
              <w:right w:val="single" w:color="auto" w:sz="4" w:space="0"/>
            </w:tcBorders>
            <w:shd w:val="clear" w:color="auto" w:fill="auto"/>
            <w:vAlign w:val="center"/>
          </w:tcPr>
          <w:p w14:paraId="4C3C78C7">
            <w:pPr>
              <w:jc w:val="center"/>
              <w:rPr>
                <w:sz w:val="18"/>
                <w:szCs w:val="18"/>
              </w:rPr>
            </w:pPr>
            <w:r>
              <w:rPr>
                <w:sz w:val="18"/>
                <w:szCs w:val="18"/>
              </w:rPr>
              <w:t>土体分层沉降测点布设</w:t>
            </w:r>
          </w:p>
        </w:tc>
        <w:tc>
          <w:tcPr>
            <w:tcW w:w="735" w:type="pct"/>
            <w:tcBorders>
              <w:top w:val="nil"/>
              <w:left w:val="nil"/>
              <w:bottom w:val="single" w:color="auto" w:sz="4" w:space="0"/>
              <w:right w:val="single" w:color="auto" w:sz="4" w:space="0"/>
            </w:tcBorders>
            <w:shd w:val="clear" w:color="auto" w:fill="auto"/>
            <w:vAlign w:val="center"/>
          </w:tcPr>
          <w:p w14:paraId="166ADFB5">
            <w:pPr>
              <w:jc w:val="center"/>
              <w:rPr>
                <w:sz w:val="18"/>
                <w:szCs w:val="18"/>
              </w:rPr>
            </w:pPr>
            <w:r>
              <w:rPr>
                <w:sz w:val="18"/>
                <w:szCs w:val="18"/>
              </w:rPr>
              <w:t>土体分层沉降(深10m以内)</w:t>
            </w:r>
          </w:p>
        </w:tc>
        <w:tc>
          <w:tcPr>
            <w:tcW w:w="713" w:type="pct"/>
            <w:tcBorders>
              <w:top w:val="nil"/>
              <w:left w:val="nil"/>
              <w:bottom w:val="single" w:color="auto" w:sz="4" w:space="0"/>
              <w:right w:val="single" w:color="auto" w:sz="4" w:space="0"/>
            </w:tcBorders>
            <w:shd w:val="clear" w:color="auto" w:fill="auto"/>
          </w:tcPr>
          <w:p w14:paraId="7A57ABE2">
            <w:pPr>
              <w:jc w:val="center"/>
              <w:rPr>
                <w:sz w:val="18"/>
                <w:szCs w:val="18"/>
              </w:rPr>
            </w:pPr>
            <w:r>
              <w:rPr>
                <w:sz w:val="18"/>
                <w:szCs w:val="18"/>
              </w:rPr>
              <w:t xml:space="preserve">480.40 </w:t>
            </w:r>
          </w:p>
        </w:tc>
        <w:tc>
          <w:tcPr>
            <w:tcW w:w="713" w:type="pct"/>
            <w:tcBorders>
              <w:top w:val="nil"/>
              <w:left w:val="nil"/>
              <w:bottom w:val="single" w:color="auto" w:sz="4" w:space="0"/>
              <w:right w:val="single" w:color="auto" w:sz="4" w:space="0"/>
            </w:tcBorders>
            <w:shd w:val="clear" w:color="auto" w:fill="auto"/>
            <w:vAlign w:val="center"/>
          </w:tcPr>
          <w:p w14:paraId="7538CE51">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70A9834B">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68FE26E6">
            <w:pPr>
              <w:jc w:val="center"/>
              <w:rPr>
                <w:sz w:val="18"/>
                <w:szCs w:val="18"/>
              </w:rPr>
            </w:pPr>
            <w:r>
              <w:rPr>
                <w:sz w:val="18"/>
                <w:szCs w:val="18"/>
              </w:rPr>
              <w:t>/</w:t>
            </w:r>
          </w:p>
        </w:tc>
      </w:tr>
      <w:tr w14:paraId="50E349AC">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7D526E65">
            <w:pPr>
              <w:jc w:val="center"/>
              <w:rPr>
                <w:sz w:val="18"/>
                <w:szCs w:val="18"/>
              </w:rPr>
            </w:pPr>
            <w:r>
              <w:rPr>
                <w:sz w:val="18"/>
                <w:szCs w:val="18"/>
              </w:rPr>
              <w:t>9</w:t>
            </w:r>
          </w:p>
        </w:tc>
        <w:tc>
          <w:tcPr>
            <w:tcW w:w="473" w:type="pct"/>
            <w:tcBorders>
              <w:top w:val="nil"/>
              <w:left w:val="nil"/>
              <w:bottom w:val="single" w:color="auto" w:sz="4" w:space="0"/>
              <w:right w:val="single" w:color="auto" w:sz="4" w:space="0"/>
            </w:tcBorders>
            <w:shd w:val="clear" w:color="auto" w:fill="auto"/>
            <w:vAlign w:val="center"/>
          </w:tcPr>
          <w:p w14:paraId="10DC509F">
            <w:pPr>
              <w:jc w:val="center"/>
              <w:rPr>
                <w:sz w:val="18"/>
                <w:szCs w:val="18"/>
              </w:rPr>
            </w:pPr>
            <w:r>
              <w:rPr>
                <w:sz w:val="18"/>
                <w:szCs w:val="18"/>
              </w:rPr>
              <w:t>11-9</w:t>
            </w:r>
          </w:p>
        </w:tc>
        <w:tc>
          <w:tcPr>
            <w:tcW w:w="871" w:type="pct"/>
            <w:vMerge w:val="continue"/>
            <w:tcBorders>
              <w:top w:val="nil"/>
              <w:left w:val="single" w:color="auto" w:sz="4" w:space="0"/>
              <w:bottom w:val="single" w:color="auto" w:sz="4" w:space="0"/>
              <w:right w:val="single" w:color="auto" w:sz="4" w:space="0"/>
            </w:tcBorders>
            <w:vAlign w:val="center"/>
          </w:tcPr>
          <w:p w14:paraId="414DD48F">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69555C46">
            <w:pPr>
              <w:jc w:val="center"/>
              <w:rPr>
                <w:sz w:val="18"/>
                <w:szCs w:val="18"/>
              </w:rPr>
            </w:pPr>
            <w:r>
              <w:rPr>
                <w:sz w:val="18"/>
                <w:szCs w:val="18"/>
              </w:rPr>
              <w:t>土体分层沉降(深20m以内)</w:t>
            </w:r>
          </w:p>
        </w:tc>
        <w:tc>
          <w:tcPr>
            <w:tcW w:w="713" w:type="pct"/>
            <w:tcBorders>
              <w:top w:val="nil"/>
              <w:left w:val="nil"/>
              <w:bottom w:val="single" w:color="auto" w:sz="4" w:space="0"/>
              <w:right w:val="single" w:color="auto" w:sz="4" w:space="0"/>
            </w:tcBorders>
            <w:shd w:val="clear" w:color="auto" w:fill="auto"/>
          </w:tcPr>
          <w:p w14:paraId="0A6778E8">
            <w:pPr>
              <w:jc w:val="center"/>
              <w:rPr>
                <w:sz w:val="18"/>
                <w:szCs w:val="18"/>
              </w:rPr>
            </w:pPr>
            <w:r>
              <w:rPr>
                <w:sz w:val="18"/>
                <w:szCs w:val="18"/>
              </w:rPr>
              <w:t xml:space="preserve">961.22 </w:t>
            </w:r>
          </w:p>
        </w:tc>
        <w:tc>
          <w:tcPr>
            <w:tcW w:w="713" w:type="pct"/>
            <w:tcBorders>
              <w:top w:val="nil"/>
              <w:left w:val="nil"/>
              <w:bottom w:val="single" w:color="auto" w:sz="4" w:space="0"/>
              <w:right w:val="single" w:color="auto" w:sz="4" w:space="0"/>
            </w:tcBorders>
            <w:shd w:val="clear" w:color="auto" w:fill="auto"/>
            <w:vAlign w:val="center"/>
          </w:tcPr>
          <w:p w14:paraId="2055EA59">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33EB84A2">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7B732EB6">
            <w:pPr>
              <w:jc w:val="center"/>
              <w:rPr>
                <w:sz w:val="18"/>
                <w:szCs w:val="18"/>
              </w:rPr>
            </w:pPr>
            <w:r>
              <w:rPr>
                <w:sz w:val="18"/>
                <w:szCs w:val="18"/>
              </w:rPr>
              <w:t>/</w:t>
            </w:r>
          </w:p>
        </w:tc>
      </w:tr>
      <w:tr w14:paraId="624E7079">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233E12C0">
            <w:pPr>
              <w:jc w:val="center"/>
              <w:rPr>
                <w:sz w:val="18"/>
                <w:szCs w:val="18"/>
              </w:rPr>
            </w:pPr>
            <w:r>
              <w:rPr>
                <w:sz w:val="18"/>
                <w:szCs w:val="18"/>
              </w:rPr>
              <w:t>10</w:t>
            </w:r>
          </w:p>
        </w:tc>
        <w:tc>
          <w:tcPr>
            <w:tcW w:w="473" w:type="pct"/>
            <w:tcBorders>
              <w:top w:val="nil"/>
              <w:left w:val="nil"/>
              <w:bottom w:val="single" w:color="auto" w:sz="4" w:space="0"/>
              <w:right w:val="single" w:color="auto" w:sz="4" w:space="0"/>
            </w:tcBorders>
            <w:shd w:val="clear" w:color="auto" w:fill="auto"/>
            <w:vAlign w:val="center"/>
          </w:tcPr>
          <w:p w14:paraId="4D7966D6">
            <w:pPr>
              <w:jc w:val="center"/>
              <w:rPr>
                <w:sz w:val="18"/>
                <w:szCs w:val="18"/>
              </w:rPr>
            </w:pPr>
            <w:r>
              <w:rPr>
                <w:sz w:val="18"/>
                <w:szCs w:val="18"/>
              </w:rPr>
              <w:t>11-10</w:t>
            </w:r>
          </w:p>
        </w:tc>
        <w:tc>
          <w:tcPr>
            <w:tcW w:w="871" w:type="pct"/>
            <w:vMerge w:val="continue"/>
            <w:tcBorders>
              <w:top w:val="nil"/>
              <w:left w:val="single" w:color="auto" w:sz="4" w:space="0"/>
              <w:bottom w:val="single" w:color="auto" w:sz="4" w:space="0"/>
              <w:right w:val="single" w:color="auto" w:sz="4" w:space="0"/>
            </w:tcBorders>
            <w:vAlign w:val="center"/>
          </w:tcPr>
          <w:p w14:paraId="6B7C04BD">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1C64FC9F">
            <w:pPr>
              <w:jc w:val="center"/>
              <w:rPr>
                <w:sz w:val="18"/>
                <w:szCs w:val="18"/>
              </w:rPr>
            </w:pPr>
            <w:r>
              <w:rPr>
                <w:sz w:val="18"/>
                <w:szCs w:val="18"/>
              </w:rPr>
              <w:t>土体分层沉降(深30m以内)</w:t>
            </w:r>
          </w:p>
        </w:tc>
        <w:tc>
          <w:tcPr>
            <w:tcW w:w="713" w:type="pct"/>
            <w:tcBorders>
              <w:top w:val="nil"/>
              <w:left w:val="nil"/>
              <w:bottom w:val="single" w:color="auto" w:sz="4" w:space="0"/>
              <w:right w:val="single" w:color="auto" w:sz="4" w:space="0"/>
            </w:tcBorders>
            <w:shd w:val="clear" w:color="auto" w:fill="auto"/>
          </w:tcPr>
          <w:p w14:paraId="01BE42F7">
            <w:pPr>
              <w:jc w:val="center"/>
              <w:rPr>
                <w:sz w:val="18"/>
                <w:szCs w:val="18"/>
              </w:rPr>
            </w:pPr>
            <w:r>
              <w:rPr>
                <w:sz w:val="18"/>
                <w:szCs w:val="18"/>
              </w:rPr>
              <w:t xml:space="preserve">1443.23 </w:t>
            </w:r>
          </w:p>
        </w:tc>
        <w:tc>
          <w:tcPr>
            <w:tcW w:w="713" w:type="pct"/>
            <w:tcBorders>
              <w:top w:val="nil"/>
              <w:left w:val="nil"/>
              <w:bottom w:val="single" w:color="auto" w:sz="4" w:space="0"/>
              <w:right w:val="single" w:color="auto" w:sz="4" w:space="0"/>
            </w:tcBorders>
            <w:shd w:val="clear" w:color="auto" w:fill="auto"/>
            <w:vAlign w:val="center"/>
          </w:tcPr>
          <w:p w14:paraId="443C2D54">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78E78296">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78EA4BA4">
            <w:pPr>
              <w:jc w:val="center"/>
              <w:rPr>
                <w:sz w:val="18"/>
                <w:szCs w:val="18"/>
              </w:rPr>
            </w:pPr>
            <w:r>
              <w:rPr>
                <w:sz w:val="18"/>
                <w:szCs w:val="18"/>
              </w:rPr>
              <w:t>/</w:t>
            </w:r>
          </w:p>
        </w:tc>
      </w:tr>
      <w:tr w14:paraId="1C629FFC">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66816083">
            <w:pPr>
              <w:jc w:val="center"/>
              <w:rPr>
                <w:sz w:val="18"/>
                <w:szCs w:val="18"/>
              </w:rPr>
            </w:pPr>
            <w:r>
              <w:rPr>
                <w:sz w:val="18"/>
                <w:szCs w:val="18"/>
              </w:rPr>
              <w:t>11</w:t>
            </w:r>
          </w:p>
        </w:tc>
        <w:tc>
          <w:tcPr>
            <w:tcW w:w="473" w:type="pct"/>
            <w:tcBorders>
              <w:top w:val="nil"/>
              <w:left w:val="nil"/>
              <w:bottom w:val="single" w:color="auto" w:sz="4" w:space="0"/>
              <w:right w:val="single" w:color="auto" w:sz="4" w:space="0"/>
            </w:tcBorders>
            <w:shd w:val="clear" w:color="auto" w:fill="auto"/>
            <w:vAlign w:val="center"/>
          </w:tcPr>
          <w:p w14:paraId="3DA10707">
            <w:pPr>
              <w:jc w:val="center"/>
              <w:rPr>
                <w:sz w:val="18"/>
                <w:szCs w:val="18"/>
              </w:rPr>
            </w:pPr>
            <w:r>
              <w:rPr>
                <w:sz w:val="18"/>
                <w:szCs w:val="18"/>
              </w:rPr>
              <w:t>11-11</w:t>
            </w:r>
          </w:p>
        </w:tc>
        <w:tc>
          <w:tcPr>
            <w:tcW w:w="871" w:type="pct"/>
            <w:vMerge w:val="continue"/>
            <w:tcBorders>
              <w:top w:val="nil"/>
              <w:left w:val="single" w:color="auto" w:sz="4" w:space="0"/>
              <w:bottom w:val="single" w:color="auto" w:sz="4" w:space="0"/>
              <w:right w:val="single" w:color="auto" w:sz="4" w:space="0"/>
            </w:tcBorders>
            <w:vAlign w:val="center"/>
          </w:tcPr>
          <w:p w14:paraId="50465E8D">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2BFF2AA2">
            <w:pPr>
              <w:jc w:val="center"/>
              <w:rPr>
                <w:sz w:val="18"/>
                <w:szCs w:val="18"/>
              </w:rPr>
            </w:pPr>
            <w:r>
              <w:rPr>
                <w:sz w:val="18"/>
                <w:szCs w:val="18"/>
              </w:rPr>
              <w:t>土体分层沉降(每增1m)</w:t>
            </w:r>
          </w:p>
        </w:tc>
        <w:tc>
          <w:tcPr>
            <w:tcW w:w="713" w:type="pct"/>
            <w:tcBorders>
              <w:top w:val="nil"/>
              <w:left w:val="nil"/>
              <w:bottom w:val="single" w:color="auto" w:sz="4" w:space="0"/>
              <w:right w:val="single" w:color="auto" w:sz="4" w:space="0"/>
            </w:tcBorders>
            <w:shd w:val="clear" w:color="auto" w:fill="auto"/>
          </w:tcPr>
          <w:p w14:paraId="372C3A36">
            <w:pPr>
              <w:jc w:val="center"/>
              <w:rPr>
                <w:sz w:val="18"/>
                <w:szCs w:val="18"/>
              </w:rPr>
            </w:pPr>
            <w:r>
              <w:rPr>
                <w:sz w:val="18"/>
                <w:szCs w:val="18"/>
              </w:rPr>
              <w:t xml:space="preserve">48.53 </w:t>
            </w:r>
          </w:p>
        </w:tc>
        <w:tc>
          <w:tcPr>
            <w:tcW w:w="713" w:type="pct"/>
            <w:tcBorders>
              <w:top w:val="nil"/>
              <w:left w:val="nil"/>
              <w:bottom w:val="single" w:color="auto" w:sz="4" w:space="0"/>
              <w:right w:val="single" w:color="auto" w:sz="4" w:space="0"/>
            </w:tcBorders>
            <w:shd w:val="clear" w:color="auto" w:fill="auto"/>
            <w:vAlign w:val="center"/>
          </w:tcPr>
          <w:p w14:paraId="5F0F49D0">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6620828F">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16ED4204">
            <w:pPr>
              <w:jc w:val="center"/>
              <w:rPr>
                <w:sz w:val="18"/>
                <w:szCs w:val="18"/>
              </w:rPr>
            </w:pPr>
            <w:r>
              <w:rPr>
                <w:sz w:val="18"/>
                <w:szCs w:val="18"/>
              </w:rPr>
              <w:t>/</w:t>
            </w:r>
          </w:p>
        </w:tc>
      </w:tr>
      <w:tr w14:paraId="0FFB475C">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33CE0C19">
            <w:pPr>
              <w:jc w:val="center"/>
              <w:rPr>
                <w:sz w:val="18"/>
                <w:szCs w:val="18"/>
              </w:rPr>
            </w:pPr>
            <w:r>
              <w:rPr>
                <w:sz w:val="18"/>
                <w:szCs w:val="18"/>
              </w:rPr>
              <w:t>12</w:t>
            </w:r>
          </w:p>
        </w:tc>
        <w:tc>
          <w:tcPr>
            <w:tcW w:w="473" w:type="pct"/>
            <w:tcBorders>
              <w:top w:val="nil"/>
              <w:left w:val="nil"/>
              <w:bottom w:val="single" w:color="auto" w:sz="4" w:space="0"/>
              <w:right w:val="single" w:color="auto" w:sz="4" w:space="0"/>
            </w:tcBorders>
            <w:shd w:val="clear" w:color="auto" w:fill="auto"/>
            <w:vAlign w:val="center"/>
          </w:tcPr>
          <w:p w14:paraId="5AC66F34">
            <w:pPr>
              <w:jc w:val="center"/>
              <w:rPr>
                <w:sz w:val="18"/>
                <w:szCs w:val="18"/>
              </w:rPr>
            </w:pPr>
            <w:r>
              <w:rPr>
                <w:sz w:val="18"/>
                <w:szCs w:val="18"/>
              </w:rPr>
              <w:t>11-12</w:t>
            </w:r>
          </w:p>
        </w:tc>
        <w:tc>
          <w:tcPr>
            <w:tcW w:w="871" w:type="pct"/>
            <w:vMerge w:val="restart"/>
            <w:tcBorders>
              <w:top w:val="nil"/>
              <w:left w:val="single" w:color="auto" w:sz="4" w:space="0"/>
              <w:bottom w:val="single" w:color="auto" w:sz="4" w:space="0"/>
              <w:right w:val="single" w:color="auto" w:sz="4" w:space="0"/>
            </w:tcBorders>
            <w:shd w:val="clear" w:color="auto" w:fill="auto"/>
            <w:vAlign w:val="center"/>
          </w:tcPr>
          <w:p w14:paraId="4CE6D5A9">
            <w:pPr>
              <w:jc w:val="center"/>
              <w:rPr>
                <w:sz w:val="18"/>
                <w:szCs w:val="18"/>
              </w:rPr>
            </w:pPr>
            <w:r>
              <w:rPr>
                <w:sz w:val="18"/>
                <w:szCs w:val="18"/>
              </w:rPr>
              <w:t>桩体变形测点布设</w:t>
            </w:r>
          </w:p>
        </w:tc>
        <w:tc>
          <w:tcPr>
            <w:tcW w:w="735" w:type="pct"/>
            <w:tcBorders>
              <w:top w:val="nil"/>
              <w:left w:val="nil"/>
              <w:bottom w:val="single" w:color="auto" w:sz="4" w:space="0"/>
              <w:right w:val="single" w:color="auto" w:sz="4" w:space="0"/>
            </w:tcBorders>
            <w:shd w:val="clear" w:color="auto" w:fill="auto"/>
            <w:vAlign w:val="center"/>
          </w:tcPr>
          <w:p w14:paraId="23F4DB7B">
            <w:pPr>
              <w:jc w:val="center"/>
              <w:rPr>
                <w:sz w:val="18"/>
                <w:szCs w:val="18"/>
              </w:rPr>
            </w:pPr>
            <w:r>
              <w:rPr>
                <w:sz w:val="18"/>
                <w:szCs w:val="18"/>
              </w:rPr>
              <w:t>桩体变形(深10m以内)</w:t>
            </w:r>
          </w:p>
        </w:tc>
        <w:tc>
          <w:tcPr>
            <w:tcW w:w="713" w:type="pct"/>
            <w:tcBorders>
              <w:top w:val="nil"/>
              <w:left w:val="nil"/>
              <w:bottom w:val="single" w:color="auto" w:sz="4" w:space="0"/>
              <w:right w:val="single" w:color="auto" w:sz="4" w:space="0"/>
            </w:tcBorders>
            <w:shd w:val="clear" w:color="auto" w:fill="auto"/>
          </w:tcPr>
          <w:p w14:paraId="73E31757">
            <w:pPr>
              <w:jc w:val="center"/>
              <w:rPr>
                <w:sz w:val="18"/>
                <w:szCs w:val="18"/>
              </w:rPr>
            </w:pPr>
            <w:r>
              <w:rPr>
                <w:sz w:val="18"/>
                <w:szCs w:val="18"/>
              </w:rPr>
              <w:t xml:space="preserve">16.91 </w:t>
            </w:r>
          </w:p>
        </w:tc>
        <w:tc>
          <w:tcPr>
            <w:tcW w:w="713" w:type="pct"/>
            <w:tcBorders>
              <w:top w:val="nil"/>
              <w:left w:val="nil"/>
              <w:bottom w:val="single" w:color="auto" w:sz="4" w:space="0"/>
              <w:right w:val="single" w:color="auto" w:sz="4" w:space="0"/>
            </w:tcBorders>
            <w:shd w:val="clear" w:color="auto" w:fill="auto"/>
            <w:vAlign w:val="center"/>
          </w:tcPr>
          <w:p w14:paraId="7A2FD426">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533736C9">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216573AB">
            <w:pPr>
              <w:jc w:val="center"/>
              <w:rPr>
                <w:sz w:val="18"/>
                <w:szCs w:val="18"/>
              </w:rPr>
            </w:pPr>
            <w:r>
              <w:rPr>
                <w:sz w:val="18"/>
                <w:szCs w:val="18"/>
              </w:rPr>
              <w:t>/</w:t>
            </w:r>
          </w:p>
        </w:tc>
      </w:tr>
      <w:tr w14:paraId="24EE813B">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12317DDA">
            <w:pPr>
              <w:jc w:val="center"/>
              <w:rPr>
                <w:sz w:val="18"/>
                <w:szCs w:val="18"/>
              </w:rPr>
            </w:pPr>
            <w:r>
              <w:rPr>
                <w:sz w:val="18"/>
                <w:szCs w:val="18"/>
              </w:rPr>
              <w:t>13</w:t>
            </w:r>
          </w:p>
        </w:tc>
        <w:tc>
          <w:tcPr>
            <w:tcW w:w="473" w:type="pct"/>
            <w:tcBorders>
              <w:top w:val="nil"/>
              <w:left w:val="nil"/>
              <w:bottom w:val="single" w:color="auto" w:sz="4" w:space="0"/>
              <w:right w:val="single" w:color="auto" w:sz="4" w:space="0"/>
            </w:tcBorders>
            <w:shd w:val="clear" w:color="auto" w:fill="auto"/>
            <w:vAlign w:val="center"/>
          </w:tcPr>
          <w:p w14:paraId="678F094E">
            <w:pPr>
              <w:jc w:val="center"/>
              <w:rPr>
                <w:sz w:val="18"/>
                <w:szCs w:val="18"/>
              </w:rPr>
            </w:pPr>
            <w:r>
              <w:rPr>
                <w:sz w:val="18"/>
                <w:szCs w:val="18"/>
              </w:rPr>
              <w:t>11-13</w:t>
            </w:r>
          </w:p>
        </w:tc>
        <w:tc>
          <w:tcPr>
            <w:tcW w:w="871" w:type="pct"/>
            <w:vMerge w:val="continue"/>
            <w:tcBorders>
              <w:top w:val="nil"/>
              <w:left w:val="single" w:color="auto" w:sz="4" w:space="0"/>
              <w:bottom w:val="single" w:color="auto" w:sz="4" w:space="0"/>
              <w:right w:val="single" w:color="auto" w:sz="4" w:space="0"/>
            </w:tcBorders>
            <w:vAlign w:val="center"/>
          </w:tcPr>
          <w:p w14:paraId="55D9962B">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63CE089F">
            <w:pPr>
              <w:jc w:val="center"/>
              <w:rPr>
                <w:sz w:val="18"/>
                <w:szCs w:val="18"/>
              </w:rPr>
            </w:pPr>
            <w:r>
              <w:rPr>
                <w:sz w:val="18"/>
                <w:szCs w:val="18"/>
              </w:rPr>
              <w:t>桩体变形(深20m以内)</w:t>
            </w:r>
          </w:p>
        </w:tc>
        <w:tc>
          <w:tcPr>
            <w:tcW w:w="713" w:type="pct"/>
            <w:tcBorders>
              <w:top w:val="nil"/>
              <w:left w:val="nil"/>
              <w:bottom w:val="single" w:color="auto" w:sz="4" w:space="0"/>
              <w:right w:val="single" w:color="auto" w:sz="4" w:space="0"/>
            </w:tcBorders>
            <w:shd w:val="clear" w:color="auto" w:fill="auto"/>
          </w:tcPr>
          <w:p w14:paraId="5D4477A5">
            <w:pPr>
              <w:jc w:val="center"/>
              <w:rPr>
                <w:sz w:val="18"/>
                <w:szCs w:val="18"/>
              </w:rPr>
            </w:pPr>
            <w:r>
              <w:rPr>
                <w:sz w:val="18"/>
                <w:szCs w:val="18"/>
              </w:rPr>
              <w:t xml:space="preserve">31.80 </w:t>
            </w:r>
          </w:p>
        </w:tc>
        <w:tc>
          <w:tcPr>
            <w:tcW w:w="713" w:type="pct"/>
            <w:tcBorders>
              <w:top w:val="nil"/>
              <w:left w:val="nil"/>
              <w:bottom w:val="single" w:color="auto" w:sz="4" w:space="0"/>
              <w:right w:val="single" w:color="auto" w:sz="4" w:space="0"/>
            </w:tcBorders>
            <w:shd w:val="clear" w:color="auto" w:fill="auto"/>
            <w:vAlign w:val="center"/>
          </w:tcPr>
          <w:p w14:paraId="39447B8C">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2747420E">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39FB9305">
            <w:pPr>
              <w:jc w:val="center"/>
              <w:rPr>
                <w:sz w:val="18"/>
                <w:szCs w:val="18"/>
              </w:rPr>
            </w:pPr>
            <w:r>
              <w:rPr>
                <w:sz w:val="18"/>
                <w:szCs w:val="18"/>
              </w:rPr>
              <w:t>/</w:t>
            </w:r>
          </w:p>
        </w:tc>
      </w:tr>
      <w:tr w14:paraId="10EA97B0">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2D503666">
            <w:pPr>
              <w:jc w:val="center"/>
              <w:rPr>
                <w:sz w:val="18"/>
                <w:szCs w:val="18"/>
              </w:rPr>
            </w:pPr>
            <w:r>
              <w:rPr>
                <w:sz w:val="18"/>
                <w:szCs w:val="18"/>
              </w:rPr>
              <w:t>14</w:t>
            </w:r>
          </w:p>
        </w:tc>
        <w:tc>
          <w:tcPr>
            <w:tcW w:w="473" w:type="pct"/>
            <w:tcBorders>
              <w:top w:val="nil"/>
              <w:left w:val="nil"/>
              <w:bottom w:val="single" w:color="auto" w:sz="4" w:space="0"/>
              <w:right w:val="single" w:color="auto" w:sz="4" w:space="0"/>
            </w:tcBorders>
            <w:shd w:val="clear" w:color="auto" w:fill="auto"/>
            <w:vAlign w:val="center"/>
          </w:tcPr>
          <w:p w14:paraId="6D73A425">
            <w:pPr>
              <w:jc w:val="center"/>
              <w:rPr>
                <w:sz w:val="18"/>
                <w:szCs w:val="18"/>
              </w:rPr>
            </w:pPr>
            <w:r>
              <w:rPr>
                <w:sz w:val="18"/>
                <w:szCs w:val="18"/>
              </w:rPr>
              <w:t>11-14</w:t>
            </w:r>
          </w:p>
        </w:tc>
        <w:tc>
          <w:tcPr>
            <w:tcW w:w="871" w:type="pct"/>
            <w:vMerge w:val="continue"/>
            <w:tcBorders>
              <w:top w:val="nil"/>
              <w:left w:val="single" w:color="auto" w:sz="4" w:space="0"/>
              <w:bottom w:val="single" w:color="auto" w:sz="4" w:space="0"/>
              <w:right w:val="single" w:color="auto" w:sz="4" w:space="0"/>
            </w:tcBorders>
            <w:vAlign w:val="center"/>
          </w:tcPr>
          <w:p w14:paraId="2CC8A521">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49954619">
            <w:pPr>
              <w:jc w:val="center"/>
              <w:rPr>
                <w:sz w:val="18"/>
                <w:szCs w:val="18"/>
              </w:rPr>
            </w:pPr>
            <w:r>
              <w:rPr>
                <w:sz w:val="18"/>
                <w:szCs w:val="18"/>
              </w:rPr>
              <w:t>桩体变形(深30m以内)</w:t>
            </w:r>
          </w:p>
        </w:tc>
        <w:tc>
          <w:tcPr>
            <w:tcW w:w="713" w:type="pct"/>
            <w:tcBorders>
              <w:top w:val="nil"/>
              <w:left w:val="nil"/>
              <w:bottom w:val="single" w:color="auto" w:sz="4" w:space="0"/>
              <w:right w:val="single" w:color="auto" w:sz="4" w:space="0"/>
            </w:tcBorders>
            <w:shd w:val="clear" w:color="auto" w:fill="auto"/>
          </w:tcPr>
          <w:p w14:paraId="2C07FE08">
            <w:pPr>
              <w:jc w:val="center"/>
              <w:rPr>
                <w:sz w:val="18"/>
                <w:szCs w:val="18"/>
              </w:rPr>
            </w:pPr>
            <w:r>
              <w:rPr>
                <w:sz w:val="18"/>
                <w:szCs w:val="18"/>
              </w:rPr>
              <w:t xml:space="preserve">46.70 </w:t>
            </w:r>
          </w:p>
        </w:tc>
        <w:tc>
          <w:tcPr>
            <w:tcW w:w="713" w:type="pct"/>
            <w:tcBorders>
              <w:top w:val="nil"/>
              <w:left w:val="nil"/>
              <w:bottom w:val="single" w:color="auto" w:sz="4" w:space="0"/>
              <w:right w:val="single" w:color="auto" w:sz="4" w:space="0"/>
            </w:tcBorders>
            <w:shd w:val="clear" w:color="auto" w:fill="auto"/>
            <w:vAlign w:val="center"/>
          </w:tcPr>
          <w:p w14:paraId="0C0FC954">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0B457770">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23F0976D">
            <w:pPr>
              <w:jc w:val="center"/>
              <w:rPr>
                <w:sz w:val="18"/>
                <w:szCs w:val="18"/>
              </w:rPr>
            </w:pPr>
            <w:r>
              <w:rPr>
                <w:sz w:val="18"/>
                <w:szCs w:val="18"/>
              </w:rPr>
              <w:t>/</w:t>
            </w:r>
          </w:p>
        </w:tc>
      </w:tr>
      <w:tr w14:paraId="3925C6F7">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432F58E7">
            <w:pPr>
              <w:jc w:val="center"/>
              <w:rPr>
                <w:sz w:val="18"/>
                <w:szCs w:val="18"/>
              </w:rPr>
            </w:pPr>
            <w:r>
              <w:rPr>
                <w:sz w:val="18"/>
                <w:szCs w:val="18"/>
              </w:rPr>
              <w:t>15</w:t>
            </w:r>
          </w:p>
        </w:tc>
        <w:tc>
          <w:tcPr>
            <w:tcW w:w="473" w:type="pct"/>
            <w:tcBorders>
              <w:top w:val="nil"/>
              <w:left w:val="nil"/>
              <w:bottom w:val="single" w:color="auto" w:sz="4" w:space="0"/>
              <w:right w:val="single" w:color="auto" w:sz="4" w:space="0"/>
            </w:tcBorders>
            <w:shd w:val="clear" w:color="auto" w:fill="auto"/>
            <w:vAlign w:val="center"/>
          </w:tcPr>
          <w:p w14:paraId="5C980BD1">
            <w:pPr>
              <w:jc w:val="center"/>
              <w:rPr>
                <w:sz w:val="18"/>
                <w:szCs w:val="18"/>
              </w:rPr>
            </w:pPr>
            <w:r>
              <w:rPr>
                <w:sz w:val="18"/>
                <w:szCs w:val="18"/>
              </w:rPr>
              <w:t>11-15</w:t>
            </w:r>
          </w:p>
        </w:tc>
        <w:tc>
          <w:tcPr>
            <w:tcW w:w="871" w:type="pct"/>
            <w:vMerge w:val="continue"/>
            <w:tcBorders>
              <w:top w:val="nil"/>
              <w:left w:val="single" w:color="auto" w:sz="4" w:space="0"/>
              <w:bottom w:val="single" w:color="auto" w:sz="4" w:space="0"/>
              <w:right w:val="single" w:color="auto" w:sz="4" w:space="0"/>
            </w:tcBorders>
            <w:vAlign w:val="center"/>
          </w:tcPr>
          <w:p w14:paraId="52E9FBAB">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55D90478">
            <w:pPr>
              <w:jc w:val="center"/>
              <w:rPr>
                <w:sz w:val="18"/>
                <w:szCs w:val="18"/>
              </w:rPr>
            </w:pPr>
            <w:r>
              <w:rPr>
                <w:sz w:val="18"/>
                <w:szCs w:val="18"/>
              </w:rPr>
              <w:t>桩体变形(每增1m)</w:t>
            </w:r>
          </w:p>
        </w:tc>
        <w:tc>
          <w:tcPr>
            <w:tcW w:w="713" w:type="pct"/>
            <w:tcBorders>
              <w:top w:val="nil"/>
              <w:left w:val="nil"/>
              <w:bottom w:val="single" w:color="auto" w:sz="4" w:space="0"/>
              <w:right w:val="single" w:color="auto" w:sz="4" w:space="0"/>
            </w:tcBorders>
            <w:shd w:val="clear" w:color="auto" w:fill="auto"/>
          </w:tcPr>
          <w:p w14:paraId="1A770497">
            <w:pPr>
              <w:jc w:val="center"/>
              <w:rPr>
                <w:sz w:val="18"/>
                <w:szCs w:val="18"/>
              </w:rPr>
            </w:pPr>
            <w:r>
              <w:rPr>
                <w:sz w:val="18"/>
                <w:szCs w:val="18"/>
              </w:rPr>
              <w:t xml:space="preserve">1.55 </w:t>
            </w:r>
          </w:p>
        </w:tc>
        <w:tc>
          <w:tcPr>
            <w:tcW w:w="713" w:type="pct"/>
            <w:tcBorders>
              <w:top w:val="nil"/>
              <w:left w:val="nil"/>
              <w:bottom w:val="single" w:color="auto" w:sz="4" w:space="0"/>
              <w:right w:val="single" w:color="auto" w:sz="4" w:space="0"/>
            </w:tcBorders>
            <w:shd w:val="clear" w:color="auto" w:fill="auto"/>
            <w:vAlign w:val="center"/>
          </w:tcPr>
          <w:p w14:paraId="0AE961EF">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4F0B1DAF">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5BFB3EC1">
            <w:pPr>
              <w:jc w:val="center"/>
              <w:rPr>
                <w:sz w:val="18"/>
                <w:szCs w:val="18"/>
              </w:rPr>
            </w:pPr>
            <w:r>
              <w:rPr>
                <w:sz w:val="18"/>
                <w:szCs w:val="18"/>
              </w:rPr>
              <w:t>/</w:t>
            </w:r>
          </w:p>
        </w:tc>
      </w:tr>
      <w:tr w14:paraId="2F266EAD">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38FD91AE">
            <w:pPr>
              <w:jc w:val="center"/>
              <w:rPr>
                <w:sz w:val="18"/>
                <w:szCs w:val="18"/>
              </w:rPr>
            </w:pPr>
            <w:r>
              <w:rPr>
                <w:sz w:val="18"/>
                <w:szCs w:val="18"/>
              </w:rPr>
              <w:t>16</w:t>
            </w:r>
          </w:p>
        </w:tc>
        <w:tc>
          <w:tcPr>
            <w:tcW w:w="473" w:type="pct"/>
            <w:tcBorders>
              <w:top w:val="nil"/>
              <w:left w:val="nil"/>
              <w:bottom w:val="single" w:color="auto" w:sz="4" w:space="0"/>
              <w:right w:val="single" w:color="auto" w:sz="4" w:space="0"/>
            </w:tcBorders>
            <w:shd w:val="clear" w:color="auto" w:fill="auto"/>
            <w:vAlign w:val="center"/>
          </w:tcPr>
          <w:p w14:paraId="4D459A7D">
            <w:pPr>
              <w:jc w:val="center"/>
              <w:rPr>
                <w:sz w:val="18"/>
                <w:szCs w:val="18"/>
              </w:rPr>
            </w:pPr>
            <w:r>
              <w:rPr>
                <w:sz w:val="18"/>
                <w:szCs w:val="18"/>
              </w:rPr>
              <w:t>11-16</w:t>
            </w:r>
          </w:p>
        </w:tc>
        <w:tc>
          <w:tcPr>
            <w:tcW w:w="871" w:type="pct"/>
            <w:vMerge w:val="restart"/>
            <w:tcBorders>
              <w:top w:val="nil"/>
              <w:left w:val="single" w:color="auto" w:sz="4" w:space="0"/>
              <w:bottom w:val="single" w:color="auto" w:sz="4" w:space="0"/>
              <w:right w:val="single" w:color="auto" w:sz="4" w:space="0"/>
            </w:tcBorders>
            <w:shd w:val="clear" w:color="auto" w:fill="auto"/>
            <w:vAlign w:val="center"/>
          </w:tcPr>
          <w:p w14:paraId="543301FC">
            <w:pPr>
              <w:jc w:val="center"/>
              <w:rPr>
                <w:sz w:val="18"/>
                <w:szCs w:val="18"/>
              </w:rPr>
            </w:pPr>
            <w:r>
              <w:rPr>
                <w:sz w:val="18"/>
                <w:szCs w:val="18"/>
              </w:rPr>
              <w:t>孔隙水压力测孔布设</w:t>
            </w:r>
          </w:p>
        </w:tc>
        <w:tc>
          <w:tcPr>
            <w:tcW w:w="735" w:type="pct"/>
            <w:tcBorders>
              <w:top w:val="nil"/>
              <w:left w:val="nil"/>
              <w:bottom w:val="single" w:color="auto" w:sz="4" w:space="0"/>
              <w:right w:val="single" w:color="auto" w:sz="4" w:space="0"/>
            </w:tcBorders>
            <w:shd w:val="clear" w:color="auto" w:fill="auto"/>
            <w:vAlign w:val="center"/>
          </w:tcPr>
          <w:p w14:paraId="57F45B4F">
            <w:pPr>
              <w:jc w:val="center"/>
              <w:rPr>
                <w:sz w:val="18"/>
                <w:szCs w:val="18"/>
              </w:rPr>
            </w:pPr>
            <w:r>
              <w:rPr>
                <w:sz w:val="18"/>
                <w:szCs w:val="18"/>
              </w:rPr>
              <w:t>孔隙水压力(深10m以内)</w:t>
            </w:r>
          </w:p>
        </w:tc>
        <w:tc>
          <w:tcPr>
            <w:tcW w:w="713" w:type="pct"/>
            <w:tcBorders>
              <w:top w:val="nil"/>
              <w:left w:val="nil"/>
              <w:bottom w:val="single" w:color="auto" w:sz="4" w:space="0"/>
              <w:right w:val="single" w:color="auto" w:sz="4" w:space="0"/>
            </w:tcBorders>
            <w:shd w:val="clear" w:color="auto" w:fill="auto"/>
          </w:tcPr>
          <w:p w14:paraId="5C67612D">
            <w:pPr>
              <w:jc w:val="center"/>
              <w:rPr>
                <w:sz w:val="18"/>
                <w:szCs w:val="18"/>
              </w:rPr>
            </w:pPr>
            <w:r>
              <w:rPr>
                <w:sz w:val="18"/>
                <w:szCs w:val="18"/>
              </w:rPr>
              <w:t xml:space="preserve">16.42 </w:t>
            </w:r>
          </w:p>
        </w:tc>
        <w:tc>
          <w:tcPr>
            <w:tcW w:w="713" w:type="pct"/>
            <w:tcBorders>
              <w:top w:val="nil"/>
              <w:left w:val="nil"/>
              <w:bottom w:val="single" w:color="auto" w:sz="4" w:space="0"/>
              <w:right w:val="single" w:color="auto" w:sz="4" w:space="0"/>
            </w:tcBorders>
            <w:shd w:val="clear" w:color="auto" w:fill="auto"/>
            <w:vAlign w:val="center"/>
          </w:tcPr>
          <w:p w14:paraId="1BB60A96">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59BC0605">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3092EB07">
            <w:pPr>
              <w:jc w:val="center"/>
              <w:rPr>
                <w:sz w:val="18"/>
                <w:szCs w:val="18"/>
              </w:rPr>
            </w:pPr>
            <w:r>
              <w:rPr>
                <w:sz w:val="18"/>
                <w:szCs w:val="18"/>
              </w:rPr>
              <w:t>/</w:t>
            </w:r>
          </w:p>
        </w:tc>
      </w:tr>
      <w:tr w14:paraId="70B2BC39">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09BB46A5">
            <w:pPr>
              <w:jc w:val="center"/>
              <w:rPr>
                <w:sz w:val="18"/>
                <w:szCs w:val="18"/>
              </w:rPr>
            </w:pPr>
            <w:r>
              <w:rPr>
                <w:sz w:val="18"/>
                <w:szCs w:val="18"/>
              </w:rPr>
              <w:t>17</w:t>
            </w:r>
          </w:p>
        </w:tc>
        <w:tc>
          <w:tcPr>
            <w:tcW w:w="473" w:type="pct"/>
            <w:tcBorders>
              <w:top w:val="nil"/>
              <w:left w:val="nil"/>
              <w:bottom w:val="single" w:color="auto" w:sz="4" w:space="0"/>
              <w:right w:val="single" w:color="auto" w:sz="4" w:space="0"/>
            </w:tcBorders>
            <w:shd w:val="clear" w:color="auto" w:fill="auto"/>
            <w:vAlign w:val="center"/>
          </w:tcPr>
          <w:p w14:paraId="16789F5E">
            <w:pPr>
              <w:jc w:val="center"/>
              <w:rPr>
                <w:sz w:val="18"/>
                <w:szCs w:val="18"/>
              </w:rPr>
            </w:pPr>
            <w:r>
              <w:rPr>
                <w:sz w:val="18"/>
                <w:szCs w:val="18"/>
              </w:rPr>
              <w:t>11-17</w:t>
            </w:r>
          </w:p>
        </w:tc>
        <w:tc>
          <w:tcPr>
            <w:tcW w:w="871" w:type="pct"/>
            <w:vMerge w:val="continue"/>
            <w:tcBorders>
              <w:top w:val="nil"/>
              <w:left w:val="single" w:color="auto" w:sz="4" w:space="0"/>
              <w:bottom w:val="single" w:color="auto" w:sz="4" w:space="0"/>
              <w:right w:val="single" w:color="auto" w:sz="4" w:space="0"/>
            </w:tcBorders>
            <w:vAlign w:val="center"/>
          </w:tcPr>
          <w:p w14:paraId="09F8DE8D">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5C8D0AF7">
            <w:pPr>
              <w:jc w:val="center"/>
              <w:rPr>
                <w:sz w:val="18"/>
                <w:szCs w:val="18"/>
              </w:rPr>
            </w:pPr>
            <w:r>
              <w:rPr>
                <w:sz w:val="18"/>
                <w:szCs w:val="18"/>
              </w:rPr>
              <w:t>孔隙水压力(深20m以内)</w:t>
            </w:r>
          </w:p>
        </w:tc>
        <w:tc>
          <w:tcPr>
            <w:tcW w:w="713" w:type="pct"/>
            <w:tcBorders>
              <w:top w:val="nil"/>
              <w:left w:val="nil"/>
              <w:bottom w:val="single" w:color="auto" w:sz="4" w:space="0"/>
              <w:right w:val="single" w:color="auto" w:sz="4" w:space="0"/>
            </w:tcBorders>
            <w:shd w:val="clear" w:color="auto" w:fill="auto"/>
          </w:tcPr>
          <w:p w14:paraId="1F1675FB">
            <w:pPr>
              <w:jc w:val="center"/>
              <w:rPr>
                <w:sz w:val="18"/>
                <w:szCs w:val="18"/>
              </w:rPr>
            </w:pPr>
            <w:r>
              <w:rPr>
                <w:sz w:val="18"/>
                <w:szCs w:val="18"/>
              </w:rPr>
              <w:t xml:space="preserve">32.11 </w:t>
            </w:r>
          </w:p>
        </w:tc>
        <w:tc>
          <w:tcPr>
            <w:tcW w:w="713" w:type="pct"/>
            <w:tcBorders>
              <w:top w:val="nil"/>
              <w:left w:val="nil"/>
              <w:bottom w:val="single" w:color="auto" w:sz="4" w:space="0"/>
              <w:right w:val="single" w:color="auto" w:sz="4" w:space="0"/>
            </w:tcBorders>
            <w:shd w:val="clear" w:color="auto" w:fill="auto"/>
            <w:vAlign w:val="center"/>
          </w:tcPr>
          <w:p w14:paraId="2F0949E6">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75A453B5">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2FF714F3">
            <w:pPr>
              <w:jc w:val="center"/>
              <w:rPr>
                <w:sz w:val="18"/>
                <w:szCs w:val="18"/>
              </w:rPr>
            </w:pPr>
            <w:r>
              <w:rPr>
                <w:sz w:val="18"/>
                <w:szCs w:val="18"/>
              </w:rPr>
              <w:t>/</w:t>
            </w:r>
          </w:p>
        </w:tc>
      </w:tr>
      <w:tr w14:paraId="6461218D">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5363268A">
            <w:pPr>
              <w:jc w:val="center"/>
              <w:rPr>
                <w:sz w:val="18"/>
                <w:szCs w:val="18"/>
              </w:rPr>
            </w:pPr>
            <w:r>
              <w:rPr>
                <w:sz w:val="18"/>
                <w:szCs w:val="18"/>
              </w:rPr>
              <w:t>18</w:t>
            </w:r>
          </w:p>
        </w:tc>
        <w:tc>
          <w:tcPr>
            <w:tcW w:w="473" w:type="pct"/>
            <w:tcBorders>
              <w:top w:val="nil"/>
              <w:left w:val="nil"/>
              <w:bottom w:val="single" w:color="auto" w:sz="4" w:space="0"/>
              <w:right w:val="single" w:color="auto" w:sz="4" w:space="0"/>
            </w:tcBorders>
            <w:shd w:val="clear" w:color="auto" w:fill="auto"/>
            <w:vAlign w:val="center"/>
          </w:tcPr>
          <w:p w14:paraId="3B045D58">
            <w:pPr>
              <w:jc w:val="center"/>
              <w:rPr>
                <w:sz w:val="18"/>
                <w:szCs w:val="18"/>
              </w:rPr>
            </w:pPr>
            <w:r>
              <w:rPr>
                <w:sz w:val="18"/>
                <w:szCs w:val="18"/>
              </w:rPr>
              <w:t>11-18</w:t>
            </w:r>
          </w:p>
        </w:tc>
        <w:tc>
          <w:tcPr>
            <w:tcW w:w="871" w:type="pct"/>
            <w:vMerge w:val="continue"/>
            <w:tcBorders>
              <w:top w:val="nil"/>
              <w:left w:val="single" w:color="auto" w:sz="4" w:space="0"/>
              <w:bottom w:val="single" w:color="auto" w:sz="4" w:space="0"/>
              <w:right w:val="single" w:color="auto" w:sz="4" w:space="0"/>
            </w:tcBorders>
            <w:vAlign w:val="center"/>
          </w:tcPr>
          <w:p w14:paraId="2107EA21">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0902E3A5">
            <w:pPr>
              <w:jc w:val="center"/>
              <w:rPr>
                <w:sz w:val="18"/>
                <w:szCs w:val="18"/>
              </w:rPr>
            </w:pPr>
            <w:r>
              <w:rPr>
                <w:sz w:val="18"/>
                <w:szCs w:val="18"/>
              </w:rPr>
              <w:t>孔隙水压力(深30m以内)</w:t>
            </w:r>
          </w:p>
        </w:tc>
        <w:tc>
          <w:tcPr>
            <w:tcW w:w="713" w:type="pct"/>
            <w:tcBorders>
              <w:top w:val="nil"/>
              <w:left w:val="nil"/>
              <w:bottom w:val="single" w:color="auto" w:sz="4" w:space="0"/>
              <w:right w:val="single" w:color="auto" w:sz="4" w:space="0"/>
            </w:tcBorders>
            <w:shd w:val="clear" w:color="auto" w:fill="auto"/>
          </w:tcPr>
          <w:p w14:paraId="30650D4D">
            <w:pPr>
              <w:jc w:val="center"/>
              <w:rPr>
                <w:sz w:val="18"/>
                <w:szCs w:val="18"/>
              </w:rPr>
            </w:pPr>
            <w:r>
              <w:rPr>
                <w:sz w:val="18"/>
                <w:szCs w:val="18"/>
              </w:rPr>
              <w:t xml:space="preserve">47.88 </w:t>
            </w:r>
          </w:p>
        </w:tc>
        <w:tc>
          <w:tcPr>
            <w:tcW w:w="713" w:type="pct"/>
            <w:tcBorders>
              <w:top w:val="nil"/>
              <w:left w:val="nil"/>
              <w:bottom w:val="single" w:color="auto" w:sz="4" w:space="0"/>
              <w:right w:val="single" w:color="auto" w:sz="4" w:space="0"/>
            </w:tcBorders>
            <w:shd w:val="clear" w:color="auto" w:fill="auto"/>
            <w:vAlign w:val="center"/>
          </w:tcPr>
          <w:p w14:paraId="661930F6">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53BACCA0">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074E95D3">
            <w:pPr>
              <w:jc w:val="center"/>
              <w:rPr>
                <w:sz w:val="18"/>
                <w:szCs w:val="18"/>
              </w:rPr>
            </w:pPr>
            <w:r>
              <w:rPr>
                <w:sz w:val="18"/>
                <w:szCs w:val="18"/>
              </w:rPr>
              <w:t>/</w:t>
            </w:r>
          </w:p>
        </w:tc>
      </w:tr>
      <w:tr w14:paraId="3C280CBA">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1FBA192C">
            <w:pPr>
              <w:jc w:val="center"/>
              <w:rPr>
                <w:sz w:val="18"/>
                <w:szCs w:val="18"/>
              </w:rPr>
            </w:pPr>
            <w:r>
              <w:rPr>
                <w:sz w:val="18"/>
                <w:szCs w:val="18"/>
              </w:rPr>
              <w:t>19</w:t>
            </w:r>
          </w:p>
        </w:tc>
        <w:tc>
          <w:tcPr>
            <w:tcW w:w="473" w:type="pct"/>
            <w:tcBorders>
              <w:top w:val="nil"/>
              <w:left w:val="nil"/>
              <w:bottom w:val="single" w:color="auto" w:sz="4" w:space="0"/>
              <w:right w:val="single" w:color="auto" w:sz="4" w:space="0"/>
            </w:tcBorders>
            <w:shd w:val="clear" w:color="auto" w:fill="auto"/>
            <w:vAlign w:val="center"/>
          </w:tcPr>
          <w:p w14:paraId="3565BDA9">
            <w:pPr>
              <w:jc w:val="center"/>
              <w:rPr>
                <w:sz w:val="18"/>
                <w:szCs w:val="18"/>
              </w:rPr>
            </w:pPr>
            <w:r>
              <w:rPr>
                <w:sz w:val="18"/>
                <w:szCs w:val="18"/>
              </w:rPr>
              <w:t>11-19</w:t>
            </w:r>
          </w:p>
        </w:tc>
        <w:tc>
          <w:tcPr>
            <w:tcW w:w="871" w:type="pct"/>
            <w:vMerge w:val="continue"/>
            <w:tcBorders>
              <w:top w:val="nil"/>
              <w:left w:val="single" w:color="auto" w:sz="4" w:space="0"/>
              <w:bottom w:val="single" w:color="auto" w:sz="4" w:space="0"/>
              <w:right w:val="single" w:color="auto" w:sz="4" w:space="0"/>
            </w:tcBorders>
            <w:vAlign w:val="center"/>
          </w:tcPr>
          <w:p w14:paraId="0F2C8E3D">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4CFE1356">
            <w:pPr>
              <w:jc w:val="center"/>
              <w:rPr>
                <w:sz w:val="18"/>
                <w:szCs w:val="18"/>
              </w:rPr>
            </w:pPr>
            <w:r>
              <w:rPr>
                <w:sz w:val="18"/>
                <w:szCs w:val="18"/>
              </w:rPr>
              <w:t>孔隙水压力(每增1m)</w:t>
            </w:r>
          </w:p>
        </w:tc>
        <w:tc>
          <w:tcPr>
            <w:tcW w:w="713" w:type="pct"/>
            <w:tcBorders>
              <w:top w:val="nil"/>
              <w:left w:val="nil"/>
              <w:bottom w:val="single" w:color="auto" w:sz="4" w:space="0"/>
              <w:right w:val="single" w:color="auto" w:sz="4" w:space="0"/>
            </w:tcBorders>
            <w:shd w:val="clear" w:color="auto" w:fill="auto"/>
          </w:tcPr>
          <w:p w14:paraId="6A59A5C9">
            <w:pPr>
              <w:jc w:val="center"/>
              <w:rPr>
                <w:sz w:val="18"/>
                <w:szCs w:val="18"/>
              </w:rPr>
            </w:pPr>
            <w:r>
              <w:rPr>
                <w:sz w:val="18"/>
                <w:szCs w:val="18"/>
              </w:rPr>
              <w:t xml:space="preserve">1.61 </w:t>
            </w:r>
          </w:p>
        </w:tc>
        <w:tc>
          <w:tcPr>
            <w:tcW w:w="713" w:type="pct"/>
            <w:tcBorders>
              <w:top w:val="nil"/>
              <w:left w:val="nil"/>
              <w:bottom w:val="single" w:color="auto" w:sz="4" w:space="0"/>
              <w:right w:val="single" w:color="auto" w:sz="4" w:space="0"/>
            </w:tcBorders>
            <w:shd w:val="clear" w:color="auto" w:fill="auto"/>
            <w:vAlign w:val="center"/>
          </w:tcPr>
          <w:p w14:paraId="50BC868C">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58234D9E">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247FD1C3">
            <w:pPr>
              <w:jc w:val="center"/>
              <w:rPr>
                <w:sz w:val="18"/>
                <w:szCs w:val="18"/>
              </w:rPr>
            </w:pPr>
            <w:r>
              <w:rPr>
                <w:sz w:val="18"/>
                <w:szCs w:val="18"/>
              </w:rPr>
              <w:t>/</w:t>
            </w:r>
          </w:p>
        </w:tc>
      </w:tr>
      <w:tr w14:paraId="6767FA58">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6C77EC77">
            <w:pPr>
              <w:jc w:val="center"/>
              <w:rPr>
                <w:sz w:val="18"/>
                <w:szCs w:val="18"/>
              </w:rPr>
            </w:pPr>
            <w:r>
              <w:rPr>
                <w:sz w:val="18"/>
                <w:szCs w:val="18"/>
              </w:rPr>
              <w:t>20</w:t>
            </w:r>
          </w:p>
        </w:tc>
        <w:tc>
          <w:tcPr>
            <w:tcW w:w="473" w:type="pct"/>
            <w:tcBorders>
              <w:top w:val="nil"/>
              <w:left w:val="nil"/>
              <w:bottom w:val="single" w:color="auto" w:sz="4" w:space="0"/>
              <w:right w:val="single" w:color="auto" w:sz="4" w:space="0"/>
            </w:tcBorders>
            <w:shd w:val="clear" w:color="auto" w:fill="auto"/>
            <w:vAlign w:val="center"/>
          </w:tcPr>
          <w:p w14:paraId="69CFC250">
            <w:pPr>
              <w:jc w:val="center"/>
              <w:rPr>
                <w:sz w:val="18"/>
                <w:szCs w:val="18"/>
              </w:rPr>
            </w:pPr>
            <w:r>
              <w:rPr>
                <w:sz w:val="18"/>
                <w:szCs w:val="18"/>
              </w:rPr>
              <w:t>11-20</w:t>
            </w:r>
          </w:p>
        </w:tc>
        <w:tc>
          <w:tcPr>
            <w:tcW w:w="871" w:type="pct"/>
            <w:vMerge w:val="continue"/>
            <w:tcBorders>
              <w:top w:val="nil"/>
              <w:left w:val="single" w:color="auto" w:sz="4" w:space="0"/>
              <w:bottom w:val="single" w:color="auto" w:sz="4" w:space="0"/>
              <w:right w:val="single" w:color="auto" w:sz="4" w:space="0"/>
            </w:tcBorders>
            <w:vAlign w:val="center"/>
          </w:tcPr>
          <w:p w14:paraId="7092C8A9">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2ECF2A18">
            <w:pPr>
              <w:jc w:val="center"/>
              <w:rPr>
                <w:sz w:val="18"/>
                <w:szCs w:val="18"/>
              </w:rPr>
            </w:pPr>
            <w:r>
              <w:rPr>
                <w:sz w:val="18"/>
                <w:szCs w:val="18"/>
              </w:rPr>
              <w:t>水位观察孔(深10m以内)</w:t>
            </w:r>
          </w:p>
        </w:tc>
        <w:tc>
          <w:tcPr>
            <w:tcW w:w="713" w:type="pct"/>
            <w:tcBorders>
              <w:top w:val="nil"/>
              <w:left w:val="nil"/>
              <w:bottom w:val="single" w:color="auto" w:sz="4" w:space="0"/>
              <w:right w:val="single" w:color="auto" w:sz="4" w:space="0"/>
            </w:tcBorders>
            <w:shd w:val="clear" w:color="auto" w:fill="auto"/>
          </w:tcPr>
          <w:p w14:paraId="4A97EEB7">
            <w:pPr>
              <w:jc w:val="center"/>
              <w:rPr>
                <w:sz w:val="18"/>
                <w:szCs w:val="18"/>
              </w:rPr>
            </w:pPr>
            <w:r>
              <w:rPr>
                <w:sz w:val="18"/>
                <w:szCs w:val="18"/>
              </w:rPr>
              <w:t xml:space="preserve">228.39 </w:t>
            </w:r>
          </w:p>
        </w:tc>
        <w:tc>
          <w:tcPr>
            <w:tcW w:w="713" w:type="pct"/>
            <w:tcBorders>
              <w:top w:val="nil"/>
              <w:left w:val="nil"/>
              <w:bottom w:val="single" w:color="auto" w:sz="4" w:space="0"/>
              <w:right w:val="single" w:color="auto" w:sz="4" w:space="0"/>
            </w:tcBorders>
            <w:shd w:val="clear" w:color="auto" w:fill="auto"/>
            <w:vAlign w:val="center"/>
          </w:tcPr>
          <w:p w14:paraId="6683A93D">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75D06737">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546991E0">
            <w:pPr>
              <w:jc w:val="center"/>
              <w:rPr>
                <w:sz w:val="18"/>
                <w:szCs w:val="18"/>
              </w:rPr>
            </w:pPr>
            <w:r>
              <w:rPr>
                <w:sz w:val="18"/>
                <w:szCs w:val="18"/>
              </w:rPr>
              <w:t>/</w:t>
            </w:r>
          </w:p>
        </w:tc>
      </w:tr>
      <w:tr w14:paraId="542D3B52">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0D26C0AD">
            <w:pPr>
              <w:jc w:val="center"/>
              <w:rPr>
                <w:sz w:val="18"/>
                <w:szCs w:val="18"/>
              </w:rPr>
            </w:pPr>
            <w:r>
              <w:rPr>
                <w:sz w:val="18"/>
                <w:szCs w:val="18"/>
              </w:rPr>
              <w:t>21</w:t>
            </w:r>
          </w:p>
        </w:tc>
        <w:tc>
          <w:tcPr>
            <w:tcW w:w="473" w:type="pct"/>
            <w:tcBorders>
              <w:top w:val="nil"/>
              <w:left w:val="nil"/>
              <w:bottom w:val="single" w:color="auto" w:sz="4" w:space="0"/>
              <w:right w:val="single" w:color="auto" w:sz="4" w:space="0"/>
            </w:tcBorders>
            <w:shd w:val="clear" w:color="auto" w:fill="auto"/>
            <w:vAlign w:val="center"/>
          </w:tcPr>
          <w:p w14:paraId="59342B11">
            <w:pPr>
              <w:jc w:val="center"/>
              <w:rPr>
                <w:sz w:val="18"/>
                <w:szCs w:val="18"/>
              </w:rPr>
            </w:pPr>
            <w:r>
              <w:rPr>
                <w:sz w:val="18"/>
                <w:szCs w:val="18"/>
              </w:rPr>
              <w:t>11-21</w:t>
            </w:r>
          </w:p>
        </w:tc>
        <w:tc>
          <w:tcPr>
            <w:tcW w:w="871" w:type="pct"/>
            <w:vMerge w:val="continue"/>
            <w:tcBorders>
              <w:top w:val="nil"/>
              <w:left w:val="single" w:color="auto" w:sz="4" w:space="0"/>
              <w:bottom w:val="single" w:color="auto" w:sz="4" w:space="0"/>
              <w:right w:val="single" w:color="auto" w:sz="4" w:space="0"/>
            </w:tcBorders>
            <w:vAlign w:val="center"/>
          </w:tcPr>
          <w:p w14:paraId="1C50B04E">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7A2DC74F">
            <w:pPr>
              <w:jc w:val="center"/>
              <w:rPr>
                <w:sz w:val="18"/>
                <w:szCs w:val="18"/>
              </w:rPr>
            </w:pPr>
            <w:r>
              <w:rPr>
                <w:sz w:val="18"/>
                <w:szCs w:val="18"/>
              </w:rPr>
              <w:t>水位观察孔(深20m以内)</w:t>
            </w:r>
          </w:p>
        </w:tc>
        <w:tc>
          <w:tcPr>
            <w:tcW w:w="713" w:type="pct"/>
            <w:tcBorders>
              <w:top w:val="nil"/>
              <w:left w:val="nil"/>
              <w:bottom w:val="single" w:color="auto" w:sz="4" w:space="0"/>
              <w:right w:val="single" w:color="auto" w:sz="4" w:space="0"/>
            </w:tcBorders>
            <w:shd w:val="clear" w:color="auto" w:fill="auto"/>
          </w:tcPr>
          <w:p w14:paraId="1942B501">
            <w:pPr>
              <w:jc w:val="center"/>
              <w:rPr>
                <w:sz w:val="18"/>
                <w:szCs w:val="18"/>
              </w:rPr>
            </w:pPr>
            <w:r>
              <w:rPr>
                <w:sz w:val="18"/>
                <w:szCs w:val="18"/>
              </w:rPr>
              <w:t xml:space="preserve">447.91 </w:t>
            </w:r>
          </w:p>
        </w:tc>
        <w:tc>
          <w:tcPr>
            <w:tcW w:w="713" w:type="pct"/>
            <w:tcBorders>
              <w:top w:val="nil"/>
              <w:left w:val="nil"/>
              <w:bottom w:val="single" w:color="auto" w:sz="4" w:space="0"/>
              <w:right w:val="single" w:color="auto" w:sz="4" w:space="0"/>
            </w:tcBorders>
            <w:shd w:val="clear" w:color="auto" w:fill="auto"/>
            <w:vAlign w:val="center"/>
          </w:tcPr>
          <w:p w14:paraId="567C021C">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7998ABF9">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2E847A0E">
            <w:pPr>
              <w:jc w:val="center"/>
              <w:rPr>
                <w:sz w:val="18"/>
                <w:szCs w:val="18"/>
              </w:rPr>
            </w:pPr>
            <w:r>
              <w:rPr>
                <w:sz w:val="18"/>
                <w:szCs w:val="18"/>
              </w:rPr>
              <w:t>/</w:t>
            </w:r>
          </w:p>
        </w:tc>
      </w:tr>
      <w:tr w14:paraId="6E59638B">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70C6CBB0">
            <w:pPr>
              <w:jc w:val="center"/>
              <w:rPr>
                <w:sz w:val="18"/>
                <w:szCs w:val="18"/>
              </w:rPr>
            </w:pPr>
            <w:r>
              <w:rPr>
                <w:sz w:val="18"/>
                <w:szCs w:val="18"/>
              </w:rPr>
              <w:t>22</w:t>
            </w:r>
          </w:p>
        </w:tc>
        <w:tc>
          <w:tcPr>
            <w:tcW w:w="473" w:type="pct"/>
            <w:tcBorders>
              <w:top w:val="nil"/>
              <w:left w:val="nil"/>
              <w:bottom w:val="single" w:color="auto" w:sz="4" w:space="0"/>
              <w:right w:val="single" w:color="auto" w:sz="4" w:space="0"/>
            </w:tcBorders>
            <w:shd w:val="clear" w:color="auto" w:fill="auto"/>
            <w:vAlign w:val="center"/>
          </w:tcPr>
          <w:p w14:paraId="082BA9A4">
            <w:pPr>
              <w:jc w:val="center"/>
              <w:rPr>
                <w:sz w:val="18"/>
                <w:szCs w:val="18"/>
              </w:rPr>
            </w:pPr>
            <w:r>
              <w:rPr>
                <w:sz w:val="18"/>
                <w:szCs w:val="18"/>
              </w:rPr>
              <w:t>11-22</w:t>
            </w:r>
          </w:p>
        </w:tc>
        <w:tc>
          <w:tcPr>
            <w:tcW w:w="871" w:type="pct"/>
            <w:vMerge w:val="continue"/>
            <w:tcBorders>
              <w:top w:val="nil"/>
              <w:left w:val="single" w:color="auto" w:sz="4" w:space="0"/>
              <w:bottom w:val="single" w:color="auto" w:sz="4" w:space="0"/>
              <w:right w:val="single" w:color="auto" w:sz="4" w:space="0"/>
            </w:tcBorders>
            <w:vAlign w:val="center"/>
          </w:tcPr>
          <w:p w14:paraId="55283D77">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5FB79EF8">
            <w:pPr>
              <w:jc w:val="center"/>
              <w:rPr>
                <w:sz w:val="18"/>
                <w:szCs w:val="18"/>
              </w:rPr>
            </w:pPr>
            <w:r>
              <w:rPr>
                <w:sz w:val="18"/>
                <w:szCs w:val="18"/>
              </w:rPr>
              <w:t>水位观察孔(深30m以内)</w:t>
            </w:r>
          </w:p>
        </w:tc>
        <w:tc>
          <w:tcPr>
            <w:tcW w:w="713" w:type="pct"/>
            <w:tcBorders>
              <w:top w:val="nil"/>
              <w:left w:val="nil"/>
              <w:bottom w:val="single" w:color="auto" w:sz="4" w:space="0"/>
              <w:right w:val="single" w:color="auto" w:sz="4" w:space="0"/>
            </w:tcBorders>
            <w:shd w:val="clear" w:color="auto" w:fill="auto"/>
          </w:tcPr>
          <w:p w14:paraId="7868566C">
            <w:pPr>
              <w:jc w:val="center"/>
              <w:rPr>
                <w:sz w:val="18"/>
                <w:szCs w:val="18"/>
              </w:rPr>
            </w:pPr>
            <w:r>
              <w:rPr>
                <w:sz w:val="18"/>
                <w:szCs w:val="18"/>
              </w:rPr>
              <w:t xml:space="preserve">683.77 </w:t>
            </w:r>
          </w:p>
        </w:tc>
        <w:tc>
          <w:tcPr>
            <w:tcW w:w="713" w:type="pct"/>
            <w:tcBorders>
              <w:top w:val="nil"/>
              <w:left w:val="nil"/>
              <w:bottom w:val="single" w:color="auto" w:sz="4" w:space="0"/>
              <w:right w:val="single" w:color="auto" w:sz="4" w:space="0"/>
            </w:tcBorders>
            <w:shd w:val="clear" w:color="auto" w:fill="auto"/>
            <w:vAlign w:val="center"/>
          </w:tcPr>
          <w:p w14:paraId="02126BF6">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15401516">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291F522F">
            <w:pPr>
              <w:jc w:val="center"/>
              <w:rPr>
                <w:sz w:val="18"/>
                <w:szCs w:val="18"/>
              </w:rPr>
            </w:pPr>
            <w:r>
              <w:rPr>
                <w:sz w:val="18"/>
                <w:szCs w:val="18"/>
              </w:rPr>
              <w:t>/</w:t>
            </w:r>
          </w:p>
        </w:tc>
      </w:tr>
      <w:tr w14:paraId="0F515476">
        <w:tblPrEx>
          <w:tblCellMar>
            <w:top w:w="0" w:type="dxa"/>
            <w:left w:w="108" w:type="dxa"/>
            <w:bottom w:w="0" w:type="dxa"/>
            <w:right w:w="108" w:type="dxa"/>
          </w:tblCellMar>
        </w:tblPrEx>
        <w:trPr>
          <w:trHeight w:val="289" w:hRule="atLeast"/>
          <w:jc w:val="center"/>
        </w:trPr>
        <w:tc>
          <w:tcPr>
            <w:tcW w:w="470" w:type="pct"/>
            <w:tcBorders>
              <w:top w:val="nil"/>
              <w:left w:val="single" w:color="auto" w:sz="4" w:space="0"/>
              <w:bottom w:val="single" w:color="auto" w:sz="4" w:space="0"/>
              <w:right w:val="single" w:color="auto" w:sz="4" w:space="0"/>
            </w:tcBorders>
            <w:shd w:val="clear" w:color="auto" w:fill="auto"/>
            <w:vAlign w:val="center"/>
          </w:tcPr>
          <w:p w14:paraId="3A9D2617">
            <w:pPr>
              <w:jc w:val="center"/>
              <w:rPr>
                <w:sz w:val="18"/>
                <w:szCs w:val="18"/>
              </w:rPr>
            </w:pPr>
            <w:r>
              <w:rPr>
                <w:sz w:val="18"/>
                <w:szCs w:val="18"/>
              </w:rPr>
              <w:t>23</w:t>
            </w:r>
          </w:p>
        </w:tc>
        <w:tc>
          <w:tcPr>
            <w:tcW w:w="473" w:type="pct"/>
            <w:tcBorders>
              <w:top w:val="nil"/>
              <w:left w:val="nil"/>
              <w:bottom w:val="single" w:color="auto" w:sz="4" w:space="0"/>
              <w:right w:val="single" w:color="auto" w:sz="4" w:space="0"/>
            </w:tcBorders>
            <w:shd w:val="clear" w:color="auto" w:fill="auto"/>
            <w:vAlign w:val="center"/>
          </w:tcPr>
          <w:p w14:paraId="4CEBA2C2">
            <w:pPr>
              <w:jc w:val="center"/>
              <w:rPr>
                <w:sz w:val="18"/>
                <w:szCs w:val="18"/>
              </w:rPr>
            </w:pPr>
            <w:r>
              <w:rPr>
                <w:sz w:val="18"/>
                <w:szCs w:val="18"/>
              </w:rPr>
              <w:t>11-23</w:t>
            </w:r>
          </w:p>
        </w:tc>
        <w:tc>
          <w:tcPr>
            <w:tcW w:w="871" w:type="pct"/>
            <w:vMerge w:val="continue"/>
            <w:tcBorders>
              <w:top w:val="nil"/>
              <w:left w:val="single" w:color="auto" w:sz="4" w:space="0"/>
              <w:bottom w:val="single" w:color="auto" w:sz="4" w:space="0"/>
              <w:right w:val="single" w:color="auto" w:sz="4" w:space="0"/>
            </w:tcBorders>
            <w:vAlign w:val="center"/>
          </w:tcPr>
          <w:p w14:paraId="7FD88559">
            <w:pPr>
              <w:jc w:val="center"/>
              <w:rPr>
                <w:sz w:val="18"/>
                <w:szCs w:val="18"/>
              </w:rPr>
            </w:pPr>
          </w:p>
        </w:tc>
        <w:tc>
          <w:tcPr>
            <w:tcW w:w="735" w:type="pct"/>
            <w:tcBorders>
              <w:top w:val="nil"/>
              <w:left w:val="nil"/>
              <w:bottom w:val="single" w:color="auto" w:sz="4" w:space="0"/>
              <w:right w:val="single" w:color="auto" w:sz="4" w:space="0"/>
            </w:tcBorders>
            <w:shd w:val="clear" w:color="auto" w:fill="auto"/>
            <w:vAlign w:val="center"/>
          </w:tcPr>
          <w:p w14:paraId="256D8678">
            <w:pPr>
              <w:jc w:val="center"/>
              <w:rPr>
                <w:sz w:val="18"/>
                <w:szCs w:val="18"/>
              </w:rPr>
            </w:pPr>
            <w:r>
              <w:rPr>
                <w:sz w:val="18"/>
                <w:szCs w:val="18"/>
              </w:rPr>
              <w:t>水位观察孔(每增1m)</w:t>
            </w:r>
          </w:p>
        </w:tc>
        <w:tc>
          <w:tcPr>
            <w:tcW w:w="713" w:type="pct"/>
            <w:tcBorders>
              <w:top w:val="nil"/>
              <w:left w:val="nil"/>
              <w:bottom w:val="single" w:color="auto" w:sz="4" w:space="0"/>
              <w:right w:val="single" w:color="auto" w:sz="4" w:space="0"/>
            </w:tcBorders>
            <w:shd w:val="clear" w:color="auto" w:fill="auto"/>
          </w:tcPr>
          <w:p w14:paraId="1E6642A4">
            <w:pPr>
              <w:jc w:val="center"/>
              <w:rPr>
                <w:sz w:val="18"/>
                <w:szCs w:val="18"/>
              </w:rPr>
            </w:pPr>
            <w:r>
              <w:rPr>
                <w:sz w:val="18"/>
                <w:szCs w:val="18"/>
              </w:rPr>
              <w:t xml:space="preserve">22.80 </w:t>
            </w:r>
          </w:p>
        </w:tc>
        <w:tc>
          <w:tcPr>
            <w:tcW w:w="713" w:type="pct"/>
            <w:tcBorders>
              <w:top w:val="nil"/>
              <w:left w:val="nil"/>
              <w:bottom w:val="single" w:color="auto" w:sz="4" w:space="0"/>
              <w:right w:val="single" w:color="auto" w:sz="4" w:space="0"/>
            </w:tcBorders>
            <w:shd w:val="clear" w:color="auto" w:fill="auto"/>
            <w:vAlign w:val="center"/>
          </w:tcPr>
          <w:p w14:paraId="6178F783">
            <w:pPr>
              <w:jc w:val="center"/>
              <w:rPr>
                <w:sz w:val="18"/>
                <w:szCs w:val="18"/>
              </w:rPr>
            </w:pPr>
            <w:r>
              <w:rPr>
                <w:sz w:val="18"/>
                <w:szCs w:val="18"/>
              </w:rPr>
              <w:t>kgCO</w:t>
            </w:r>
            <w:r>
              <w:rPr>
                <w:sz w:val="18"/>
                <w:szCs w:val="18"/>
                <w:vertAlign w:val="subscript"/>
              </w:rPr>
              <w:t>2</w:t>
            </w:r>
            <w:r>
              <w:rPr>
                <w:sz w:val="18"/>
                <w:szCs w:val="18"/>
              </w:rPr>
              <w:t>e/</w:t>
            </w:r>
            <w:r>
              <w:rPr>
                <w:rFonts w:hint="eastAsia"/>
                <w:sz w:val="18"/>
                <w:szCs w:val="18"/>
              </w:rPr>
              <w:t>孔</w:t>
            </w:r>
          </w:p>
        </w:tc>
        <w:tc>
          <w:tcPr>
            <w:tcW w:w="600" w:type="pct"/>
            <w:tcBorders>
              <w:top w:val="nil"/>
              <w:left w:val="nil"/>
              <w:bottom w:val="single" w:color="auto" w:sz="4" w:space="0"/>
              <w:right w:val="single" w:color="auto" w:sz="4" w:space="0"/>
            </w:tcBorders>
            <w:shd w:val="clear" w:color="auto" w:fill="auto"/>
            <w:vAlign w:val="center"/>
          </w:tcPr>
          <w:p w14:paraId="305752BE">
            <w:pPr>
              <w:jc w:val="center"/>
              <w:rPr>
                <w:sz w:val="18"/>
                <w:szCs w:val="18"/>
              </w:rPr>
            </w:pPr>
            <w:r>
              <w:rPr>
                <w:sz w:val="18"/>
                <w:szCs w:val="18"/>
              </w:rPr>
              <w:t>1.00</w:t>
            </w:r>
          </w:p>
        </w:tc>
        <w:tc>
          <w:tcPr>
            <w:tcW w:w="424" w:type="pct"/>
            <w:tcBorders>
              <w:top w:val="nil"/>
              <w:left w:val="nil"/>
              <w:bottom w:val="single" w:color="auto" w:sz="4" w:space="0"/>
              <w:right w:val="single" w:color="auto" w:sz="4" w:space="0"/>
            </w:tcBorders>
            <w:shd w:val="clear" w:color="auto" w:fill="auto"/>
            <w:vAlign w:val="center"/>
          </w:tcPr>
          <w:p w14:paraId="0D176F37">
            <w:pPr>
              <w:jc w:val="center"/>
              <w:rPr>
                <w:sz w:val="18"/>
                <w:szCs w:val="18"/>
              </w:rPr>
            </w:pPr>
            <w:r>
              <w:rPr>
                <w:sz w:val="18"/>
                <w:szCs w:val="18"/>
              </w:rPr>
              <w:t>/</w:t>
            </w:r>
          </w:p>
        </w:tc>
      </w:tr>
    </w:tbl>
    <w:p w14:paraId="501B2F05">
      <w:pPr>
        <w:spacing w:line="276" w:lineRule="auto"/>
        <w:jc w:val="center"/>
        <w:rPr>
          <w:rFonts w:eastAsia="仿宋" w:asciiTheme="majorBidi" w:hAnsiTheme="majorBidi" w:cstheme="majorBidi"/>
          <w:b/>
          <w:sz w:val="28"/>
          <w:szCs w:val="28"/>
        </w:rPr>
      </w:pPr>
    </w:p>
    <w:p w14:paraId="379B52E1">
      <w:pPr>
        <w:spacing w:line="276" w:lineRule="auto"/>
        <w:jc w:val="center"/>
        <w:rPr>
          <w:b/>
          <w:sz w:val="20"/>
          <w:szCs w:val="20"/>
        </w:rPr>
      </w:pPr>
      <w:r>
        <w:rPr>
          <w:b/>
          <w:sz w:val="20"/>
          <w:szCs w:val="20"/>
        </w:rPr>
        <w:t>表D.0.11-5 土钉和土</w:t>
      </w:r>
      <w:r>
        <w:rPr>
          <w:rFonts w:ascii="宋体" w:hAnsi="宋体" w:cstheme="majorBidi"/>
          <w:b/>
          <w:sz w:val="20"/>
          <w:szCs w:val="20"/>
        </w:rPr>
        <w:t>钉墙碳排放量</w:t>
      </w:r>
      <w:r>
        <w:rPr>
          <w:rFonts w:hint="eastAsia" w:ascii="宋体" w:hAnsi="宋体" w:cstheme="majorBidi"/>
          <w:b/>
          <w:sz w:val="20"/>
          <w:szCs w:val="20"/>
        </w:rPr>
        <w:t>计算用表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899"/>
        <w:gridCol w:w="2062"/>
        <w:gridCol w:w="2066"/>
        <w:gridCol w:w="1119"/>
        <w:gridCol w:w="1611"/>
        <w:gridCol w:w="845"/>
        <w:gridCol w:w="869"/>
      </w:tblGrid>
      <w:tr w14:paraId="4260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00A58775">
            <w:pPr>
              <w:spacing w:line="276" w:lineRule="auto"/>
              <w:jc w:val="center"/>
              <w:rPr>
                <w:sz w:val="18"/>
                <w:szCs w:val="18"/>
              </w:rPr>
            </w:pPr>
            <w:r>
              <w:rPr>
                <w:sz w:val="18"/>
                <w:szCs w:val="18"/>
              </w:rPr>
              <w:t>序号</w:t>
            </w:r>
          </w:p>
        </w:tc>
        <w:tc>
          <w:tcPr>
            <w:tcW w:w="446" w:type="pct"/>
            <w:tcBorders>
              <w:top w:val="single" w:color="auto" w:sz="4" w:space="0"/>
              <w:left w:val="single" w:color="auto" w:sz="4" w:space="0"/>
              <w:bottom w:val="single" w:color="auto" w:sz="4" w:space="0"/>
              <w:right w:val="single" w:color="auto" w:sz="4" w:space="0"/>
            </w:tcBorders>
            <w:vAlign w:val="center"/>
          </w:tcPr>
          <w:p w14:paraId="1F2D7D11">
            <w:pPr>
              <w:spacing w:line="276" w:lineRule="auto"/>
              <w:jc w:val="center"/>
              <w:rPr>
                <w:sz w:val="18"/>
                <w:szCs w:val="18"/>
              </w:rPr>
            </w:pPr>
            <w:r>
              <w:rPr>
                <w:sz w:val="18"/>
                <w:szCs w:val="18"/>
              </w:rPr>
              <w:t>定额编号</w:t>
            </w:r>
          </w:p>
        </w:tc>
        <w:tc>
          <w:tcPr>
            <w:tcW w:w="1023" w:type="pct"/>
            <w:tcBorders>
              <w:top w:val="single" w:color="auto" w:sz="4" w:space="0"/>
              <w:left w:val="single" w:color="auto" w:sz="4" w:space="0"/>
              <w:bottom w:val="single" w:color="auto" w:sz="4" w:space="0"/>
              <w:right w:val="single" w:color="auto" w:sz="4" w:space="0"/>
            </w:tcBorders>
            <w:vAlign w:val="center"/>
          </w:tcPr>
          <w:p w14:paraId="577A1DF4">
            <w:pPr>
              <w:spacing w:line="276" w:lineRule="auto"/>
              <w:jc w:val="center"/>
              <w:rPr>
                <w:sz w:val="18"/>
                <w:szCs w:val="18"/>
              </w:rPr>
            </w:pPr>
            <w:r>
              <w:rPr>
                <w:rFonts w:hint="eastAsia"/>
                <w:sz w:val="18"/>
                <w:szCs w:val="18"/>
              </w:rPr>
              <w:t>项目</w:t>
            </w:r>
          </w:p>
        </w:tc>
        <w:tc>
          <w:tcPr>
            <w:tcW w:w="1025" w:type="pct"/>
            <w:tcBorders>
              <w:top w:val="single" w:color="auto" w:sz="4" w:space="0"/>
              <w:left w:val="single" w:color="auto" w:sz="4" w:space="0"/>
              <w:bottom w:val="single" w:color="auto" w:sz="4" w:space="0"/>
              <w:right w:val="single" w:color="auto" w:sz="4" w:space="0"/>
            </w:tcBorders>
            <w:vAlign w:val="center"/>
          </w:tcPr>
          <w:p w14:paraId="0885D2D6">
            <w:pPr>
              <w:spacing w:line="276" w:lineRule="auto"/>
              <w:jc w:val="center"/>
              <w:rPr>
                <w:sz w:val="18"/>
                <w:szCs w:val="18"/>
              </w:rPr>
            </w:pPr>
            <w:r>
              <w:rPr>
                <w:sz w:val="18"/>
                <w:szCs w:val="18"/>
              </w:rPr>
              <w:t>特征</w:t>
            </w:r>
          </w:p>
        </w:tc>
        <w:tc>
          <w:tcPr>
            <w:tcW w:w="555" w:type="pct"/>
            <w:tcBorders>
              <w:top w:val="single" w:color="auto" w:sz="4" w:space="0"/>
              <w:left w:val="single" w:color="auto" w:sz="4" w:space="0"/>
              <w:bottom w:val="single" w:color="auto" w:sz="4" w:space="0"/>
              <w:right w:val="single" w:color="auto" w:sz="4" w:space="0"/>
            </w:tcBorders>
            <w:vAlign w:val="center"/>
          </w:tcPr>
          <w:p w14:paraId="40EF46BF">
            <w:pPr>
              <w:spacing w:line="276" w:lineRule="auto"/>
              <w:jc w:val="center"/>
              <w:rPr>
                <w:sz w:val="18"/>
                <w:szCs w:val="18"/>
              </w:rPr>
            </w:pPr>
            <w:r>
              <w:rPr>
                <w:sz w:val="18"/>
                <w:szCs w:val="18"/>
              </w:rPr>
              <w:t>单位工程量碳排放因子</w:t>
            </w:r>
          </w:p>
        </w:tc>
        <w:tc>
          <w:tcPr>
            <w:tcW w:w="799" w:type="pct"/>
            <w:tcBorders>
              <w:top w:val="single" w:color="auto" w:sz="4" w:space="0"/>
              <w:left w:val="single" w:color="auto" w:sz="4" w:space="0"/>
              <w:bottom w:val="single" w:color="auto" w:sz="4" w:space="0"/>
              <w:right w:val="single" w:color="auto" w:sz="4" w:space="0"/>
            </w:tcBorders>
            <w:vAlign w:val="center"/>
          </w:tcPr>
          <w:p w14:paraId="0D42A6D4">
            <w:pPr>
              <w:spacing w:line="276" w:lineRule="auto"/>
              <w:jc w:val="center"/>
              <w:rPr>
                <w:sz w:val="18"/>
                <w:szCs w:val="18"/>
              </w:rPr>
            </w:pPr>
            <w:r>
              <w:rPr>
                <w:sz w:val="18"/>
                <w:szCs w:val="18"/>
              </w:rPr>
              <w:t>单位</w:t>
            </w:r>
          </w:p>
        </w:tc>
        <w:tc>
          <w:tcPr>
            <w:tcW w:w="419" w:type="pct"/>
            <w:tcBorders>
              <w:top w:val="single" w:color="auto" w:sz="4" w:space="0"/>
              <w:left w:val="single" w:color="auto" w:sz="4" w:space="0"/>
              <w:bottom w:val="single" w:color="auto" w:sz="4" w:space="0"/>
              <w:right w:val="single" w:color="auto" w:sz="4" w:space="0"/>
            </w:tcBorders>
            <w:vAlign w:val="center"/>
          </w:tcPr>
          <w:p w14:paraId="05E9AD0D">
            <w:pPr>
              <w:spacing w:line="276" w:lineRule="auto"/>
              <w:jc w:val="center"/>
              <w:rPr>
                <w:sz w:val="18"/>
                <w:szCs w:val="18"/>
              </w:rPr>
            </w:pPr>
            <w:r>
              <w:rPr>
                <w:sz w:val="18"/>
                <w:szCs w:val="18"/>
              </w:rPr>
              <w:t>调整系数</w:t>
            </w:r>
          </w:p>
        </w:tc>
        <w:tc>
          <w:tcPr>
            <w:tcW w:w="431" w:type="pct"/>
            <w:tcBorders>
              <w:top w:val="single" w:color="auto" w:sz="4" w:space="0"/>
              <w:left w:val="single" w:color="auto" w:sz="4" w:space="0"/>
              <w:bottom w:val="single" w:color="auto" w:sz="4" w:space="0"/>
              <w:right w:val="single" w:color="auto" w:sz="4" w:space="0"/>
            </w:tcBorders>
            <w:vAlign w:val="center"/>
          </w:tcPr>
          <w:p w14:paraId="79FD40CE">
            <w:pPr>
              <w:spacing w:line="276" w:lineRule="auto"/>
              <w:jc w:val="center"/>
              <w:rPr>
                <w:sz w:val="18"/>
                <w:szCs w:val="18"/>
              </w:rPr>
            </w:pPr>
            <w:r>
              <w:rPr>
                <w:sz w:val="18"/>
                <w:szCs w:val="18"/>
              </w:rPr>
              <w:t>备注</w:t>
            </w:r>
          </w:p>
        </w:tc>
      </w:tr>
      <w:tr w14:paraId="1521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4BFA4727">
            <w:pPr>
              <w:spacing w:line="276" w:lineRule="auto"/>
              <w:jc w:val="center"/>
              <w:rPr>
                <w:sz w:val="18"/>
                <w:szCs w:val="18"/>
              </w:rPr>
            </w:pPr>
            <w:r>
              <w:rPr>
                <w:sz w:val="18"/>
                <w:szCs w:val="18"/>
              </w:rPr>
              <w:t>1</w:t>
            </w:r>
          </w:p>
        </w:tc>
        <w:tc>
          <w:tcPr>
            <w:tcW w:w="446" w:type="pct"/>
            <w:tcBorders>
              <w:top w:val="single" w:color="auto" w:sz="4" w:space="0"/>
              <w:left w:val="single" w:color="auto" w:sz="4" w:space="0"/>
              <w:bottom w:val="single" w:color="auto" w:sz="4" w:space="0"/>
              <w:right w:val="single" w:color="auto" w:sz="4" w:space="0"/>
            </w:tcBorders>
            <w:vAlign w:val="center"/>
          </w:tcPr>
          <w:p w14:paraId="5D8FAF69">
            <w:pPr>
              <w:spacing w:line="276" w:lineRule="auto"/>
              <w:jc w:val="center"/>
              <w:rPr>
                <w:sz w:val="18"/>
                <w:szCs w:val="18"/>
              </w:rPr>
            </w:pPr>
            <w:r>
              <w:rPr>
                <w:sz w:val="18"/>
                <w:szCs w:val="18"/>
              </w:rPr>
              <w:t>1-2</w:t>
            </w:r>
          </w:p>
        </w:tc>
        <w:tc>
          <w:tcPr>
            <w:tcW w:w="1023" w:type="pct"/>
            <w:tcBorders>
              <w:top w:val="single" w:color="auto" w:sz="4" w:space="0"/>
              <w:left w:val="single" w:color="auto" w:sz="4" w:space="0"/>
              <w:bottom w:val="single" w:color="auto" w:sz="4" w:space="0"/>
              <w:right w:val="single" w:color="auto" w:sz="4" w:space="0"/>
            </w:tcBorders>
            <w:vAlign w:val="center"/>
          </w:tcPr>
          <w:p w14:paraId="4A455C4E">
            <w:pPr>
              <w:spacing w:line="276" w:lineRule="auto"/>
              <w:jc w:val="center"/>
              <w:rPr>
                <w:sz w:val="18"/>
                <w:szCs w:val="18"/>
              </w:rPr>
            </w:pPr>
            <w:r>
              <w:rPr>
                <w:sz w:val="18"/>
                <w:szCs w:val="18"/>
              </w:rPr>
              <w:t>平整土地</w:t>
            </w:r>
          </w:p>
        </w:tc>
        <w:tc>
          <w:tcPr>
            <w:tcW w:w="1025" w:type="pct"/>
            <w:tcBorders>
              <w:top w:val="single" w:color="auto" w:sz="4" w:space="0"/>
              <w:left w:val="single" w:color="auto" w:sz="4" w:space="0"/>
              <w:bottom w:val="single" w:color="auto" w:sz="4" w:space="0"/>
              <w:right w:val="single" w:color="auto" w:sz="4" w:space="0"/>
            </w:tcBorders>
            <w:vAlign w:val="center"/>
          </w:tcPr>
          <w:p w14:paraId="55AE34FC">
            <w:pPr>
              <w:spacing w:line="276" w:lineRule="auto"/>
              <w:jc w:val="center"/>
              <w:rPr>
                <w:sz w:val="18"/>
                <w:szCs w:val="18"/>
              </w:rPr>
            </w:pPr>
            <w:r>
              <w:rPr>
                <w:sz w:val="18"/>
                <w:szCs w:val="18"/>
              </w:rPr>
              <w:t>机械平整土地</w:t>
            </w:r>
          </w:p>
        </w:tc>
        <w:tc>
          <w:tcPr>
            <w:tcW w:w="555" w:type="pct"/>
            <w:tcBorders>
              <w:top w:val="single" w:color="auto" w:sz="4" w:space="0"/>
              <w:left w:val="single" w:color="auto" w:sz="4" w:space="0"/>
              <w:bottom w:val="single" w:color="auto" w:sz="4" w:space="0"/>
              <w:right w:val="single" w:color="auto" w:sz="4" w:space="0"/>
            </w:tcBorders>
            <w:vAlign w:val="center"/>
          </w:tcPr>
          <w:p w14:paraId="22C40BBC">
            <w:pPr>
              <w:spacing w:line="276" w:lineRule="auto"/>
              <w:jc w:val="center"/>
              <w:rPr>
                <w:sz w:val="18"/>
                <w:szCs w:val="18"/>
              </w:rPr>
            </w:pPr>
            <w:r>
              <w:rPr>
                <w:sz w:val="18"/>
                <w:szCs w:val="18"/>
              </w:rPr>
              <w:t>0.26</w:t>
            </w:r>
          </w:p>
        </w:tc>
        <w:tc>
          <w:tcPr>
            <w:tcW w:w="799" w:type="pct"/>
            <w:tcBorders>
              <w:top w:val="single" w:color="auto" w:sz="4" w:space="0"/>
              <w:left w:val="single" w:color="auto" w:sz="4" w:space="0"/>
              <w:bottom w:val="single" w:color="auto" w:sz="4" w:space="0"/>
              <w:right w:val="single" w:color="auto" w:sz="4" w:space="0"/>
            </w:tcBorders>
            <w:vAlign w:val="center"/>
          </w:tcPr>
          <w:p w14:paraId="6CA3D441">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19" w:type="pct"/>
            <w:tcBorders>
              <w:top w:val="single" w:color="auto" w:sz="4" w:space="0"/>
              <w:left w:val="single" w:color="auto" w:sz="4" w:space="0"/>
              <w:bottom w:val="single" w:color="auto" w:sz="4" w:space="0"/>
              <w:right w:val="single" w:color="auto" w:sz="4" w:space="0"/>
            </w:tcBorders>
            <w:vAlign w:val="center"/>
          </w:tcPr>
          <w:p w14:paraId="1BE9C3EB">
            <w:pPr>
              <w:spacing w:line="276" w:lineRule="auto"/>
              <w:jc w:val="center"/>
              <w:rPr>
                <w:sz w:val="18"/>
                <w:szCs w:val="18"/>
              </w:rPr>
            </w:pPr>
            <w:r>
              <w:rPr>
                <w:sz w:val="18"/>
                <w:szCs w:val="18"/>
              </w:rPr>
              <w:t>1</w:t>
            </w:r>
            <w:r>
              <w:rPr>
                <w:rFonts w:hint="eastAsia"/>
                <w:sz w:val="18"/>
                <w:szCs w:val="18"/>
              </w:rPr>
              <w:t>.</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3992E683">
            <w:pPr>
              <w:spacing w:line="276" w:lineRule="auto"/>
              <w:jc w:val="center"/>
              <w:rPr>
                <w:sz w:val="18"/>
                <w:szCs w:val="18"/>
              </w:rPr>
            </w:pPr>
          </w:p>
        </w:tc>
      </w:tr>
      <w:tr w14:paraId="1514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6C04551F">
            <w:pPr>
              <w:spacing w:line="276" w:lineRule="auto"/>
              <w:jc w:val="center"/>
              <w:rPr>
                <w:sz w:val="18"/>
                <w:szCs w:val="18"/>
              </w:rPr>
            </w:pPr>
            <w:r>
              <w:rPr>
                <w:rFonts w:hint="eastAsia"/>
                <w:sz w:val="18"/>
                <w:szCs w:val="18"/>
              </w:rPr>
              <w:t>2</w:t>
            </w:r>
          </w:p>
        </w:tc>
        <w:tc>
          <w:tcPr>
            <w:tcW w:w="446" w:type="pct"/>
            <w:tcBorders>
              <w:top w:val="single" w:color="auto" w:sz="4" w:space="0"/>
              <w:left w:val="single" w:color="auto" w:sz="4" w:space="0"/>
              <w:bottom w:val="single" w:color="auto" w:sz="4" w:space="0"/>
              <w:right w:val="single" w:color="auto" w:sz="4" w:space="0"/>
            </w:tcBorders>
            <w:vAlign w:val="center"/>
          </w:tcPr>
          <w:p w14:paraId="154DA5B5">
            <w:pPr>
              <w:spacing w:line="276" w:lineRule="auto"/>
              <w:jc w:val="center"/>
              <w:rPr>
                <w:sz w:val="18"/>
                <w:szCs w:val="18"/>
              </w:rPr>
            </w:pPr>
            <w:r>
              <w:rPr>
                <w:sz w:val="18"/>
                <w:szCs w:val="18"/>
              </w:rPr>
              <w:t>2-16</w:t>
            </w:r>
          </w:p>
        </w:tc>
        <w:tc>
          <w:tcPr>
            <w:tcW w:w="1023" w:type="pct"/>
            <w:tcBorders>
              <w:top w:val="single" w:color="auto" w:sz="4" w:space="0"/>
              <w:left w:val="single" w:color="auto" w:sz="4" w:space="0"/>
              <w:bottom w:val="single" w:color="auto" w:sz="4" w:space="0"/>
              <w:right w:val="single" w:color="auto" w:sz="4" w:space="0"/>
            </w:tcBorders>
            <w:vAlign w:val="center"/>
          </w:tcPr>
          <w:p w14:paraId="5F616F60">
            <w:pPr>
              <w:spacing w:line="276" w:lineRule="auto"/>
              <w:jc w:val="center"/>
              <w:rPr>
                <w:sz w:val="18"/>
                <w:szCs w:val="18"/>
              </w:rPr>
            </w:pPr>
            <w:r>
              <w:rPr>
                <w:sz w:val="18"/>
                <w:szCs w:val="18"/>
              </w:rPr>
              <w:t>深层搅拌桩</w:t>
            </w:r>
          </w:p>
        </w:tc>
        <w:tc>
          <w:tcPr>
            <w:tcW w:w="1025" w:type="pct"/>
            <w:tcBorders>
              <w:top w:val="single" w:color="auto" w:sz="4" w:space="0"/>
              <w:left w:val="single" w:color="auto" w:sz="4" w:space="0"/>
              <w:bottom w:val="single" w:color="auto" w:sz="4" w:space="0"/>
              <w:right w:val="single" w:color="auto" w:sz="4" w:space="0"/>
            </w:tcBorders>
            <w:vAlign w:val="center"/>
          </w:tcPr>
          <w:p w14:paraId="52DC45C9">
            <w:pPr>
              <w:spacing w:line="276" w:lineRule="auto"/>
              <w:jc w:val="center"/>
              <w:rPr>
                <w:sz w:val="18"/>
                <w:szCs w:val="18"/>
              </w:rPr>
            </w:pPr>
            <w:r>
              <w:rPr>
                <w:rStyle w:val="103"/>
                <w:sz w:val="18"/>
                <w:szCs w:val="18"/>
              </w:rPr>
              <w:t>下钻</w:t>
            </w:r>
            <w:r>
              <w:rPr>
                <w:rStyle w:val="104"/>
                <w:sz w:val="18"/>
                <w:szCs w:val="18"/>
              </w:rPr>
              <w:t xml:space="preserve">、 </w:t>
            </w:r>
            <w:r>
              <w:rPr>
                <w:rStyle w:val="103"/>
                <w:sz w:val="18"/>
                <w:szCs w:val="18"/>
              </w:rPr>
              <w:t>水泥浆制作</w:t>
            </w:r>
            <w:r>
              <w:rPr>
                <w:rStyle w:val="104"/>
                <w:sz w:val="18"/>
                <w:szCs w:val="18"/>
              </w:rPr>
              <w:t xml:space="preserve">、 </w:t>
            </w:r>
            <w:r>
              <w:rPr>
                <w:rStyle w:val="103"/>
                <w:sz w:val="18"/>
                <w:szCs w:val="18"/>
              </w:rPr>
              <w:t>喷浆搅拌提升成桩</w:t>
            </w:r>
            <w:r>
              <w:rPr>
                <w:rStyle w:val="104"/>
                <w:sz w:val="18"/>
                <w:szCs w:val="18"/>
              </w:rPr>
              <w:t xml:space="preserve">、 </w:t>
            </w:r>
            <w:r>
              <w:rPr>
                <w:rStyle w:val="103"/>
                <w:sz w:val="18"/>
                <w:szCs w:val="18"/>
              </w:rPr>
              <w:t>材料运输等</w:t>
            </w:r>
            <w:r>
              <w:rPr>
                <w:rStyle w:val="104"/>
                <w:sz w:val="18"/>
                <w:szCs w:val="18"/>
              </w:rPr>
              <w:t>。</w:t>
            </w:r>
          </w:p>
        </w:tc>
        <w:tc>
          <w:tcPr>
            <w:tcW w:w="555" w:type="pct"/>
            <w:tcBorders>
              <w:top w:val="single" w:color="auto" w:sz="4" w:space="0"/>
              <w:left w:val="single" w:color="auto" w:sz="4" w:space="0"/>
              <w:bottom w:val="single" w:color="auto" w:sz="4" w:space="0"/>
              <w:right w:val="single" w:color="auto" w:sz="4" w:space="0"/>
            </w:tcBorders>
            <w:vAlign w:val="center"/>
          </w:tcPr>
          <w:p w14:paraId="2B52B20F">
            <w:pPr>
              <w:spacing w:line="276" w:lineRule="auto"/>
              <w:jc w:val="center"/>
              <w:rPr>
                <w:sz w:val="18"/>
                <w:szCs w:val="18"/>
              </w:rPr>
            </w:pPr>
            <w:r>
              <w:rPr>
                <w:sz w:val="18"/>
                <w:szCs w:val="18"/>
              </w:rPr>
              <w:t>253.15</w:t>
            </w:r>
          </w:p>
        </w:tc>
        <w:tc>
          <w:tcPr>
            <w:tcW w:w="799" w:type="pct"/>
            <w:tcBorders>
              <w:top w:val="single" w:color="auto" w:sz="4" w:space="0"/>
              <w:left w:val="single" w:color="auto" w:sz="4" w:space="0"/>
              <w:bottom w:val="single" w:color="auto" w:sz="4" w:space="0"/>
              <w:right w:val="single" w:color="auto" w:sz="4" w:space="0"/>
            </w:tcBorders>
            <w:vAlign w:val="center"/>
          </w:tcPr>
          <w:p w14:paraId="56EC71AD">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419" w:type="pct"/>
            <w:tcBorders>
              <w:top w:val="single" w:color="auto" w:sz="4" w:space="0"/>
              <w:left w:val="single" w:color="auto" w:sz="4" w:space="0"/>
              <w:bottom w:val="single" w:color="auto" w:sz="4" w:space="0"/>
              <w:right w:val="single" w:color="auto" w:sz="4" w:space="0"/>
            </w:tcBorders>
            <w:vAlign w:val="center"/>
          </w:tcPr>
          <w:p w14:paraId="227849B2">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0CE925E3">
            <w:pPr>
              <w:spacing w:line="276" w:lineRule="auto"/>
              <w:jc w:val="center"/>
              <w:rPr>
                <w:sz w:val="18"/>
                <w:szCs w:val="18"/>
              </w:rPr>
            </w:pPr>
          </w:p>
        </w:tc>
      </w:tr>
      <w:tr w14:paraId="331E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73DDA51A">
            <w:pPr>
              <w:spacing w:line="276" w:lineRule="auto"/>
              <w:jc w:val="center"/>
              <w:rPr>
                <w:sz w:val="18"/>
                <w:szCs w:val="18"/>
              </w:rPr>
            </w:pPr>
            <w:r>
              <w:rPr>
                <w:rFonts w:hint="eastAsia"/>
                <w:sz w:val="18"/>
                <w:szCs w:val="18"/>
              </w:rPr>
              <w:t>3</w:t>
            </w:r>
          </w:p>
        </w:tc>
        <w:tc>
          <w:tcPr>
            <w:tcW w:w="446" w:type="pct"/>
            <w:tcBorders>
              <w:top w:val="single" w:color="auto" w:sz="4" w:space="0"/>
              <w:left w:val="single" w:color="auto" w:sz="4" w:space="0"/>
              <w:bottom w:val="single" w:color="auto" w:sz="4" w:space="0"/>
              <w:right w:val="single" w:color="auto" w:sz="4" w:space="0"/>
            </w:tcBorders>
            <w:vAlign w:val="center"/>
          </w:tcPr>
          <w:p w14:paraId="4568EBFE">
            <w:pPr>
              <w:spacing w:line="276" w:lineRule="auto"/>
              <w:jc w:val="center"/>
              <w:rPr>
                <w:sz w:val="18"/>
                <w:szCs w:val="18"/>
              </w:rPr>
            </w:pPr>
            <w:r>
              <w:rPr>
                <w:sz w:val="18"/>
                <w:szCs w:val="18"/>
              </w:rPr>
              <w:t>2-19</w:t>
            </w:r>
          </w:p>
        </w:tc>
        <w:tc>
          <w:tcPr>
            <w:tcW w:w="1023" w:type="pct"/>
            <w:tcBorders>
              <w:top w:val="single" w:color="auto" w:sz="4" w:space="0"/>
              <w:left w:val="single" w:color="auto" w:sz="4" w:space="0"/>
              <w:bottom w:val="single" w:color="auto" w:sz="4" w:space="0"/>
              <w:right w:val="single" w:color="auto" w:sz="4" w:space="0"/>
            </w:tcBorders>
            <w:vAlign w:val="center"/>
          </w:tcPr>
          <w:p w14:paraId="0373B534">
            <w:pPr>
              <w:spacing w:line="276" w:lineRule="auto"/>
              <w:jc w:val="center"/>
              <w:rPr>
                <w:sz w:val="18"/>
                <w:szCs w:val="18"/>
              </w:rPr>
            </w:pPr>
            <w:r>
              <w:rPr>
                <w:sz w:val="18"/>
                <w:szCs w:val="18"/>
              </w:rPr>
              <w:t>高压喷射混凝土桩（定喷）</w:t>
            </w:r>
          </w:p>
        </w:tc>
        <w:tc>
          <w:tcPr>
            <w:tcW w:w="1025" w:type="pct"/>
            <w:tcBorders>
              <w:top w:val="single" w:color="auto" w:sz="4" w:space="0"/>
              <w:left w:val="single" w:color="auto" w:sz="4" w:space="0"/>
              <w:bottom w:val="single" w:color="auto" w:sz="4" w:space="0"/>
              <w:right w:val="single" w:color="auto" w:sz="4" w:space="0"/>
            </w:tcBorders>
            <w:vAlign w:val="center"/>
          </w:tcPr>
          <w:p w14:paraId="797C87DA">
            <w:pPr>
              <w:spacing w:line="276" w:lineRule="auto"/>
              <w:jc w:val="center"/>
              <w:rPr>
                <w:sz w:val="18"/>
                <w:szCs w:val="18"/>
              </w:rPr>
            </w:pPr>
            <w:r>
              <w:rPr>
                <w:rStyle w:val="103"/>
                <w:sz w:val="18"/>
                <w:szCs w:val="18"/>
              </w:rPr>
              <w:t>钻孔</w:t>
            </w:r>
            <w:r>
              <w:rPr>
                <w:rStyle w:val="104"/>
                <w:sz w:val="18"/>
                <w:szCs w:val="18"/>
              </w:rPr>
              <w:t xml:space="preserve">、 </w:t>
            </w:r>
            <w:r>
              <w:rPr>
                <w:rStyle w:val="103"/>
                <w:sz w:val="18"/>
                <w:szCs w:val="18"/>
              </w:rPr>
              <w:t>水泥浆制作</w:t>
            </w:r>
            <w:r>
              <w:rPr>
                <w:rStyle w:val="104"/>
                <w:sz w:val="18"/>
                <w:szCs w:val="18"/>
              </w:rPr>
              <w:t xml:space="preserve">、 </w:t>
            </w:r>
            <w:r>
              <w:rPr>
                <w:rStyle w:val="103"/>
                <w:sz w:val="18"/>
                <w:szCs w:val="18"/>
              </w:rPr>
              <w:t>高压喷射注浆</w:t>
            </w:r>
            <w:r>
              <w:rPr>
                <w:rStyle w:val="104"/>
                <w:sz w:val="18"/>
                <w:szCs w:val="18"/>
              </w:rPr>
              <w:t xml:space="preserve">、 </w:t>
            </w:r>
            <w:r>
              <w:rPr>
                <w:rStyle w:val="103"/>
                <w:sz w:val="18"/>
                <w:szCs w:val="18"/>
              </w:rPr>
              <w:t>材料运输等</w:t>
            </w:r>
            <w:r>
              <w:rPr>
                <w:rStyle w:val="104"/>
                <w:sz w:val="18"/>
                <w:szCs w:val="18"/>
              </w:rPr>
              <w:t>。</w:t>
            </w:r>
          </w:p>
        </w:tc>
        <w:tc>
          <w:tcPr>
            <w:tcW w:w="555" w:type="pct"/>
            <w:tcBorders>
              <w:top w:val="single" w:color="auto" w:sz="4" w:space="0"/>
              <w:left w:val="single" w:color="auto" w:sz="4" w:space="0"/>
              <w:bottom w:val="single" w:color="auto" w:sz="4" w:space="0"/>
              <w:right w:val="single" w:color="auto" w:sz="4" w:space="0"/>
            </w:tcBorders>
            <w:vAlign w:val="center"/>
          </w:tcPr>
          <w:p w14:paraId="18382B25">
            <w:pPr>
              <w:spacing w:line="276" w:lineRule="auto"/>
              <w:jc w:val="center"/>
              <w:rPr>
                <w:sz w:val="18"/>
                <w:szCs w:val="18"/>
              </w:rPr>
            </w:pPr>
            <w:r>
              <w:rPr>
                <w:sz w:val="18"/>
                <w:szCs w:val="18"/>
              </w:rPr>
              <w:t>295.46</w:t>
            </w:r>
          </w:p>
        </w:tc>
        <w:tc>
          <w:tcPr>
            <w:tcW w:w="799" w:type="pct"/>
            <w:tcBorders>
              <w:top w:val="single" w:color="auto" w:sz="4" w:space="0"/>
              <w:left w:val="single" w:color="auto" w:sz="4" w:space="0"/>
              <w:bottom w:val="single" w:color="auto" w:sz="4" w:space="0"/>
              <w:right w:val="single" w:color="auto" w:sz="4" w:space="0"/>
            </w:tcBorders>
            <w:vAlign w:val="center"/>
          </w:tcPr>
          <w:p w14:paraId="43C825B7">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6EA431CC">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226A89AE">
            <w:pPr>
              <w:spacing w:line="276" w:lineRule="auto"/>
              <w:jc w:val="center"/>
              <w:rPr>
                <w:sz w:val="18"/>
                <w:szCs w:val="18"/>
              </w:rPr>
            </w:pPr>
          </w:p>
        </w:tc>
      </w:tr>
      <w:tr w14:paraId="21DA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1605AD96">
            <w:pPr>
              <w:spacing w:line="276" w:lineRule="auto"/>
              <w:jc w:val="center"/>
              <w:rPr>
                <w:sz w:val="18"/>
                <w:szCs w:val="18"/>
              </w:rPr>
            </w:pPr>
            <w:r>
              <w:rPr>
                <w:rFonts w:hint="eastAsia"/>
                <w:sz w:val="18"/>
                <w:szCs w:val="18"/>
              </w:rPr>
              <w:t>4</w:t>
            </w:r>
          </w:p>
        </w:tc>
        <w:tc>
          <w:tcPr>
            <w:tcW w:w="446" w:type="pct"/>
            <w:tcBorders>
              <w:top w:val="single" w:color="auto" w:sz="4" w:space="0"/>
              <w:left w:val="single" w:color="auto" w:sz="4" w:space="0"/>
              <w:bottom w:val="single" w:color="auto" w:sz="4" w:space="0"/>
              <w:right w:val="single" w:color="auto" w:sz="4" w:space="0"/>
            </w:tcBorders>
            <w:vAlign w:val="center"/>
          </w:tcPr>
          <w:p w14:paraId="46BDE0A6">
            <w:pPr>
              <w:spacing w:line="276" w:lineRule="auto"/>
              <w:jc w:val="center"/>
              <w:rPr>
                <w:sz w:val="18"/>
                <w:szCs w:val="18"/>
              </w:rPr>
            </w:pPr>
            <w:r>
              <w:rPr>
                <w:sz w:val="18"/>
                <w:szCs w:val="18"/>
              </w:rPr>
              <w:t>2-20</w:t>
            </w:r>
          </w:p>
        </w:tc>
        <w:tc>
          <w:tcPr>
            <w:tcW w:w="1023" w:type="pct"/>
            <w:tcBorders>
              <w:top w:val="single" w:color="auto" w:sz="4" w:space="0"/>
              <w:left w:val="single" w:color="auto" w:sz="4" w:space="0"/>
              <w:bottom w:val="single" w:color="auto" w:sz="4" w:space="0"/>
              <w:right w:val="single" w:color="auto" w:sz="4" w:space="0"/>
            </w:tcBorders>
            <w:vAlign w:val="center"/>
          </w:tcPr>
          <w:p w14:paraId="58817989">
            <w:pPr>
              <w:spacing w:line="276" w:lineRule="auto"/>
              <w:jc w:val="center"/>
              <w:rPr>
                <w:sz w:val="18"/>
                <w:szCs w:val="18"/>
              </w:rPr>
            </w:pPr>
            <w:r>
              <w:rPr>
                <w:sz w:val="18"/>
                <w:szCs w:val="18"/>
              </w:rPr>
              <w:t>高压喷射混凝土桩（摆喷）</w:t>
            </w:r>
          </w:p>
        </w:tc>
        <w:tc>
          <w:tcPr>
            <w:tcW w:w="1025" w:type="pct"/>
            <w:tcBorders>
              <w:top w:val="single" w:color="auto" w:sz="4" w:space="0"/>
              <w:left w:val="single" w:color="auto" w:sz="4" w:space="0"/>
              <w:bottom w:val="single" w:color="auto" w:sz="4" w:space="0"/>
              <w:right w:val="single" w:color="auto" w:sz="4" w:space="0"/>
            </w:tcBorders>
            <w:vAlign w:val="center"/>
          </w:tcPr>
          <w:p w14:paraId="5CAD95E6">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56DECFD9">
            <w:pPr>
              <w:spacing w:line="276" w:lineRule="auto"/>
              <w:jc w:val="center"/>
              <w:rPr>
                <w:sz w:val="18"/>
                <w:szCs w:val="18"/>
              </w:rPr>
            </w:pPr>
            <w:r>
              <w:rPr>
                <w:sz w:val="18"/>
                <w:szCs w:val="18"/>
              </w:rPr>
              <w:t>350.29</w:t>
            </w:r>
          </w:p>
        </w:tc>
        <w:tc>
          <w:tcPr>
            <w:tcW w:w="799" w:type="pct"/>
            <w:tcBorders>
              <w:top w:val="single" w:color="auto" w:sz="4" w:space="0"/>
              <w:left w:val="single" w:color="auto" w:sz="4" w:space="0"/>
              <w:bottom w:val="single" w:color="auto" w:sz="4" w:space="0"/>
              <w:right w:val="single" w:color="auto" w:sz="4" w:space="0"/>
            </w:tcBorders>
            <w:vAlign w:val="center"/>
          </w:tcPr>
          <w:p w14:paraId="79C305BD">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5828AB8D">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2F4D2B51">
            <w:pPr>
              <w:spacing w:line="276" w:lineRule="auto"/>
              <w:jc w:val="center"/>
              <w:rPr>
                <w:sz w:val="18"/>
                <w:szCs w:val="18"/>
              </w:rPr>
            </w:pPr>
          </w:p>
        </w:tc>
      </w:tr>
      <w:tr w14:paraId="2F04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71E26657">
            <w:pPr>
              <w:spacing w:line="276" w:lineRule="auto"/>
              <w:jc w:val="center"/>
              <w:rPr>
                <w:sz w:val="18"/>
                <w:szCs w:val="18"/>
              </w:rPr>
            </w:pPr>
            <w:r>
              <w:rPr>
                <w:rFonts w:hint="eastAsia"/>
                <w:sz w:val="18"/>
                <w:szCs w:val="18"/>
              </w:rPr>
              <w:t>5</w:t>
            </w:r>
          </w:p>
        </w:tc>
        <w:tc>
          <w:tcPr>
            <w:tcW w:w="446" w:type="pct"/>
            <w:tcBorders>
              <w:top w:val="single" w:color="auto" w:sz="4" w:space="0"/>
              <w:left w:val="single" w:color="auto" w:sz="4" w:space="0"/>
              <w:bottom w:val="single" w:color="auto" w:sz="4" w:space="0"/>
              <w:right w:val="single" w:color="auto" w:sz="4" w:space="0"/>
            </w:tcBorders>
            <w:vAlign w:val="center"/>
          </w:tcPr>
          <w:p w14:paraId="6B134E37">
            <w:pPr>
              <w:spacing w:line="276" w:lineRule="auto"/>
              <w:jc w:val="center"/>
              <w:rPr>
                <w:sz w:val="18"/>
                <w:szCs w:val="18"/>
              </w:rPr>
            </w:pPr>
            <w:r>
              <w:rPr>
                <w:sz w:val="18"/>
                <w:szCs w:val="18"/>
              </w:rPr>
              <w:t>2-21</w:t>
            </w:r>
          </w:p>
        </w:tc>
        <w:tc>
          <w:tcPr>
            <w:tcW w:w="1023" w:type="pct"/>
            <w:tcBorders>
              <w:top w:val="single" w:color="auto" w:sz="4" w:space="0"/>
              <w:left w:val="single" w:color="auto" w:sz="4" w:space="0"/>
              <w:bottom w:val="single" w:color="auto" w:sz="4" w:space="0"/>
              <w:right w:val="single" w:color="auto" w:sz="4" w:space="0"/>
            </w:tcBorders>
            <w:vAlign w:val="center"/>
          </w:tcPr>
          <w:p w14:paraId="7364811E">
            <w:pPr>
              <w:spacing w:line="276" w:lineRule="auto"/>
              <w:jc w:val="center"/>
              <w:rPr>
                <w:sz w:val="18"/>
                <w:szCs w:val="18"/>
              </w:rPr>
            </w:pPr>
            <w:r>
              <w:rPr>
                <w:sz w:val="18"/>
                <w:szCs w:val="18"/>
              </w:rPr>
              <w:t>高压喷射混凝土桩（钻孔）</w:t>
            </w:r>
          </w:p>
        </w:tc>
        <w:tc>
          <w:tcPr>
            <w:tcW w:w="1025" w:type="pct"/>
            <w:tcBorders>
              <w:top w:val="single" w:color="auto" w:sz="4" w:space="0"/>
              <w:left w:val="single" w:color="auto" w:sz="4" w:space="0"/>
              <w:bottom w:val="single" w:color="auto" w:sz="4" w:space="0"/>
              <w:right w:val="single" w:color="auto" w:sz="4" w:space="0"/>
            </w:tcBorders>
            <w:vAlign w:val="center"/>
          </w:tcPr>
          <w:p w14:paraId="205FB4FF">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39E69058">
            <w:pPr>
              <w:spacing w:line="276" w:lineRule="auto"/>
              <w:jc w:val="center"/>
              <w:rPr>
                <w:sz w:val="18"/>
                <w:szCs w:val="18"/>
              </w:rPr>
            </w:pPr>
            <w:r>
              <w:rPr>
                <w:sz w:val="18"/>
                <w:szCs w:val="18"/>
              </w:rPr>
              <w:t>18.58</w:t>
            </w:r>
          </w:p>
        </w:tc>
        <w:tc>
          <w:tcPr>
            <w:tcW w:w="799" w:type="pct"/>
            <w:tcBorders>
              <w:top w:val="single" w:color="auto" w:sz="4" w:space="0"/>
              <w:left w:val="single" w:color="auto" w:sz="4" w:space="0"/>
              <w:bottom w:val="single" w:color="auto" w:sz="4" w:space="0"/>
              <w:right w:val="single" w:color="auto" w:sz="4" w:space="0"/>
            </w:tcBorders>
            <w:vAlign w:val="center"/>
          </w:tcPr>
          <w:p w14:paraId="00C0BFB5">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7882E95E">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6B341CEA">
            <w:pPr>
              <w:spacing w:line="276" w:lineRule="auto"/>
              <w:jc w:val="center"/>
              <w:rPr>
                <w:sz w:val="18"/>
                <w:szCs w:val="18"/>
              </w:rPr>
            </w:pPr>
          </w:p>
        </w:tc>
      </w:tr>
      <w:tr w14:paraId="70F2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2B160C90">
            <w:pPr>
              <w:spacing w:line="276" w:lineRule="auto"/>
              <w:jc w:val="center"/>
              <w:rPr>
                <w:sz w:val="18"/>
                <w:szCs w:val="18"/>
              </w:rPr>
            </w:pPr>
            <w:r>
              <w:rPr>
                <w:rFonts w:hint="eastAsia"/>
                <w:sz w:val="18"/>
                <w:szCs w:val="18"/>
              </w:rPr>
              <w:t>6</w:t>
            </w:r>
          </w:p>
        </w:tc>
        <w:tc>
          <w:tcPr>
            <w:tcW w:w="446" w:type="pct"/>
            <w:tcBorders>
              <w:top w:val="single" w:color="auto" w:sz="4" w:space="0"/>
              <w:left w:val="single" w:color="auto" w:sz="4" w:space="0"/>
              <w:bottom w:val="single" w:color="auto" w:sz="4" w:space="0"/>
              <w:right w:val="single" w:color="auto" w:sz="4" w:space="0"/>
            </w:tcBorders>
            <w:vAlign w:val="center"/>
          </w:tcPr>
          <w:p w14:paraId="2B276B63">
            <w:pPr>
              <w:spacing w:line="276" w:lineRule="auto"/>
              <w:jc w:val="center"/>
              <w:rPr>
                <w:sz w:val="18"/>
                <w:szCs w:val="18"/>
              </w:rPr>
            </w:pPr>
            <w:r>
              <w:rPr>
                <w:sz w:val="18"/>
                <w:szCs w:val="18"/>
              </w:rPr>
              <w:t>2-22</w:t>
            </w:r>
          </w:p>
        </w:tc>
        <w:tc>
          <w:tcPr>
            <w:tcW w:w="1023" w:type="pct"/>
            <w:tcBorders>
              <w:top w:val="single" w:color="auto" w:sz="4" w:space="0"/>
              <w:left w:val="single" w:color="auto" w:sz="4" w:space="0"/>
              <w:bottom w:val="single" w:color="auto" w:sz="4" w:space="0"/>
              <w:right w:val="single" w:color="auto" w:sz="4" w:space="0"/>
            </w:tcBorders>
            <w:vAlign w:val="center"/>
          </w:tcPr>
          <w:p w14:paraId="3413C350">
            <w:pPr>
              <w:spacing w:line="276" w:lineRule="auto"/>
              <w:jc w:val="center"/>
              <w:rPr>
                <w:sz w:val="18"/>
                <w:szCs w:val="18"/>
              </w:rPr>
            </w:pPr>
            <w:r>
              <w:rPr>
                <w:sz w:val="18"/>
                <w:szCs w:val="18"/>
              </w:rPr>
              <w:t>旋喷桩（单重管）</w:t>
            </w:r>
          </w:p>
        </w:tc>
        <w:tc>
          <w:tcPr>
            <w:tcW w:w="1025" w:type="pct"/>
            <w:tcBorders>
              <w:top w:val="single" w:color="auto" w:sz="4" w:space="0"/>
              <w:left w:val="single" w:color="auto" w:sz="4" w:space="0"/>
              <w:bottom w:val="single" w:color="auto" w:sz="4" w:space="0"/>
              <w:right w:val="single" w:color="auto" w:sz="4" w:space="0"/>
            </w:tcBorders>
            <w:vAlign w:val="center"/>
          </w:tcPr>
          <w:p w14:paraId="48E2F3B2">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00864B30">
            <w:pPr>
              <w:spacing w:line="276" w:lineRule="auto"/>
              <w:jc w:val="center"/>
              <w:rPr>
                <w:sz w:val="18"/>
                <w:szCs w:val="18"/>
              </w:rPr>
            </w:pPr>
            <w:r>
              <w:rPr>
                <w:sz w:val="18"/>
                <w:szCs w:val="18"/>
              </w:rPr>
              <w:t>317.55</w:t>
            </w:r>
          </w:p>
        </w:tc>
        <w:tc>
          <w:tcPr>
            <w:tcW w:w="799" w:type="pct"/>
            <w:tcBorders>
              <w:top w:val="single" w:color="auto" w:sz="4" w:space="0"/>
              <w:left w:val="single" w:color="auto" w:sz="4" w:space="0"/>
              <w:bottom w:val="single" w:color="auto" w:sz="4" w:space="0"/>
              <w:right w:val="single" w:color="auto" w:sz="4" w:space="0"/>
            </w:tcBorders>
            <w:vAlign w:val="center"/>
          </w:tcPr>
          <w:p w14:paraId="3D9296E5">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7ABA69A6">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59CDAB20">
            <w:pPr>
              <w:spacing w:line="276" w:lineRule="auto"/>
              <w:jc w:val="center"/>
              <w:rPr>
                <w:sz w:val="18"/>
                <w:szCs w:val="18"/>
              </w:rPr>
            </w:pPr>
          </w:p>
        </w:tc>
      </w:tr>
      <w:tr w14:paraId="0475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26A68B3B">
            <w:pPr>
              <w:spacing w:line="276" w:lineRule="auto"/>
              <w:jc w:val="center"/>
              <w:rPr>
                <w:sz w:val="18"/>
                <w:szCs w:val="18"/>
              </w:rPr>
            </w:pPr>
            <w:r>
              <w:rPr>
                <w:rFonts w:hint="eastAsia"/>
                <w:sz w:val="18"/>
                <w:szCs w:val="18"/>
              </w:rPr>
              <w:t>7</w:t>
            </w:r>
          </w:p>
        </w:tc>
        <w:tc>
          <w:tcPr>
            <w:tcW w:w="446" w:type="pct"/>
            <w:tcBorders>
              <w:top w:val="single" w:color="auto" w:sz="4" w:space="0"/>
              <w:left w:val="single" w:color="auto" w:sz="4" w:space="0"/>
              <w:bottom w:val="single" w:color="auto" w:sz="4" w:space="0"/>
              <w:right w:val="single" w:color="auto" w:sz="4" w:space="0"/>
            </w:tcBorders>
            <w:vAlign w:val="center"/>
          </w:tcPr>
          <w:p w14:paraId="06EB37B7">
            <w:pPr>
              <w:spacing w:line="276" w:lineRule="auto"/>
              <w:jc w:val="center"/>
              <w:rPr>
                <w:sz w:val="18"/>
                <w:szCs w:val="18"/>
              </w:rPr>
            </w:pPr>
            <w:r>
              <w:rPr>
                <w:sz w:val="18"/>
                <w:szCs w:val="18"/>
              </w:rPr>
              <w:t>2-23</w:t>
            </w:r>
          </w:p>
        </w:tc>
        <w:tc>
          <w:tcPr>
            <w:tcW w:w="1023" w:type="pct"/>
            <w:tcBorders>
              <w:top w:val="single" w:color="auto" w:sz="4" w:space="0"/>
              <w:left w:val="single" w:color="auto" w:sz="4" w:space="0"/>
              <w:bottom w:val="single" w:color="auto" w:sz="4" w:space="0"/>
              <w:right w:val="single" w:color="auto" w:sz="4" w:space="0"/>
            </w:tcBorders>
            <w:vAlign w:val="center"/>
          </w:tcPr>
          <w:p w14:paraId="3CD2FEF4">
            <w:pPr>
              <w:spacing w:line="276" w:lineRule="auto"/>
              <w:jc w:val="center"/>
              <w:rPr>
                <w:sz w:val="18"/>
                <w:szCs w:val="18"/>
              </w:rPr>
            </w:pPr>
            <w:r>
              <w:rPr>
                <w:sz w:val="18"/>
                <w:szCs w:val="18"/>
              </w:rPr>
              <w:t>旋喷桩（双重管）</w:t>
            </w:r>
          </w:p>
        </w:tc>
        <w:tc>
          <w:tcPr>
            <w:tcW w:w="1025" w:type="pct"/>
            <w:tcBorders>
              <w:top w:val="single" w:color="auto" w:sz="4" w:space="0"/>
              <w:left w:val="single" w:color="auto" w:sz="4" w:space="0"/>
              <w:bottom w:val="single" w:color="auto" w:sz="4" w:space="0"/>
              <w:right w:val="single" w:color="auto" w:sz="4" w:space="0"/>
            </w:tcBorders>
            <w:vAlign w:val="center"/>
          </w:tcPr>
          <w:p w14:paraId="70C26C7A">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1672BDC2">
            <w:pPr>
              <w:spacing w:line="276" w:lineRule="auto"/>
              <w:jc w:val="center"/>
              <w:rPr>
                <w:sz w:val="18"/>
                <w:szCs w:val="18"/>
              </w:rPr>
            </w:pPr>
            <w:r>
              <w:rPr>
                <w:sz w:val="18"/>
                <w:szCs w:val="18"/>
              </w:rPr>
              <w:t>395.94</w:t>
            </w:r>
          </w:p>
        </w:tc>
        <w:tc>
          <w:tcPr>
            <w:tcW w:w="799" w:type="pct"/>
            <w:tcBorders>
              <w:top w:val="single" w:color="auto" w:sz="4" w:space="0"/>
              <w:left w:val="single" w:color="auto" w:sz="4" w:space="0"/>
              <w:bottom w:val="single" w:color="auto" w:sz="4" w:space="0"/>
              <w:right w:val="single" w:color="auto" w:sz="4" w:space="0"/>
            </w:tcBorders>
            <w:vAlign w:val="center"/>
          </w:tcPr>
          <w:p w14:paraId="53C53D4D">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63497F43">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59AAC38B">
            <w:pPr>
              <w:spacing w:line="276" w:lineRule="auto"/>
              <w:jc w:val="center"/>
              <w:rPr>
                <w:sz w:val="18"/>
                <w:szCs w:val="18"/>
              </w:rPr>
            </w:pPr>
          </w:p>
        </w:tc>
      </w:tr>
      <w:tr w14:paraId="6359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1BD3DC9C">
            <w:pPr>
              <w:spacing w:line="276" w:lineRule="auto"/>
              <w:jc w:val="center"/>
              <w:rPr>
                <w:sz w:val="18"/>
                <w:szCs w:val="18"/>
              </w:rPr>
            </w:pPr>
            <w:r>
              <w:rPr>
                <w:rFonts w:hint="eastAsia"/>
                <w:sz w:val="18"/>
                <w:szCs w:val="18"/>
              </w:rPr>
              <w:t>8</w:t>
            </w:r>
          </w:p>
        </w:tc>
        <w:tc>
          <w:tcPr>
            <w:tcW w:w="446" w:type="pct"/>
            <w:tcBorders>
              <w:top w:val="single" w:color="auto" w:sz="4" w:space="0"/>
              <w:left w:val="single" w:color="auto" w:sz="4" w:space="0"/>
              <w:bottom w:val="single" w:color="auto" w:sz="4" w:space="0"/>
              <w:right w:val="single" w:color="auto" w:sz="4" w:space="0"/>
            </w:tcBorders>
            <w:vAlign w:val="center"/>
          </w:tcPr>
          <w:p w14:paraId="4E57B774">
            <w:pPr>
              <w:spacing w:line="276" w:lineRule="auto"/>
              <w:jc w:val="center"/>
              <w:rPr>
                <w:sz w:val="18"/>
                <w:szCs w:val="18"/>
              </w:rPr>
            </w:pPr>
            <w:r>
              <w:rPr>
                <w:sz w:val="18"/>
                <w:szCs w:val="18"/>
              </w:rPr>
              <w:t>2-24</w:t>
            </w:r>
          </w:p>
        </w:tc>
        <w:tc>
          <w:tcPr>
            <w:tcW w:w="1023" w:type="pct"/>
            <w:tcBorders>
              <w:top w:val="single" w:color="auto" w:sz="4" w:space="0"/>
              <w:left w:val="single" w:color="auto" w:sz="4" w:space="0"/>
              <w:bottom w:val="single" w:color="auto" w:sz="4" w:space="0"/>
              <w:right w:val="single" w:color="auto" w:sz="4" w:space="0"/>
            </w:tcBorders>
            <w:vAlign w:val="center"/>
          </w:tcPr>
          <w:p w14:paraId="3CDCD21F">
            <w:pPr>
              <w:spacing w:line="276" w:lineRule="auto"/>
              <w:jc w:val="center"/>
              <w:rPr>
                <w:sz w:val="18"/>
                <w:szCs w:val="18"/>
              </w:rPr>
            </w:pPr>
            <w:r>
              <w:rPr>
                <w:sz w:val="18"/>
                <w:szCs w:val="18"/>
              </w:rPr>
              <w:t>旋喷桩（三重管）</w:t>
            </w:r>
          </w:p>
        </w:tc>
        <w:tc>
          <w:tcPr>
            <w:tcW w:w="1025" w:type="pct"/>
            <w:tcBorders>
              <w:top w:val="single" w:color="auto" w:sz="4" w:space="0"/>
              <w:left w:val="single" w:color="auto" w:sz="4" w:space="0"/>
              <w:bottom w:val="single" w:color="auto" w:sz="4" w:space="0"/>
              <w:right w:val="single" w:color="auto" w:sz="4" w:space="0"/>
            </w:tcBorders>
            <w:vAlign w:val="center"/>
          </w:tcPr>
          <w:p w14:paraId="66FF4788">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65197DC4">
            <w:pPr>
              <w:spacing w:line="276" w:lineRule="auto"/>
              <w:jc w:val="center"/>
              <w:rPr>
                <w:sz w:val="18"/>
                <w:szCs w:val="18"/>
              </w:rPr>
            </w:pPr>
            <w:r>
              <w:rPr>
                <w:sz w:val="18"/>
                <w:szCs w:val="18"/>
              </w:rPr>
              <w:t>515.23</w:t>
            </w:r>
          </w:p>
        </w:tc>
        <w:tc>
          <w:tcPr>
            <w:tcW w:w="799" w:type="pct"/>
            <w:tcBorders>
              <w:top w:val="single" w:color="auto" w:sz="4" w:space="0"/>
              <w:left w:val="single" w:color="auto" w:sz="4" w:space="0"/>
              <w:bottom w:val="single" w:color="auto" w:sz="4" w:space="0"/>
              <w:right w:val="single" w:color="auto" w:sz="4" w:space="0"/>
            </w:tcBorders>
            <w:vAlign w:val="center"/>
          </w:tcPr>
          <w:p w14:paraId="0E0EA283">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68C514DF">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343E5D4E">
            <w:pPr>
              <w:spacing w:line="276" w:lineRule="auto"/>
              <w:jc w:val="center"/>
              <w:rPr>
                <w:sz w:val="18"/>
                <w:szCs w:val="18"/>
              </w:rPr>
            </w:pPr>
          </w:p>
        </w:tc>
      </w:tr>
      <w:tr w14:paraId="7818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2B05DF30">
            <w:pPr>
              <w:spacing w:line="276" w:lineRule="auto"/>
              <w:jc w:val="center"/>
              <w:rPr>
                <w:sz w:val="18"/>
                <w:szCs w:val="18"/>
              </w:rPr>
            </w:pPr>
            <w:r>
              <w:rPr>
                <w:rFonts w:hint="eastAsia"/>
                <w:sz w:val="18"/>
                <w:szCs w:val="18"/>
              </w:rPr>
              <w:t>9</w:t>
            </w:r>
          </w:p>
        </w:tc>
        <w:tc>
          <w:tcPr>
            <w:tcW w:w="446" w:type="pct"/>
            <w:tcBorders>
              <w:top w:val="single" w:color="auto" w:sz="4" w:space="0"/>
              <w:left w:val="single" w:color="auto" w:sz="4" w:space="0"/>
              <w:bottom w:val="single" w:color="auto" w:sz="4" w:space="0"/>
              <w:right w:val="single" w:color="auto" w:sz="4" w:space="0"/>
            </w:tcBorders>
            <w:vAlign w:val="center"/>
          </w:tcPr>
          <w:p w14:paraId="4E72EAF2">
            <w:pPr>
              <w:spacing w:line="276" w:lineRule="auto"/>
              <w:jc w:val="center"/>
              <w:rPr>
                <w:sz w:val="18"/>
                <w:szCs w:val="18"/>
              </w:rPr>
            </w:pPr>
            <w:r>
              <w:rPr>
                <w:sz w:val="18"/>
                <w:szCs w:val="18"/>
              </w:rPr>
              <w:t>2-25</w:t>
            </w:r>
          </w:p>
        </w:tc>
        <w:tc>
          <w:tcPr>
            <w:tcW w:w="1023" w:type="pct"/>
            <w:tcBorders>
              <w:top w:val="single" w:color="auto" w:sz="4" w:space="0"/>
              <w:left w:val="single" w:color="auto" w:sz="4" w:space="0"/>
              <w:bottom w:val="single" w:color="auto" w:sz="4" w:space="0"/>
              <w:right w:val="single" w:color="auto" w:sz="4" w:space="0"/>
            </w:tcBorders>
            <w:vAlign w:val="center"/>
          </w:tcPr>
          <w:p w14:paraId="752CBE38">
            <w:pPr>
              <w:spacing w:line="276" w:lineRule="auto"/>
              <w:jc w:val="center"/>
              <w:rPr>
                <w:sz w:val="18"/>
                <w:szCs w:val="18"/>
              </w:rPr>
            </w:pPr>
            <w:r>
              <w:rPr>
                <w:sz w:val="18"/>
                <w:szCs w:val="18"/>
              </w:rPr>
              <w:t>旋喷桩（钻孔）</w:t>
            </w:r>
          </w:p>
        </w:tc>
        <w:tc>
          <w:tcPr>
            <w:tcW w:w="1025" w:type="pct"/>
            <w:tcBorders>
              <w:top w:val="single" w:color="auto" w:sz="4" w:space="0"/>
              <w:left w:val="single" w:color="auto" w:sz="4" w:space="0"/>
              <w:bottom w:val="single" w:color="auto" w:sz="4" w:space="0"/>
              <w:right w:val="single" w:color="auto" w:sz="4" w:space="0"/>
            </w:tcBorders>
            <w:vAlign w:val="center"/>
          </w:tcPr>
          <w:p w14:paraId="6F0FE207">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67EF86E3">
            <w:pPr>
              <w:spacing w:line="276" w:lineRule="auto"/>
              <w:jc w:val="center"/>
              <w:rPr>
                <w:sz w:val="18"/>
                <w:szCs w:val="18"/>
              </w:rPr>
            </w:pPr>
            <w:r>
              <w:rPr>
                <w:sz w:val="18"/>
                <w:szCs w:val="18"/>
              </w:rPr>
              <w:t>19.19</w:t>
            </w:r>
          </w:p>
        </w:tc>
        <w:tc>
          <w:tcPr>
            <w:tcW w:w="799" w:type="pct"/>
            <w:tcBorders>
              <w:top w:val="single" w:color="auto" w:sz="4" w:space="0"/>
              <w:left w:val="single" w:color="auto" w:sz="4" w:space="0"/>
              <w:bottom w:val="single" w:color="auto" w:sz="4" w:space="0"/>
              <w:right w:val="single" w:color="auto" w:sz="4" w:space="0"/>
            </w:tcBorders>
            <w:vAlign w:val="center"/>
          </w:tcPr>
          <w:p w14:paraId="03E0CF85">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0898B8FD">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3E1E67E9">
            <w:pPr>
              <w:spacing w:line="276" w:lineRule="auto"/>
              <w:jc w:val="center"/>
              <w:rPr>
                <w:sz w:val="18"/>
                <w:szCs w:val="18"/>
              </w:rPr>
            </w:pPr>
          </w:p>
        </w:tc>
      </w:tr>
      <w:tr w14:paraId="6D6A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105E4AB7">
            <w:pPr>
              <w:spacing w:line="276" w:lineRule="auto"/>
              <w:jc w:val="center"/>
              <w:rPr>
                <w:sz w:val="18"/>
                <w:szCs w:val="18"/>
              </w:rPr>
            </w:pPr>
            <w:r>
              <w:rPr>
                <w:rFonts w:hint="eastAsia"/>
                <w:sz w:val="18"/>
                <w:szCs w:val="18"/>
              </w:rPr>
              <w:t>1</w:t>
            </w:r>
            <w:r>
              <w:rPr>
                <w:sz w:val="18"/>
                <w:szCs w:val="18"/>
              </w:rPr>
              <w:t>0</w:t>
            </w:r>
          </w:p>
        </w:tc>
        <w:tc>
          <w:tcPr>
            <w:tcW w:w="446" w:type="pct"/>
            <w:tcBorders>
              <w:top w:val="single" w:color="auto" w:sz="4" w:space="0"/>
              <w:left w:val="single" w:color="auto" w:sz="4" w:space="0"/>
              <w:bottom w:val="single" w:color="auto" w:sz="4" w:space="0"/>
              <w:right w:val="single" w:color="auto" w:sz="4" w:space="0"/>
            </w:tcBorders>
            <w:vAlign w:val="center"/>
          </w:tcPr>
          <w:p w14:paraId="77140907">
            <w:pPr>
              <w:spacing w:line="276" w:lineRule="auto"/>
              <w:jc w:val="center"/>
              <w:rPr>
                <w:sz w:val="18"/>
                <w:szCs w:val="18"/>
              </w:rPr>
            </w:pPr>
            <w:r>
              <w:rPr>
                <w:sz w:val="18"/>
                <w:szCs w:val="18"/>
              </w:rPr>
              <w:t>2-38</w:t>
            </w:r>
          </w:p>
        </w:tc>
        <w:tc>
          <w:tcPr>
            <w:tcW w:w="1023" w:type="pct"/>
            <w:tcBorders>
              <w:top w:val="single" w:color="auto" w:sz="4" w:space="0"/>
              <w:left w:val="single" w:color="auto" w:sz="4" w:space="0"/>
              <w:bottom w:val="single" w:color="auto" w:sz="4" w:space="0"/>
              <w:right w:val="single" w:color="auto" w:sz="4" w:space="0"/>
            </w:tcBorders>
            <w:vAlign w:val="center"/>
          </w:tcPr>
          <w:p w14:paraId="099CF765">
            <w:pPr>
              <w:spacing w:line="276" w:lineRule="auto"/>
              <w:jc w:val="center"/>
              <w:rPr>
                <w:sz w:val="18"/>
                <w:szCs w:val="18"/>
              </w:rPr>
            </w:pPr>
            <w:r>
              <w:rPr>
                <w:sz w:val="18"/>
                <w:szCs w:val="18"/>
              </w:rPr>
              <w:t>土层锚杆（锚杆钻机成孔-钢绞线）</w:t>
            </w:r>
          </w:p>
        </w:tc>
        <w:tc>
          <w:tcPr>
            <w:tcW w:w="1025" w:type="pct"/>
            <w:tcBorders>
              <w:top w:val="single" w:color="auto" w:sz="4" w:space="0"/>
              <w:left w:val="single" w:color="auto" w:sz="4" w:space="0"/>
              <w:bottom w:val="single" w:color="auto" w:sz="4" w:space="0"/>
              <w:right w:val="single" w:color="auto" w:sz="4" w:space="0"/>
            </w:tcBorders>
            <w:vAlign w:val="center"/>
          </w:tcPr>
          <w:p w14:paraId="63692E58">
            <w:pPr>
              <w:spacing w:line="276" w:lineRule="auto"/>
              <w:jc w:val="center"/>
              <w:rPr>
                <w:sz w:val="18"/>
                <w:szCs w:val="18"/>
              </w:rPr>
            </w:pPr>
            <w:r>
              <w:rPr>
                <w:sz w:val="18"/>
                <w:szCs w:val="18"/>
              </w:rPr>
              <w:t>1 .钻孔、浆液制作、运输、压浆。2.锚杆(锚索) 安装。3.锚头安装、张拉锚固等。</w:t>
            </w:r>
          </w:p>
        </w:tc>
        <w:tc>
          <w:tcPr>
            <w:tcW w:w="555" w:type="pct"/>
            <w:tcBorders>
              <w:top w:val="single" w:color="auto" w:sz="4" w:space="0"/>
              <w:left w:val="single" w:color="auto" w:sz="4" w:space="0"/>
              <w:bottom w:val="single" w:color="auto" w:sz="4" w:space="0"/>
              <w:right w:val="single" w:color="auto" w:sz="4" w:space="0"/>
            </w:tcBorders>
            <w:vAlign w:val="center"/>
          </w:tcPr>
          <w:p w14:paraId="6C297F5B">
            <w:pPr>
              <w:spacing w:line="276" w:lineRule="auto"/>
              <w:jc w:val="center"/>
              <w:rPr>
                <w:sz w:val="18"/>
                <w:szCs w:val="18"/>
              </w:rPr>
            </w:pPr>
            <w:r>
              <w:rPr>
                <w:sz w:val="18"/>
                <w:szCs w:val="18"/>
              </w:rPr>
              <w:t>56.57</w:t>
            </w:r>
          </w:p>
        </w:tc>
        <w:tc>
          <w:tcPr>
            <w:tcW w:w="799" w:type="pct"/>
            <w:tcBorders>
              <w:top w:val="single" w:color="auto" w:sz="4" w:space="0"/>
              <w:left w:val="single" w:color="auto" w:sz="4" w:space="0"/>
              <w:bottom w:val="single" w:color="auto" w:sz="4" w:space="0"/>
              <w:right w:val="single" w:color="auto" w:sz="4" w:space="0"/>
            </w:tcBorders>
            <w:vAlign w:val="center"/>
          </w:tcPr>
          <w:p w14:paraId="5697452F">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65E12A41">
            <w:pPr>
              <w:spacing w:line="276" w:lineRule="auto"/>
              <w:jc w:val="center"/>
              <w:rPr>
                <w:sz w:val="18"/>
                <w:szCs w:val="18"/>
              </w:rPr>
            </w:pPr>
            <w:r>
              <w:rPr>
                <w:rFonts w:hint="eastAsia"/>
                <w:sz w:val="18"/>
                <w:szCs w:val="18"/>
              </w:rPr>
              <w:t>1</w:t>
            </w:r>
            <w:r>
              <w:rPr>
                <w:sz w:val="18"/>
                <w:szCs w:val="18"/>
              </w:rPr>
              <w:t>.10</w:t>
            </w:r>
          </w:p>
        </w:tc>
        <w:tc>
          <w:tcPr>
            <w:tcW w:w="431" w:type="pct"/>
            <w:vMerge w:val="restart"/>
            <w:tcBorders>
              <w:top w:val="single" w:color="auto" w:sz="4" w:space="0"/>
              <w:left w:val="single" w:color="auto" w:sz="4" w:space="0"/>
              <w:right w:val="single" w:color="auto" w:sz="4" w:space="0"/>
            </w:tcBorders>
            <w:vAlign w:val="center"/>
          </w:tcPr>
          <w:p w14:paraId="39E9894D">
            <w:pPr>
              <w:spacing w:line="276" w:lineRule="auto"/>
              <w:jc w:val="center"/>
              <w:rPr>
                <w:sz w:val="18"/>
                <w:szCs w:val="18"/>
              </w:rPr>
            </w:pPr>
            <w:r>
              <w:rPr>
                <w:sz w:val="18"/>
                <w:szCs w:val="18"/>
              </w:rPr>
              <w:t>D≤150</w:t>
            </w:r>
          </w:p>
          <w:p w14:paraId="3B713962">
            <w:pPr>
              <w:spacing w:line="276" w:lineRule="auto"/>
              <w:jc w:val="center"/>
              <w:rPr>
                <w:sz w:val="18"/>
                <w:szCs w:val="18"/>
              </w:rPr>
            </w:pPr>
            <w:r>
              <w:rPr>
                <w:sz w:val="18"/>
                <w:szCs w:val="18"/>
              </w:rPr>
              <w:t>mm</w:t>
            </w:r>
          </w:p>
        </w:tc>
      </w:tr>
      <w:tr w14:paraId="394E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134169CA">
            <w:pPr>
              <w:spacing w:line="276" w:lineRule="auto"/>
              <w:jc w:val="center"/>
              <w:rPr>
                <w:sz w:val="18"/>
                <w:szCs w:val="18"/>
              </w:rPr>
            </w:pPr>
            <w:r>
              <w:rPr>
                <w:rFonts w:hint="eastAsia"/>
                <w:sz w:val="18"/>
                <w:szCs w:val="18"/>
              </w:rPr>
              <w:t>1</w:t>
            </w:r>
            <w:r>
              <w:rPr>
                <w:sz w:val="18"/>
                <w:szCs w:val="18"/>
              </w:rPr>
              <w:t>1</w:t>
            </w:r>
          </w:p>
        </w:tc>
        <w:tc>
          <w:tcPr>
            <w:tcW w:w="446" w:type="pct"/>
            <w:tcBorders>
              <w:top w:val="single" w:color="auto" w:sz="4" w:space="0"/>
              <w:left w:val="single" w:color="auto" w:sz="4" w:space="0"/>
              <w:bottom w:val="single" w:color="auto" w:sz="4" w:space="0"/>
              <w:right w:val="single" w:color="auto" w:sz="4" w:space="0"/>
            </w:tcBorders>
            <w:vAlign w:val="center"/>
          </w:tcPr>
          <w:p w14:paraId="56023641">
            <w:pPr>
              <w:spacing w:line="276" w:lineRule="auto"/>
              <w:jc w:val="center"/>
              <w:rPr>
                <w:sz w:val="18"/>
                <w:szCs w:val="18"/>
              </w:rPr>
            </w:pPr>
            <w:r>
              <w:rPr>
                <w:sz w:val="18"/>
                <w:szCs w:val="18"/>
              </w:rPr>
              <w:t>2-39</w:t>
            </w:r>
          </w:p>
        </w:tc>
        <w:tc>
          <w:tcPr>
            <w:tcW w:w="1023" w:type="pct"/>
            <w:tcBorders>
              <w:top w:val="single" w:color="auto" w:sz="4" w:space="0"/>
              <w:left w:val="single" w:color="auto" w:sz="4" w:space="0"/>
              <w:bottom w:val="single" w:color="auto" w:sz="4" w:space="0"/>
              <w:right w:val="single" w:color="auto" w:sz="4" w:space="0"/>
            </w:tcBorders>
            <w:vAlign w:val="center"/>
          </w:tcPr>
          <w:p w14:paraId="75DDE032">
            <w:pPr>
              <w:spacing w:line="276" w:lineRule="auto"/>
              <w:jc w:val="center"/>
              <w:rPr>
                <w:sz w:val="18"/>
                <w:szCs w:val="18"/>
              </w:rPr>
            </w:pPr>
            <w:r>
              <w:rPr>
                <w:sz w:val="18"/>
                <w:szCs w:val="18"/>
              </w:rPr>
              <w:t>土层锚杆（锚杆钻机成孔-钢筋）</w:t>
            </w:r>
          </w:p>
        </w:tc>
        <w:tc>
          <w:tcPr>
            <w:tcW w:w="1025" w:type="pct"/>
            <w:tcBorders>
              <w:top w:val="single" w:color="auto" w:sz="4" w:space="0"/>
              <w:left w:val="single" w:color="auto" w:sz="4" w:space="0"/>
              <w:bottom w:val="single" w:color="auto" w:sz="4" w:space="0"/>
              <w:right w:val="single" w:color="auto" w:sz="4" w:space="0"/>
            </w:tcBorders>
            <w:vAlign w:val="center"/>
          </w:tcPr>
          <w:p w14:paraId="24D44DDB">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3FE3198F">
            <w:pPr>
              <w:spacing w:line="276" w:lineRule="auto"/>
              <w:jc w:val="center"/>
              <w:rPr>
                <w:sz w:val="18"/>
                <w:szCs w:val="18"/>
              </w:rPr>
            </w:pPr>
            <w:r>
              <w:rPr>
                <w:sz w:val="18"/>
                <w:szCs w:val="18"/>
              </w:rPr>
              <w:t>78.79</w:t>
            </w:r>
          </w:p>
        </w:tc>
        <w:tc>
          <w:tcPr>
            <w:tcW w:w="799" w:type="pct"/>
            <w:tcBorders>
              <w:top w:val="single" w:color="auto" w:sz="4" w:space="0"/>
              <w:left w:val="single" w:color="auto" w:sz="4" w:space="0"/>
              <w:bottom w:val="single" w:color="auto" w:sz="4" w:space="0"/>
              <w:right w:val="single" w:color="auto" w:sz="4" w:space="0"/>
            </w:tcBorders>
            <w:vAlign w:val="center"/>
          </w:tcPr>
          <w:p w14:paraId="020479E7">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142990CC">
            <w:pPr>
              <w:spacing w:line="276" w:lineRule="auto"/>
              <w:jc w:val="center"/>
              <w:rPr>
                <w:sz w:val="18"/>
                <w:szCs w:val="18"/>
              </w:rPr>
            </w:pPr>
            <w:r>
              <w:rPr>
                <w:rFonts w:hint="eastAsia"/>
                <w:sz w:val="18"/>
                <w:szCs w:val="18"/>
              </w:rPr>
              <w:t>1</w:t>
            </w:r>
            <w:r>
              <w:rPr>
                <w:sz w:val="18"/>
                <w:szCs w:val="18"/>
              </w:rPr>
              <w:t>.08</w:t>
            </w:r>
          </w:p>
        </w:tc>
        <w:tc>
          <w:tcPr>
            <w:tcW w:w="431" w:type="pct"/>
            <w:vMerge w:val="continue"/>
            <w:tcBorders>
              <w:left w:val="single" w:color="auto" w:sz="4" w:space="0"/>
              <w:right w:val="single" w:color="auto" w:sz="4" w:space="0"/>
            </w:tcBorders>
            <w:vAlign w:val="center"/>
          </w:tcPr>
          <w:p w14:paraId="434A6318">
            <w:pPr>
              <w:spacing w:line="276" w:lineRule="auto"/>
              <w:jc w:val="center"/>
              <w:rPr>
                <w:sz w:val="18"/>
                <w:szCs w:val="18"/>
              </w:rPr>
            </w:pPr>
          </w:p>
        </w:tc>
      </w:tr>
      <w:tr w14:paraId="0227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272F45E8">
            <w:pPr>
              <w:spacing w:line="276" w:lineRule="auto"/>
              <w:jc w:val="center"/>
              <w:rPr>
                <w:sz w:val="18"/>
                <w:szCs w:val="18"/>
              </w:rPr>
            </w:pPr>
            <w:r>
              <w:rPr>
                <w:rFonts w:hint="eastAsia"/>
                <w:sz w:val="18"/>
                <w:szCs w:val="18"/>
              </w:rPr>
              <w:t>1</w:t>
            </w:r>
            <w:r>
              <w:rPr>
                <w:sz w:val="18"/>
                <w:szCs w:val="18"/>
              </w:rPr>
              <w:t>2</w:t>
            </w:r>
          </w:p>
        </w:tc>
        <w:tc>
          <w:tcPr>
            <w:tcW w:w="446" w:type="pct"/>
            <w:tcBorders>
              <w:top w:val="single" w:color="auto" w:sz="4" w:space="0"/>
              <w:left w:val="single" w:color="auto" w:sz="4" w:space="0"/>
              <w:bottom w:val="single" w:color="auto" w:sz="4" w:space="0"/>
              <w:right w:val="single" w:color="auto" w:sz="4" w:space="0"/>
            </w:tcBorders>
            <w:vAlign w:val="center"/>
          </w:tcPr>
          <w:p w14:paraId="1754B3F6">
            <w:pPr>
              <w:spacing w:line="276" w:lineRule="auto"/>
              <w:jc w:val="center"/>
              <w:rPr>
                <w:sz w:val="18"/>
                <w:szCs w:val="18"/>
              </w:rPr>
            </w:pPr>
            <w:r>
              <w:rPr>
                <w:sz w:val="18"/>
                <w:szCs w:val="18"/>
              </w:rPr>
              <w:t>2-40</w:t>
            </w:r>
          </w:p>
        </w:tc>
        <w:tc>
          <w:tcPr>
            <w:tcW w:w="1023" w:type="pct"/>
            <w:tcBorders>
              <w:top w:val="single" w:color="auto" w:sz="4" w:space="0"/>
              <w:left w:val="single" w:color="auto" w:sz="4" w:space="0"/>
              <w:bottom w:val="single" w:color="auto" w:sz="4" w:space="0"/>
              <w:right w:val="single" w:color="auto" w:sz="4" w:space="0"/>
            </w:tcBorders>
            <w:vAlign w:val="center"/>
          </w:tcPr>
          <w:p w14:paraId="7B33EA79">
            <w:pPr>
              <w:spacing w:line="276" w:lineRule="auto"/>
              <w:jc w:val="center"/>
              <w:rPr>
                <w:sz w:val="18"/>
                <w:szCs w:val="18"/>
              </w:rPr>
            </w:pPr>
            <w:r>
              <w:rPr>
                <w:sz w:val="18"/>
                <w:szCs w:val="18"/>
              </w:rPr>
              <w:t>土层锚杆（套管钻102机成孔-钢124绞线）356</w:t>
            </w:r>
          </w:p>
        </w:tc>
        <w:tc>
          <w:tcPr>
            <w:tcW w:w="1025" w:type="pct"/>
            <w:tcBorders>
              <w:top w:val="single" w:color="auto" w:sz="4" w:space="0"/>
              <w:left w:val="single" w:color="auto" w:sz="4" w:space="0"/>
              <w:bottom w:val="single" w:color="auto" w:sz="4" w:space="0"/>
              <w:right w:val="single" w:color="auto" w:sz="4" w:space="0"/>
            </w:tcBorders>
            <w:vAlign w:val="center"/>
          </w:tcPr>
          <w:p w14:paraId="0E60727F">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4826B777">
            <w:pPr>
              <w:spacing w:line="276" w:lineRule="auto"/>
              <w:jc w:val="center"/>
              <w:rPr>
                <w:sz w:val="18"/>
                <w:szCs w:val="18"/>
              </w:rPr>
            </w:pPr>
            <w:r>
              <w:rPr>
                <w:sz w:val="18"/>
                <w:szCs w:val="18"/>
              </w:rPr>
              <w:t>67.13</w:t>
            </w:r>
          </w:p>
        </w:tc>
        <w:tc>
          <w:tcPr>
            <w:tcW w:w="799" w:type="pct"/>
            <w:tcBorders>
              <w:top w:val="single" w:color="auto" w:sz="4" w:space="0"/>
              <w:left w:val="single" w:color="auto" w:sz="4" w:space="0"/>
              <w:bottom w:val="single" w:color="auto" w:sz="4" w:space="0"/>
              <w:right w:val="single" w:color="auto" w:sz="4" w:space="0"/>
            </w:tcBorders>
            <w:vAlign w:val="center"/>
          </w:tcPr>
          <w:p w14:paraId="63851E76">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31DBC6F7">
            <w:pPr>
              <w:spacing w:line="276" w:lineRule="auto"/>
              <w:jc w:val="center"/>
              <w:rPr>
                <w:sz w:val="18"/>
                <w:szCs w:val="18"/>
              </w:rPr>
            </w:pPr>
            <w:r>
              <w:rPr>
                <w:rFonts w:hint="eastAsia"/>
                <w:sz w:val="18"/>
                <w:szCs w:val="18"/>
              </w:rPr>
              <w:t>1</w:t>
            </w:r>
            <w:r>
              <w:rPr>
                <w:sz w:val="18"/>
                <w:szCs w:val="18"/>
              </w:rPr>
              <w:t>.05</w:t>
            </w:r>
          </w:p>
        </w:tc>
        <w:tc>
          <w:tcPr>
            <w:tcW w:w="431" w:type="pct"/>
            <w:vMerge w:val="continue"/>
            <w:tcBorders>
              <w:left w:val="single" w:color="auto" w:sz="4" w:space="0"/>
              <w:right w:val="single" w:color="auto" w:sz="4" w:space="0"/>
            </w:tcBorders>
            <w:vAlign w:val="center"/>
          </w:tcPr>
          <w:p w14:paraId="70DB5BE3">
            <w:pPr>
              <w:spacing w:line="276" w:lineRule="auto"/>
              <w:jc w:val="center"/>
              <w:rPr>
                <w:sz w:val="18"/>
                <w:szCs w:val="18"/>
              </w:rPr>
            </w:pPr>
          </w:p>
        </w:tc>
      </w:tr>
      <w:tr w14:paraId="056D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6347EB28">
            <w:pPr>
              <w:spacing w:line="276" w:lineRule="auto"/>
              <w:jc w:val="center"/>
              <w:rPr>
                <w:sz w:val="18"/>
                <w:szCs w:val="18"/>
              </w:rPr>
            </w:pPr>
            <w:r>
              <w:rPr>
                <w:rFonts w:hint="eastAsia"/>
                <w:sz w:val="18"/>
                <w:szCs w:val="18"/>
              </w:rPr>
              <w:t>1</w:t>
            </w:r>
            <w:r>
              <w:rPr>
                <w:sz w:val="18"/>
                <w:szCs w:val="18"/>
              </w:rPr>
              <w:t>3</w:t>
            </w:r>
          </w:p>
        </w:tc>
        <w:tc>
          <w:tcPr>
            <w:tcW w:w="446" w:type="pct"/>
            <w:tcBorders>
              <w:top w:val="single" w:color="auto" w:sz="4" w:space="0"/>
              <w:left w:val="single" w:color="auto" w:sz="4" w:space="0"/>
              <w:bottom w:val="single" w:color="auto" w:sz="4" w:space="0"/>
              <w:right w:val="single" w:color="auto" w:sz="4" w:space="0"/>
            </w:tcBorders>
            <w:vAlign w:val="center"/>
          </w:tcPr>
          <w:p w14:paraId="09E791B0">
            <w:pPr>
              <w:spacing w:line="276" w:lineRule="auto"/>
              <w:jc w:val="center"/>
              <w:rPr>
                <w:sz w:val="18"/>
                <w:szCs w:val="18"/>
              </w:rPr>
            </w:pPr>
            <w:r>
              <w:rPr>
                <w:sz w:val="18"/>
                <w:szCs w:val="18"/>
              </w:rPr>
              <w:t>2-41</w:t>
            </w:r>
          </w:p>
        </w:tc>
        <w:tc>
          <w:tcPr>
            <w:tcW w:w="1023" w:type="pct"/>
            <w:tcBorders>
              <w:top w:val="single" w:color="auto" w:sz="4" w:space="0"/>
              <w:left w:val="single" w:color="auto" w:sz="4" w:space="0"/>
              <w:bottom w:val="single" w:color="auto" w:sz="4" w:space="0"/>
              <w:right w:val="single" w:color="auto" w:sz="4" w:space="0"/>
            </w:tcBorders>
            <w:vAlign w:val="center"/>
          </w:tcPr>
          <w:p w14:paraId="1428F83E">
            <w:pPr>
              <w:spacing w:line="276" w:lineRule="auto"/>
              <w:jc w:val="center"/>
              <w:rPr>
                <w:sz w:val="18"/>
                <w:szCs w:val="18"/>
              </w:rPr>
            </w:pPr>
            <w:r>
              <w:rPr>
                <w:sz w:val="18"/>
                <w:szCs w:val="18"/>
              </w:rPr>
              <w:t>土层锚杆（套管钻机成孔-钢筋）</w:t>
            </w:r>
          </w:p>
        </w:tc>
        <w:tc>
          <w:tcPr>
            <w:tcW w:w="1025" w:type="pct"/>
            <w:tcBorders>
              <w:top w:val="single" w:color="auto" w:sz="4" w:space="0"/>
              <w:left w:val="single" w:color="auto" w:sz="4" w:space="0"/>
              <w:bottom w:val="single" w:color="auto" w:sz="4" w:space="0"/>
              <w:right w:val="single" w:color="auto" w:sz="4" w:space="0"/>
            </w:tcBorders>
            <w:vAlign w:val="center"/>
          </w:tcPr>
          <w:p w14:paraId="397DE907">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1CBDF93E">
            <w:pPr>
              <w:spacing w:line="276" w:lineRule="auto"/>
              <w:jc w:val="center"/>
              <w:rPr>
                <w:sz w:val="18"/>
                <w:szCs w:val="18"/>
              </w:rPr>
            </w:pPr>
            <w:r>
              <w:rPr>
                <w:sz w:val="18"/>
                <w:szCs w:val="18"/>
              </w:rPr>
              <w:t>89.33</w:t>
            </w:r>
          </w:p>
        </w:tc>
        <w:tc>
          <w:tcPr>
            <w:tcW w:w="799" w:type="pct"/>
            <w:tcBorders>
              <w:top w:val="single" w:color="auto" w:sz="4" w:space="0"/>
              <w:left w:val="single" w:color="auto" w:sz="4" w:space="0"/>
              <w:bottom w:val="single" w:color="auto" w:sz="4" w:space="0"/>
              <w:right w:val="single" w:color="auto" w:sz="4" w:space="0"/>
            </w:tcBorders>
            <w:vAlign w:val="center"/>
          </w:tcPr>
          <w:p w14:paraId="2F925F38">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4C039607">
            <w:pPr>
              <w:spacing w:line="276" w:lineRule="auto"/>
              <w:jc w:val="center"/>
              <w:rPr>
                <w:sz w:val="18"/>
                <w:szCs w:val="18"/>
              </w:rPr>
            </w:pPr>
            <w:r>
              <w:rPr>
                <w:rFonts w:hint="eastAsia"/>
                <w:sz w:val="18"/>
                <w:szCs w:val="18"/>
              </w:rPr>
              <w:t>1</w:t>
            </w:r>
            <w:r>
              <w:rPr>
                <w:sz w:val="18"/>
                <w:szCs w:val="18"/>
              </w:rPr>
              <w:t>.02</w:t>
            </w:r>
          </w:p>
        </w:tc>
        <w:tc>
          <w:tcPr>
            <w:tcW w:w="431" w:type="pct"/>
            <w:vMerge w:val="continue"/>
            <w:tcBorders>
              <w:left w:val="single" w:color="auto" w:sz="4" w:space="0"/>
              <w:bottom w:val="single" w:color="auto" w:sz="4" w:space="0"/>
              <w:right w:val="single" w:color="auto" w:sz="4" w:space="0"/>
            </w:tcBorders>
            <w:vAlign w:val="center"/>
          </w:tcPr>
          <w:p w14:paraId="19643682">
            <w:pPr>
              <w:spacing w:line="276" w:lineRule="auto"/>
              <w:jc w:val="center"/>
              <w:rPr>
                <w:sz w:val="18"/>
                <w:szCs w:val="18"/>
              </w:rPr>
            </w:pPr>
          </w:p>
        </w:tc>
      </w:tr>
      <w:tr w14:paraId="478F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0E9FAA3C">
            <w:pPr>
              <w:spacing w:line="276" w:lineRule="auto"/>
              <w:jc w:val="center"/>
              <w:rPr>
                <w:sz w:val="18"/>
                <w:szCs w:val="18"/>
              </w:rPr>
            </w:pPr>
            <w:r>
              <w:rPr>
                <w:rFonts w:hint="eastAsia"/>
                <w:sz w:val="18"/>
                <w:szCs w:val="18"/>
              </w:rPr>
              <w:t>1</w:t>
            </w:r>
            <w:r>
              <w:rPr>
                <w:sz w:val="18"/>
                <w:szCs w:val="18"/>
              </w:rPr>
              <w:t>4</w:t>
            </w:r>
          </w:p>
        </w:tc>
        <w:tc>
          <w:tcPr>
            <w:tcW w:w="446" w:type="pct"/>
            <w:tcBorders>
              <w:top w:val="single" w:color="auto" w:sz="4" w:space="0"/>
              <w:left w:val="single" w:color="auto" w:sz="4" w:space="0"/>
              <w:bottom w:val="single" w:color="auto" w:sz="4" w:space="0"/>
              <w:right w:val="single" w:color="auto" w:sz="4" w:space="0"/>
            </w:tcBorders>
            <w:vAlign w:val="center"/>
          </w:tcPr>
          <w:p w14:paraId="40945A9C">
            <w:pPr>
              <w:spacing w:line="276" w:lineRule="auto"/>
              <w:jc w:val="center"/>
              <w:rPr>
                <w:sz w:val="18"/>
                <w:szCs w:val="18"/>
              </w:rPr>
            </w:pPr>
            <w:r>
              <w:rPr>
                <w:sz w:val="18"/>
                <w:szCs w:val="18"/>
              </w:rPr>
              <w:t>2-42</w:t>
            </w:r>
          </w:p>
        </w:tc>
        <w:tc>
          <w:tcPr>
            <w:tcW w:w="1023" w:type="pct"/>
            <w:tcBorders>
              <w:top w:val="single" w:color="auto" w:sz="4" w:space="0"/>
              <w:left w:val="single" w:color="auto" w:sz="4" w:space="0"/>
              <w:bottom w:val="single" w:color="auto" w:sz="4" w:space="0"/>
              <w:right w:val="single" w:color="auto" w:sz="4" w:space="0"/>
            </w:tcBorders>
            <w:vAlign w:val="center"/>
          </w:tcPr>
          <w:p w14:paraId="1EC67CE1">
            <w:pPr>
              <w:spacing w:line="276" w:lineRule="auto"/>
              <w:jc w:val="center"/>
              <w:rPr>
                <w:sz w:val="18"/>
                <w:szCs w:val="18"/>
              </w:rPr>
            </w:pPr>
            <w:r>
              <w:rPr>
                <w:sz w:val="18"/>
                <w:szCs w:val="18"/>
              </w:rPr>
              <w:t>岩层锚杆（钢绞线）</w:t>
            </w:r>
          </w:p>
        </w:tc>
        <w:tc>
          <w:tcPr>
            <w:tcW w:w="1025" w:type="pct"/>
            <w:tcBorders>
              <w:top w:val="single" w:color="auto" w:sz="4" w:space="0"/>
              <w:left w:val="single" w:color="auto" w:sz="4" w:space="0"/>
              <w:bottom w:val="single" w:color="auto" w:sz="4" w:space="0"/>
              <w:right w:val="single" w:color="auto" w:sz="4" w:space="0"/>
            </w:tcBorders>
            <w:vAlign w:val="center"/>
          </w:tcPr>
          <w:p w14:paraId="08217DF3">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1AB3F2E3">
            <w:pPr>
              <w:spacing w:line="276" w:lineRule="auto"/>
              <w:jc w:val="center"/>
              <w:rPr>
                <w:sz w:val="18"/>
                <w:szCs w:val="18"/>
              </w:rPr>
            </w:pPr>
            <w:r>
              <w:rPr>
                <w:sz w:val="18"/>
                <w:szCs w:val="18"/>
              </w:rPr>
              <w:t>101.66</w:t>
            </w:r>
          </w:p>
        </w:tc>
        <w:tc>
          <w:tcPr>
            <w:tcW w:w="799" w:type="pct"/>
            <w:tcBorders>
              <w:top w:val="single" w:color="auto" w:sz="4" w:space="0"/>
              <w:left w:val="single" w:color="auto" w:sz="4" w:space="0"/>
              <w:bottom w:val="single" w:color="auto" w:sz="4" w:space="0"/>
              <w:right w:val="single" w:color="auto" w:sz="4" w:space="0"/>
            </w:tcBorders>
            <w:vAlign w:val="center"/>
          </w:tcPr>
          <w:p w14:paraId="12C008B3">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07F25A0E">
            <w:pPr>
              <w:spacing w:line="276" w:lineRule="auto"/>
              <w:jc w:val="center"/>
              <w:rPr>
                <w:sz w:val="18"/>
                <w:szCs w:val="18"/>
              </w:rPr>
            </w:pPr>
            <w:r>
              <w:rPr>
                <w:rFonts w:hint="eastAsia"/>
                <w:sz w:val="18"/>
                <w:szCs w:val="18"/>
              </w:rPr>
              <w:t>1</w:t>
            </w:r>
            <w:r>
              <w:rPr>
                <w:sz w:val="18"/>
                <w:szCs w:val="18"/>
              </w:rPr>
              <w:t>.05</w:t>
            </w:r>
          </w:p>
        </w:tc>
        <w:tc>
          <w:tcPr>
            <w:tcW w:w="431" w:type="pct"/>
            <w:vMerge w:val="restart"/>
            <w:tcBorders>
              <w:top w:val="single" w:color="auto" w:sz="4" w:space="0"/>
              <w:left w:val="single" w:color="auto" w:sz="4" w:space="0"/>
              <w:right w:val="single" w:color="auto" w:sz="4" w:space="0"/>
            </w:tcBorders>
            <w:vAlign w:val="center"/>
          </w:tcPr>
          <w:p w14:paraId="0CEC64B9">
            <w:pPr>
              <w:spacing w:line="276" w:lineRule="auto"/>
              <w:jc w:val="center"/>
              <w:rPr>
                <w:sz w:val="18"/>
                <w:szCs w:val="18"/>
              </w:rPr>
            </w:pPr>
            <w:r>
              <w:rPr>
                <w:sz w:val="18"/>
                <w:szCs w:val="18"/>
              </w:rPr>
              <w:t>D≤200</w:t>
            </w:r>
          </w:p>
          <w:p w14:paraId="15EA3903">
            <w:pPr>
              <w:spacing w:line="276" w:lineRule="auto"/>
              <w:jc w:val="center"/>
              <w:rPr>
                <w:sz w:val="18"/>
                <w:szCs w:val="18"/>
              </w:rPr>
            </w:pPr>
            <w:r>
              <w:rPr>
                <w:sz w:val="18"/>
                <w:szCs w:val="18"/>
              </w:rPr>
              <w:t>mm</w:t>
            </w:r>
          </w:p>
        </w:tc>
      </w:tr>
      <w:tr w14:paraId="6540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6329A24D">
            <w:pPr>
              <w:spacing w:line="276" w:lineRule="auto"/>
              <w:jc w:val="center"/>
              <w:rPr>
                <w:sz w:val="18"/>
                <w:szCs w:val="18"/>
              </w:rPr>
            </w:pPr>
            <w:r>
              <w:rPr>
                <w:rFonts w:hint="eastAsia"/>
                <w:sz w:val="18"/>
                <w:szCs w:val="18"/>
              </w:rPr>
              <w:t>1</w:t>
            </w:r>
            <w:r>
              <w:rPr>
                <w:sz w:val="18"/>
                <w:szCs w:val="18"/>
              </w:rPr>
              <w:t>5</w:t>
            </w:r>
          </w:p>
        </w:tc>
        <w:tc>
          <w:tcPr>
            <w:tcW w:w="446" w:type="pct"/>
            <w:tcBorders>
              <w:top w:val="single" w:color="auto" w:sz="4" w:space="0"/>
              <w:left w:val="single" w:color="auto" w:sz="4" w:space="0"/>
              <w:bottom w:val="single" w:color="auto" w:sz="4" w:space="0"/>
              <w:right w:val="single" w:color="auto" w:sz="4" w:space="0"/>
            </w:tcBorders>
            <w:vAlign w:val="center"/>
          </w:tcPr>
          <w:p w14:paraId="641D5695">
            <w:pPr>
              <w:spacing w:line="276" w:lineRule="auto"/>
              <w:jc w:val="center"/>
              <w:rPr>
                <w:sz w:val="18"/>
                <w:szCs w:val="18"/>
              </w:rPr>
            </w:pPr>
            <w:r>
              <w:rPr>
                <w:sz w:val="18"/>
                <w:szCs w:val="18"/>
              </w:rPr>
              <w:t>2-43</w:t>
            </w:r>
          </w:p>
        </w:tc>
        <w:tc>
          <w:tcPr>
            <w:tcW w:w="1023" w:type="pct"/>
            <w:tcBorders>
              <w:top w:val="single" w:color="auto" w:sz="4" w:space="0"/>
              <w:left w:val="single" w:color="auto" w:sz="4" w:space="0"/>
              <w:bottom w:val="single" w:color="auto" w:sz="4" w:space="0"/>
              <w:right w:val="single" w:color="auto" w:sz="4" w:space="0"/>
            </w:tcBorders>
            <w:vAlign w:val="center"/>
          </w:tcPr>
          <w:p w14:paraId="18BCEE32">
            <w:pPr>
              <w:spacing w:line="276" w:lineRule="auto"/>
              <w:jc w:val="center"/>
              <w:rPr>
                <w:sz w:val="18"/>
                <w:szCs w:val="18"/>
              </w:rPr>
            </w:pPr>
            <w:r>
              <w:rPr>
                <w:sz w:val="18"/>
                <w:szCs w:val="18"/>
              </w:rPr>
              <w:t>岩层锚杆（钢筋）</w:t>
            </w:r>
          </w:p>
        </w:tc>
        <w:tc>
          <w:tcPr>
            <w:tcW w:w="1025" w:type="pct"/>
            <w:tcBorders>
              <w:top w:val="single" w:color="auto" w:sz="4" w:space="0"/>
              <w:left w:val="single" w:color="auto" w:sz="4" w:space="0"/>
              <w:bottom w:val="single" w:color="auto" w:sz="4" w:space="0"/>
              <w:right w:val="single" w:color="auto" w:sz="4" w:space="0"/>
            </w:tcBorders>
            <w:vAlign w:val="center"/>
          </w:tcPr>
          <w:p w14:paraId="15F78D9F">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6DDF53C2">
            <w:pPr>
              <w:spacing w:line="276" w:lineRule="auto"/>
              <w:jc w:val="center"/>
              <w:rPr>
                <w:sz w:val="18"/>
                <w:szCs w:val="18"/>
              </w:rPr>
            </w:pPr>
            <w:r>
              <w:rPr>
                <w:sz w:val="18"/>
                <w:szCs w:val="18"/>
              </w:rPr>
              <w:t>123.8</w:t>
            </w:r>
          </w:p>
        </w:tc>
        <w:tc>
          <w:tcPr>
            <w:tcW w:w="799" w:type="pct"/>
            <w:tcBorders>
              <w:top w:val="single" w:color="auto" w:sz="4" w:space="0"/>
              <w:left w:val="single" w:color="auto" w:sz="4" w:space="0"/>
              <w:bottom w:val="single" w:color="auto" w:sz="4" w:space="0"/>
              <w:right w:val="single" w:color="auto" w:sz="4" w:space="0"/>
            </w:tcBorders>
            <w:vAlign w:val="center"/>
          </w:tcPr>
          <w:p w14:paraId="6F77FBF5">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1B75DFA3">
            <w:pPr>
              <w:spacing w:line="276" w:lineRule="auto"/>
              <w:jc w:val="center"/>
              <w:rPr>
                <w:sz w:val="18"/>
                <w:szCs w:val="18"/>
              </w:rPr>
            </w:pPr>
            <w:r>
              <w:rPr>
                <w:rFonts w:hint="eastAsia"/>
                <w:sz w:val="18"/>
                <w:szCs w:val="18"/>
              </w:rPr>
              <w:t>1</w:t>
            </w:r>
            <w:r>
              <w:rPr>
                <w:sz w:val="18"/>
                <w:szCs w:val="18"/>
              </w:rPr>
              <w:t>.02</w:t>
            </w:r>
          </w:p>
        </w:tc>
        <w:tc>
          <w:tcPr>
            <w:tcW w:w="431" w:type="pct"/>
            <w:vMerge w:val="continue"/>
            <w:tcBorders>
              <w:left w:val="single" w:color="auto" w:sz="4" w:space="0"/>
              <w:bottom w:val="single" w:color="auto" w:sz="4" w:space="0"/>
              <w:right w:val="single" w:color="auto" w:sz="4" w:space="0"/>
            </w:tcBorders>
            <w:vAlign w:val="center"/>
          </w:tcPr>
          <w:p w14:paraId="0FDF3C4A">
            <w:pPr>
              <w:spacing w:line="276" w:lineRule="auto"/>
              <w:jc w:val="center"/>
              <w:rPr>
                <w:sz w:val="18"/>
                <w:szCs w:val="18"/>
              </w:rPr>
            </w:pPr>
          </w:p>
        </w:tc>
      </w:tr>
      <w:tr w14:paraId="2C3E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743C01F1">
            <w:pPr>
              <w:spacing w:line="276" w:lineRule="auto"/>
              <w:jc w:val="center"/>
              <w:rPr>
                <w:sz w:val="18"/>
                <w:szCs w:val="18"/>
              </w:rPr>
            </w:pPr>
            <w:r>
              <w:rPr>
                <w:rFonts w:hint="eastAsia"/>
                <w:sz w:val="18"/>
                <w:szCs w:val="18"/>
              </w:rPr>
              <w:t>1</w:t>
            </w:r>
            <w:r>
              <w:rPr>
                <w:sz w:val="18"/>
                <w:szCs w:val="18"/>
              </w:rPr>
              <w:t>6</w:t>
            </w:r>
          </w:p>
        </w:tc>
        <w:tc>
          <w:tcPr>
            <w:tcW w:w="446" w:type="pct"/>
            <w:tcBorders>
              <w:top w:val="single" w:color="auto" w:sz="4" w:space="0"/>
              <w:left w:val="single" w:color="auto" w:sz="4" w:space="0"/>
              <w:bottom w:val="single" w:color="auto" w:sz="4" w:space="0"/>
              <w:right w:val="single" w:color="auto" w:sz="4" w:space="0"/>
            </w:tcBorders>
            <w:vAlign w:val="center"/>
          </w:tcPr>
          <w:p w14:paraId="3267D843">
            <w:pPr>
              <w:spacing w:line="276" w:lineRule="auto"/>
              <w:jc w:val="center"/>
              <w:rPr>
                <w:sz w:val="18"/>
                <w:szCs w:val="18"/>
              </w:rPr>
            </w:pPr>
            <w:r>
              <w:rPr>
                <w:sz w:val="18"/>
                <w:szCs w:val="18"/>
              </w:rPr>
              <w:t>2-44</w:t>
            </w:r>
          </w:p>
        </w:tc>
        <w:tc>
          <w:tcPr>
            <w:tcW w:w="1023" w:type="pct"/>
            <w:tcBorders>
              <w:top w:val="single" w:color="auto" w:sz="4" w:space="0"/>
              <w:left w:val="single" w:color="auto" w:sz="4" w:space="0"/>
              <w:bottom w:val="single" w:color="auto" w:sz="4" w:space="0"/>
              <w:right w:val="single" w:color="auto" w:sz="4" w:space="0"/>
            </w:tcBorders>
            <w:vAlign w:val="center"/>
          </w:tcPr>
          <w:p w14:paraId="7BBA0385">
            <w:pPr>
              <w:spacing w:line="276" w:lineRule="auto"/>
              <w:jc w:val="center"/>
              <w:rPr>
                <w:sz w:val="18"/>
                <w:szCs w:val="18"/>
              </w:rPr>
            </w:pPr>
            <w:r>
              <w:rPr>
                <w:sz w:val="18"/>
                <w:szCs w:val="18"/>
              </w:rPr>
              <w:t>钢腰梁</w:t>
            </w:r>
          </w:p>
        </w:tc>
        <w:tc>
          <w:tcPr>
            <w:tcW w:w="1025" w:type="pct"/>
            <w:tcBorders>
              <w:top w:val="single" w:color="auto" w:sz="4" w:space="0"/>
              <w:left w:val="single" w:color="auto" w:sz="4" w:space="0"/>
              <w:bottom w:val="single" w:color="auto" w:sz="4" w:space="0"/>
              <w:right w:val="single" w:color="auto" w:sz="4" w:space="0"/>
            </w:tcBorders>
            <w:vAlign w:val="center"/>
          </w:tcPr>
          <w:p w14:paraId="4ED30D10">
            <w:pPr>
              <w:spacing w:line="276" w:lineRule="auto"/>
              <w:jc w:val="center"/>
              <w:rPr>
                <w:b/>
                <w:sz w:val="18"/>
                <w:szCs w:val="18"/>
              </w:rPr>
            </w:pPr>
            <w:r>
              <w:rPr>
                <w:rStyle w:val="103"/>
                <w:sz w:val="18"/>
                <w:szCs w:val="18"/>
              </w:rPr>
              <w:t>钢腰梁制作</w:t>
            </w:r>
            <w:r>
              <w:rPr>
                <w:rStyle w:val="104"/>
                <w:sz w:val="18"/>
                <w:szCs w:val="18"/>
              </w:rPr>
              <w:t xml:space="preserve">、 </w:t>
            </w:r>
            <w:r>
              <w:rPr>
                <w:rStyle w:val="103"/>
                <w:sz w:val="18"/>
                <w:szCs w:val="18"/>
              </w:rPr>
              <w:t>安装</w:t>
            </w:r>
            <w:r>
              <w:rPr>
                <w:rStyle w:val="104"/>
                <w:sz w:val="18"/>
                <w:szCs w:val="18"/>
              </w:rPr>
              <w:t>。</w:t>
            </w:r>
          </w:p>
        </w:tc>
        <w:tc>
          <w:tcPr>
            <w:tcW w:w="555" w:type="pct"/>
            <w:tcBorders>
              <w:top w:val="single" w:color="auto" w:sz="4" w:space="0"/>
              <w:left w:val="single" w:color="auto" w:sz="4" w:space="0"/>
              <w:bottom w:val="single" w:color="auto" w:sz="4" w:space="0"/>
              <w:right w:val="single" w:color="auto" w:sz="4" w:space="0"/>
            </w:tcBorders>
            <w:vAlign w:val="center"/>
          </w:tcPr>
          <w:p w14:paraId="787C6FCF">
            <w:pPr>
              <w:spacing w:line="276" w:lineRule="auto"/>
              <w:jc w:val="center"/>
              <w:rPr>
                <w:sz w:val="18"/>
                <w:szCs w:val="18"/>
              </w:rPr>
            </w:pPr>
            <w:r>
              <w:rPr>
                <w:sz w:val="18"/>
                <w:szCs w:val="18"/>
              </w:rPr>
              <w:t>356.41</w:t>
            </w:r>
          </w:p>
        </w:tc>
        <w:tc>
          <w:tcPr>
            <w:tcW w:w="799" w:type="pct"/>
            <w:tcBorders>
              <w:top w:val="single" w:color="auto" w:sz="4" w:space="0"/>
              <w:left w:val="single" w:color="auto" w:sz="4" w:space="0"/>
              <w:bottom w:val="single" w:color="auto" w:sz="4" w:space="0"/>
              <w:right w:val="single" w:color="auto" w:sz="4" w:space="0"/>
            </w:tcBorders>
            <w:vAlign w:val="center"/>
          </w:tcPr>
          <w:p w14:paraId="74A70DAF">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54DFDD5C">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7C971DD6">
            <w:pPr>
              <w:spacing w:line="276" w:lineRule="auto"/>
              <w:jc w:val="center"/>
              <w:rPr>
                <w:sz w:val="18"/>
                <w:szCs w:val="18"/>
              </w:rPr>
            </w:pPr>
          </w:p>
        </w:tc>
      </w:tr>
      <w:tr w14:paraId="1281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18D7A1DC">
            <w:pPr>
              <w:spacing w:line="276" w:lineRule="auto"/>
              <w:jc w:val="center"/>
              <w:rPr>
                <w:sz w:val="18"/>
                <w:szCs w:val="18"/>
              </w:rPr>
            </w:pPr>
            <w:r>
              <w:rPr>
                <w:rFonts w:hint="eastAsia"/>
                <w:sz w:val="18"/>
                <w:szCs w:val="18"/>
              </w:rPr>
              <w:t>1</w:t>
            </w:r>
            <w:r>
              <w:rPr>
                <w:sz w:val="18"/>
                <w:szCs w:val="18"/>
              </w:rPr>
              <w:t>7</w:t>
            </w:r>
          </w:p>
        </w:tc>
        <w:tc>
          <w:tcPr>
            <w:tcW w:w="446" w:type="pct"/>
            <w:tcBorders>
              <w:top w:val="single" w:color="auto" w:sz="4" w:space="0"/>
              <w:left w:val="single" w:color="auto" w:sz="4" w:space="0"/>
              <w:bottom w:val="single" w:color="auto" w:sz="4" w:space="0"/>
              <w:right w:val="single" w:color="auto" w:sz="4" w:space="0"/>
            </w:tcBorders>
            <w:vAlign w:val="center"/>
          </w:tcPr>
          <w:p w14:paraId="2526F64D">
            <w:pPr>
              <w:spacing w:line="276" w:lineRule="auto"/>
              <w:jc w:val="center"/>
              <w:rPr>
                <w:sz w:val="18"/>
                <w:szCs w:val="18"/>
              </w:rPr>
            </w:pPr>
            <w:r>
              <w:rPr>
                <w:sz w:val="18"/>
                <w:szCs w:val="18"/>
              </w:rPr>
              <w:t>2-45</w:t>
            </w:r>
          </w:p>
        </w:tc>
        <w:tc>
          <w:tcPr>
            <w:tcW w:w="1023" w:type="pct"/>
            <w:tcBorders>
              <w:top w:val="single" w:color="auto" w:sz="4" w:space="0"/>
              <w:left w:val="single" w:color="auto" w:sz="4" w:space="0"/>
              <w:bottom w:val="single" w:color="auto" w:sz="4" w:space="0"/>
              <w:right w:val="single" w:color="auto" w:sz="4" w:space="0"/>
            </w:tcBorders>
            <w:vAlign w:val="center"/>
          </w:tcPr>
          <w:p w14:paraId="1DDE9700">
            <w:pPr>
              <w:spacing w:line="276" w:lineRule="auto"/>
              <w:jc w:val="center"/>
              <w:rPr>
                <w:sz w:val="18"/>
                <w:szCs w:val="18"/>
              </w:rPr>
            </w:pPr>
            <w:r>
              <w:rPr>
                <w:sz w:val="18"/>
                <w:szCs w:val="18"/>
              </w:rPr>
              <w:t>土钉支护</w:t>
            </w:r>
          </w:p>
        </w:tc>
        <w:tc>
          <w:tcPr>
            <w:tcW w:w="1025" w:type="pct"/>
            <w:tcBorders>
              <w:top w:val="single" w:color="auto" w:sz="4" w:space="0"/>
              <w:left w:val="single" w:color="auto" w:sz="4" w:space="0"/>
              <w:bottom w:val="single" w:color="auto" w:sz="4" w:space="0"/>
              <w:right w:val="single" w:color="auto" w:sz="4" w:space="0"/>
            </w:tcBorders>
            <w:vAlign w:val="center"/>
          </w:tcPr>
          <w:p w14:paraId="256D8B6A">
            <w:pPr>
              <w:spacing w:line="276" w:lineRule="auto"/>
              <w:jc w:val="center"/>
              <w:rPr>
                <w:sz w:val="18"/>
                <w:szCs w:val="18"/>
              </w:rPr>
            </w:pPr>
            <w:r>
              <w:rPr>
                <w:sz w:val="18"/>
                <w:szCs w:val="18"/>
              </w:rPr>
              <w:t>1.钻孔、浆液制作、运输、 压浆。2.土钉制作、安装。3.土钉施工平台搭设、拆除。</w:t>
            </w:r>
          </w:p>
        </w:tc>
        <w:tc>
          <w:tcPr>
            <w:tcW w:w="555" w:type="pct"/>
            <w:tcBorders>
              <w:top w:val="single" w:color="auto" w:sz="4" w:space="0"/>
              <w:left w:val="single" w:color="auto" w:sz="4" w:space="0"/>
              <w:bottom w:val="single" w:color="auto" w:sz="4" w:space="0"/>
              <w:right w:val="single" w:color="auto" w:sz="4" w:space="0"/>
            </w:tcBorders>
            <w:vAlign w:val="center"/>
          </w:tcPr>
          <w:p w14:paraId="777860D8">
            <w:pPr>
              <w:spacing w:line="276" w:lineRule="auto"/>
              <w:jc w:val="center"/>
              <w:rPr>
                <w:sz w:val="18"/>
                <w:szCs w:val="18"/>
              </w:rPr>
            </w:pPr>
            <w:r>
              <w:rPr>
                <w:sz w:val="18"/>
                <w:szCs w:val="18"/>
              </w:rPr>
              <w:t>42.83</w:t>
            </w:r>
          </w:p>
        </w:tc>
        <w:tc>
          <w:tcPr>
            <w:tcW w:w="799" w:type="pct"/>
            <w:tcBorders>
              <w:top w:val="single" w:color="auto" w:sz="4" w:space="0"/>
              <w:left w:val="single" w:color="auto" w:sz="4" w:space="0"/>
              <w:bottom w:val="single" w:color="auto" w:sz="4" w:space="0"/>
              <w:right w:val="single" w:color="auto" w:sz="4" w:space="0"/>
            </w:tcBorders>
            <w:vAlign w:val="center"/>
          </w:tcPr>
          <w:p w14:paraId="6FA7851F">
            <w:pPr>
              <w:spacing w:line="276" w:lineRule="auto"/>
              <w:jc w:val="center"/>
              <w:rPr>
                <w:sz w:val="18"/>
                <w:szCs w:val="18"/>
              </w:rPr>
            </w:pPr>
            <w:r>
              <w:rPr>
                <w:sz w:val="18"/>
                <w:szCs w:val="18"/>
              </w:rPr>
              <w:t>kgCO</w:t>
            </w:r>
            <w:r>
              <w:rPr>
                <w:sz w:val="18"/>
                <w:szCs w:val="18"/>
                <w:vertAlign w:val="subscript"/>
              </w:rPr>
              <w:t>2</w:t>
            </w:r>
            <w:r>
              <w:rPr>
                <w:sz w:val="18"/>
                <w:szCs w:val="18"/>
              </w:rPr>
              <w:t>e/m</w:t>
            </w:r>
          </w:p>
        </w:tc>
        <w:tc>
          <w:tcPr>
            <w:tcW w:w="419" w:type="pct"/>
            <w:tcBorders>
              <w:top w:val="single" w:color="auto" w:sz="4" w:space="0"/>
              <w:left w:val="single" w:color="auto" w:sz="4" w:space="0"/>
              <w:bottom w:val="single" w:color="auto" w:sz="4" w:space="0"/>
              <w:right w:val="single" w:color="auto" w:sz="4" w:space="0"/>
            </w:tcBorders>
            <w:vAlign w:val="center"/>
          </w:tcPr>
          <w:p w14:paraId="2EAF5FB5">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4CE7D747">
            <w:pPr>
              <w:spacing w:line="276" w:lineRule="auto"/>
              <w:jc w:val="center"/>
              <w:rPr>
                <w:sz w:val="18"/>
                <w:szCs w:val="18"/>
              </w:rPr>
            </w:pPr>
          </w:p>
        </w:tc>
      </w:tr>
      <w:tr w14:paraId="1D37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4223DB54">
            <w:pPr>
              <w:spacing w:line="276" w:lineRule="auto"/>
              <w:jc w:val="center"/>
              <w:rPr>
                <w:sz w:val="18"/>
                <w:szCs w:val="18"/>
              </w:rPr>
            </w:pPr>
            <w:r>
              <w:rPr>
                <w:rFonts w:hint="eastAsia"/>
                <w:sz w:val="18"/>
                <w:szCs w:val="18"/>
              </w:rPr>
              <w:t>1</w:t>
            </w:r>
            <w:r>
              <w:rPr>
                <w:sz w:val="18"/>
                <w:szCs w:val="18"/>
              </w:rPr>
              <w:t>8</w:t>
            </w:r>
          </w:p>
        </w:tc>
        <w:tc>
          <w:tcPr>
            <w:tcW w:w="446" w:type="pct"/>
            <w:tcBorders>
              <w:top w:val="single" w:color="auto" w:sz="4" w:space="0"/>
              <w:left w:val="single" w:color="auto" w:sz="4" w:space="0"/>
              <w:bottom w:val="single" w:color="auto" w:sz="4" w:space="0"/>
              <w:right w:val="single" w:color="auto" w:sz="4" w:space="0"/>
            </w:tcBorders>
            <w:vAlign w:val="center"/>
          </w:tcPr>
          <w:p w14:paraId="0E2282C8">
            <w:pPr>
              <w:spacing w:line="276" w:lineRule="auto"/>
              <w:jc w:val="center"/>
              <w:rPr>
                <w:sz w:val="18"/>
                <w:szCs w:val="18"/>
              </w:rPr>
            </w:pPr>
            <w:r>
              <w:rPr>
                <w:sz w:val="18"/>
                <w:szCs w:val="18"/>
              </w:rPr>
              <w:t>2-46</w:t>
            </w:r>
          </w:p>
        </w:tc>
        <w:tc>
          <w:tcPr>
            <w:tcW w:w="1023" w:type="pct"/>
            <w:tcBorders>
              <w:top w:val="single" w:color="auto" w:sz="4" w:space="0"/>
              <w:left w:val="single" w:color="auto" w:sz="4" w:space="0"/>
              <w:bottom w:val="single" w:color="auto" w:sz="4" w:space="0"/>
              <w:right w:val="single" w:color="auto" w:sz="4" w:space="0"/>
            </w:tcBorders>
            <w:vAlign w:val="center"/>
          </w:tcPr>
          <w:p w14:paraId="076019A3">
            <w:pPr>
              <w:spacing w:line="276" w:lineRule="auto"/>
              <w:jc w:val="center"/>
              <w:rPr>
                <w:sz w:val="18"/>
                <w:szCs w:val="18"/>
              </w:rPr>
            </w:pPr>
            <w:r>
              <w:rPr>
                <w:sz w:val="18"/>
                <w:szCs w:val="18"/>
              </w:rPr>
              <w:t>喷射混凝土（80mm，钢板网）</w:t>
            </w:r>
          </w:p>
        </w:tc>
        <w:tc>
          <w:tcPr>
            <w:tcW w:w="1025" w:type="pct"/>
            <w:tcBorders>
              <w:top w:val="single" w:color="auto" w:sz="4" w:space="0"/>
              <w:left w:val="single" w:color="auto" w:sz="4" w:space="0"/>
              <w:bottom w:val="single" w:color="auto" w:sz="4" w:space="0"/>
              <w:right w:val="single" w:color="auto" w:sz="4" w:space="0"/>
            </w:tcBorders>
            <w:vAlign w:val="center"/>
          </w:tcPr>
          <w:p w14:paraId="7CA49B87">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616C254B">
            <w:pPr>
              <w:spacing w:line="276" w:lineRule="auto"/>
              <w:jc w:val="center"/>
              <w:rPr>
                <w:sz w:val="18"/>
                <w:szCs w:val="18"/>
              </w:rPr>
            </w:pPr>
            <w:r>
              <w:rPr>
                <w:sz w:val="18"/>
                <w:szCs w:val="18"/>
              </w:rPr>
              <w:t>34.87</w:t>
            </w:r>
          </w:p>
        </w:tc>
        <w:tc>
          <w:tcPr>
            <w:tcW w:w="799" w:type="pct"/>
            <w:tcBorders>
              <w:top w:val="single" w:color="auto" w:sz="4" w:space="0"/>
              <w:left w:val="single" w:color="auto" w:sz="4" w:space="0"/>
              <w:bottom w:val="single" w:color="auto" w:sz="4" w:space="0"/>
              <w:right w:val="single" w:color="auto" w:sz="4" w:space="0"/>
            </w:tcBorders>
            <w:vAlign w:val="center"/>
          </w:tcPr>
          <w:p w14:paraId="1729C5B5">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19" w:type="pct"/>
            <w:tcBorders>
              <w:top w:val="single" w:color="auto" w:sz="4" w:space="0"/>
              <w:left w:val="single" w:color="auto" w:sz="4" w:space="0"/>
              <w:bottom w:val="single" w:color="auto" w:sz="4" w:space="0"/>
              <w:right w:val="single" w:color="auto" w:sz="4" w:space="0"/>
            </w:tcBorders>
            <w:vAlign w:val="center"/>
          </w:tcPr>
          <w:p w14:paraId="72494037">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1E8E0D64">
            <w:pPr>
              <w:spacing w:line="276" w:lineRule="auto"/>
              <w:jc w:val="center"/>
              <w:rPr>
                <w:sz w:val="18"/>
                <w:szCs w:val="18"/>
              </w:rPr>
            </w:pPr>
          </w:p>
        </w:tc>
      </w:tr>
      <w:tr w14:paraId="79A9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18752088">
            <w:pPr>
              <w:spacing w:line="276" w:lineRule="auto"/>
              <w:jc w:val="center"/>
              <w:rPr>
                <w:sz w:val="18"/>
                <w:szCs w:val="18"/>
              </w:rPr>
            </w:pPr>
            <w:r>
              <w:rPr>
                <w:rFonts w:hint="eastAsia"/>
                <w:sz w:val="18"/>
                <w:szCs w:val="18"/>
              </w:rPr>
              <w:t>1</w:t>
            </w:r>
            <w:r>
              <w:rPr>
                <w:sz w:val="18"/>
                <w:szCs w:val="18"/>
              </w:rPr>
              <w:t>9</w:t>
            </w:r>
          </w:p>
        </w:tc>
        <w:tc>
          <w:tcPr>
            <w:tcW w:w="446" w:type="pct"/>
            <w:tcBorders>
              <w:top w:val="single" w:color="auto" w:sz="4" w:space="0"/>
              <w:left w:val="single" w:color="auto" w:sz="4" w:space="0"/>
              <w:bottom w:val="single" w:color="auto" w:sz="4" w:space="0"/>
              <w:right w:val="single" w:color="auto" w:sz="4" w:space="0"/>
            </w:tcBorders>
            <w:vAlign w:val="center"/>
          </w:tcPr>
          <w:p w14:paraId="679A6F47">
            <w:pPr>
              <w:spacing w:line="276" w:lineRule="auto"/>
              <w:jc w:val="center"/>
              <w:rPr>
                <w:sz w:val="18"/>
                <w:szCs w:val="18"/>
              </w:rPr>
            </w:pPr>
            <w:r>
              <w:rPr>
                <w:sz w:val="18"/>
                <w:szCs w:val="18"/>
              </w:rPr>
              <w:t>2-47</w:t>
            </w:r>
          </w:p>
        </w:tc>
        <w:tc>
          <w:tcPr>
            <w:tcW w:w="1023" w:type="pct"/>
            <w:tcBorders>
              <w:top w:val="single" w:color="auto" w:sz="4" w:space="0"/>
              <w:left w:val="single" w:color="auto" w:sz="4" w:space="0"/>
              <w:bottom w:val="single" w:color="auto" w:sz="4" w:space="0"/>
              <w:right w:val="single" w:color="auto" w:sz="4" w:space="0"/>
            </w:tcBorders>
            <w:vAlign w:val="center"/>
          </w:tcPr>
          <w:p w14:paraId="49AB7DF1">
            <w:pPr>
              <w:spacing w:line="276" w:lineRule="auto"/>
              <w:jc w:val="center"/>
              <w:rPr>
                <w:sz w:val="18"/>
                <w:szCs w:val="18"/>
              </w:rPr>
            </w:pPr>
            <w:r>
              <w:rPr>
                <w:sz w:val="18"/>
                <w:szCs w:val="18"/>
              </w:rPr>
              <w:t>喷射混凝土（80mm，钢筋网）</w:t>
            </w:r>
          </w:p>
        </w:tc>
        <w:tc>
          <w:tcPr>
            <w:tcW w:w="1025" w:type="pct"/>
            <w:tcBorders>
              <w:top w:val="single" w:color="auto" w:sz="4" w:space="0"/>
              <w:left w:val="single" w:color="auto" w:sz="4" w:space="0"/>
              <w:bottom w:val="single" w:color="auto" w:sz="4" w:space="0"/>
              <w:right w:val="single" w:color="auto" w:sz="4" w:space="0"/>
            </w:tcBorders>
            <w:vAlign w:val="center"/>
          </w:tcPr>
          <w:p w14:paraId="4BC9BB24">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45C66D60">
            <w:pPr>
              <w:spacing w:line="276" w:lineRule="auto"/>
              <w:jc w:val="center"/>
              <w:rPr>
                <w:sz w:val="18"/>
                <w:szCs w:val="18"/>
              </w:rPr>
            </w:pPr>
            <w:r>
              <w:rPr>
                <w:sz w:val="18"/>
                <w:szCs w:val="18"/>
              </w:rPr>
              <w:t>53.37</w:t>
            </w:r>
          </w:p>
        </w:tc>
        <w:tc>
          <w:tcPr>
            <w:tcW w:w="799" w:type="pct"/>
            <w:tcBorders>
              <w:top w:val="single" w:color="auto" w:sz="4" w:space="0"/>
              <w:left w:val="single" w:color="auto" w:sz="4" w:space="0"/>
              <w:bottom w:val="single" w:color="auto" w:sz="4" w:space="0"/>
              <w:right w:val="single" w:color="auto" w:sz="4" w:space="0"/>
            </w:tcBorders>
            <w:vAlign w:val="center"/>
          </w:tcPr>
          <w:p w14:paraId="21070447">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19" w:type="pct"/>
            <w:tcBorders>
              <w:top w:val="single" w:color="auto" w:sz="4" w:space="0"/>
              <w:left w:val="single" w:color="auto" w:sz="4" w:space="0"/>
              <w:bottom w:val="single" w:color="auto" w:sz="4" w:space="0"/>
              <w:right w:val="single" w:color="auto" w:sz="4" w:space="0"/>
            </w:tcBorders>
            <w:vAlign w:val="center"/>
          </w:tcPr>
          <w:p w14:paraId="53DC301A">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4614B558">
            <w:pPr>
              <w:spacing w:line="276" w:lineRule="auto"/>
              <w:jc w:val="center"/>
              <w:rPr>
                <w:sz w:val="18"/>
                <w:szCs w:val="18"/>
              </w:rPr>
            </w:pPr>
          </w:p>
        </w:tc>
      </w:tr>
      <w:tr w14:paraId="6248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750049A4">
            <w:pPr>
              <w:spacing w:line="276" w:lineRule="auto"/>
              <w:jc w:val="center"/>
              <w:rPr>
                <w:sz w:val="18"/>
                <w:szCs w:val="18"/>
              </w:rPr>
            </w:pPr>
            <w:r>
              <w:rPr>
                <w:rFonts w:hint="eastAsia"/>
                <w:sz w:val="18"/>
                <w:szCs w:val="18"/>
              </w:rPr>
              <w:t>2</w:t>
            </w:r>
            <w:r>
              <w:rPr>
                <w:sz w:val="18"/>
                <w:szCs w:val="18"/>
              </w:rPr>
              <w:t>0</w:t>
            </w:r>
          </w:p>
        </w:tc>
        <w:tc>
          <w:tcPr>
            <w:tcW w:w="446" w:type="pct"/>
            <w:tcBorders>
              <w:top w:val="single" w:color="auto" w:sz="4" w:space="0"/>
              <w:left w:val="single" w:color="auto" w:sz="4" w:space="0"/>
              <w:bottom w:val="single" w:color="auto" w:sz="4" w:space="0"/>
              <w:right w:val="single" w:color="auto" w:sz="4" w:space="0"/>
            </w:tcBorders>
            <w:vAlign w:val="center"/>
          </w:tcPr>
          <w:p w14:paraId="0D3FE6CD">
            <w:pPr>
              <w:spacing w:line="276" w:lineRule="auto"/>
              <w:jc w:val="center"/>
              <w:rPr>
                <w:sz w:val="18"/>
                <w:szCs w:val="18"/>
              </w:rPr>
            </w:pPr>
            <w:r>
              <w:rPr>
                <w:sz w:val="18"/>
                <w:szCs w:val="18"/>
              </w:rPr>
              <w:t>2-48</w:t>
            </w:r>
          </w:p>
        </w:tc>
        <w:tc>
          <w:tcPr>
            <w:tcW w:w="1023" w:type="pct"/>
            <w:tcBorders>
              <w:top w:val="single" w:color="auto" w:sz="4" w:space="0"/>
              <w:left w:val="single" w:color="auto" w:sz="4" w:space="0"/>
              <w:bottom w:val="single" w:color="auto" w:sz="4" w:space="0"/>
              <w:right w:val="single" w:color="auto" w:sz="4" w:space="0"/>
            </w:tcBorders>
            <w:vAlign w:val="center"/>
          </w:tcPr>
          <w:p w14:paraId="2A1DB82C">
            <w:pPr>
              <w:spacing w:line="276" w:lineRule="auto"/>
              <w:jc w:val="center"/>
              <w:rPr>
                <w:sz w:val="18"/>
                <w:szCs w:val="18"/>
              </w:rPr>
            </w:pPr>
            <w:r>
              <w:rPr>
                <w:sz w:val="18"/>
                <w:szCs w:val="18"/>
              </w:rPr>
              <w:t>喷射混凝土（80mm，素喷）</w:t>
            </w:r>
          </w:p>
        </w:tc>
        <w:tc>
          <w:tcPr>
            <w:tcW w:w="1025" w:type="pct"/>
            <w:tcBorders>
              <w:top w:val="single" w:color="auto" w:sz="4" w:space="0"/>
              <w:left w:val="single" w:color="auto" w:sz="4" w:space="0"/>
              <w:bottom w:val="single" w:color="auto" w:sz="4" w:space="0"/>
              <w:right w:val="single" w:color="auto" w:sz="4" w:space="0"/>
            </w:tcBorders>
            <w:vAlign w:val="center"/>
          </w:tcPr>
          <w:p w14:paraId="0B2D7E47">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433B967D">
            <w:pPr>
              <w:spacing w:line="276" w:lineRule="auto"/>
              <w:jc w:val="center"/>
              <w:rPr>
                <w:sz w:val="18"/>
                <w:szCs w:val="18"/>
              </w:rPr>
            </w:pPr>
            <w:r>
              <w:rPr>
                <w:sz w:val="18"/>
                <w:szCs w:val="18"/>
              </w:rPr>
              <w:t>27.06</w:t>
            </w:r>
          </w:p>
        </w:tc>
        <w:tc>
          <w:tcPr>
            <w:tcW w:w="799" w:type="pct"/>
            <w:tcBorders>
              <w:top w:val="single" w:color="auto" w:sz="4" w:space="0"/>
              <w:left w:val="single" w:color="auto" w:sz="4" w:space="0"/>
              <w:bottom w:val="single" w:color="auto" w:sz="4" w:space="0"/>
              <w:right w:val="single" w:color="auto" w:sz="4" w:space="0"/>
            </w:tcBorders>
            <w:vAlign w:val="center"/>
          </w:tcPr>
          <w:p w14:paraId="541A51EA">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19" w:type="pct"/>
            <w:tcBorders>
              <w:top w:val="single" w:color="auto" w:sz="4" w:space="0"/>
              <w:left w:val="single" w:color="auto" w:sz="4" w:space="0"/>
              <w:bottom w:val="single" w:color="auto" w:sz="4" w:space="0"/>
              <w:right w:val="single" w:color="auto" w:sz="4" w:space="0"/>
            </w:tcBorders>
            <w:vAlign w:val="center"/>
          </w:tcPr>
          <w:p w14:paraId="35D13C19">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670E76F3">
            <w:pPr>
              <w:spacing w:line="276" w:lineRule="auto"/>
              <w:jc w:val="center"/>
              <w:rPr>
                <w:sz w:val="18"/>
                <w:szCs w:val="18"/>
              </w:rPr>
            </w:pPr>
          </w:p>
        </w:tc>
      </w:tr>
      <w:tr w14:paraId="6D4A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1FFC0926">
            <w:pPr>
              <w:spacing w:line="276" w:lineRule="auto"/>
              <w:jc w:val="center"/>
              <w:rPr>
                <w:sz w:val="18"/>
                <w:szCs w:val="18"/>
              </w:rPr>
            </w:pPr>
            <w:r>
              <w:rPr>
                <w:rFonts w:hint="eastAsia"/>
                <w:sz w:val="18"/>
                <w:szCs w:val="18"/>
              </w:rPr>
              <w:t>2</w:t>
            </w:r>
            <w:r>
              <w:rPr>
                <w:sz w:val="18"/>
                <w:szCs w:val="18"/>
              </w:rPr>
              <w:t>1</w:t>
            </w:r>
          </w:p>
        </w:tc>
        <w:tc>
          <w:tcPr>
            <w:tcW w:w="446" w:type="pct"/>
            <w:tcBorders>
              <w:top w:val="single" w:color="auto" w:sz="4" w:space="0"/>
              <w:left w:val="single" w:color="auto" w:sz="4" w:space="0"/>
              <w:bottom w:val="single" w:color="auto" w:sz="4" w:space="0"/>
              <w:right w:val="single" w:color="auto" w:sz="4" w:space="0"/>
            </w:tcBorders>
            <w:vAlign w:val="center"/>
          </w:tcPr>
          <w:p w14:paraId="00AB2E90">
            <w:pPr>
              <w:spacing w:line="276" w:lineRule="auto"/>
              <w:jc w:val="center"/>
              <w:rPr>
                <w:sz w:val="18"/>
                <w:szCs w:val="18"/>
              </w:rPr>
            </w:pPr>
            <w:r>
              <w:rPr>
                <w:sz w:val="18"/>
                <w:szCs w:val="18"/>
              </w:rPr>
              <w:t>2-49</w:t>
            </w:r>
          </w:p>
        </w:tc>
        <w:tc>
          <w:tcPr>
            <w:tcW w:w="1023" w:type="pct"/>
            <w:tcBorders>
              <w:top w:val="single" w:color="auto" w:sz="4" w:space="0"/>
              <w:left w:val="single" w:color="auto" w:sz="4" w:space="0"/>
              <w:bottom w:val="single" w:color="auto" w:sz="4" w:space="0"/>
              <w:right w:val="single" w:color="auto" w:sz="4" w:space="0"/>
            </w:tcBorders>
            <w:vAlign w:val="center"/>
          </w:tcPr>
          <w:p w14:paraId="2CFE51D0">
            <w:pPr>
              <w:spacing w:line="276" w:lineRule="auto"/>
              <w:jc w:val="center"/>
              <w:rPr>
                <w:sz w:val="18"/>
                <w:szCs w:val="18"/>
              </w:rPr>
            </w:pPr>
            <w:r>
              <w:rPr>
                <w:sz w:val="18"/>
                <w:szCs w:val="18"/>
              </w:rPr>
              <w:t>喷射混凝土（每增减10mm）</w:t>
            </w:r>
          </w:p>
        </w:tc>
        <w:tc>
          <w:tcPr>
            <w:tcW w:w="1025" w:type="pct"/>
            <w:tcBorders>
              <w:top w:val="single" w:color="auto" w:sz="4" w:space="0"/>
              <w:left w:val="single" w:color="auto" w:sz="4" w:space="0"/>
              <w:bottom w:val="single" w:color="auto" w:sz="4" w:space="0"/>
              <w:right w:val="single" w:color="auto" w:sz="4" w:space="0"/>
            </w:tcBorders>
            <w:vAlign w:val="center"/>
          </w:tcPr>
          <w:p w14:paraId="4364269A">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195E4C8C">
            <w:pPr>
              <w:spacing w:line="276" w:lineRule="auto"/>
              <w:jc w:val="center"/>
              <w:rPr>
                <w:sz w:val="18"/>
                <w:szCs w:val="18"/>
              </w:rPr>
            </w:pPr>
            <w:r>
              <w:rPr>
                <w:sz w:val="18"/>
                <w:szCs w:val="18"/>
              </w:rPr>
              <w:t>2.91</w:t>
            </w:r>
          </w:p>
        </w:tc>
        <w:tc>
          <w:tcPr>
            <w:tcW w:w="799" w:type="pct"/>
            <w:tcBorders>
              <w:top w:val="single" w:color="auto" w:sz="4" w:space="0"/>
              <w:left w:val="single" w:color="auto" w:sz="4" w:space="0"/>
              <w:bottom w:val="single" w:color="auto" w:sz="4" w:space="0"/>
              <w:right w:val="single" w:color="auto" w:sz="4" w:space="0"/>
            </w:tcBorders>
            <w:vAlign w:val="center"/>
          </w:tcPr>
          <w:p w14:paraId="1841D2CD">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19" w:type="pct"/>
            <w:tcBorders>
              <w:top w:val="single" w:color="auto" w:sz="4" w:space="0"/>
              <w:left w:val="single" w:color="auto" w:sz="4" w:space="0"/>
              <w:bottom w:val="single" w:color="auto" w:sz="4" w:space="0"/>
              <w:right w:val="single" w:color="auto" w:sz="4" w:space="0"/>
            </w:tcBorders>
            <w:vAlign w:val="center"/>
          </w:tcPr>
          <w:p w14:paraId="59118E72">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634EFC89">
            <w:pPr>
              <w:spacing w:line="276" w:lineRule="auto"/>
              <w:jc w:val="center"/>
              <w:rPr>
                <w:sz w:val="18"/>
                <w:szCs w:val="18"/>
              </w:rPr>
            </w:pPr>
          </w:p>
        </w:tc>
      </w:tr>
      <w:tr w14:paraId="1A33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37C32661">
            <w:pPr>
              <w:spacing w:line="276" w:lineRule="auto"/>
              <w:jc w:val="center"/>
              <w:rPr>
                <w:sz w:val="18"/>
                <w:szCs w:val="18"/>
              </w:rPr>
            </w:pPr>
            <w:r>
              <w:rPr>
                <w:rFonts w:hint="eastAsia"/>
                <w:sz w:val="18"/>
                <w:szCs w:val="18"/>
              </w:rPr>
              <w:t>2</w:t>
            </w:r>
            <w:r>
              <w:rPr>
                <w:sz w:val="18"/>
                <w:szCs w:val="18"/>
              </w:rPr>
              <w:t>2</w:t>
            </w:r>
          </w:p>
        </w:tc>
        <w:tc>
          <w:tcPr>
            <w:tcW w:w="446" w:type="pct"/>
            <w:tcBorders>
              <w:top w:val="single" w:color="auto" w:sz="4" w:space="0"/>
              <w:left w:val="single" w:color="auto" w:sz="4" w:space="0"/>
              <w:bottom w:val="single" w:color="auto" w:sz="4" w:space="0"/>
              <w:right w:val="single" w:color="auto" w:sz="4" w:space="0"/>
            </w:tcBorders>
            <w:vAlign w:val="center"/>
          </w:tcPr>
          <w:p w14:paraId="31A3CFC8">
            <w:pPr>
              <w:spacing w:line="276" w:lineRule="auto"/>
              <w:jc w:val="center"/>
              <w:rPr>
                <w:sz w:val="18"/>
                <w:szCs w:val="18"/>
              </w:rPr>
            </w:pPr>
            <w:r>
              <w:rPr>
                <w:sz w:val="18"/>
                <w:szCs w:val="18"/>
              </w:rPr>
              <w:t>2-50</w:t>
            </w:r>
          </w:p>
        </w:tc>
        <w:tc>
          <w:tcPr>
            <w:tcW w:w="1023" w:type="pct"/>
            <w:tcBorders>
              <w:top w:val="single" w:color="auto" w:sz="4" w:space="0"/>
              <w:left w:val="single" w:color="auto" w:sz="4" w:space="0"/>
              <w:bottom w:val="single" w:color="auto" w:sz="4" w:space="0"/>
              <w:right w:val="single" w:color="auto" w:sz="4" w:space="0"/>
            </w:tcBorders>
            <w:vAlign w:val="center"/>
          </w:tcPr>
          <w:p w14:paraId="32EDBB12">
            <w:pPr>
              <w:spacing w:line="276" w:lineRule="auto"/>
              <w:jc w:val="center"/>
              <w:rPr>
                <w:sz w:val="18"/>
                <w:szCs w:val="18"/>
              </w:rPr>
            </w:pPr>
            <w:r>
              <w:rPr>
                <w:sz w:val="18"/>
                <w:szCs w:val="18"/>
              </w:rPr>
              <w:t>喷射水泥砂浆（50mm，钢板网）</w:t>
            </w:r>
          </w:p>
        </w:tc>
        <w:tc>
          <w:tcPr>
            <w:tcW w:w="1025" w:type="pct"/>
            <w:tcBorders>
              <w:top w:val="single" w:color="auto" w:sz="4" w:space="0"/>
              <w:left w:val="single" w:color="auto" w:sz="4" w:space="0"/>
              <w:bottom w:val="single" w:color="auto" w:sz="4" w:space="0"/>
              <w:right w:val="single" w:color="auto" w:sz="4" w:space="0"/>
            </w:tcBorders>
            <w:vAlign w:val="center"/>
          </w:tcPr>
          <w:p w14:paraId="33E8841D">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71FFDDE5">
            <w:pPr>
              <w:spacing w:line="276" w:lineRule="auto"/>
              <w:jc w:val="center"/>
              <w:rPr>
                <w:sz w:val="18"/>
                <w:szCs w:val="18"/>
              </w:rPr>
            </w:pPr>
            <w:r>
              <w:rPr>
                <w:sz w:val="18"/>
                <w:szCs w:val="18"/>
              </w:rPr>
              <w:t>16.50</w:t>
            </w:r>
          </w:p>
        </w:tc>
        <w:tc>
          <w:tcPr>
            <w:tcW w:w="799" w:type="pct"/>
            <w:tcBorders>
              <w:top w:val="single" w:color="auto" w:sz="4" w:space="0"/>
              <w:left w:val="single" w:color="auto" w:sz="4" w:space="0"/>
              <w:bottom w:val="single" w:color="auto" w:sz="4" w:space="0"/>
              <w:right w:val="single" w:color="auto" w:sz="4" w:space="0"/>
            </w:tcBorders>
            <w:vAlign w:val="center"/>
          </w:tcPr>
          <w:p w14:paraId="08B15B47">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19" w:type="pct"/>
            <w:tcBorders>
              <w:top w:val="single" w:color="auto" w:sz="4" w:space="0"/>
              <w:left w:val="single" w:color="auto" w:sz="4" w:space="0"/>
              <w:bottom w:val="single" w:color="auto" w:sz="4" w:space="0"/>
              <w:right w:val="single" w:color="auto" w:sz="4" w:space="0"/>
            </w:tcBorders>
            <w:vAlign w:val="center"/>
          </w:tcPr>
          <w:p w14:paraId="1A880198">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4EDFEED7">
            <w:pPr>
              <w:spacing w:line="276" w:lineRule="auto"/>
              <w:jc w:val="center"/>
              <w:rPr>
                <w:sz w:val="18"/>
                <w:szCs w:val="18"/>
              </w:rPr>
            </w:pPr>
          </w:p>
        </w:tc>
      </w:tr>
      <w:tr w14:paraId="171A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4287BF19">
            <w:pPr>
              <w:spacing w:line="276" w:lineRule="auto"/>
              <w:jc w:val="center"/>
              <w:rPr>
                <w:sz w:val="18"/>
                <w:szCs w:val="18"/>
              </w:rPr>
            </w:pPr>
            <w:r>
              <w:rPr>
                <w:rFonts w:hint="eastAsia"/>
                <w:sz w:val="18"/>
                <w:szCs w:val="18"/>
              </w:rPr>
              <w:t>2</w:t>
            </w:r>
            <w:r>
              <w:rPr>
                <w:sz w:val="18"/>
                <w:szCs w:val="18"/>
              </w:rPr>
              <w:t>3</w:t>
            </w:r>
          </w:p>
        </w:tc>
        <w:tc>
          <w:tcPr>
            <w:tcW w:w="446" w:type="pct"/>
            <w:tcBorders>
              <w:top w:val="single" w:color="auto" w:sz="4" w:space="0"/>
              <w:left w:val="single" w:color="auto" w:sz="4" w:space="0"/>
              <w:bottom w:val="single" w:color="auto" w:sz="4" w:space="0"/>
              <w:right w:val="single" w:color="auto" w:sz="4" w:space="0"/>
            </w:tcBorders>
            <w:vAlign w:val="center"/>
          </w:tcPr>
          <w:p w14:paraId="080AD85E">
            <w:pPr>
              <w:spacing w:line="276" w:lineRule="auto"/>
              <w:jc w:val="center"/>
              <w:rPr>
                <w:sz w:val="18"/>
                <w:szCs w:val="18"/>
              </w:rPr>
            </w:pPr>
            <w:r>
              <w:rPr>
                <w:sz w:val="18"/>
                <w:szCs w:val="18"/>
              </w:rPr>
              <w:t>2-51</w:t>
            </w:r>
          </w:p>
        </w:tc>
        <w:tc>
          <w:tcPr>
            <w:tcW w:w="1023" w:type="pct"/>
            <w:tcBorders>
              <w:top w:val="single" w:color="auto" w:sz="4" w:space="0"/>
              <w:left w:val="single" w:color="auto" w:sz="4" w:space="0"/>
              <w:bottom w:val="single" w:color="auto" w:sz="4" w:space="0"/>
              <w:right w:val="single" w:color="auto" w:sz="4" w:space="0"/>
            </w:tcBorders>
            <w:vAlign w:val="center"/>
          </w:tcPr>
          <w:p w14:paraId="1725EB28">
            <w:pPr>
              <w:spacing w:line="276" w:lineRule="auto"/>
              <w:jc w:val="center"/>
              <w:rPr>
                <w:sz w:val="18"/>
                <w:szCs w:val="18"/>
              </w:rPr>
            </w:pPr>
            <w:r>
              <w:rPr>
                <w:sz w:val="18"/>
                <w:szCs w:val="18"/>
              </w:rPr>
              <w:t>喷射水泥砂浆（50mm，钢筋网）</w:t>
            </w:r>
          </w:p>
        </w:tc>
        <w:tc>
          <w:tcPr>
            <w:tcW w:w="1025" w:type="pct"/>
            <w:tcBorders>
              <w:top w:val="single" w:color="auto" w:sz="4" w:space="0"/>
              <w:left w:val="single" w:color="auto" w:sz="4" w:space="0"/>
              <w:bottom w:val="single" w:color="auto" w:sz="4" w:space="0"/>
              <w:right w:val="single" w:color="auto" w:sz="4" w:space="0"/>
            </w:tcBorders>
            <w:vAlign w:val="center"/>
          </w:tcPr>
          <w:p w14:paraId="5F90E146">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71EA2621">
            <w:pPr>
              <w:spacing w:line="276" w:lineRule="auto"/>
              <w:jc w:val="center"/>
              <w:rPr>
                <w:sz w:val="18"/>
                <w:szCs w:val="18"/>
              </w:rPr>
            </w:pPr>
            <w:r>
              <w:rPr>
                <w:sz w:val="18"/>
                <w:szCs w:val="18"/>
              </w:rPr>
              <w:t>15.47</w:t>
            </w:r>
          </w:p>
        </w:tc>
        <w:tc>
          <w:tcPr>
            <w:tcW w:w="799" w:type="pct"/>
            <w:tcBorders>
              <w:top w:val="single" w:color="auto" w:sz="4" w:space="0"/>
              <w:left w:val="single" w:color="auto" w:sz="4" w:space="0"/>
              <w:bottom w:val="single" w:color="auto" w:sz="4" w:space="0"/>
              <w:right w:val="single" w:color="auto" w:sz="4" w:space="0"/>
            </w:tcBorders>
            <w:vAlign w:val="center"/>
          </w:tcPr>
          <w:p w14:paraId="0E60F9DC">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19" w:type="pct"/>
            <w:tcBorders>
              <w:top w:val="single" w:color="auto" w:sz="4" w:space="0"/>
              <w:left w:val="single" w:color="auto" w:sz="4" w:space="0"/>
              <w:bottom w:val="single" w:color="auto" w:sz="4" w:space="0"/>
              <w:right w:val="single" w:color="auto" w:sz="4" w:space="0"/>
            </w:tcBorders>
            <w:vAlign w:val="center"/>
          </w:tcPr>
          <w:p w14:paraId="46CDC964">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76B591B5">
            <w:pPr>
              <w:spacing w:line="276" w:lineRule="auto"/>
              <w:jc w:val="center"/>
              <w:rPr>
                <w:sz w:val="18"/>
                <w:szCs w:val="18"/>
              </w:rPr>
            </w:pPr>
          </w:p>
        </w:tc>
      </w:tr>
      <w:tr w14:paraId="2CC4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0ABB4938">
            <w:pPr>
              <w:spacing w:line="276" w:lineRule="auto"/>
              <w:jc w:val="center"/>
              <w:rPr>
                <w:sz w:val="18"/>
                <w:szCs w:val="18"/>
              </w:rPr>
            </w:pPr>
            <w:r>
              <w:rPr>
                <w:rFonts w:hint="eastAsia"/>
                <w:sz w:val="18"/>
                <w:szCs w:val="18"/>
              </w:rPr>
              <w:t>2</w:t>
            </w:r>
            <w:r>
              <w:rPr>
                <w:sz w:val="18"/>
                <w:szCs w:val="18"/>
              </w:rPr>
              <w:t>4</w:t>
            </w:r>
          </w:p>
        </w:tc>
        <w:tc>
          <w:tcPr>
            <w:tcW w:w="446" w:type="pct"/>
            <w:tcBorders>
              <w:top w:val="single" w:color="auto" w:sz="4" w:space="0"/>
              <w:left w:val="single" w:color="auto" w:sz="4" w:space="0"/>
              <w:bottom w:val="single" w:color="auto" w:sz="4" w:space="0"/>
              <w:right w:val="single" w:color="auto" w:sz="4" w:space="0"/>
            </w:tcBorders>
            <w:vAlign w:val="center"/>
          </w:tcPr>
          <w:p w14:paraId="22179B54">
            <w:pPr>
              <w:spacing w:line="276" w:lineRule="auto"/>
              <w:jc w:val="center"/>
              <w:rPr>
                <w:sz w:val="18"/>
                <w:szCs w:val="18"/>
              </w:rPr>
            </w:pPr>
            <w:r>
              <w:rPr>
                <w:sz w:val="18"/>
                <w:szCs w:val="18"/>
              </w:rPr>
              <w:t>2-52</w:t>
            </w:r>
          </w:p>
        </w:tc>
        <w:tc>
          <w:tcPr>
            <w:tcW w:w="1023" w:type="pct"/>
            <w:tcBorders>
              <w:top w:val="single" w:color="auto" w:sz="4" w:space="0"/>
              <w:left w:val="single" w:color="auto" w:sz="4" w:space="0"/>
              <w:bottom w:val="single" w:color="auto" w:sz="4" w:space="0"/>
              <w:right w:val="single" w:color="auto" w:sz="4" w:space="0"/>
            </w:tcBorders>
            <w:vAlign w:val="center"/>
          </w:tcPr>
          <w:p w14:paraId="6318EC99">
            <w:pPr>
              <w:spacing w:line="276" w:lineRule="auto"/>
              <w:jc w:val="center"/>
              <w:rPr>
                <w:sz w:val="18"/>
                <w:szCs w:val="18"/>
              </w:rPr>
            </w:pPr>
            <w:r>
              <w:rPr>
                <w:sz w:val="18"/>
                <w:szCs w:val="18"/>
              </w:rPr>
              <w:t>喷射水泥砂浆（50mm，素喷）</w:t>
            </w:r>
          </w:p>
        </w:tc>
        <w:tc>
          <w:tcPr>
            <w:tcW w:w="1025" w:type="pct"/>
            <w:tcBorders>
              <w:top w:val="single" w:color="auto" w:sz="4" w:space="0"/>
              <w:left w:val="single" w:color="auto" w:sz="4" w:space="0"/>
              <w:bottom w:val="single" w:color="auto" w:sz="4" w:space="0"/>
              <w:right w:val="single" w:color="auto" w:sz="4" w:space="0"/>
            </w:tcBorders>
            <w:vAlign w:val="center"/>
          </w:tcPr>
          <w:p w14:paraId="2D42A6D8">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63D50957">
            <w:pPr>
              <w:spacing w:line="276" w:lineRule="auto"/>
              <w:jc w:val="center"/>
              <w:rPr>
                <w:sz w:val="18"/>
                <w:szCs w:val="18"/>
              </w:rPr>
            </w:pPr>
            <w:r>
              <w:rPr>
                <w:sz w:val="18"/>
                <w:szCs w:val="18"/>
              </w:rPr>
              <w:t>21.23</w:t>
            </w:r>
          </w:p>
        </w:tc>
        <w:tc>
          <w:tcPr>
            <w:tcW w:w="799" w:type="pct"/>
            <w:tcBorders>
              <w:top w:val="single" w:color="auto" w:sz="4" w:space="0"/>
              <w:left w:val="single" w:color="auto" w:sz="4" w:space="0"/>
              <w:bottom w:val="single" w:color="auto" w:sz="4" w:space="0"/>
              <w:right w:val="single" w:color="auto" w:sz="4" w:space="0"/>
            </w:tcBorders>
            <w:vAlign w:val="center"/>
          </w:tcPr>
          <w:p w14:paraId="2A929B1E">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19" w:type="pct"/>
            <w:tcBorders>
              <w:top w:val="single" w:color="auto" w:sz="4" w:space="0"/>
              <w:left w:val="single" w:color="auto" w:sz="4" w:space="0"/>
              <w:bottom w:val="single" w:color="auto" w:sz="4" w:space="0"/>
              <w:right w:val="single" w:color="auto" w:sz="4" w:space="0"/>
            </w:tcBorders>
            <w:vAlign w:val="center"/>
          </w:tcPr>
          <w:p w14:paraId="7293C9FE">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34872BE4">
            <w:pPr>
              <w:spacing w:line="276" w:lineRule="auto"/>
              <w:jc w:val="center"/>
              <w:rPr>
                <w:sz w:val="18"/>
                <w:szCs w:val="18"/>
              </w:rPr>
            </w:pPr>
          </w:p>
        </w:tc>
      </w:tr>
      <w:tr w14:paraId="3792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248BD3AB">
            <w:pPr>
              <w:spacing w:line="276" w:lineRule="auto"/>
              <w:jc w:val="center"/>
              <w:rPr>
                <w:sz w:val="18"/>
                <w:szCs w:val="18"/>
              </w:rPr>
            </w:pPr>
            <w:r>
              <w:rPr>
                <w:rFonts w:hint="eastAsia"/>
                <w:sz w:val="18"/>
                <w:szCs w:val="18"/>
              </w:rPr>
              <w:t>2</w:t>
            </w:r>
            <w:r>
              <w:rPr>
                <w:sz w:val="18"/>
                <w:szCs w:val="18"/>
              </w:rPr>
              <w:t>5</w:t>
            </w:r>
          </w:p>
        </w:tc>
        <w:tc>
          <w:tcPr>
            <w:tcW w:w="446" w:type="pct"/>
            <w:tcBorders>
              <w:top w:val="single" w:color="auto" w:sz="4" w:space="0"/>
              <w:left w:val="single" w:color="auto" w:sz="4" w:space="0"/>
              <w:bottom w:val="single" w:color="auto" w:sz="4" w:space="0"/>
              <w:right w:val="single" w:color="auto" w:sz="4" w:space="0"/>
            </w:tcBorders>
            <w:vAlign w:val="center"/>
          </w:tcPr>
          <w:p w14:paraId="58587176">
            <w:pPr>
              <w:spacing w:line="276" w:lineRule="auto"/>
              <w:jc w:val="center"/>
              <w:rPr>
                <w:sz w:val="18"/>
                <w:szCs w:val="18"/>
              </w:rPr>
            </w:pPr>
            <w:r>
              <w:rPr>
                <w:sz w:val="18"/>
                <w:szCs w:val="18"/>
              </w:rPr>
              <w:t>2-53</w:t>
            </w:r>
          </w:p>
        </w:tc>
        <w:tc>
          <w:tcPr>
            <w:tcW w:w="1023" w:type="pct"/>
            <w:tcBorders>
              <w:top w:val="single" w:color="auto" w:sz="4" w:space="0"/>
              <w:left w:val="single" w:color="auto" w:sz="4" w:space="0"/>
              <w:bottom w:val="single" w:color="auto" w:sz="4" w:space="0"/>
              <w:right w:val="single" w:color="auto" w:sz="4" w:space="0"/>
            </w:tcBorders>
            <w:vAlign w:val="center"/>
          </w:tcPr>
          <w:p w14:paraId="2ED13114">
            <w:pPr>
              <w:spacing w:line="276" w:lineRule="auto"/>
              <w:jc w:val="center"/>
              <w:rPr>
                <w:sz w:val="18"/>
                <w:szCs w:val="18"/>
              </w:rPr>
            </w:pPr>
            <w:r>
              <w:rPr>
                <w:sz w:val="18"/>
                <w:szCs w:val="18"/>
              </w:rPr>
              <w:t>喷射水泥砂浆（每增减10mm）</w:t>
            </w:r>
          </w:p>
        </w:tc>
        <w:tc>
          <w:tcPr>
            <w:tcW w:w="1025" w:type="pct"/>
            <w:tcBorders>
              <w:top w:val="single" w:color="auto" w:sz="4" w:space="0"/>
              <w:left w:val="single" w:color="auto" w:sz="4" w:space="0"/>
              <w:bottom w:val="single" w:color="auto" w:sz="4" w:space="0"/>
              <w:right w:val="single" w:color="auto" w:sz="4" w:space="0"/>
            </w:tcBorders>
            <w:vAlign w:val="center"/>
          </w:tcPr>
          <w:p w14:paraId="54526A82">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04F98223">
            <w:pPr>
              <w:spacing w:line="276" w:lineRule="auto"/>
              <w:jc w:val="center"/>
              <w:rPr>
                <w:sz w:val="18"/>
                <w:szCs w:val="18"/>
              </w:rPr>
            </w:pPr>
            <w:r>
              <w:rPr>
                <w:sz w:val="18"/>
                <w:szCs w:val="18"/>
              </w:rPr>
              <w:t>2.75</w:t>
            </w:r>
          </w:p>
        </w:tc>
        <w:tc>
          <w:tcPr>
            <w:tcW w:w="799" w:type="pct"/>
            <w:tcBorders>
              <w:top w:val="single" w:color="auto" w:sz="4" w:space="0"/>
              <w:left w:val="single" w:color="auto" w:sz="4" w:space="0"/>
              <w:bottom w:val="single" w:color="auto" w:sz="4" w:space="0"/>
              <w:right w:val="single" w:color="auto" w:sz="4" w:space="0"/>
            </w:tcBorders>
            <w:vAlign w:val="center"/>
          </w:tcPr>
          <w:p w14:paraId="6D57C014">
            <w:pPr>
              <w:spacing w:line="276" w:lineRule="auto"/>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419" w:type="pct"/>
            <w:tcBorders>
              <w:top w:val="single" w:color="auto" w:sz="4" w:space="0"/>
              <w:left w:val="single" w:color="auto" w:sz="4" w:space="0"/>
              <w:bottom w:val="single" w:color="auto" w:sz="4" w:space="0"/>
              <w:right w:val="single" w:color="auto" w:sz="4" w:space="0"/>
            </w:tcBorders>
            <w:vAlign w:val="center"/>
          </w:tcPr>
          <w:p w14:paraId="560949F8">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68B73918">
            <w:pPr>
              <w:spacing w:line="276" w:lineRule="auto"/>
              <w:jc w:val="center"/>
              <w:rPr>
                <w:sz w:val="18"/>
                <w:szCs w:val="18"/>
              </w:rPr>
            </w:pPr>
          </w:p>
        </w:tc>
      </w:tr>
      <w:tr w14:paraId="7832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Borders>
              <w:top w:val="single" w:color="auto" w:sz="4" w:space="0"/>
              <w:left w:val="single" w:color="auto" w:sz="4" w:space="0"/>
              <w:bottom w:val="single" w:color="auto" w:sz="4" w:space="0"/>
              <w:right w:val="single" w:color="auto" w:sz="4" w:space="0"/>
            </w:tcBorders>
            <w:vAlign w:val="center"/>
          </w:tcPr>
          <w:p w14:paraId="3933D8C8">
            <w:pPr>
              <w:spacing w:line="276" w:lineRule="auto"/>
              <w:jc w:val="center"/>
              <w:rPr>
                <w:sz w:val="18"/>
                <w:szCs w:val="18"/>
              </w:rPr>
            </w:pPr>
            <w:r>
              <w:rPr>
                <w:rFonts w:hint="eastAsia"/>
                <w:sz w:val="18"/>
                <w:szCs w:val="18"/>
              </w:rPr>
              <w:t>2</w:t>
            </w:r>
            <w:r>
              <w:rPr>
                <w:sz w:val="18"/>
                <w:szCs w:val="18"/>
              </w:rPr>
              <w:t>6</w:t>
            </w:r>
          </w:p>
        </w:tc>
        <w:tc>
          <w:tcPr>
            <w:tcW w:w="446" w:type="pct"/>
            <w:tcBorders>
              <w:top w:val="single" w:color="auto" w:sz="4" w:space="0"/>
              <w:left w:val="single" w:color="auto" w:sz="4" w:space="0"/>
              <w:bottom w:val="single" w:color="auto" w:sz="4" w:space="0"/>
              <w:right w:val="single" w:color="auto" w:sz="4" w:space="0"/>
            </w:tcBorders>
            <w:vAlign w:val="center"/>
          </w:tcPr>
          <w:p w14:paraId="4F436719">
            <w:pPr>
              <w:spacing w:line="276" w:lineRule="auto"/>
              <w:jc w:val="center"/>
              <w:rPr>
                <w:sz w:val="18"/>
                <w:szCs w:val="18"/>
              </w:rPr>
            </w:pPr>
            <w:r>
              <w:rPr>
                <w:sz w:val="18"/>
                <w:szCs w:val="18"/>
              </w:rPr>
              <w:t>暂无</w:t>
            </w:r>
          </w:p>
        </w:tc>
        <w:tc>
          <w:tcPr>
            <w:tcW w:w="1023" w:type="pct"/>
            <w:tcBorders>
              <w:top w:val="single" w:color="auto" w:sz="4" w:space="0"/>
              <w:left w:val="single" w:color="auto" w:sz="4" w:space="0"/>
              <w:bottom w:val="single" w:color="auto" w:sz="4" w:space="0"/>
              <w:right w:val="single" w:color="auto" w:sz="4" w:space="0"/>
            </w:tcBorders>
            <w:vAlign w:val="center"/>
          </w:tcPr>
          <w:p w14:paraId="3F8148C4">
            <w:pPr>
              <w:spacing w:line="276" w:lineRule="auto"/>
              <w:jc w:val="center"/>
              <w:rPr>
                <w:sz w:val="18"/>
                <w:szCs w:val="18"/>
              </w:rPr>
            </w:pPr>
            <w:r>
              <w:rPr>
                <w:sz w:val="18"/>
                <w:szCs w:val="18"/>
              </w:rPr>
              <w:t>降水</w:t>
            </w:r>
          </w:p>
        </w:tc>
        <w:tc>
          <w:tcPr>
            <w:tcW w:w="1025" w:type="pct"/>
            <w:tcBorders>
              <w:top w:val="single" w:color="auto" w:sz="4" w:space="0"/>
              <w:left w:val="single" w:color="auto" w:sz="4" w:space="0"/>
              <w:bottom w:val="single" w:color="auto" w:sz="4" w:space="0"/>
              <w:right w:val="single" w:color="auto" w:sz="4" w:space="0"/>
            </w:tcBorders>
            <w:vAlign w:val="center"/>
          </w:tcPr>
          <w:p w14:paraId="6CB7CF6F">
            <w:pPr>
              <w:spacing w:line="276" w:lineRule="auto"/>
              <w:jc w:val="center"/>
              <w:rPr>
                <w:sz w:val="18"/>
                <w:szCs w:val="18"/>
              </w:rPr>
            </w:pPr>
          </w:p>
        </w:tc>
        <w:tc>
          <w:tcPr>
            <w:tcW w:w="555" w:type="pct"/>
            <w:tcBorders>
              <w:top w:val="single" w:color="auto" w:sz="4" w:space="0"/>
              <w:left w:val="single" w:color="auto" w:sz="4" w:space="0"/>
              <w:bottom w:val="single" w:color="auto" w:sz="4" w:space="0"/>
              <w:right w:val="single" w:color="auto" w:sz="4" w:space="0"/>
            </w:tcBorders>
            <w:vAlign w:val="center"/>
          </w:tcPr>
          <w:p w14:paraId="545CA095">
            <w:pPr>
              <w:spacing w:line="276" w:lineRule="auto"/>
              <w:jc w:val="center"/>
              <w:rPr>
                <w:sz w:val="18"/>
                <w:szCs w:val="18"/>
              </w:rPr>
            </w:pPr>
            <w:r>
              <w:rPr>
                <w:sz w:val="18"/>
                <w:szCs w:val="18"/>
              </w:rPr>
              <w:t>0.88</w:t>
            </w:r>
          </w:p>
        </w:tc>
        <w:tc>
          <w:tcPr>
            <w:tcW w:w="799" w:type="pct"/>
            <w:tcBorders>
              <w:top w:val="single" w:color="auto" w:sz="4" w:space="0"/>
              <w:left w:val="single" w:color="auto" w:sz="4" w:space="0"/>
              <w:bottom w:val="single" w:color="auto" w:sz="4" w:space="0"/>
              <w:right w:val="single" w:color="auto" w:sz="4" w:space="0"/>
            </w:tcBorders>
            <w:vAlign w:val="center"/>
          </w:tcPr>
          <w:p w14:paraId="63BEB758">
            <w:pPr>
              <w:spacing w:line="276" w:lineRule="auto"/>
              <w:jc w:val="center"/>
              <w:rPr>
                <w:sz w:val="18"/>
                <w:szCs w:val="18"/>
              </w:rPr>
            </w:pPr>
            <w:r>
              <w:rPr>
                <w:sz w:val="18"/>
                <w:szCs w:val="18"/>
              </w:rPr>
              <w:t>kgCO</w:t>
            </w:r>
            <w:r>
              <w:rPr>
                <w:sz w:val="18"/>
                <w:szCs w:val="18"/>
                <w:vertAlign w:val="subscript"/>
              </w:rPr>
              <w:t>2</w:t>
            </w:r>
            <w:r>
              <w:rPr>
                <w:sz w:val="18"/>
                <w:szCs w:val="18"/>
              </w:rPr>
              <w:t>e/kwh</w:t>
            </w:r>
          </w:p>
        </w:tc>
        <w:tc>
          <w:tcPr>
            <w:tcW w:w="419" w:type="pct"/>
            <w:tcBorders>
              <w:top w:val="single" w:color="auto" w:sz="4" w:space="0"/>
              <w:left w:val="single" w:color="auto" w:sz="4" w:space="0"/>
              <w:bottom w:val="single" w:color="auto" w:sz="4" w:space="0"/>
              <w:right w:val="single" w:color="auto" w:sz="4" w:space="0"/>
            </w:tcBorders>
            <w:vAlign w:val="center"/>
          </w:tcPr>
          <w:p w14:paraId="51424D6A">
            <w:pPr>
              <w:spacing w:line="276" w:lineRule="auto"/>
              <w:jc w:val="center"/>
              <w:rPr>
                <w:sz w:val="18"/>
                <w:szCs w:val="18"/>
              </w:rPr>
            </w:pPr>
            <w:r>
              <w:rPr>
                <w:rFonts w:hint="eastAsia"/>
                <w:sz w:val="18"/>
                <w:szCs w:val="18"/>
              </w:rPr>
              <w:t>1</w:t>
            </w:r>
            <w:r>
              <w:rPr>
                <w:sz w:val="18"/>
                <w:szCs w:val="18"/>
              </w:rPr>
              <w:t>.00</w:t>
            </w:r>
          </w:p>
        </w:tc>
        <w:tc>
          <w:tcPr>
            <w:tcW w:w="431" w:type="pct"/>
            <w:tcBorders>
              <w:top w:val="single" w:color="auto" w:sz="4" w:space="0"/>
              <w:left w:val="single" w:color="auto" w:sz="4" w:space="0"/>
              <w:bottom w:val="single" w:color="auto" w:sz="4" w:space="0"/>
              <w:right w:val="single" w:color="auto" w:sz="4" w:space="0"/>
            </w:tcBorders>
            <w:vAlign w:val="center"/>
          </w:tcPr>
          <w:p w14:paraId="4BC11DAB">
            <w:pPr>
              <w:spacing w:line="276" w:lineRule="auto"/>
              <w:jc w:val="center"/>
              <w:rPr>
                <w:sz w:val="18"/>
                <w:szCs w:val="18"/>
              </w:rPr>
            </w:pPr>
          </w:p>
        </w:tc>
      </w:tr>
    </w:tbl>
    <w:p w14:paraId="1AC91887">
      <w:pPr>
        <w:spacing w:line="276" w:lineRule="auto"/>
        <w:jc w:val="center"/>
        <w:rPr>
          <w:b/>
          <w:sz w:val="20"/>
          <w:szCs w:val="20"/>
        </w:rPr>
      </w:pPr>
    </w:p>
    <w:p w14:paraId="40C6FB25">
      <w:pPr>
        <w:spacing w:line="276" w:lineRule="auto"/>
        <w:rPr>
          <w:bCs/>
          <w:sz w:val="20"/>
          <w:szCs w:val="20"/>
        </w:rPr>
      </w:pPr>
      <w:r>
        <w:rPr>
          <w:b/>
          <w:sz w:val="20"/>
          <w:szCs w:val="20"/>
        </w:rPr>
        <w:t xml:space="preserve">D.0.12  </w:t>
      </w:r>
      <w:r>
        <w:rPr>
          <w:rFonts w:hint="eastAsia"/>
          <w:bCs/>
          <w:sz w:val="20"/>
          <w:szCs w:val="20"/>
        </w:rPr>
        <w:t>基坑工程碳排放量计算结果可参考表D.0.</w:t>
      </w:r>
      <w:r>
        <w:rPr>
          <w:bCs/>
          <w:sz w:val="20"/>
          <w:szCs w:val="20"/>
        </w:rPr>
        <w:t>12</w:t>
      </w:r>
      <w:r>
        <w:rPr>
          <w:rFonts w:hint="eastAsia"/>
          <w:bCs/>
          <w:sz w:val="20"/>
          <w:szCs w:val="20"/>
        </w:rPr>
        <w:t>填写。</w:t>
      </w:r>
    </w:p>
    <w:p w14:paraId="03B63264">
      <w:pPr>
        <w:spacing w:line="276" w:lineRule="auto"/>
        <w:jc w:val="center"/>
        <w:rPr>
          <w:rFonts w:ascii="宋体" w:hAnsi="宋体" w:cstheme="majorBidi"/>
          <w:b/>
          <w:sz w:val="20"/>
          <w:szCs w:val="20"/>
        </w:rPr>
      </w:pPr>
      <w:r>
        <w:rPr>
          <w:b/>
          <w:sz w:val="20"/>
          <w:szCs w:val="20"/>
        </w:rPr>
        <w:t xml:space="preserve">表D.0.12  </w:t>
      </w:r>
      <w:r>
        <w:rPr>
          <w:rFonts w:ascii="宋体" w:hAnsi="宋体" w:cstheme="majorBidi"/>
          <w:b/>
          <w:sz w:val="20"/>
          <w:szCs w:val="20"/>
        </w:rPr>
        <w:t>基坑工程支护碳排放指标表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1341"/>
        <w:gridCol w:w="1532"/>
        <w:gridCol w:w="2119"/>
        <w:gridCol w:w="1532"/>
        <w:gridCol w:w="1839"/>
      </w:tblGrid>
      <w:tr w14:paraId="0DC4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14:paraId="4293EDB7">
            <w:pPr>
              <w:spacing w:before="156" w:beforeLines="50" w:line="276" w:lineRule="auto"/>
              <w:jc w:val="center"/>
              <w:outlineLvl w:val="2"/>
              <w:rPr>
                <w:rFonts w:eastAsiaTheme="minorEastAsia"/>
                <w:spacing w:val="-2"/>
                <w:sz w:val="20"/>
                <w:szCs w:val="20"/>
              </w:rPr>
            </w:pPr>
            <w:bookmarkStart w:id="137" w:name="_Toc139613763"/>
            <w:r>
              <w:rPr>
                <w:rFonts w:eastAsiaTheme="minorEastAsia"/>
                <w:spacing w:val="-2"/>
                <w:sz w:val="20"/>
                <w:szCs w:val="20"/>
              </w:rPr>
              <w:t>工程名称</w:t>
            </w:r>
            <w:bookmarkEnd w:id="137"/>
          </w:p>
        </w:tc>
        <w:tc>
          <w:tcPr>
            <w:tcW w:w="4148" w:type="pct"/>
            <w:gridSpan w:val="5"/>
          </w:tcPr>
          <w:p w14:paraId="014CF38F">
            <w:pPr>
              <w:spacing w:before="156" w:beforeLines="50" w:line="276" w:lineRule="auto"/>
              <w:jc w:val="center"/>
              <w:outlineLvl w:val="2"/>
              <w:rPr>
                <w:rFonts w:eastAsiaTheme="minorEastAsia"/>
                <w:spacing w:val="-2"/>
                <w:sz w:val="20"/>
                <w:szCs w:val="20"/>
              </w:rPr>
            </w:pPr>
          </w:p>
        </w:tc>
      </w:tr>
      <w:tr w14:paraId="35E9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14:paraId="7058D312">
            <w:pPr>
              <w:spacing w:before="156" w:beforeLines="50" w:line="276" w:lineRule="auto"/>
              <w:jc w:val="center"/>
              <w:outlineLvl w:val="2"/>
              <w:rPr>
                <w:rFonts w:eastAsiaTheme="minorEastAsia"/>
                <w:spacing w:val="-2"/>
                <w:sz w:val="20"/>
                <w:szCs w:val="20"/>
              </w:rPr>
            </w:pPr>
            <w:bookmarkStart w:id="138" w:name="_Toc139613764"/>
            <w:r>
              <w:rPr>
                <w:rFonts w:eastAsiaTheme="minorEastAsia"/>
                <w:spacing w:val="-2"/>
                <w:sz w:val="20"/>
                <w:szCs w:val="20"/>
              </w:rPr>
              <w:t>支护形式</w:t>
            </w:r>
            <w:bookmarkEnd w:id="138"/>
          </w:p>
        </w:tc>
        <w:tc>
          <w:tcPr>
            <w:tcW w:w="4148" w:type="pct"/>
            <w:gridSpan w:val="5"/>
          </w:tcPr>
          <w:p w14:paraId="6CE4E651">
            <w:pPr>
              <w:spacing w:before="156" w:beforeLines="50" w:line="276" w:lineRule="auto"/>
              <w:jc w:val="center"/>
              <w:outlineLvl w:val="2"/>
              <w:rPr>
                <w:rFonts w:eastAsiaTheme="minorEastAsia"/>
                <w:spacing w:val="-2"/>
                <w:sz w:val="20"/>
                <w:szCs w:val="20"/>
              </w:rPr>
            </w:pPr>
          </w:p>
        </w:tc>
      </w:tr>
      <w:tr w14:paraId="6AF2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14:paraId="0297DA04">
            <w:pPr>
              <w:spacing w:before="156" w:beforeLines="50" w:line="276" w:lineRule="auto"/>
              <w:jc w:val="center"/>
              <w:outlineLvl w:val="2"/>
              <w:rPr>
                <w:rFonts w:eastAsiaTheme="minorEastAsia"/>
                <w:spacing w:val="-2"/>
                <w:sz w:val="20"/>
                <w:szCs w:val="20"/>
              </w:rPr>
            </w:pPr>
            <w:bookmarkStart w:id="139" w:name="_Toc139613765"/>
            <w:r>
              <w:rPr>
                <w:rFonts w:eastAsiaTheme="minorEastAsia"/>
                <w:spacing w:val="-2"/>
                <w:sz w:val="20"/>
                <w:szCs w:val="20"/>
              </w:rPr>
              <w:t>碳排放量计算人</w:t>
            </w:r>
            <w:bookmarkEnd w:id="139"/>
          </w:p>
        </w:tc>
        <w:tc>
          <w:tcPr>
            <w:tcW w:w="4148" w:type="pct"/>
            <w:gridSpan w:val="5"/>
          </w:tcPr>
          <w:p w14:paraId="316974D5">
            <w:pPr>
              <w:spacing w:before="156" w:beforeLines="50" w:line="276" w:lineRule="auto"/>
              <w:jc w:val="center"/>
              <w:outlineLvl w:val="2"/>
              <w:rPr>
                <w:rFonts w:eastAsiaTheme="minorEastAsia"/>
                <w:spacing w:val="-2"/>
                <w:sz w:val="20"/>
                <w:szCs w:val="20"/>
              </w:rPr>
            </w:pPr>
          </w:p>
        </w:tc>
      </w:tr>
      <w:tr w14:paraId="2ED7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14:paraId="521E6DE5">
            <w:pPr>
              <w:spacing w:before="156" w:beforeLines="50" w:line="276" w:lineRule="auto"/>
              <w:jc w:val="center"/>
              <w:outlineLvl w:val="2"/>
              <w:rPr>
                <w:rFonts w:eastAsiaTheme="minorEastAsia"/>
                <w:spacing w:val="-2"/>
                <w:sz w:val="20"/>
                <w:szCs w:val="20"/>
              </w:rPr>
            </w:pPr>
            <w:bookmarkStart w:id="140" w:name="_Toc139613766"/>
            <w:r>
              <w:rPr>
                <w:rFonts w:eastAsiaTheme="minorEastAsia"/>
                <w:spacing w:val="-2"/>
                <w:sz w:val="20"/>
                <w:szCs w:val="20"/>
              </w:rPr>
              <w:t>审核</w:t>
            </w:r>
            <w:bookmarkEnd w:id="140"/>
          </w:p>
        </w:tc>
        <w:tc>
          <w:tcPr>
            <w:tcW w:w="4148" w:type="pct"/>
            <w:gridSpan w:val="5"/>
          </w:tcPr>
          <w:p w14:paraId="15EDF697">
            <w:pPr>
              <w:spacing w:before="156" w:beforeLines="50" w:line="276" w:lineRule="auto"/>
              <w:jc w:val="center"/>
              <w:outlineLvl w:val="2"/>
              <w:rPr>
                <w:rFonts w:eastAsiaTheme="minorEastAsia"/>
                <w:spacing w:val="-2"/>
                <w:sz w:val="20"/>
                <w:szCs w:val="20"/>
              </w:rPr>
            </w:pPr>
          </w:p>
        </w:tc>
      </w:tr>
      <w:tr w14:paraId="465E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Pr>
          <w:p w14:paraId="1C8753EA">
            <w:pPr>
              <w:spacing w:before="156" w:beforeLines="50" w:line="276" w:lineRule="auto"/>
              <w:jc w:val="center"/>
              <w:outlineLvl w:val="2"/>
              <w:rPr>
                <w:rFonts w:eastAsiaTheme="minorEastAsia"/>
                <w:spacing w:val="-2"/>
                <w:sz w:val="20"/>
                <w:szCs w:val="20"/>
              </w:rPr>
            </w:pPr>
            <w:bookmarkStart w:id="141" w:name="_Toc139613767"/>
            <w:r>
              <w:rPr>
                <w:rFonts w:eastAsiaTheme="minorEastAsia"/>
                <w:spacing w:val="-2"/>
                <w:sz w:val="20"/>
                <w:szCs w:val="20"/>
              </w:rPr>
              <w:t>基坑设计参数</w:t>
            </w:r>
            <w:bookmarkEnd w:id="141"/>
          </w:p>
        </w:tc>
      </w:tr>
      <w:tr w14:paraId="6AB4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14:paraId="64B98B92">
            <w:pPr>
              <w:spacing w:before="156" w:beforeLines="50" w:line="276" w:lineRule="auto"/>
              <w:jc w:val="center"/>
              <w:outlineLvl w:val="2"/>
              <w:rPr>
                <w:rFonts w:eastAsiaTheme="minorEastAsia"/>
                <w:spacing w:val="-2"/>
                <w:sz w:val="20"/>
                <w:szCs w:val="20"/>
              </w:rPr>
            </w:pPr>
            <w:bookmarkStart w:id="142" w:name="_Toc139613768"/>
            <w:r>
              <w:rPr>
                <w:rFonts w:eastAsiaTheme="minorEastAsia"/>
                <w:spacing w:val="-2"/>
                <w:sz w:val="20"/>
                <w:szCs w:val="20"/>
              </w:rPr>
              <w:t>支护面积（m</w:t>
            </w:r>
            <w:r>
              <w:rPr>
                <w:rFonts w:eastAsiaTheme="minorEastAsia"/>
                <w:spacing w:val="-2"/>
                <w:sz w:val="20"/>
                <w:szCs w:val="20"/>
                <w:vertAlign w:val="superscript"/>
              </w:rPr>
              <w:t>2</w:t>
            </w:r>
            <w:r>
              <w:rPr>
                <w:rFonts w:eastAsiaTheme="minorEastAsia"/>
                <w:spacing w:val="-2"/>
                <w:sz w:val="20"/>
                <w:szCs w:val="20"/>
              </w:rPr>
              <w:t>）</w:t>
            </w:r>
            <w:bookmarkEnd w:id="142"/>
          </w:p>
        </w:tc>
        <w:tc>
          <w:tcPr>
            <w:tcW w:w="665" w:type="pct"/>
          </w:tcPr>
          <w:p w14:paraId="2F6E9930">
            <w:pPr>
              <w:spacing w:before="156" w:beforeLines="50" w:line="276" w:lineRule="auto"/>
              <w:jc w:val="center"/>
              <w:outlineLvl w:val="2"/>
              <w:rPr>
                <w:rFonts w:eastAsiaTheme="minorEastAsia"/>
                <w:spacing w:val="-2"/>
                <w:sz w:val="20"/>
                <w:szCs w:val="20"/>
              </w:rPr>
            </w:pPr>
            <w:bookmarkStart w:id="143" w:name="_Toc139613769"/>
            <w:r>
              <w:rPr>
                <w:rFonts w:eastAsiaTheme="minorEastAsia"/>
                <w:spacing w:val="-2"/>
                <w:sz w:val="20"/>
                <w:szCs w:val="20"/>
              </w:rPr>
              <w:t>基坑体积(m</w:t>
            </w:r>
            <w:r>
              <w:rPr>
                <w:rFonts w:eastAsiaTheme="minorEastAsia"/>
                <w:spacing w:val="-2"/>
                <w:sz w:val="20"/>
                <w:szCs w:val="20"/>
                <w:vertAlign w:val="superscript"/>
              </w:rPr>
              <w:t>3</w:t>
            </w:r>
            <w:r>
              <w:rPr>
                <w:rFonts w:eastAsiaTheme="minorEastAsia"/>
                <w:spacing w:val="-2"/>
                <w:sz w:val="20"/>
                <w:szCs w:val="20"/>
              </w:rPr>
              <w:t>)</w:t>
            </w:r>
            <w:bookmarkEnd w:id="143"/>
          </w:p>
        </w:tc>
        <w:tc>
          <w:tcPr>
            <w:tcW w:w="760" w:type="pct"/>
          </w:tcPr>
          <w:p w14:paraId="115E3582">
            <w:pPr>
              <w:spacing w:before="156" w:beforeLines="50" w:line="276" w:lineRule="auto"/>
              <w:jc w:val="center"/>
              <w:outlineLvl w:val="2"/>
              <w:rPr>
                <w:rFonts w:eastAsiaTheme="minorEastAsia"/>
                <w:spacing w:val="-2"/>
                <w:sz w:val="20"/>
                <w:szCs w:val="20"/>
              </w:rPr>
            </w:pPr>
            <w:bookmarkStart w:id="144" w:name="_Toc139613770"/>
            <w:r>
              <w:rPr>
                <w:rFonts w:eastAsiaTheme="minorEastAsia"/>
                <w:spacing w:val="-2"/>
                <w:sz w:val="20"/>
                <w:szCs w:val="20"/>
              </w:rPr>
              <w:t>混凝土支撑量(m</w:t>
            </w:r>
            <w:r>
              <w:rPr>
                <w:rFonts w:eastAsiaTheme="minorEastAsia"/>
                <w:spacing w:val="-2"/>
                <w:sz w:val="20"/>
                <w:szCs w:val="20"/>
                <w:vertAlign w:val="superscript"/>
              </w:rPr>
              <w:t>3</w:t>
            </w:r>
            <w:r>
              <w:rPr>
                <w:rFonts w:eastAsiaTheme="minorEastAsia"/>
                <w:spacing w:val="-2"/>
                <w:sz w:val="20"/>
                <w:szCs w:val="20"/>
              </w:rPr>
              <w:t>)</w:t>
            </w:r>
            <w:bookmarkEnd w:id="144"/>
          </w:p>
        </w:tc>
        <w:tc>
          <w:tcPr>
            <w:tcW w:w="1051" w:type="pct"/>
          </w:tcPr>
          <w:p w14:paraId="541D8194">
            <w:pPr>
              <w:spacing w:before="156" w:beforeLines="50"/>
              <w:jc w:val="center"/>
              <w:outlineLvl w:val="2"/>
              <w:rPr>
                <w:rFonts w:eastAsiaTheme="minorEastAsia"/>
                <w:spacing w:val="-2"/>
                <w:sz w:val="20"/>
                <w:szCs w:val="20"/>
              </w:rPr>
            </w:pPr>
            <w:bookmarkStart w:id="145" w:name="_Toc139613771"/>
            <w:r>
              <w:rPr>
                <w:rFonts w:eastAsiaTheme="minorEastAsia"/>
                <w:spacing w:val="-2"/>
                <w:sz w:val="20"/>
                <w:szCs w:val="20"/>
              </w:rPr>
              <w:t>钢支撑量</w:t>
            </w:r>
            <w:bookmarkEnd w:id="145"/>
          </w:p>
          <w:p w14:paraId="2F29A9FC">
            <w:pPr>
              <w:spacing w:before="156" w:beforeLines="50"/>
              <w:jc w:val="center"/>
              <w:outlineLvl w:val="2"/>
              <w:rPr>
                <w:rFonts w:eastAsiaTheme="minorEastAsia"/>
                <w:spacing w:val="-2"/>
                <w:sz w:val="20"/>
                <w:szCs w:val="20"/>
              </w:rPr>
            </w:pPr>
            <w:bookmarkStart w:id="146" w:name="_Toc139613772"/>
            <w:r>
              <w:rPr>
                <w:rFonts w:eastAsiaTheme="minorEastAsia"/>
                <w:spacing w:val="-2"/>
                <w:sz w:val="20"/>
                <w:szCs w:val="20"/>
              </w:rPr>
              <w:t>(</w:t>
            </w:r>
            <w:r>
              <w:rPr>
                <w:rFonts w:hint="eastAsia" w:eastAsiaTheme="minorEastAsia"/>
                <w:spacing w:val="-2"/>
                <w:sz w:val="20"/>
                <w:szCs w:val="20"/>
              </w:rPr>
              <w:t>T</w:t>
            </w:r>
            <w:r>
              <w:rPr>
                <w:rFonts w:eastAsiaTheme="minorEastAsia"/>
                <w:spacing w:val="-2"/>
                <w:sz w:val="20"/>
                <w:szCs w:val="20"/>
              </w:rPr>
              <w:t>)</w:t>
            </w:r>
            <w:bookmarkEnd w:id="146"/>
          </w:p>
        </w:tc>
        <w:tc>
          <w:tcPr>
            <w:tcW w:w="760" w:type="pct"/>
          </w:tcPr>
          <w:p w14:paraId="69AF799A">
            <w:pPr>
              <w:spacing w:before="156" w:beforeLines="50" w:line="276" w:lineRule="auto"/>
              <w:jc w:val="center"/>
              <w:outlineLvl w:val="2"/>
              <w:rPr>
                <w:rFonts w:eastAsiaTheme="minorEastAsia"/>
                <w:spacing w:val="-2"/>
                <w:sz w:val="20"/>
                <w:szCs w:val="20"/>
              </w:rPr>
            </w:pPr>
            <w:bookmarkStart w:id="147" w:name="_Toc139613773"/>
            <w:r>
              <w:rPr>
                <w:rFonts w:eastAsiaTheme="minorEastAsia"/>
                <w:spacing w:val="-2"/>
                <w:sz w:val="20"/>
                <w:szCs w:val="20"/>
              </w:rPr>
              <w:t>土方工程量(m</w:t>
            </w:r>
            <w:r>
              <w:rPr>
                <w:rFonts w:eastAsiaTheme="minorEastAsia"/>
                <w:spacing w:val="-2"/>
                <w:sz w:val="20"/>
                <w:szCs w:val="20"/>
                <w:vertAlign w:val="superscript"/>
              </w:rPr>
              <w:t>3</w:t>
            </w:r>
            <w:r>
              <w:rPr>
                <w:rFonts w:eastAsiaTheme="minorEastAsia"/>
                <w:spacing w:val="-2"/>
                <w:sz w:val="20"/>
                <w:szCs w:val="20"/>
              </w:rPr>
              <w:t>)</w:t>
            </w:r>
            <w:bookmarkEnd w:id="147"/>
          </w:p>
        </w:tc>
        <w:tc>
          <w:tcPr>
            <w:tcW w:w="912" w:type="pct"/>
          </w:tcPr>
          <w:p w14:paraId="29180CC9">
            <w:pPr>
              <w:spacing w:before="156" w:beforeLines="50" w:line="276" w:lineRule="auto"/>
              <w:jc w:val="center"/>
              <w:outlineLvl w:val="2"/>
              <w:rPr>
                <w:rFonts w:eastAsiaTheme="minorEastAsia"/>
                <w:spacing w:val="-2"/>
                <w:sz w:val="20"/>
                <w:szCs w:val="20"/>
              </w:rPr>
            </w:pPr>
            <w:bookmarkStart w:id="148" w:name="_Toc139613774"/>
            <w:r>
              <w:rPr>
                <w:rFonts w:eastAsiaTheme="minorEastAsia"/>
                <w:spacing w:val="-2"/>
                <w:sz w:val="20"/>
                <w:szCs w:val="20"/>
              </w:rPr>
              <w:t>地下水控制面积（m</w:t>
            </w:r>
            <w:r>
              <w:rPr>
                <w:rFonts w:eastAsiaTheme="minorEastAsia"/>
                <w:spacing w:val="-2"/>
                <w:sz w:val="20"/>
                <w:szCs w:val="20"/>
                <w:vertAlign w:val="superscript"/>
              </w:rPr>
              <w:t>2</w:t>
            </w:r>
            <w:r>
              <w:rPr>
                <w:rFonts w:eastAsiaTheme="minorEastAsia"/>
                <w:spacing w:val="-2"/>
                <w:sz w:val="20"/>
                <w:szCs w:val="20"/>
              </w:rPr>
              <w:t>）</w:t>
            </w:r>
            <w:bookmarkEnd w:id="148"/>
          </w:p>
        </w:tc>
      </w:tr>
      <w:tr w14:paraId="25FC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Pr>
          <w:p w14:paraId="7CB3F734">
            <w:pPr>
              <w:spacing w:before="156" w:beforeLines="50" w:line="276" w:lineRule="auto"/>
              <w:jc w:val="center"/>
              <w:outlineLvl w:val="2"/>
              <w:rPr>
                <w:rFonts w:eastAsiaTheme="minorEastAsia"/>
                <w:spacing w:val="-2"/>
                <w:sz w:val="20"/>
                <w:szCs w:val="20"/>
              </w:rPr>
            </w:pPr>
          </w:p>
        </w:tc>
        <w:tc>
          <w:tcPr>
            <w:tcW w:w="665" w:type="pct"/>
          </w:tcPr>
          <w:p w14:paraId="6081533C">
            <w:pPr>
              <w:spacing w:before="156" w:beforeLines="50" w:line="276" w:lineRule="auto"/>
              <w:jc w:val="center"/>
              <w:outlineLvl w:val="2"/>
              <w:rPr>
                <w:rFonts w:eastAsiaTheme="minorEastAsia"/>
                <w:spacing w:val="-2"/>
                <w:sz w:val="20"/>
                <w:szCs w:val="20"/>
              </w:rPr>
            </w:pPr>
          </w:p>
        </w:tc>
        <w:tc>
          <w:tcPr>
            <w:tcW w:w="760" w:type="pct"/>
          </w:tcPr>
          <w:p w14:paraId="54F55474">
            <w:pPr>
              <w:spacing w:before="156" w:beforeLines="50" w:line="276" w:lineRule="auto"/>
              <w:jc w:val="center"/>
              <w:outlineLvl w:val="2"/>
              <w:rPr>
                <w:rFonts w:eastAsiaTheme="minorEastAsia"/>
                <w:spacing w:val="-2"/>
                <w:sz w:val="20"/>
                <w:szCs w:val="20"/>
              </w:rPr>
            </w:pPr>
          </w:p>
        </w:tc>
        <w:tc>
          <w:tcPr>
            <w:tcW w:w="1051" w:type="pct"/>
          </w:tcPr>
          <w:p w14:paraId="51CF0497">
            <w:pPr>
              <w:spacing w:before="156" w:beforeLines="50" w:line="276" w:lineRule="auto"/>
              <w:jc w:val="center"/>
              <w:outlineLvl w:val="2"/>
              <w:rPr>
                <w:rFonts w:eastAsiaTheme="minorEastAsia"/>
                <w:spacing w:val="-2"/>
                <w:sz w:val="20"/>
                <w:szCs w:val="20"/>
              </w:rPr>
            </w:pPr>
          </w:p>
        </w:tc>
        <w:tc>
          <w:tcPr>
            <w:tcW w:w="760" w:type="pct"/>
          </w:tcPr>
          <w:p w14:paraId="1E07F27C">
            <w:pPr>
              <w:spacing w:before="156" w:beforeLines="50" w:line="276" w:lineRule="auto"/>
              <w:jc w:val="center"/>
              <w:outlineLvl w:val="2"/>
              <w:rPr>
                <w:rFonts w:eastAsiaTheme="minorEastAsia"/>
                <w:spacing w:val="-2"/>
                <w:sz w:val="20"/>
                <w:szCs w:val="20"/>
              </w:rPr>
            </w:pPr>
          </w:p>
        </w:tc>
        <w:tc>
          <w:tcPr>
            <w:tcW w:w="912" w:type="pct"/>
          </w:tcPr>
          <w:p w14:paraId="0580B925">
            <w:pPr>
              <w:spacing w:before="156" w:beforeLines="50" w:line="276" w:lineRule="auto"/>
              <w:jc w:val="center"/>
              <w:outlineLvl w:val="2"/>
              <w:rPr>
                <w:rFonts w:eastAsiaTheme="minorEastAsia"/>
                <w:spacing w:val="-2"/>
                <w:sz w:val="20"/>
                <w:szCs w:val="20"/>
              </w:rPr>
            </w:pPr>
          </w:p>
        </w:tc>
      </w:tr>
      <w:tr w14:paraId="495D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restart"/>
            <w:vAlign w:val="center"/>
          </w:tcPr>
          <w:p w14:paraId="63B7B7ED">
            <w:pPr>
              <w:spacing w:before="156" w:beforeLines="50" w:line="276" w:lineRule="auto"/>
              <w:outlineLvl w:val="2"/>
              <w:rPr>
                <w:rFonts w:eastAsiaTheme="minorEastAsia"/>
                <w:spacing w:val="-2"/>
                <w:sz w:val="20"/>
                <w:szCs w:val="20"/>
              </w:rPr>
            </w:pPr>
            <w:bookmarkStart w:id="149" w:name="_Toc139613775"/>
            <w:r>
              <w:rPr>
                <w:rFonts w:eastAsiaTheme="minorEastAsia"/>
                <w:spacing w:val="-2"/>
                <w:sz w:val="20"/>
                <w:szCs w:val="20"/>
              </w:rPr>
              <w:t>总碳排放量</w:t>
            </w:r>
            <w:r>
              <w:rPr>
                <w:rFonts w:hint="eastAsia" w:eastAsiaTheme="minorEastAsia"/>
                <w:spacing w:val="-2"/>
                <w:sz w:val="20"/>
                <w:szCs w:val="20"/>
              </w:rPr>
              <w:t>（</w:t>
            </w:r>
            <w:r>
              <w:t>kgCO</w:t>
            </w:r>
            <w:r>
              <w:rPr>
                <w:vertAlign w:val="subscript"/>
              </w:rPr>
              <w:t>2</w:t>
            </w:r>
            <w:r>
              <w:t>e</w:t>
            </w:r>
            <w:r>
              <w:rPr>
                <w:rFonts w:hint="eastAsia" w:eastAsiaTheme="minorEastAsia"/>
                <w:spacing w:val="-2"/>
                <w:sz w:val="20"/>
                <w:szCs w:val="20"/>
              </w:rPr>
              <w:t>）</w:t>
            </w:r>
            <w:bookmarkEnd w:id="149"/>
          </w:p>
        </w:tc>
        <w:tc>
          <w:tcPr>
            <w:tcW w:w="665" w:type="pct"/>
            <w:vMerge w:val="restart"/>
            <w:vAlign w:val="center"/>
          </w:tcPr>
          <w:p w14:paraId="25494AB0">
            <w:pPr>
              <w:spacing w:before="156" w:beforeLines="50" w:line="276" w:lineRule="auto"/>
              <w:outlineLvl w:val="2"/>
              <w:rPr>
                <w:rFonts w:eastAsiaTheme="minorEastAsia"/>
                <w:spacing w:val="-2"/>
                <w:sz w:val="20"/>
                <w:szCs w:val="20"/>
              </w:rPr>
            </w:pPr>
          </w:p>
        </w:tc>
        <w:tc>
          <w:tcPr>
            <w:tcW w:w="760" w:type="pct"/>
            <w:vMerge w:val="restart"/>
            <w:vAlign w:val="center"/>
          </w:tcPr>
          <w:p w14:paraId="7CA9D885">
            <w:pPr>
              <w:spacing w:before="156" w:beforeLines="50" w:line="276" w:lineRule="auto"/>
              <w:jc w:val="center"/>
              <w:outlineLvl w:val="2"/>
              <w:rPr>
                <w:rFonts w:eastAsiaTheme="minorEastAsia"/>
                <w:spacing w:val="-2"/>
                <w:sz w:val="20"/>
                <w:szCs w:val="20"/>
              </w:rPr>
            </w:pPr>
            <w:bookmarkStart w:id="150" w:name="_Toc139613776"/>
            <w:r>
              <w:rPr>
                <w:rFonts w:eastAsiaTheme="minorEastAsia"/>
                <w:spacing w:val="-2"/>
                <w:sz w:val="20"/>
                <w:szCs w:val="20"/>
              </w:rPr>
              <w:t>其中</w:t>
            </w:r>
            <w:bookmarkEnd w:id="150"/>
          </w:p>
        </w:tc>
        <w:tc>
          <w:tcPr>
            <w:tcW w:w="1051" w:type="pct"/>
          </w:tcPr>
          <w:p w14:paraId="64F2E885">
            <w:pPr>
              <w:spacing w:before="156" w:beforeLines="50" w:line="276" w:lineRule="auto"/>
              <w:jc w:val="center"/>
              <w:outlineLvl w:val="2"/>
              <w:rPr>
                <w:rFonts w:eastAsiaTheme="minorEastAsia"/>
                <w:spacing w:val="-2"/>
                <w:sz w:val="20"/>
                <w:szCs w:val="20"/>
              </w:rPr>
            </w:pPr>
            <w:bookmarkStart w:id="151" w:name="_Toc139613777"/>
            <w:r>
              <w:rPr>
                <w:rFonts w:eastAsiaTheme="minorEastAsia"/>
                <w:spacing w:val="-2"/>
                <w:sz w:val="20"/>
                <w:szCs w:val="20"/>
              </w:rPr>
              <w:t>分</w:t>
            </w:r>
            <w:r>
              <w:rPr>
                <w:rFonts w:hint="eastAsia" w:eastAsiaTheme="minorEastAsia"/>
                <w:spacing w:val="-2"/>
                <w:sz w:val="20"/>
                <w:szCs w:val="20"/>
              </w:rPr>
              <w:t>部</w:t>
            </w:r>
            <w:r>
              <w:rPr>
                <w:rFonts w:eastAsiaTheme="minorEastAsia"/>
                <w:spacing w:val="-2"/>
                <w:sz w:val="20"/>
                <w:szCs w:val="20"/>
              </w:rPr>
              <w:t>分项工程</w:t>
            </w:r>
            <w:bookmarkEnd w:id="151"/>
          </w:p>
        </w:tc>
        <w:tc>
          <w:tcPr>
            <w:tcW w:w="760" w:type="pct"/>
          </w:tcPr>
          <w:p w14:paraId="121F9023">
            <w:pPr>
              <w:spacing w:before="156" w:beforeLines="50" w:line="276" w:lineRule="auto"/>
              <w:jc w:val="center"/>
              <w:outlineLvl w:val="2"/>
              <w:rPr>
                <w:rFonts w:eastAsiaTheme="minorEastAsia"/>
                <w:spacing w:val="-2"/>
                <w:sz w:val="20"/>
                <w:szCs w:val="20"/>
              </w:rPr>
            </w:pPr>
            <w:bookmarkStart w:id="152" w:name="_Toc139613778"/>
            <w:r>
              <w:rPr>
                <w:rFonts w:eastAsiaTheme="minorEastAsia"/>
                <w:spacing w:val="-2"/>
                <w:sz w:val="20"/>
                <w:szCs w:val="20"/>
              </w:rPr>
              <w:t>碳排放量</w:t>
            </w:r>
            <w:r>
              <w:rPr>
                <w:rFonts w:hint="eastAsia" w:eastAsiaTheme="minorEastAsia"/>
                <w:spacing w:val="-2"/>
                <w:sz w:val="20"/>
                <w:szCs w:val="20"/>
              </w:rPr>
              <w:t>（</w:t>
            </w:r>
            <w:r>
              <w:t>kgCO</w:t>
            </w:r>
            <w:r>
              <w:rPr>
                <w:vertAlign w:val="subscript"/>
              </w:rPr>
              <w:t>2</w:t>
            </w:r>
            <w:r>
              <w:t>e</w:t>
            </w:r>
            <w:r>
              <w:rPr>
                <w:rFonts w:hint="eastAsia" w:eastAsiaTheme="minorEastAsia"/>
                <w:spacing w:val="-2"/>
                <w:sz w:val="20"/>
                <w:szCs w:val="20"/>
              </w:rPr>
              <w:t>）</w:t>
            </w:r>
            <w:bookmarkEnd w:id="152"/>
          </w:p>
        </w:tc>
        <w:tc>
          <w:tcPr>
            <w:tcW w:w="912" w:type="pct"/>
          </w:tcPr>
          <w:p w14:paraId="7F519195">
            <w:pPr>
              <w:spacing w:before="156" w:beforeLines="50" w:line="276" w:lineRule="auto"/>
              <w:jc w:val="center"/>
              <w:outlineLvl w:val="2"/>
              <w:rPr>
                <w:rFonts w:eastAsiaTheme="minorEastAsia"/>
                <w:spacing w:val="-2"/>
                <w:sz w:val="20"/>
                <w:szCs w:val="20"/>
              </w:rPr>
            </w:pPr>
            <w:bookmarkStart w:id="153" w:name="_Toc139613779"/>
            <w:r>
              <w:rPr>
                <w:rFonts w:eastAsiaTheme="minorEastAsia"/>
                <w:spacing w:val="-2"/>
                <w:sz w:val="20"/>
                <w:szCs w:val="20"/>
              </w:rPr>
              <w:t>总占比</w:t>
            </w:r>
            <w:bookmarkEnd w:id="153"/>
          </w:p>
        </w:tc>
      </w:tr>
      <w:tr w14:paraId="2A2A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tcPr>
          <w:p w14:paraId="30EB6900">
            <w:pPr>
              <w:spacing w:before="156" w:beforeLines="50" w:line="276" w:lineRule="auto"/>
              <w:jc w:val="center"/>
              <w:outlineLvl w:val="2"/>
              <w:rPr>
                <w:rFonts w:eastAsiaTheme="minorEastAsia"/>
                <w:spacing w:val="-2"/>
                <w:sz w:val="20"/>
                <w:szCs w:val="20"/>
              </w:rPr>
            </w:pPr>
          </w:p>
        </w:tc>
        <w:tc>
          <w:tcPr>
            <w:tcW w:w="665" w:type="pct"/>
            <w:vMerge w:val="continue"/>
          </w:tcPr>
          <w:p w14:paraId="37AFF435">
            <w:pPr>
              <w:spacing w:before="156" w:beforeLines="50" w:line="276" w:lineRule="auto"/>
              <w:jc w:val="center"/>
              <w:outlineLvl w:val="2"/>
              <w:rPr>
                <w:rFonts w:eastAsiaTheme="minorEastAsia"/>
                <w:spacing w:val="-2"/>
                <w:sz w:val="20"/>
                <w:szCs w:val="20"/>
              </w:rPr>
            </w:pPr>
          </w:p>
        </w:tc>
        <w:tc>
          <w:tcPr>
            <w:tcW w:w="760" w:type="pct"/>
            <w:vMerge w:val="continue"/>
          </w:tcPr>
          <w:p w14:paraId="05A266B8">
            <w:pPr>
              <w:spacing w:before="156" w:beforeLines="50" w:line="276" w:lineRule="auto"/>
              <w:jc w:val="center"/>
              <w:outlineLvl w:val="2"/>
              <w:rPr>
                <w:rFonts w:eastAsiaTheme="minorEastAsia"/>
                <w:spacing w:val="-2"/>
                <w:sz w:val="20"/>
                <w:szCs w:val="20"/>
              </w:rPr>
            </w:pPr>
          </w:p>
        </w:tc>
        <w:tc>
          <w:tcPr>
            <w:tcW w:w="1051" w:type="pct"/>
          </w:tcPr>
          <w:p w14:paraId="78062C44">
            <w:pPr>
              <w:spacing w:before="156" w:beforeLines="50" w:line="276" w:lineRule="auto"/>
              <w:jc w:val="center"/>
              <w:outlineLvl w:val="2"/>
              <w:rPr>
                <w:rFonts w:eastAsiaTheme="minorEastAsia"/>
                <w:spacing w:val="-2"/>
                <w:sz w:val="20"/>
                <w:szCs w:val="20"/>
              </w:rPr>
            </w:pPr>
            <w:bookmarkStart w:id="154" w:name="_Toc139613780"/>
            <w:r>
              <w:rPr>
                <w:rFonts w:eastAsiaTheme="minorEastAsia"/>
                <w:spacing w:val="-2"/>
                <w:sz w:val="20"/>
                <w:szCs w:val="20"/>
              </w:rPr>
              <w:t>支护结构</w:t>
            </w:r>
            <w:bookmarkEnd w:id="154"/>
          </w:p>
        </w:tc>
        <w:tc>
          <w:tcPr>
            <w:tcW w:w="760" w:type="pct"/>
          </w:tcPr>
          <w:p w14:paraId="29FD1455">
            <w:pPr>
              <w:spacing w:before="156" w:beforeLines="50" w:line="276" w:lineRule="auto"/>
              <w:jc w:val="center"/>
              <w:outlineLvl w:val="2"/>
              <w:rPr>
                <w:rFonts w:eastAsiaTheme="minorEastAsia"/>
                <w:spacing w:val="-2"/>
                <w:sz w:val="20"/>
                <w:szCs w:val="20"/>
              </w:rPr>
            </w:pPr>
          </w:p>
        </w:tc>
        <w:tc>
          <w:tcPr>
            <w:tcW w:w="912" w:type="pct"/>
          </w:tcPr>
          <w:p w14:paraId="5AA10303">
            <w:pPr>
              <w:spacing w:before="156" w:beforeLines="50" w:line="276" w:lineRule="auto"/>
              <w:jc w:val="center"/>
              <w:outlineLvl w:val="2"/>
              <w:rPr>
                <w:rFonts w:eastAsiaTheme="minorEastAsia"/>
                <w:spacing w:val="-2"/>
                <w:sz w:val="20"/>
                <w:szCs w:val="20"/>
              </w:rPr>
            </w:pPr>
          </w:p>
        </w:tc>
      </w:tr>
      <w:tr w14:paraId="4938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tcPr>
          <w:p w14:paraId="58AFC327">
            <w:pPr>
              <w:spacing w:before="156" w:beforeLines="50" w:line="276" w:lineRule="auto"/>
              <w:jc w:val="center"/>
              <w:outlineLvl w:val="2"/>
              <w:rPr>
                <w:rFonts w:eastAsiaTheme="minorEastAsia"/>
                <w:spacing w:val="-2"/>
                <w:sz w:val="20"/>
                <w:szCs w:val="20"/>
              </w:rPr>
            </w:pPr>
          </w:p>
        </w:tc>
        <w:tc>
          <w:tcPr>
            <w:tcW w:w="665" w:type="pct"/>
            <w:vMerge w:val="continue"/>
          </w:tcPr>
          <w:p w14:paraId="16D8E160">
            <w:pPr>
              <w:spacing w:before="156" w:beforeLines="50" w:line="276" w:lineRule="auto"/>
              <w:jc w:val="center"/>
              <w:outlineLvl w:val="2"/>
              <w:rPr>
                <w:rFonts w:eastAsiaTheme="minorEastAsia"/>
                <w:spacing w:val="-2"/>
                <w:sz w:val="20"/>
                <w:szCs w:val="20"/>
              </w:rPr>
            </w:pPr>
          </w:p>
        </w:tc>
        <w:tc>
          <w:tcPr>
            <w:tcW w:w="760" w:type="pct"/>
            <w:vMerge w:val="continue"/>
          </w:tcPr>
          <w:p w14:paraId="0636514F">
            <w:pPr>
              <w:spacing w:before="156" w:beforeLines="50" w:line="276" w:lineRule="auto"/>
              <w:jc w:val="center"/>
              <w:outlineLvl w:val="2"/>
              <w:rPr>
                <w:rFonts w:eastAsiaTheme="minorEastAsia"/>
                <w:spacing w:val="-2"/>
                <w:sz w:val="20"/>
                <w:szCs w:val="20"/>
              </w:rPr>
            </w:pPr>
          </w:p>
        </w:tc>
        <w:tc>
          <w:tcPr>
            <w:tcW w:w="1051" w:type="pct"/>
          </w:tcPr>
          <w:p w14:paraId="108077F4">
            <w:pPr>
              <w:spacing w:before="156" w:beforeLines="50" w:line="276" w:lineRule="auto"/>
              <w:jc w:val="center"/>
              <w:outlineLvl w:val="2"/>
              <w:rPr>
                <w:rFonts w:eastAsiaTheme="minorEastAsia"/>
                <w:spacing w:val="-2"/>
                <w:sz w:val="20"/>
                <w:szCs w:val="20"/>
              </w:rPr>
            </w:pPr>
            <w:bookmarkStart w:id="155" w:name="_Toc139613781"/>
            <w:r>
              <w:rPr>
                <w:rFonts w:eastAsiaTheme="minorEastAsia"/>
                <w:spacing w:val="-2"/>
                <w:sz w:val="20"/>
                <w:szCs w:val="20"/>
              </w:rPr>
              <w:t>土方工程</w:t>
            </w:r>
            <w:bookmarkEnd w:id="155"/>
          </w:p>
        </w:tc>
        <w:tc>
          <w:tcPr>
            <w:tcW w:w="760" w:type="pct"/>
          </w:tcPr>
          <w:p w14:paraId="566265E7">
            <w:pPr>
              <w:spacing w:before="156" w:beforeLines="50" w:line="276" w:lineRule="auto"/>
              <w:jc w:val="center"/>
              <w:outlineLvl w:val="2"/>
              <w:rPr>
                <w:rFonts w:eastAsiaTheme="minorEastAsia"/>
                <w:spacing w:val="-2"/>
                <w:sz w:val="20"/>
                <w:szCs w:val="20"/>
              </w:rPr>
            </w:pPr>
          </w:p>
        </w:tc>
        <w:tc>
          <w:tcPr>
            <w:tcW w:w="912" w:type="pct"/>
          </w:tcPr>
          <w:p w14:paraId="6D97150B">
            <w:pPr>
              <w:spacing w:before="156" w:beforeLines="50" w:line="276" w:lineRule="auto"/>
              <w:jc w:val="center"/>
              <w:outlineLvl w:val="2"/>
              <w:rPr>
                <w:rFonts w:eastAsiaTheme="minorEastAsia"/>
                <w:spacing w:val="-2"/>
                <w:sz w:val="20"/>
                <w:szCs w:val="20"/>
              </w:rPr>
            </w:pPr>
          </w:p>
        </w:tc>
      </w:tr>
      <w:tr w14:paraId="06DD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tcPr>
          <w:p w14:paraId="397A0CD1">
            <w:pPr>
              <w:spacing w:before="156" w:beforeLines="50" w:line="276" w:lineRule="auto"/>
              <w:jc w:val="center"/>
              <w:outlineLvl w:val="2"/>
              <w:rPr>
                <w:rFonts w:eastAsiaTheme="minorEastAsia"/>
                <w:spacing w:val="-2"/>
                <w:sz w:val="20"/>
                <w:szCs w:val="20"/>
              </w:rPr>
            </w:pPr>
          </w:p>
        </w:tc>
        <w:tc>
          <w:tcPr>
            <w:tcW w:w="665" w:type="pct"/>
            <w:vMerge w:val="continue"/>
          </w:tcPr>
          <w:p w14:paraId="4E059992">
            <w:pPr>
              <w:spacing w:before="156" w:beforeLines="50" w:line="276" w:lineRule="auto"/>
              <w:jc w:val="center"/>
              <w:outlineLvl w:val="2"/>
              <w:rPr>
                <w:rFonts w:eastAsiaTheme="minorEastAsia"/>
                <w:spacing w:val="-2"/>
                <w:sz w:val="20"/>
                <w:szCs w:val="20"/>
              </w:rPr>
            </w:pPr>
          </w:p>
        </w:tc>
        <w:tc>
          <w:tcPr>
            <w:tcW w:w="760" w:type="pct"/>
            <w:vMerge w:val="continue"/>
          </w:tcPr>
          <w:p w14:paraId="6BCC0490">
            <w:pPr>
              <w:spacing w:before="156" w:beforeLines="50" w:line="276" w:lineRule="auto"/>
              <w:jc w:val="center"/>
              <w:outlineLvl w:val="2"/>
              <w:rPr>
                <w:rFonts w:eastAsiaTheme="minorEastAsia"/>
                <w:spacing w:val="-2"/>
                <w:sz w:val="20"/>
                <w:szCs w:val="20"/>
              </w:rPr>
            </w:pPr>
          </w:p>
        </w:tc>
        <w:tc>
          <w:tcPr>
            <w:tcW w:w="1051" w:type="pct"/>
          </w:tcPr>
          <w:p w14:paraId="288FF28D">
            <w:pPr>
              <w:spacing w:before="156" w:beforeLines="50" w:line="276" w:lineRule="auto"/>
              <w:jc w:val="center"/>
              <w:outlineLvl w:val="2"/>
              <w:rPr>
                <w:rFonts w:eastAsiaTheme="minorEastAsia"/>
                <w:spacing w:val="-2"/>
                <w:sz w:val="20"/>
                <w:szCs w:val="20"/>
              </w:rPr>
            </w:pPr>
            <w:bookmarkStart w:id="156" w:name="_Toc139613782"/>
            <w:r>
              <w:rPr>
                <w:rFonts w:eastAsiaTheme="minorEastAsia"/>
                <w:spacing w:val="-2"/>
                <w:sz w:val="20"/>
                <w:szCs w:val="20"/>
              </w:rPr>
              <w:t>地下水控制</w:t>
            </w:r>
            <w:bookmarkEnd w:id="156"/>
          </w:p>
        </w:tc>
        <w:tc>
          <w:tcPr>
            <w:tcW w:w="760" w:type="pct"/>
          </w:tcPr>
          <w:p w14:paraId="428BABFB">
            <w:pPr>
              <w:spacing w:before="156" w:beforeLines="50" w:line="276" w:lineRule="auto"/>
              <w:jc w:val="center"/>
              <w:outlineLvl w:val="2"/>
              <w:rPr>
                <w:rFonts w:eastAsiaTheme="minorEastAsia"/>
                <w:spacing w:val="-2"/>
                <w:sz w:val="20"/>
                <w:szCs w:val="20"/>
              </w:rPr>
            </w:pPr>
          </w:p>
        </w:tc>
        <w:tc>
          <w:tcPr>
            <w:tcW w:w="912" w:type="pct"/>
          </w:tcPr>
          <w:p w14:paraId="228DC634">
            <w:pPr>
              <w:spacing w:before="156" w:beforeLines="50" w:line="276" w:lineRule="auto"/>
              <w:jc w:val="center"/>
              <w:outlineLvl w:val="2"/>
              <w:rPr>
                <w:rFonts w:eastAsiaTheme="minorEastAsia"/>
                <w:spacing w:val="-2"/>
                <w:sz w:val="20"/>
                <w:szCs w:val="20"/>
              </w:rPr>
            </w:pPr>
          </w:p>
        </w:tc>
      </w:tr>
      <w:tr w14:paraId="1E1A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tcPr>
          <w:p w14:paraId="799574FC">
            <w:pPr>
              <w:spacing w:before="156" w:beforeLines="50" w:line="276" w:lineRule="auto"/>
              <w:jc w:val="center"/>
              <w:outlineLvl w:val="2"/>
              <w:rPr>
                <w:rFonts w:eastAsiaTheme="minorEastAsia"/>
                <w:spacing w:val="-2"/>
                <w:sz w:val="20"/>
                <w:szCs w:val="20"/>
              </w:rPr>
            </w:pPr>
          </w:p>
        </w:tc>
        <w:tc>
          <w:tcPr>
            <w:tcW w:w="665" w:type="pct"/>
            <w:vMerge w:val="continue"/>
          </w:tcPr>
          <w:p w14:paraId="35681AA7">
            <w:pPr>
              <w:spacing w:before="156" w:beforeLines="50" w:line="276" w:lineRule="auto"/>
              <w:jc w:val="center"/>
              <w:outlineLvl w:val="2"/>
              <w:rPr>
                <w:rFonts w:eastAsiaTheme="minorEastAsia"/>
                <w:spacing w:val="-2"/>
                <w:sz w:val="20"/>
                <w:szCs w:val="20"/>
              </w:rPr>
            </w:pPr>
          </w:p>
        </w:tc>
        <w:tc>
          <w:tcPr>
            <w:tcW w:w="760" w:type="pct"/>
            <w:vMerge w:val="continue"/>
          </w:tcPr>
          <w:p w14:paraId="03342108">
            <w:pPr>
              <w:spacing w:before="156" w:beforeLines="50" w:line="276" w:lineRule="auto"/>
              <w:jc w:val="center"/>
              <w:outlineLvl w:val="2"/>
              <w:rPr>
                <w:rFonts w:eastAsiaTheme="minorEastAsia"/>
                <w:spacing w:val="-2"/>
                <w:sz w:val="20"/>
                <w:szCs w:val="20"/>
              </w:rPr>
            </w:pPr>
          </w:p>
        </w:tc>
        <w:tc>
          <w:tcPr>
            <w:tcW w:w="1051" w:type="pct"/>
          </w:tcPr>
          <w:p w14:paraId="24930FC9">
            <w:pPr>
              <w:spacing w:before="156" w:beforeLines="50" w:line="276" w:lineRule="auto"/>
              <w:jc w:val="center"/>
              <w:outlineLvl w:val="2"/>
              <w:rPr>
                <w:rFonts w:eastAsiaTheme="minorEastAsia"/>
                <w:spacing w:val="-2"/>
                <w:sz w:val="20"/>
                <w:szCs w:val="20"/>
              </w:rPr>
            </w:pPr>
            <w:bookmarkStart w:id="157" w:name="_Toc139613783"/>
            <w:r>
              <w:rPr>
                <w:rFonts w:eastAsiaTheme="minorEastAsia"/>
                <w:spacing w:val="-2"/>
                <w:sz w:val="20"/>
                <w:szCs w:val="20"/>
              </w:rPr>
              <w:t>监测工程</w:t>
            </w:r>
            <w:bookmarkEnd w:id="157"/>
          </w:p>
        </w:tc>
        <w:tc>
          <w:tcPr>
            <w:tcW w:w="760" w:type="pct"/>
          </w:tcPr>
          <w:p w14:paraId="3F0AA2AF">
            <w:pPr>
              <w:spacing w:before="156" w:beforeLines="50" w:line="276" w:lineRule="auto"/>
              <w:jc w:val="center"/>
              <w:outlineLvl w:val="2"/>
              <w:rPr>
                <w:rFonts w:eastAsiaTheme="minorEastAsia"/>
                <w:spacing w:val="-2"/>
                <w:sz w:val="20"/>
                <w:szCs w:val="20"/>
              </w:rPr>
            </w:pPr>
          </w:p>
        </w:tc>
        <w:tc>
          <w:tcPr>
            <w:tcW w:w="912" w:type="pct"/>
          </w:tcPr>
          <w:p w14:paraId="2F9FE0A5">
            <w:pPr>
              <w:spacing w:before="156" w:beforeLines="50" w:line="276" w:lineRule="auto"/>
              <w:jc w:val="center"/>
              <w:outlineLvl w:val="2"/>
              <w:rPr>
                <w:rFonts w:eastAsiaTheme="minorEastAsia"/>
                <w:spacing w:val="-2"/>
                <w:sz w:val="20"/>
                <w:szCs w:val="20"/>
              </w:rPr>
            </w:pPr>
          </w:p>
        </w:tc>
      </w:tr>
      <w:tr w14:paraId="621F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tcPr>
          <w:p w14:paraId="4E49296C">
            <w:pPr>
              <w:spacing w:before="156" w:beforeLines="50" w:line="276" w:lineRule="auto"/>
              <w:jc w:val="center"/>
              <w:outlineLvl w:val="2"/>
              <w:rPr>
                <w:rFonts w:eastAsiaTheme="minorEastAsia"/>
                <w:spacing w:val="-2"/>
                <w:sz w:val="20"/>
                <w:szCs w:val="20"/>
              </w:rPr>
            </w:pPr>
          </w:p>
        </w:tc>
        <w:tc>
          <w:tcPr>
            <w:tcW w:w="665" w:type="pct"/>
            <w:vMerge w:val="continue"/>
          </w:tcPr>
          <w:p w14:paraId="7B67326F">
            <w:pPr>
              <w:spacing w:before="156" w:beforeLines="50" w:line="276" w:lineRule="auto"/>
              <w:jc w:val="center"/>
              <w:outlineLvl w:val="2"/>
              <w:rPr>
                <w:rFonts w:eastAsiaTheme="minorEastAsia"/>
                <w:spacing w:val="-2"/>
                <w:sz w:val="20"/>
                <w:szCs w:val="20"/>
              </w:rPr>
            </w:pPr>
          </w:p>
        </w:tc>
        <w:tc>
          <w:tcPr>
            <w:tcW w:w="760" w:type="pct"/>
            <w:vMerge w:val="continue"/>
          </w:tcPr>
          <w:p w14:paraId="76412AA6">
            <w:pPr>
              <w:spacing w:before="156" w:beforeLines="50" w:line="276" w:lineRule="auto"/>
              <w:jc w:val="center"/>
              <w:outlineLvl w:val="2"/>
              <w:rPr>
                <w:rFonts w:eastAsiaTheme="minorEastAsia"/>
                <w:spacing w:val="-2"/>
                <w:sz w:val="20"/>
                <w:szCs w:val="20"/>
              </w:rPr>
            </w:pPr>
          </w:p>
        </w:tc>
        <w:tc>
          <w:tcPr>
            <w:tcW w:w="1051" w:type="pct"/>
          </w:tcPr>
          <w:p w14:paraId="2305FDE7">
            <w:pPr>
              <w:spacing w:before="156" w:beforeLines="50" w:line="276" w:lineRule="auto"/>
              <w:jc w:val="center"/>
              <w:outlineLvl w:val="2"/>
              <w:rPr>
                <w:rFonts w:eastAsiaTheme="minorEastAsia"/>
                <w:spacing w:val="-2"/>
                <w:sz w:val="20"/>
                <w:szCs w:val="20"/>
              </w:rPr>
            </w:pPr>
            <w:bookmarkStart w:id="158" w:name="_Toc139613784"/>
            <w:r>
              <w:rPr>
                <w:rFonts w:eastAsiaTheme="minorEastAsia"/>
                <w:spacing w:val="-2"/>
                <w:sz w:val="20"/>
                <w:szCs w:val="20"/>
              </w:rPr>
              <w:t>其它</w:t>
            </w:r>
            <w:bookmarkEnd w:id="158"/>
          </w:p>
        </w:tc>
        <w:tc>
          <w:tcPr>
            <w:tcW w:w="760" w:type="pct"/>
          </w:tcPr>
          <w:p w14:paraId="3D8E70F5">
            <w:pPr>
              <w:spacing w:before="156" w:beforeLines="50" w:line="276" w:lineRule="auto"/>
              <w:jc w:val="center"/>
              <w:outlineLvl w:val="2"/>
              <w:rPr>
                <w:rFonts w:eastAsiaTheme="minorEastAsia"/>
                <w:spacing w:val="-2"/>
                <w:sz w:val="20"/>
                <w:szCs w:val="20"/>
              </w:rPr>
            </w:pPr>
          </w:p>
        </w:tc>
        <w:tc>
          <w:tcPr>
            <w:tcW w:w="912" w:type="pct"/>
          </w:tcPr>
          <w:p w14:paraId="0CC8F6E2">
            <w:pPr>
              <w:spacing w:before="156" w:beforeLines="50" w:line="276" w:lineRule="auto"/>
              <w:jc w:val="center"/>
              <w:outlineLvl w:val="2"/>
              <w:rPr>
                <w:rFonts w:eastAsiaTheme="minorEastAsia"/>
                <w:spacing w:val="-2"/>
                <w:sz w:val="20"/>
                <w:szCs w:val="20"/>
              </w:rPr>
            </w:pPr>
          </w:p>
        </w:tc>
      </w:tr>
    </w:tbl>
    <w:p w14:paraId="1B6B86ED">
      <w:pPr>
        <w:spacing w:before="156" w:beforeLines="50" w:line="276" w:lineRule="auto"/>
        <w:rPr>
          <w:rFonts w:eastAsia="仿宋" w:asciiTheme="majorBidi" w:hAnsiTheme="majorBidi" w:cstheme="majorBidi"/>
          <w:b/>
          <w:sz w:val="20"/>
          <w:szCs w:val="20"/>
        </w:rPr>
      </w:pPr>
    </w:p>
    <w:p w14:paraId="70E6ED0B">
      <w:pPr>
        <w:pStyle w:val="2"/>
      </w:pPr>
    </w:p>
    <w:p w14:paraId="120EEC24">
      <w:pPr>
        <w:pStyle w:val="2"/>
      </w:pPr>
    </w:p>
    <w:p w14:paraId="41329796">
      <w:pPr>
        <w:widowControl/>
        <w:jc w:val="left"/>
        <w:rPr>
          <w:szCs w:val="24"/>
        </w:rPr>
      </w:pPr>
      <w:r>
        <w:br w:type="page"/>
      </w:r>
    </w:p>
    <w:p w14:paraId="1E6A31D7">
      <w:pPr>
        <w:pStyle w:val="5"/>
        <w:keepNext w:val="0"/>
        <w:keepLines w:val="0"/>
        <w:adjustRightInd w:val="0"/>
        <w:snapToGrid w:val="0"/>
        <w:spacing w:before="156" w:beforeLines="50" w:after="0" w:line="288" w:lineRule="auto"/>
        <w:jc w:val="center"/>
        <w:rPr>
          <w:rFonts w:ascii="黑体" w:hAnsi="黑体"/>
          <w:b w:val="0"/>
          <w:sz w:val="26"/>
          <w:szCs w:val="26"/>
        </w:rPr>
      </w:pPr>
      <w:bookmarkStart w:id="159" w:name="_Toc139613785"/>
      <w:r>
        <w:rPr>
          <w:rFonts w:hint="eastAsia" w:ascii="黑体" w:hAnsi="黑体"/>
          <w:b w:val="0"/>
          <w:sz w:val="26"/>
          <w:szCs w:val="26"/>
        </w:rPr>
        <w:t>附录</w:t>
      </w:r>
      <w:r>
        <w:rPr>
          <w:rFonts w:ascii="Times New Roman" w:hAnsi="Times New Roman"/>
          <w:sz w:val="26"/>
          <w:szCs w:val="26"/>
        </w:rPr>
        <w:t>E</w:t>
      </w:r>
      <w:r>
        <w:rPr>
          <w:rFonts w:hint="eastAsia" w:ascii="黑体" w:hAnsi="黑体"/>
          <w:b w:val="0"/>
          <w:sz w:val="26"/>
          <w:szCs w:val="26"/>
        </w:rPr>
        <w:t xml:space="preserve">  碳排放因子</w:t>
      </w:r>
      <w:bookmarkEnd w:id="159"/>
    </w:p>
    <w:p w14:paraId="787DDD8A">
      <w:pPr>
        <w:pStyle w:val="6"/>
      </w:pP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1609"/>
        <w:gridCol w:w="1619"/>
        <w:gridCol w:w="3188"/>
        <w:gridCol w:w="1551"/>
      </w:tblGrid>
      <w:tr w14:paraId="0996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1048" w:type="pct"/>
            <w:vAlign w:val="center"/>
          </w:tcPr>
          <w:p w14:paraId="1A0C85D8">
            <w:pPr>
              <w:spacing w:line="276" w:lineRule="auto"/>
              <w:jc w:val="center"/>
              <w:rPr>
                <w:sz w:val="18"/>
                <w:szCs w:val="18"/>
              </w:rPr>
            </w:pPr>
            <w:r>
              <w:rPr>
                <w:sz w:val="18"/>
                <w:szCs w:val="18"/>
              </w:rPr>
              <w:t>材料/能源</w:t>
            </w:r>
          </w:p>
        </w:tc>
        <w:tc>
          <w:tcPr>
            <w:tcW w:w="798" w:type="pct"/>
            <w:vAlign w:val="center"/>
          </w:tcPr>
          <w:p w14:paraId="140F6A20">
            <w:pPr>
              <w:spacing w:line="276" w:lineRule="auto"/>
              <w:jc w:val="center"/>
              <w:rPr>
                <w:sz w:val="18"/>
                <w:szCs w:val="18"/>
              </w:rPr>
            </w:pPr>
            <w:r>
              <w:rPr>
                <w:sz w:val="18"/>
                <w:szCs w:val="18"/>
              </w:rPr>
              <w:t>碳排放因子</w:t>
            </w:r>
          </w:p>
        </w:tc>
        <w:tc>
          <w:tcPr>
            <w:tcW w:w="803" w:type="pct"/>
            <w:vAlign w:val="center"/>
          </w:tcPr>
          <w:p w14:paraId="544A0F72">
            <w:pPr>
              <w:spacing w:line="276" w:lineRule="auto"/>
              <w:jc w:val="center"/>
              <w:rPr>
                <w:sz w:val="18"/>
                <w:szCs w:val="18"/>
              </w:rPr>
            </w:pPr>
            <w:r>
              <w:rPr>
                <w:sz w:val="18"/>
                <w:szCs w:val="18"/>
              </w:rPr>
              <w:t>单位</w:t>
            </w:r>
          </w:p>
        </w:tc>
        <w:tc>
          <w:tcPr>
            <w:tcW w:w="1581" w:type="pct"/>
            <w:vAlign w:val="center"/>
          </w:tcPr>
          <w:p w14:paraId="6943605D">
            <w:pPr>
              <w:spacing w:line="276" w:lineRule="auto"/>
              <w:jc w:val="center"/>
              <w:rPr>
                <w:sz w:val="18"/>
                <w:szCs w:val="18"/>
              </w:rPr>
            </w:pPr>
            <w:r>
              <w:rPr>
                <w:sz w:val="18"/>
                <w:szCs w:val="18"/>
              </w:rPr>
              <w:t>来源</w:t>
            </w:r>
          </w:p>
        </w:tc>
        <w:tc>
          <w:tcPr>
            <w:tcW w:w="769" w:type="pct"/>
            <w:vAlign w:val="center"/>
          </w:tcPr>
          <w:p w14:paraId="2C03B800">
            <w:pPr>
              <w:spacing w:line="276" w:lineRule="auto"/>
              <w:jc w:val="center"/>
              <w:rPr>
                <w:sz w:val="18"/>
                <w:szCs w:val="18"/>
              </w:rPr>
            </w:pPr>
            <w:r>
              <w:rPr>
                <w:sz w:val="18"/>
                <w:szCs w:val="18"/>
              </w:rPr>
              <w:t>备注</w:t>
            </w:r>
          </w:p>
        </w:tc>
      </w:tr>
      <w:tr w14:paraId="44C4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58CE0655">
            <w:pPr>
              <w:spacing w:line="276" w:lineRule="auto"/>
              <w:jc w:val="center"/>
              <w:rPr>
                <w:sz w:val="18"/>
                <w:szCs w:val="18"/>
              </w:rPr>
            </w:pPr>
            <w:r>
              <w:rPr>
                <w:sz w:val="18"/>
                <w:szCs w:val="18"/>
              </w:rPr>
              <w:t>C30混凝土</w:t>
            </w:r>
          </w:p>
        </w:tc>
        <w:tc>
          <w:tcPr>
            <w:tcW w:w="798" w:type="pct"/>
            <w:vAlign w:val="center"/>
          </w:tcPr>
          <w:p w14:paraId="73572489">
            <w:pPr>
              <w:spacing w:line="276" w:lineRule="auto"/>
              <w:jc w:val="center"/>
              <w:rPr>
                <w:sz w:val="18"/>
                <w:szCs w:val="18"/>
              </w:rPr>
            </w:pPr>
            <w:r>
              <w:rPr>
                <w:sz w:val="18"/>
                <w:szCs w:val="18"/>
              </w:rPr>
              <w:t>295.000</w:t>
            </w:r>
          </w:p>
        </w:tc>
        <w:tc>
          <w:tcPr>
            <w:tcW w:w="803" w:type="pct"/>
            <w:vAlign w:val="center"/>
          </w:tcPr>
          <w:p w14:paraId="6D8AF112">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1581" w:type="pct"/>
            <w:vAlign w:val="center"/>
          </w:tcPr>
          <w:p w14:paraId="1F610A8C">
            <w:pPr>
              <w:jc w:val="center"/>
              <w:rPr>
                <w:sz w:val="18"/>
                <w:szCs w:val="18"/>
              </w:rPr>
            </w:pPr>
            <w:r>
              <w:rPr>
                <w:rFonts w:hint="eastAsia"/>
                <w:sz w:val="18"/>
                <w:szCs w:val="18"/>
              </w:rPr>
              <w:t>建筑碳排放计算标准（GB/T 51366-2019）</w:t>
            </w:r>
          </w:p>
        </w:tc>
        <w:tc>
          <w:tcPr>
            <w:tcW w:w="769" w:type="pct"/>
            <w:vAlign w:val="center"/>
          </w:tcPr>
          <w:p w14:paraId="04CA9EF8">
            <w:pPr>
              <w:jc w:val="center"/>
              <w:rPr>
                <w:sz w:val="18"/>
                <w:szCs w:val="18"/>
              </w:rPr>
            </w:pPr>
          </w:p>
        </w:tc>
      </w:tr>
      <w:tr w14:paraId="19BB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34B8785C">
            <w:pPr>
              <w:spacing w:line="276" w:lineRule="auto"/>
              <w:jc w:val="center"/>
              <w:rPr>
                <w:sz w:val="18"/>
                <w:szCs w:val="18"/>
              </w:rPr>
            </w:pPr>
            <w:r>
              <w:rPr>
                <w:sz w:val="18"/>
                <w:szCs w:val="18"/>
              </w:rPr>
              <w:t>C20豆石混凝土</w:t>
            </w:r>
          </w:p>
        </w:tc>
        <w:tc>
          <w:tcPr>
            <w:tcW w:w="798" w:type="pct"/>
            <w:vAlign w:val="center"/>
          </w:tcPr>
          <w:p w14:paraId="2CD52E4F">
            <w:pPr>
              <w:spacing w:line="276" w:lineRule="auto"/>
              <w:jc w:val="center"/>
              <w:rPr>
                <w:sz w:val="18"/>
                <w:szCs w:val="18"/>
              </w:rPr>
            </w:pPr>
            <w:r>
              <w:rPr>
                <w:sz w:val="18"/>
                <w:szCs w:val="18"/>
              </w:rPr>
              <w:t>250.000</w:t>
            </w:r>
          </w:p>
        </w:tc>
        <w:tc>
          <w:tcPr>
            <w:tcW w:w="803" w:type="pct"/>
            <w:vAlign w:val="center"/>
          </w:tcPr>
          <w:p w14:paraId="6ED78024">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1581" w:type="pct"/>
          </w:tcPr>
          <w:p w14:paraId="36B91A15">
            <w:pPr>
              <w:jc w:val="center"/>
              <w:rPr>
                <w:sz w:val="18"/>
                <w:szCs w:val="18"/>
              </w:rPr>
            </w:pPr>
            <w:r>
              <w:rPr>
                <w:rFonts w:hint="eastAsia"/>
                <w:sz w:val="18"/>
                <w:szCs w:val="18"/>
              </w:rPr>
              <w:t>建筑碳排放计算标准（GB/T 51366-2019）</w:t>
            </w:r>
          </w:p>
        </w:tc>
        <w:tc>
          <w:tcPr>
            <w:tcW w:w="769" w:type="pct"/>
            <w:vAlign w:val="center"/>
          </w:tcPr>
          <w:p w14:paraId="570D0D99">
            <w:pPr>
              <w:jc w:val="center"/>
              <w:rPr>
                <w:sz w:val="18"/>
                <w:szCs w:val="18"/>
              </w:rPr>
            </w:pPr>
            <w:r>
              <w:rPr>
                <w:sz w:val="18"/>
                <w:szCs w:val="18"/>
              </w:rPr>
              <w:t>根据国标附录D中C30、C50用插值法计算得到</w:t>
            </w:r>
          </w:p>
        </w:tc>
      </w:tr>
      <w:tr w14:paraId="0B8F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0BE2781E">
            <w:pPr>
              <w:spacing w:line="276" w:lineRule="auto"/>
              <w:jc w:val="center"/>
              <w:rPr>
                <w:sz w:val="18"/>
                <w:szCs w:val="18"/>
              </w:rPr>
            </w:pPr>
            <w:r>
              <w:rPr>
                <w:sz w:val="18"/>
                <w:szCs w:val="18"/>
              </w:rPr>
              <w:t>C15素混凝土</w:t>
            </w:r>
          </w:p>
        </w:tc>
        <w:tc>
          <w:tcPr>
            <w:tcW w:w="798" w:type="pct"/>
            <w:vAlign w:val="center"/>
          </w:tcPr>
          <w:p w14:paraId="345EDFB7">
            <w:pPr>
              <w:spacing w:line="276" w:lineRule="auto"/>
              <w:jc w:val="center"/>
              <w:rPr>
                <w:sz w:val="18"/>
                <w:szCs w:val="18"/>
              </w:rPr>
            </w:pPr>
            <w:r>
              <w:rPr>
                <w:sz w:val="18"/>
                <w:szCs w:val="18"/>
              </w:rPr>
              <w:t>227.5</w:t>
            </w:r>
          </w:p>
        </w:tc>
        <w:tc>
          <w:tcPr>
            <w:tcW w:w="803" w:type="pct"/>
            <w:vAlign w:val="center"/>
          </w:tcPr>
          <w:p w14:paraId="54D662FA">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1581" w:type="pct"/>
          </w:tcPr>
          <w:p w14:paraId="569665DF">
            <w:pPr>
              <w:jc w:val="center"/>
              <w:rPr>
                <w:sz w:val="18"/>
                <w:szCs w:val="18"/>
              </w:rPr>
            </w:pPr>
            <w:r>
              <w:rPr>
                <w:rFonts w:hint="eastAsia"/>
                <w:sz w:val="18"/>
                <w:szCs w:val="18"/>
              </w:rPr>
              <w:t>建筑碳排放计算标准（GB/T 51366-2019）</w:t>
            </w:r>
          </w:p>
        </w:tc>
        <w:tc>
          <w:tcPr>
            <w:tcW w:w="769" w:type="pct"/>
            <w:vAlign w:val="center"/>
          </w:tcPr>
          <w:p w14:paraId="3BAEF398">
            <w:pPr>
              <w:spacing w:line="276" w:lineRule="auto"/>
              <w:jc w:val="center"/>
              <w:rPr>
                <w:sz w:val="18"/>
                <w:szCs w:val="18"/>
              </w:rPr>
            </w:pPr>
            <w:r>
              <w:rPr>
                <w:sz w:val="18"/>
                <w:szCs w:val="18"/>
              </w:rPr>
              <w:t>插值法估算</w:t>
            </w:r>
          </w:p>
        </w:tc>
      </w:tr>
      <w:tr w14:paraId="04DF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011EFF5A">
            <w:pPr>
              <w:spacing w:line="276" w:lineRule="auto"/>
              <w:jc w:val="center"/>
              <w:rPr>
                <w:sz w:val="18"/>
                <w:szCs w:val="18"/>
              </w:rPr>
            </w:pPr>
            <w:r>
              <w:rPr>
                <w:sz w:val="18"/>
                <w:szCs w:val="18"/>
              </w:rPr>
              <w:t>C25素混凝土</w:t>
            </w:r>
          </w:p>
        </w:tc>
        <w:tc>
          <w:tcPr>
            <w:tcW w:w="798" w:type="pct"/>
            <w:vAlign w:val="center"/>
          </w:tcPr>
          <w:p w14:paraId="6F0F5484">
            <w:pPr>
              <w:spacing w:line="276" w:lineRule="auto"/>
              <w:jc w:val="center"/>
              <w:rPr>
                <w:sz w:val="18"/>
                <w:szCs w:val="18"/>
              </w:rPr>
            </w:pPr>
            <w:r>
              <w:rPr>
                <w:sz w:val="18"/>
                <w:szCs w:val="18"/>
              </w:rPr>
              <w:t>295</w:t>
            </w:r>
          </w:p>
        </w:tc>
        <w:tc>
          <w:tcPr>
            <w:tcW w:w="803" w:type="pct"/>
            <w:vAlign w:val="center"/>
          </w:tcPr>
          <w:p w14:paraId="63978205">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1581" w:type="pct"/>
          </w:tcPr>
          <w:p w14:paraId="257E6846">
            <w:pPr>
              <w:jc w:val="center"/>
              <w:rPr>
                <w:sz w:val="18"/>
                <w:szCs w:val="18"/>
              </w:rPr>
            </w:pPr>
            <w:r>
              <w:rPr>
                <w:rFonts w:hint="eastAsia"/>
                <w:sz w:val="18"/>
                <w:szCs w:val="18"/>
              </w:rPr>
              <w:t>建筑碳排放计算标准（GB/T 51366-2019）</w:t>
            </w:r>
          </w:p>
        </w:tc>
        <w:tc>
          <w:tcPr>
            <w:tcW w:w="769" w:type="pct"/>
            <w:vAlign w:val="center"/>
          </w:tcPr>
          <w:p w14:paraId="7C942F1F">
            <w:pPr>
              <w:jc w:val="center"/>
              <w:rPr>
                <w:sz w:val="18"/>
                <w:szCs w:val="18"/>
              </w:rPr>
            </w:pPr>
            <w:r>
              <w:rPr>
                <w:sz w:val="18"/>
                <w:szCs w:val="18"/>
              </w:rPr>
              <w:t>插值法估算</w:t>
            </w:r>
          </w:p>
        </w:tc>
      </w:tr>
      <w:tr w14:paraId="5D25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220C735A">
            <w:pPr>
              <w:spacing w:line="276" w:lineRule="auto"/>
              <w:jc w:val="center"/>
              <w:rPr>
                <w:sz w:val="18"/>
                <w:szCs w:val="18"/>
              </w:rPr>
            </w:pPr>
            <w:r>
              <w:rPr>
                <w:sz w:val="18"/>
                <w:szCs w:val="18"/>
              </w:rPr>
              <w:t>钢渣混凝土</w:t>
            </w:r>
          </w:p>
        </w:tc>
        <w:tc>
          <w:tcPr>
            <w:tcW w:w="798" w:type="pct"/>
            <w:vAlign w:val="center"/>
          </w:tcPr>
          <w:p w14:paraId="3C0F2AFA">
            <w:pPr>
              <w:spacing w:line="276" w:lineRule="auto"/>
              <w:jc w:val="center"/>
              <w:rPr>
                <w:sz w:val="18"/>
                <w:szCs w:val="18"/>
              </w:rPr>
            </w:pPr>
            <w:r>
              <w:rPr>
                <w:sz w:val="18"/>
                <w:szCs w:val="18"/>
              </w:rPr>
              <w:t>227.5</w:t>
            </w:r>
          </w:p>
        </w:tc>
        <w:tc>
          <w:tcPr>
            <w:tcW w:w="803" w:type="pct"/>
            <w:vAlign w:val="center"/>
          </w:tcPr>
          <w:p w14:paraId="4C33DD47">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1581" w:type="pct"/>
          </w:tcPr>
          <w:p w14:paraId="19729617">
            <w:pPr>
              <w:jc w:val="center"/>
              <w:rPr>
                <w:sz w:val="18"/>
                <w:szCs w:val="18"/>
              </w:rPr>
            </w:pPr>
            <w:r>
              <w:rPr>
                <w:rFonts w:hint="eastAsia"/>
                <w:sz w:val="18"/>
                <w:szCs w:val="18"/>
              </w:rPr>
              <w:t>建筑碳排放计算标准（GB/T 51366-2019）</w:t>
            </w:r>
          </w:p>
        </w:tc>
        <w:tc>
          <w:tcPr>
            <w:tcW w:w="769" w:type="pct"/>
            <w:vAlign w:val="center"/>
          </w:tcPr>
          <w:p w14:paraId="0AE7E519">
            <w:pPr>
              <w:jc w:val="center"/>
              <w:rPr>
                <w:sz w:val="18"/>
                <w:szCs w:val="18"/>
              </w:rPr>
            </w:pPr>
            <w:r>
              <w:rPr>
                <w:sz w:val="18"/>
                <w:szCs w:val="18"/>
              </w:rPr>
              <w:t>参照C15素混凝土</w:t>
            </w:r>
          </w:p>
        </w:tc>
      </w:tr>
      <w:tr w14:paraId="68F1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5C5B8D34">
            <w:pPr>
              <w:spacing w:line="276" w:lineRule="auto"/>
              <w:jc w:val="center"/>
              <w:rPr>
                <w:sz w:val="18"/>
                <w:szCs w:val="18"/>
              </w:rPr>
            </w:pPr>
            <w:r>
              <w:rPr>
                <w:sz w:val="18"/>
                <w:szCs w:val="18"/>
              </w:rPr>
              <w:t>泡沫混凝土</w:t>
            </w:r>
          </w:p>
        </w:tc>
        <w:tc>
          <w:tcPr>
            <w:tcW w:w="798" w:type="pct"/>
            <w:vAlign w:val="center"/>
          </w:tcPr>
          <w:p w14:paraId="12B425F3">
            <w:pPr>
              <w:spacing w:line="276" w:lineRule="auto"/>
              <w:jc w:val="center"/>
              <w:rPr>
                <w:sz w:val="18"/>
                <w:szCs w:val="18"/>
              </w:rPr>
            </w:pPr>
            <w:r>
              <w:rPr>
                <w:sz w:val="18"/>
                <w:szCs w:val="18"/>
              </w:rPr>
              <w:t>227.5</w:t>
            </w:r>
          </w:p>
        </w:tc>
        <w:tc>
          <w:tcPr>
            <w:tcW w:w="803" w:type="pct"/>
            <w:vAlign w:val="center"/>
          </w:tcPr>
          <w:p w14:paraId="34E543E8">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1581" w:type="pct"/>
          </w:tcPr>
          <w:p w14:paraId="14F971A8">
            <w:pPr>
              <w:jc w:val="center"/>
              <w:rPr>
                <w:sz w:val="18"/>
                <w:szCs w:val="18"/>
              </w:rPr>
            </w:pPr>
            <w:r>
              <w:rPr>
                <w:rFonts w:hint="eastAsia"/>
                <w:sz w:val="18"/>
                <w:szCs w:val="18"/>
              </w:rPr>
              <w:t>建筑碳排放计算标准（GB/T 51366-2019）</w:t>
            </w:r>
          </w:p>
        </w:tc>
        <w:tc>
          <w:tcPr>
            <w:tcW w:w="769" w:type="pct"/>
            <w:vAlign w:val="center"/>
          </w:tcPr>
          <w:p w14:paraId="429AE455">
            <w:pPr>
              <w:jc w:val="center"/>
              <w:rPr>
                <w:sz w:val="18"/>
                <w:szCs w:val="18"/>
              </w:rPr>
            </w:pPr>
            <w:r>
              <w:rPr>
                <w:sz w:val="18"/>
                <w:szCs w:val="18"/>
              </w:rPr>
              <w:t>参照C15素混凝土</w:t>
            </w:r>
          </w:p>
        </w:tc>
      </w:tr>
      <w:tr w14:paraId="0E00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07553BBF">
            <w:pPr>
              <w:spacing w:line="276" w:lineRule="auto"/>
              <w:jc w:val="center"/>
              <w:rPr>
                <w:sz w:val="18"/>
                <w:szCs w:val="18"/>
              </w:rPr>
            </w:pPr>
            <w:r>
              <w:rPr>
                <w:sz w:val="18"/>
                <w:szCs w:val="18"/>
              </w:rPr>
              <w:t>水泥</w:t>
            </w:r>
          </w:p>
        </w:tc>
        <w:tc>
          <w:tcPr>
            <w:tcW w:w="798" w:type="pct"/>
            <w:vAlign w:val="center"/>
          </w:tcPr>
          <w:p w14:paraId="58EF5E74">
            <w:pPr>
              <w:spacing w:line="276" w:lineRule="auto"/>
              <w:jc w:val="center"/>
              <w:rPr>
                <w:sz w:val="18"/>
                <w:szCs w:val="18"/>
              </w:rPr>
            </w:pPr>
            <w:r>
              <w:rPr>
                <w:sz w:val="18"/>
                <w:szCs w:val="18"/>
              </w:rPr>
              <w:t>0.735</w:t>
            </w:r>
          </w:p>
        </w:tc>
        <w:tc>
          <w:tcPr>
            <w:tcW w:w="803" w:type="pct"/>
            <w:vAlign w:val="center"/>
          </w:tcPr>
          <w:p w14:paraId="32D923C3">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13D42D13">
            <w:pPr>
              <w:jc w:val="center"/>
              <w:rPr>
                <w:sz w:val="18"/>
                <w:szCs w:val="18"/>
              </w:rPr>
            </w:pPr>
            <w:r>
              <w:rPr>
                <w:rFonts w:hint="eastAsia"/>
                <w:sz w:val="18"/>
                <w:szCs w:val="18"/>
              </w:rPr>
              <w:t>建筑碳排放计算标准（GB/T 51366-2019）</w:t>
            </w:r>
          </w:p>
        </w:tc>
        <w:tc>
          <w:tcPr>
            <w:tcW w:w="769" w:type="pct"/>
            <w:vAlign w:val="center"/>
          </w:tcPr>
          <w:p w14:paraId="56001C52">
            <w:pPr>
              <w:jc w:val="center"/>
              <w:rPr>
                <w:sz w:val="18"/>
                <w:szCs w:val="18"/>
              </w:rPr>
            </w:pPr>
          </w:p>
        </w:tc>
      </w:tr>
      <w:tr w14:paraId="1EAC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7873BFB4">
            <w:pPr>
              <w:spacing w:line="276" w:lineRule="auto"/>
              <w:jc w:val="center"/>
              <w:rPr>
                <w:sz w:val="18"/>
                <w:szCs w:val="18"/>
              </w:rPr>
            </w:pPr>
            <w:r>
              <w:rPr>
                <w:sz w:val="18"/>
                <w:szCs w:val="18"/>
              </w:rPr>
              <w:t>石灰生产</w:t>
            </w:r>
          </w:p>
        </w:tc>
        <w:tc>
          <w:tcPr>
            <w:tcW w:w="798" w:type="pct"/>
            <w:vAlign w:val="center"/>
          </w:tcPr>
          <w:p w14:paraId="4182BD15">
            <w:pPr>
              <w:spacing w:line="276" w:lineRule="auto"/>
              <w:jc w:val="center"/>
              <w:rPr>
                <w:sz w:val="18"/>
                <w:szCs w:val="18"/>
              </w:rPr>
            </w:pPr>
            <w:r>
              <w:rPr>
                <w:sz w:val="18"/>
                <w:szCs w:val="18"/>
              </w:rPr>
              <w:t>1.19</w:t>
            </w:r>
          </w:p>
        </w:tc>
        <w:tc>
          <w:tcPr>
            <w:tcW w:w="803" w:type="pct"/>
            <w:vAlign w:val="center"/>
          </w:tcPr>
          <w:p w14:paraId="402468CF">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5A09952B">
            <w:pPr>
              <w:jc w:val="center"/>
              <w:rPr>
                <w:sz w:val="18"/>
                <w:szCs w:val="18"/>
              </w:rPr>
            </w:pPr>
            <w:r>
              <w:rPr>
                <w:rFonts w:hint="eastAsia"/>
                <w:sz w:val="18"/>
                <w:szCs w:val="18"/>
              </w:rPr>
              <w:t>建筑碳排放计算标准（GB/T 51366-2019）</w:t>
            </w:r>
          </w:p>
        </w:tc>
        <w:tc>
          <w:tcPr>
            <w:tcW w:w="769" w:type="pct"/>
            <w:vAlign w:val="center"/>
          </w:tcPr>
          <w:p w14:paraId="61778CD3">
            <w:pPr>
              <w:jc w:val="center"/>
              <w:rPr>
                <w:sz w:val="18"/>
                <w:szCs w:val="18"/>
              </w:rPr>
            </w:pPr>
          </w:p>
        </w:tc>
      </w:tr>
      <w:tr w14:paraId="5DAF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3833564A">
            <w:pPr>
              <w:spacing w:line="276" w:lineRule="auto"/>
              <w:jc w:val="center"/>
              <w:rPr>
                <w:sz w:val="18"/>
                <w:szCs w:val="18"/>
              </w:rPr>
            </w:pPr>
            <w:r>
              <w:rPr>
                <w:sz w:val="18"/>
                <w:szCs w:val="18"/>
              </w:rPr>
              <w:t>消石灰（熟石灰、氢氧化钙）</w:t>
            </w:r>
          </w:p>
        </w:tc>
        <w:tc>
          <w:tcPr>
            <w:tcW w:w="798" w:type="pct"/>
            <w:vAlign w:val="center"/>
          </w:tcPr>
          <w:p w14:paraId="1C9E40CA">
            <w:pPr>
              <w:spacing w:line="276" w:lineRule="auto"/>
              <w:jc w:val="center"/>
              <w:rPr>
                <w:sz w:val="18"/>
                <w:szCs w:val="18"/>
              </w:rPr>
            </w:pPr>
            <w:r>
              <w:rPr>
                <w:sz w:val="18"/>
                <w:szCs w:val="18"/>
              </w:rPr>
              <w:t>0.747</w:t>
            </w:r>
          </w:p>
        </w:tc>
        <w:tc>
          <w:tcPr>
            <w:tcW w:w="803" w:type="pct"/>
            <w:vAlign w:val="center"/>
          </w:tcPr>
          <w:p w14:paraId="0DA71B97">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2B1D991D">
            <w:pPr>
              <w:jc w:val="center"/>
              <w:rPr>
                <w:sz w:val="18"/>
                <w:szCs w:val="18"/>
              </w:rPr>
            </w:pPr>
            <w:r>
              <w:rPr>
                <w:rFonts w:hint="eastAsia"/>
                <w:sz w:val="18"/>
                <w:szCs w:val="18"/>
              </w:rPr>
              <w:t>建筑碳排放计算标准（GB/T 51366-2019）</w:t>
            </w:r>
          </w:p>
        </w:tc>
        <w:tc>
          <w:tcPr>
            <w:tcW w:w="769" w:type="pct"/>
            <w:vAlign w:val="center"/>
          </w:tcPr>
          <w:p w14:paraId="16DDBF42">
            <w:pPr>
              <w:jc w:val="center"/>
              <w:rPr>
                <w:sz w:val="18"/>
                <w:szCs w:val="18"/>
              </w:rPr>
            </w:pPr>
          </w:p>
        </w:tc>
      </w:tr>
      <w:tr w14:paraId="1408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79CCA59F">
            <w:pPr>
              <w:spacing w:line="276" w:lineRule="auto"/>
              <w:jc w:val="center"/>
              <w:rPr>
                <w:sz w:val="18"/>
                <w:szCs w:val="18"/>
              </w:rPr>
            </w:pPr>
            <w:r>
              <w:rPr>
                <w:sz w:val="18"/>
                <w:szCs w:val="18"/>
              </w:rPr>
              <w:t>级配砂石</w:t>
            </w:r>
          </w:p>
        </w:tc>
        <w:tc>
          <w:tcPr>
            <w:tcW w:w="798" w:type="pct"/>
            <w:vAlign w:val="center"/>
          </w:tcPr>
          <w:p w14:paraId="6EBD091A">
            <w:pPr>
              <w:spacing w:line="276" w:lineRule="auto"/>
              <w:jc w:val="center"/>
              <w:rPr>
                <w:sz w:val="18"/>
                <w:szCs w:val="18"/>
              </w:rPr>
            </w:pPr>
            <w:r>
              <w:rPr>
                <w:sz w:val="18"/>
                <w:szCs w:val="18"/>
              </w:rPr>
              <w:t>0.00218</w:t>
            </w:r>
          </w:p>
        </w:tc>
        <w:tc>
          <w:tcPr>
            <w:tcW w:w="803" w:type="pct"/>
            <w:vAlign w:val="center"/>
          </w:tcPr>
          <w:p w14:paraId="7054B946">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524B2278">
            <w:pPr>
              <w:jc w:val="center"/>
              <w:rPr>
                <w:sz w:val="18"/>
                <w:szCs w:val="18"/>
              </w:rPr>
            </w:pPr>
            <w:r>
              <w:rPr>
                <w:rFonts w:hint="eastAsia"/>
                <w:sz w:val="18"/>
                <w:szCs w:val="18"/>
              </w:rPr>
              <w:t>建筑碳排放计算标准（GB/T 51366-2019）</w:t>
            </w:r>
          </w:p>
        </w:tc>
        <w:tc>
          <w:tcPr>
            <w:tcW w:w="769" w:type="pct"/>
            <w:vAlign w:val="center"/>
          </w:tcPr>
          <w:p w14:paraId="0F4DC194">
            <w:pPr>
              <w:jc w:val="center"/>
              <w:rPr>
                <w:sz w:val="18"/>
                <w:szCs w:val="18"/>
              </w:rPr>
            </w:pPr>
            <w:r>
              <w:rPr>
                <w:sz w:val="18"/>
                <w:szCs w:val="18"/>
              </w:rPr>
              <w:t>参照碎石</w:t>
            </w:r>
          </w:p>
        </w:tc>
      </w:tr>
      <w:tr w14:paraId="2775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1BFFAB8D">
            <w:pPr>
              <w:spacing w:line="276" w:lineRule="auto"/>
              <w:jc w:val="center"/>
              <w:rPr>
                <w:sz w:val="18"/>
                <w:szCs w:val="18"/>
              </w:rPr>
            </w:pPr>
            <w:r>
              <w:rPr>
                <w:sz w:val="18"/>
                <w:szCs w:val="18"/>
              </w:rPr>
              <w:t>膨润土</w:t>
            </w:r>
          </w:p>
        </w:tc>
        <w:tc>
          <w:tcPr>
            <w:tcW w:w="798" w:type="pct"/>
            <w:vAlign w:val="center"/>
          </w:tcPr>
          <w:p w14:paraId="5A3352F6">
            <w:pPr>
              <w:spacing w:line="276" w:lineRule="auto"/>
              <w:jc w:val="center"/>
              <w:rPr>
                <w:sz w:val="18"/>
                <w:szCs w:val="18"/>
              </w:rPr>
            </w:pPr>
            <w:r>
              <w:rPr>
                <w:sz w:val="18"/>
                <w:szCs w:val="18"/>
              </w:rPr>
              <w:t>0.00269</w:t>
            </w:r>
          </w:p>
        </w:tc>
        <w:tc>
          <w:tcPr>
            <w:tcW w:w="803" w:type="pct"/>
            <w:vAlign w:val="center"/>
          </w:tcPr>
          <w:p w14:paraId="2D719427">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1EA86DAE">
            <w:pPr>
              <w:jc w:val="center"/>
              <w:rPr>
                <w:sz w:val="18"/>
                <w:szCs w:val="18"/>
              </w:rPr>
            </w:pPr>
            <w:r>
              <w:rPr>
                <w:rFonts w:hint="eastAsia"/>
                <w:sz w:val="18"/>
                <w:szCs w:val="18"/>
              </w:rPr>
              <w:t>建筑碳排放计算标准（GB/T 51366-2019）</w:t>
            </w:r>
          </w:p>
        </w:tc>
        <w:tc>
          <w:tcPr>
            <w:tcW w:w="769" w:type="pct"/>
            <w:vAlign w:val="center"/>
          </w:tcPr>
          <w:p w14:paraId="1294A1FF">
            <w:pPr>
              <w:jc w:val="center"/>
              <w:rPr>
                <w:sz w:val="18"/>
                <w:szCs w:val="18"/>
              </w:rPr>
            </w:pPr>
            <w:r>
              <w:rPr>
                <w:sz w:val="18"/>
                <w:szCs w:val="18"/>
              </w:rPr>
              <w:t>参照国标附录D中“粘土”项</w:t>
            </w:r>
          </w:p>
        </w:tc>
      </w:tr>
      <w:tr w14:paraId="0B33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567D1DDC">
            <w:pPr>
              <w:spacing w:line="276" w:lineRule="auto"/>
              <w:jc w:val="center"/>
              <w:rPr>
                <w:sz w:val="18"/>
                <w:szCs w:val="18"/>
              </w:rPr>
            </w:pPr>
            <w:r>
              <w:rPr>
                <w:sz w:val="18"/>
                <w:szCs w:val="18"/>
              </w:rPr>
              <w:t>固化土</w:t>
            </w:r>
          </w:p>
        </w:tc>
        <w:tc>
          <w:tcPr>
            <w:tcW w:w="798" w:type="pct"/>
            <w:vAlign w:val="center"/>
          </w:tcPr>
          <w:p w14:paraId="6F1B650B">
            <w:pPr>
              <w:spacing w:line="276" w:lineRule="auto"/>
              <w:jc w:val="center"/>
              <w:rPr>
                <w:sz w:val="18"/>
                <w:szCs w:val="18"/>
              </w:rPr>
            </w:pPr>
            <w:r>
              <w:rPr>
                <w:sz w:val="18"/>
                <w:szCs w:val="18"/>
              </w:rPr>
              <w:t>0.00269</w:t>
            </w:r>
          </w:p>
        </w:tc>
        <w:tc>
          <w:tcPr>
            <w:tcW w:w="803" w:type="pct"/>
            <w:vAlign w:val="center"/>
          </w:tcPr>
          <w:p w14:paraId="0E654271">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5399CCED">
            <w:pPr>
              <w:jc w:val="center"/>
              <w:rPr>
                <w:sz w:val="18"/>
                <w:szCs w:val="18"/>
              </w:rPr>
            </w:pPr>
            <w:r>
              <w:rPr>
                <w:rFonts w:hint="eastAsia"/>
                <w:sz w:val="18"/>
                <w:szCs w:val="18"/>
              </w:rPr>
              <w:t>建筑碳排放计算标准（GB/T 51366-2019）</w:t>
            </w:r>
          </w:p>
        </w:tc>
        <w:tc>
          <w:tcPr>
            <w:tcW w:w="769" w:type="pct"/>
            <w:vAlign w:val="center"/>
          </w:tcPr>
          <w:p w14:paraId="5AB0C393">
            <w:pPr>
              <w:jc w:val="center"/>
              <w:rPr>
                <w:sz w:val="18"/>
                <w:szCs w:val="18"/>
              </w:rPr>
            </w:pPr>
            <w:r>
              <w:rPr>
                <w:sz w:val="18"/>
                <w:szCs w:val="18"/>
              </w:rPr>
              <w:t>参照黏土</w:t>
            </w:r>
          </w:p>
        </w:tc>
      </w:tr>
      <w:tr w14:paraId="1E66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15F79A26">
            <w:pPr>
              <w:spacing w:line="276" w:lineRule="auto"/>
              <w:jc w:val="center"/>
              <w:rPr>
                <w:sz w:val="18"/>
                <w:szCs w:val="18"/>
              </w:rPr>
            </w:pPr>
            <w:r>
              <w:rPr>
                <w:sz w:val="18"/>
                <w:szCs w:val="18"/>
              </w:rPr>
              <w:t>页岩砖</w:t>
            </w:r>
          </w:p>
        </w:tc>
        <w:tc>
          <w:tcPr>
            <w:tcW w:w="798" w:type="pct"/>
            <w:vAlign w:val="center"/>
          </w:tcPr>
          <w:p w14:paraId="232A8484">
            <w:pPr>
              <w:spacing w:line="276" w:lineRule="auto"/>
              <w:jc w:val="center"/>
              <w:rPr>
                <w:sz w:val="18"/>
                <w:szCs w:val="18"/>
              </w:rPr>
            </w:pPr>
            <w:r>
              <w:rPr>
                <w:sz w:val="18"/>
                <w:szCs w:val="18"/>
              </w:rPr>
              <w:t>292</w:t>
            </w:r>
          </w:p>
        </w:tc>
        <w:tc>
          <w:tcPr>
            <w:tcW w:w="803" w:type="pct"/>
            <w:vAlign w:val="center"/>
          </w:tcPr>
          <w:p w14:paraId="6AAA790A">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1581" w:type="pct"/>
          </w:tcPr>
          <w:p w14:paraId="2D97EFBB">
            <w:pPr>
              <w:jc w:val="center"/>
              <w:rPr>
                <w:sz w:val="18"/>
                <w:szCs w:val="18"/>
              </w:rPr>
            </w:pPr>
            <w:r>
              <w:rPr>
                <w:rFonts w:hint="eastAsia"/>
                <w:sz w:val="18"/>
                <w:szCs w:val="18"/>
              </w:rPr>
              <w:t>建筑碳排放计算标准（GB/T 51366-2019）</w:t>
            </w:r>
          </w:p>
        </w:tc>
        <w:tc>
          <w:tcPr>
            <w:tcW w:w="769" w:type="pct"/>
            <w:vAlign w:val="center"/>
          </w:tcPr>
          <w:p w14:paraId="1BA5E592">
            <w:pPr>
              <w:jc w:val="center"/>
              <w:rPr>
                <w:sz w:val="18"/>
                <w:szCs w:val="18"/>
              </w:rPr>
            </w:pPr>
            <w:r>
              <w:rPr>
                <w:sz w:val="18"/>
                <w:szCs w:val="18"/>
              </w:rPr>
              <w:t>参照页岩实心砖</w:t>
            </w:r>
          </w:p>
        </w:tc>
      </w:tr>
      <w:tr w14:paraId="1E1B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08A15A39">
            <w:pPr>
              <w:spacing w:line="276" w:lineRule="auto"/>
              <w:jc w:val="center"/>
              <w:rPr>
                <w:sz w:val="18"/>
                <w:szCs w:val="18"/>
              </w:rPr>
            </w:pPr>
            <w:r>
              <w:rPr>
                <w:sz w:val="18"/>
                <w:szCs w:val="18"/>
              </w:rPr>
              <w:t>热轧碳钢钢筋</w:t>
            </w:r>
          </w:p>
        </w:tc>
        <w:tc>
          <w:tcPr>
            <w:tcW w:w="798" w:type="pct"/>
            <w:vAlign w:val="center"/>
          </w:tcPr>
          <w:p w14:paraId="28E63BA1">
            <w:pPr>
              <w:spacing w:line="276" w:lineRule="auto"/>
              <w:jc w:val="center"/>
              <w:rPr>
                <w:sz w:val="18"/>
                <w:szCs w:val="18"/>
              </w:rPr>
            </w:pPr>
            <w:r>
              <w:rPr>
                <w:sz w:val="18"/>
                <w:szCs w:val="18"/>
              </w:rPr>
              <w:t>2.340</w:t>
            </w:r>
          </w:p>
        </w:tc>
        <w:tc>
          <w:tcPr>
            <w:tcW w:w="803" w:type="pct"/>
          </w:tcPr>
          <w:p w14:paraId="01D7F833">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7123E917">
            <w:pPr>
              <w:jc w:val="center"/>
              <w:rPr>
                <w:sz w:val="18"/>
                <w:szCs w:val="18"/>
              </w:rPr>
            </w:pPr>
            <w:r>
              <w:rPr>
                <w:rFonts w:hint="eastAsia"/>
                <w:sz w:val="18"/>
                <w:szCs w:val="18"/>
              </w:rPr>
              <w:t>建筑碳排放计算标准（GB/T 51366-2019）</w:t>
            </w:r>
          </w:p>
        </w:tc>
        <w:tc>
          <w:tcPr>
            <w:tcW w:w="769" w:type="pct"/>
            <w:vAlign w:val="center"/>
          </w:tcPr>
          <w:p w14:paraId="0D459196">
            <w:pPr>
              <w:jc w:val="center"/>
              <w:rPr>
                <w:sz w:val="18"/>
                <w:szCs w:val="18"/>
              </w:rPr>
            </w:pPr>
            <w:r>
              <w:rPr>
                <w:sz w:val="18"/>
                <w:szCs w:val="18"/>
              </w:rPr>
              <w:t>钢筋（Φ10以内、Φ10以外）采用</w:t>
            </w:r>
          </w:p>
        </w:tc>
      </w:tr>
      <w:tr w14:paraId="7493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0C2A4DBE">
            <w:pPr>
              <w:spacing w:line="276" w:lineRule="auto"/>
              <w:jc w:val="center"/>
              <w:rPr>
                <w:sz w:val="18"/>
                <w:szCs w:val="18"/>
              </w:rPr>
            </w:pPr>
            <w:r>
              <w:rPr>
                <w:sz w:val="18"/>
                <w:szCs w:val="18"/>
              </w:rPr>
              <w:t>钢绞线</w:t>
            </w:r>
          </w:p>
        </w:tc>
        <w:tc>
          <w:tcPr>
            <w:tcW w:w="798" w:type="pct"/>
            <w:vAlign w:val="center"/>
          </w:tcPr>
          <w:p w14:paraId="344CABEA">
            <w:pPr>
              <w:spacing w:line="276" w:lineRule="auto"/>
              <w:jc w:val="center"/>
              <w:rPr>
                <w:sz w:val="18"/>
                <w:szCs w:val="18"/>
              </w:rPr>
            </w:pPr>
            <w:r>
              <w:rPr>
                <w:sz w:val="18"/>
                <w:szCs w:val="18"/>
              </w:rPr>
              <w:t>2.375</w:t>
            </w:r>
          </w:p>
        </w:tc>
        <w:tc>
          <w:tcPr>
            <w:tcW w:w="803" w:type="pct"/>
          </w:tcPr>
          <w:p w14:paraId="1BE89CAB">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06BBCFF8">
            <w:pPr>
              <w:jc w:val="center"/>
              <w:rPr>
                <w:sz w:val="18"/>
                <w:szCs w:val="18"/>
              </w:rPr>
            </w:pPr>
            <w:r>
              <w:rPr>
                <w:rFonts w:hint="eastAsia"/>
                <w:sz w:val="18"/>
                <w:szCs w:val="18"/>
              </w:rPr>
              <w:t>建筑碳排放计算标准（GB/T 51366-2019）</w:t>
            </w:r>
          </w:p>
        </w:tc>
        <w:tc>
          <w:tcPr>
            <w:tcW w:w="769" w:type="pct"/>
            <w:vAlign w:val="center"/>
          </w:tcPr>
          <w:p w14:paraId="7962AB11">
            <w:pPr>
              <w:jc w:val="center"/>
              <w:rPr>
                <w:sz w:val="18"/>
                <w:szCs w:val="18"/>
              </w:rPr>
            </w:pPr>
            <w:r>
              <w:rPr>
                <w:sz w:val="18"/>
                <w:szCs w:val="18"/>
              </w:rPr>
              <w:t>参照国标附录中“热轧碳钢高线材”项</w:t>
            </w:r>
          </w:p>
        </w:tc>
      </w:tr>
      <w:tr w14:paraId="4BB3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63E75C94">
            <w:pPr>
              <w:spacing w:line="276" w:lineRule="auto"/>
              <w:jc w:val="center"/>
              <w:rPr>
                <w:sz w:val="18"/>
                <w:szCs w:val="18"/>
              </w:rPr>
            </w:pPr>
            <w:r>
              <w:rPr>
                <w:sz w:val="18"/>
                <w:szCs w:val="18"/>
              </w:rPr>
              <w:t>普通钢板δ=16~20；</w:t>
            </w:r>
          </w:p>
          <w:p w14:paraId="4AE93D1D">
            <w:pPr>
              <w:spacing w:line="276" w:lineRule="auto"/>
              <w:jc w:val="center"/>
              <w:rPr>
                <w:sz w:val="18"/>
                <w:szCs w:val="18"/>
              </w:rPr>
            </w:pPr>
            <w:r>
              <w:rPr>
                <w:sz w:val="18"/>
                <w:szCs w:val="18"/>
              </w:rPr>
              <w:t>普通钢板31以上</w:t>
            </w:r>
          </w:p>
        </w:tc>
        <w:tc>
          <w:tcPr>
            <w:tcW w:w="798" w:type="pct"/>
            <w:vAlign w:val="center"/>
          </w:tcPr>
          <w:p w14:paraId="2B062A97">
            <w:pPr>
              <w:spacing w:line="276" w:lineRule="auto"/>
              <w:jc w:val="center"/>
              <w:rPr>
                <w:sz w:val="18"/>
                <w:szCs w:val="18"/>
              </w:rPr>
            </w:pPr>
            <w:r>
              <w:rPr>
                <w:sz w:val="18"/>
                <w:szCs w:val="18"/>
              </w:rPr>
              <w:t>2.400</w:t>
            </w:r>
          </w:p>
        </w:tc>
        <w:tc>
          <w:tcPr>
            <w:tcW w:w="803" w:type="pct"/>
          </w:tcPr>
          <w:p w14:paraId="3A989C1B">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11FA3885">
            <w:pPr>
              <w:jc w:val="center"/>
              <w:rPr>
                <w:sz w:val="18"/>
                <w:szCs w:val="18"/>
              </w:rPr>
            </w:pPr>
            <w:r>
              <w:rPr>
                <w:rFonts w:hint="eastAsia"/>
                <w:sz w:val="18"/>
                <w:szCs w:val="18"/>
              </w:rPr>
              <w:t>建筑碳排放计算标准（GB/T 51366-2019）</w:t>
            </w:r>
          </w:p>
        </w:tc>
        <w:tc>
          <w:tcPr>
            <w:tcW w:w="769" w:type="pct"/>
            <w:vAlign w:val="center"/>
          </w:tcPr>
          <w:p w14:paraId="307BCD89">
            <w:pPr>
              <w:jc w:val="center"/>
              <w:rPr>
                <w:sz w:val="18"/>
                <w:szCs w:val="18"/>
              </w:rPr>
            </w:pPr>
            <w:r>
              <w:rPr>
                <w:sz w:val="18"/>
                <w:szCs w:val="18"/>
              </w:rPr>
              <w:t>参照国标附录D中“热轧碳钢中厚板”项</w:t>
            </w:r>
          </w:p>
        </w:tc>
      </w:tr>
      <w:tr w14:paraId="158F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55674FAE">
            <w:pPr>
              <w:spacing w:line="276" w:lineRule="auto"/>
              <w:jc w:val="center"/>
              <w:rPr>
                <w:sz w:val="18"/>
                <w:szCs w:val="18"/>
              </w:rPr>
            </w:pPr>
            <w:r>
              <w:rPr>
                <w:sz w:val="18"/>
                <w:szCs w:val="18"/>
              </w:rPr>
              <w:t>工字钢</w:t>
            </w:r>
          </w:p>
        </w:tc>
        <w:tc>
          <w:tcPr>
            <w:tcW w:w="798" w:type="pct"/>
            <w:vAlign w:val="center"/>
          </w:tcPr>
          <w:p w14:paraId="30D04DD4">
            <w:pPr>
              <w:spacing w:line="276" w:lineRule="auto"/>
              <w:jc w:val="center"/>
              <w:rPr>
                <w:sz w:val="18"/>
                <w:szCs w:val="18"/>
              </w:rPr>
            </w:pPr>
            <w:r>
              <w:rPr>
                <w:sz w:val="18"/>
                <w:szCs w:val="18"/>
              </w:rPr>
              <w:t>2.350</w:t>
            </w:r>
          </w:p>
        </w:tc>
        <w:tc>
          <w:tcPr>
            <w:tcW w:w="803" w:type="pct"/>
          </w:tcPr>
          <w:p w14:paraId="416370F6">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61752C70">
            <w:pPr>
              <w:jc w:val="center"/>
              <w:rPr>
                <w:sz w:val="18"/>
                <w:szCs w:val="18"/>
              </w:rPr>
            </w:pPr>
            <w:r>
              <w:rPr>
                <w:rFonts w:hint="eastAsia"/>
                <w:sz w:val="18"/>
                <w:szCs w:val="18"/>
              </w:rPr>
              <w:t>建筑碳排放计算标准（GB/T 51366-2019）</w:t>
            </w:r>
          </w:p>
        </w:tc>
        <w:tc>
          <w:tcPr>
            <w:tcW w:w="769" w:type="pct"/>
            <w:vAlign w:val="center"/>
          </w:tcPr>
          <w:p w14:paraId="7D37BBBF">
            <w:pPr>
              <w:jc w:val="center"/>
              <w:rPr>
                <w:sz w:val="18"/>
                <w:szCs w:val="18"/>
              </w:rPr>
            </w:pPr>
            <w:r>
              <w:rPr>
                <w:sz w:val="18"/>
                <w:szCs w:val="18"/>
              </w:rPr>
              <w:t>参照国标附录D中“热轧碳钢H钢”项</w:t>
            </w:r>
          </w:p>
        </w:tc>
      </w:tr>
      <w:tr w14:paraId="4886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0607D923">
            <w:pPr>
              <w:spacing w:line="276" w:lineRule="auto"/>
              <w:jc w:val="center"/>
              <w:rPr>
                <w:sz w:val="18"/>
                <w:szCs w:val="18"/>
              </w:rPr>
            </w:pPr>
            <w:r>
              <w:rPr>
                <w:sz w:val="18"/>
                <w:szCs w:val="18"/>
              </w:rPr>
              <w:t>钢护筒</w:t>
            </w:r>
          </w:p>
        </w:tc>
        <w:tc>
          <w:tcPr>
            <w:tcW w:w="798" w:type="pct"/>
            <w:vAlign w:val="center"/>
          </w:tcPr>
          <w:p w14:paraId="6D499C48">
            <w:pPr>
              <w:spacing w:line="276" w:lineRule="auto"/>
              <w:jc w:val="center"/>
              <w:rPr>
                <w:sz w:val="18"/>
                <w:szCs w:val="18"/>
              </w:rPr>
            </w:pPr>
            <w:r>
              <w:rPr>
                <w:sz w:val="18"/>
                <w:szCs w:val="18"/>
              </w:rPr>
              <w:t>2.400</w:t>
            </w:r>
          </w:p>
        </w:tc>
        <w:tc>
          <w:tcPr>
            <w:tcW w:w="803" w:type="pct"/>
          </w:tcPr>
          <w:p w14:paraId="382A152C">
            <w:pPr>
              <w:jc w:val="center"/>
              <w:rPr>
                <w:sz w:val="18"/>
                <w:szCs w:val="18"/>
              </w:rPr>
            </w:pPr>
            <w:r>
              <w:rPr>
                <w:sz w:val="18"/>
                <w:szCs w:val="18"/>
              </w:rPr>
              <w:t>kgCO</w:t>
            </w:r>
            <w:r>
              <w:rPr>
                <w:sz w:val="18"/>
                <w:szCs w:val="18"/>
                <w:vertAlign w:val="subscript"/>
              </w:rPr>
              <w:t>2</w:t>
            </w:r>
            <w:r>
              <w:rPr>
                <w:sz w:val="18"/>
                <w:szCs w:val="18"/>
              </w:rPr>
              <w:t>e/kg</w:t>
            </w:r>
          </w:p>
        </w:tc>
        <w:tc>
          <w:tcPr>
            <w:tcW w:w="1581" w:type="pct"/>
            <w:vAlign w:val="center"/>
          </w:tcPr>
          <w:p w14:paraId="016EA77B">
            <w:pPr>
              <w:jc w:val="center"/>
              <w:rPr>
                <w:sz w:val="18"/>
                <w:szCs w:val="18"/>
              </w:rPr>
            </w:pPr>
            <w:r>
              <w:rPr>
                <w:rFonts w:hint="eastAsia"/>
                <w:sz w:val="18"/>
                <w:szCs w:val="18"/>
              </w:rPr>
              <w:t>建筑碳排放计算标准（GB/T 51366-2019）</w:t>
            </w:r>
          </w:p>
        </w:tc>
        <w:tc>
          <w:tcPr>
            <w:tcW w:w="769" w:type="pct"/>
            <w:vAlign w:val="center"/>
          </w:tcPr>
          <w:p w14:paraId="328C8737">
            <w:pPr>
              <w:jc w:val="center"/>
              <w:rPr>
                <w:sz w:val="18"/>
                <w:szCs w:val="18"/>
              </w:rPr>
            </w:pPr>
            <w:r>
              <w:rPr>
                <w:sz w:val="18"/>
                <w:szCs w:val="18"/>
              </w:rPr>
              <w:t>参照国标附录D中“热轧碳钢中厚板”项</w:t>
            </w:r>
          </w:p>
        </w:tc>
      </w:tr>
      <w:tr w14:paraId="6EF4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541868DF">
            <w:pPr>
              <w:spacing w:line="276" w:lineRule="auto"/>
              <w:jc w:val="center"/>
              <w:rPr>
                <w:sz w:val="18"/>
                <w:szCs w:val="18"/>
              </w:rPr>
            </w:pPr>
            <w:r>
              <w:rPr>
                <w:sz w:val="18"/>
                <w:szCs w:val="18"/>
              </w:rPr>
              <w:t>钢板网</w:t>
            </w:r>
          </w:p>
        </w:tc>
        <w:tc>
          <w:tcPr>
            <w:tcW w:w="798" w:type="pct"/>
            <w:vAlign w:val="center"/>
          </w:tcPr>
          <w:p w14:paraId="18815177">
            <w:pPr>
              <w:spacing w:line="276" w:lineRule="auto"/>
              <w:jc w:val="center"/>
              <w:rPr>
                <w:sz w:val="18"/>
                <w:szCs w:val="18"/>
              </w:rPr>
            </w:pPr>
            <w:r>
              <w:rPr>
                <w:sz w:val="18"/>
                <w:szCs w:val="18"/>
              </w:rPr>
              <w:t>1.025</w:t>
            </w:r>
          </w:p>
        </w:tc>
        <w:tc>
          <w:tcPr>
            <w:tcW w:w="803" w:type="pct"/>
            <w:vAlign w:val="center"/>
          </w:tcPr>
          <w:p w14:paraId="3284791A">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2</w:t>
            </w:r>
          </w:p>
        </w:tc>
        <w:tc>
          <w:tcPr>
            <w:tcW w:w="1581" w:type="pct"/>
            <w:vAlign w:val="center"/>
          </w:tcPr>
          <w:p w14:paraId="472AC758">
            <w:pPr>
              <w:jc w:val="center"/>
              <w:rPr>
                <w:sz w:val="18"/>
                <w:szCs w:val="18"/>
              </w:rPr>
            </w:pPr>
            <w:r>
              <w:rPr>
                <w:sz w:val="18"/>
                <w:szCs w:val="18"/>
              </w:rPr>
              <w:t>暂按每平米相当于0.5kg普通碳钢计算</w:t>
            </w:r>
          </w:p>
        </w:tc>
        <w:tc>
          <w:tcPr>
            <w:tcW w:w="769" w:type="pct"/>
            <w:vAlign w:val="center"/>
          </w:tcPr>
          <w:p w14:paraId="69952665">
            <w:pPr>
              <w:jc w:val="center"/>
              <w:rPr>
                <w:sz w:val="18"/>
                <w:szCs w:val="18"/>
              </w:rPr>
            </w:pPr>
          </w:p>
        </w:tc>
      </w:tr>
      <w:tr w14:paraId="2268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109A40CE">
            <w:pPr>
              <w:spacing w:line="276" w:lineRule="auto"/>
              <w:jc w:val="center"/>
              <w:rPr>
                <w:sz w:val="18"/>
                <w:szCs w:val="18"/>
              </w:rPr>
            </w:pPr>
            <w:r>
              <w:rPr>
                <w:sz w:val="18"/>
                <w:szCs w:val="18"/>
              </w:rPr>
              <w:t>镀锌铁丝</w:t>
            </w:r>
          </w:p>
        </w:tc>
        <w:tc>
          <w:tcPr>
            <w:tcW w:w="798" w:type="pct"/>
            <w:vAlign w:val="center"/>
          </w:tcPr>
          <w:p w14:paraId="082B77DC">
            <w:pPr>
              <w:spacing w:line="276" w:lineRule="auto"/>
              <w:jc w:val="center"/>
              <w:rPr>
                <w:sz w:val="18"/>
                <w:szCs w:val="18"/>
              </w:rPr>
            </w:pPr>
            <w:r>
              <w:rPr>
                <w:sz w:val="18"/>
                <w:szCs w:val="18"/>
              </w:rPr>
              <w:t>3.110</w:t>
            </w:r>
          </w:p>
        </w:tc>
        <w:tc>
          <w:tcPr>
            <w:tcW w:w="803" w:type="pct"/>
            <w:vAlign w:val="center"/>
          </w:tcPr>
          <w:p w14:paraId="0AE0C6F7">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5388193C">
            <w:pPr>
              <w:jc w:val="center"/>
              <w:rPr>
                <w:sz w:val="18"/>
                <w:szCs w:val="18"/>
              </w:rPr>
            </w:pPr>
            <w:r>
              <w:rPr>
                <w:rFonts w:hint="eastAsia"/>
                <w:sz w:val="18"/>
                <w:szCs w:val="18"/>
              </w:rPr>
              <w:t>建筑碳排放计算标准（GB/T 51366-2019）</w:t>
            </w:r>
          </w:p>
        </w:tc>
        <w:tc>
          <w:tcPr>
            <w:tcW w:w="769" w:type="pct"/>
            <w:vAlign w:val="center"/>
          </w:tcPr>
          <w:p w14:paraId="2561C7B8">
            <w:pPr>
              <w:jc w:val="center"/>
              <w:rPr>
                <w:sz w:val="18"/>
                <w:szCs w:val="18"/>
              </w:rPr>
            </w:pPr>
            <w:r>
              <w:rPr>
                <w:sz w:val="18"/>
                <w:szCs w:val="18"/>
              </w:rPr>
              <w:t>参照国标附录D中“碳钢热镀锌板卷”项</w:t>
            </w:r>
          </w:p>
        </w:tc>
      </w:tr>
      <w:tr w14:paraId="07D6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7BF9D3E5">
            <w:pPr>
              <w:spacing w:line="276" w:lineRule="auto"/>
              <w:jc w:val="center"/>
              <w:rPr>
                <w:sz w:val="18"/>
                <w:szCs w:val="18"/>
              </w:rPr>
            </w:pPr>
            <w:r>
              <w:rPr>
                <w:sz w:val="18"/>
                <w:szCs w:val="18"/>
              </w:rPr>
              <w:t>火烧丝</w:t>
            </w:r>
          </w:p>
        </w:tc>
        <w:tc>
          <w:tcPr>
            <w:tcW w:w="798" w:type="pct"/>
            <w:vAlign w:val="center"/>
          </w:tcPr>
          <w:p w14:paraId="0C29F34B">
            <w:pPr>
              <w:spacing w:line="276" w:lineRule="auto"/>
              <w:jc w:val="center"/>
              <w:rPr>
                <w:sz w:val="18"/>
                <w:szCs w:val="18"/>
              </w:rPr>
            </w:pPr>
            <w:r>
              <w:rPr>
                <w:sz w:val="18"/>
                <w:szCs w:val="18"/>
              </w:rPr>
              <w:t>2.375</w:t>
            </w:r>
          </w:p>
        </w:tc>
        <w:tc>
          <w:tcPr>
            <w:tcW w:w="803" w:type="pct"/>
          </w:tcPr>
          <w:p w14:paraId="5E8EA40C">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579E0E9D">
            <w:pPr>
              <w:jc w:val="center"/>
              <w:rPr>
                <w:sz w:val="18"/>
                <w:szCs w:val="18"/>
              </w:rPr>
            </w:pPr>
            <w:r>
              <w:rPr>
                <w:rFonts w:hint="eastAsia"/>
                <w:sz w:val="18"/>
                <w:szCs w:val="18"/>
              </w:rPr>
              <w:t>建筑碳排放计算标准（GB/T 51366-2019）</w:t>
            </w:r>
          </w:p>
        </w:tc>
        <w:tc>
          <w:tcPr>
            <w:tcW w:w="769" w:type="pct"/>
            <w:vAlign w:val="center"/>
          </w:tcPr>
          <w:p w14:paraId="6A56CB59">
            <w:pPr>
              <w:jc w:val="center"/>
              <w:rPr>
                <w:sz w:val="18"/>
                <w:szCs w:val="18"/>
              </w:rPr>
            </w:pPr>
            <w:r>
              <w:rPr>
                <w:sz w:val="18"/>
                <w:szCs w:val="18"/>
              </w:rPr>
              <w:t>参照国标附录D中“热轧碳钢高线材”项</w:t>
            </w:r>
          </w:p>
        </w:tc>
      </w:tr>
      <w:tr w14:paraId="59B0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6466DC13">
            <w:pPr>
              <w:spacing w:line="276" w:lineRule="auto"/>
              <w:jc w:val="center"/>
              <w:rPr>
                <w:sz w:val="18"/>
                <w:szCs w:val="18"/>
              </w:rPr>
            </w:pPr>
            <w:r>
              <w:rPr>
                <w:sz w:val="18"/>
                <w:szCs w:val="18"/>
              </w:rPr>
              <w:t>导向铝管</w:t>
            </w:r>
          </w:p>
        </w:tc>
        <w:tc>
          <w:tcPr>
            <w:tcW w:w="798" w:type="pct"/>
            <w:vAlign w:val="center"/>
          </w:tcPr>
          <w:p w14:paraId="08744E98">
            <w:pPr>
              <w:spacing w:line="276" w:lineRule="auto"/>
              <w:jc w:val="center"/>
              <w:rPr>
                <w:sz w:val="18"/>
                <w:szCs w:val="18"/>
              </w:rPr>
            </w:pPr>
            <w:r>
              <w:rPr>
                <w:sz w:val="18"/>
                <w:szCs w:val="18"/>
              </w:rPr>
              <w:t>28.5</w:t>
            </w:r>
          </w:p>
        </w:tc>
        <w:tc>
          <w:tcPr>
            <w:tcW w:w="803" w:type="pct"/>
          </w:tcPr>
          <w:p w14:paraId="03E23833">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59C7CBBD">
            <w:pPr>
              <w:jc w:val="center"/>
              <w:rPr>
                <w:sz w:val="18"/>
                <w:szCs w:val="18"/>
              </w:rPr>
            </w:pPr>
            <w:r>
              <w:rPr>
                <w:rFonts w:hint="eastAsia"/>
                <w:sz w:val="18"/>
                <w:szCs w:val="18"/>
              </w:rPr>
              <w:t>建筑碳排放计算标准（GB/T 51366-2019）</w:t>
            </w:r>
          </w:p>
        </w:tc>
        <w:tc>
          <w:tcPr>
            <w:tcW w:w="769" w:type="pct"/>
            <w:vAlign w:val="center"/>
          </w:tcPr>
          <w:p w14:paraId="5747850A">
            <w:pPr>
              <w:jc w:val="center"/>
              <w:rPr>
                <w:sz w:val="18"/>
                <w:szCs w:val="18"/>
              </w:rPr>
            </w:pPr>
            <w:r>
              <w:rPr>
                <w:sz w:val="18"/>
                <w:szCs w:val="18"/>
              </w:rPr>
              <w:t>参照铝板带</w:t>
            </w:r>
          </w:p>
        </w:tc>
      </w:tr>
      <w:tr w14:paraId="2C75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269C4CD3">
            <w:pPr>
              <w:spacing w:line="276" w:lineRule="auto"/>
              <w:jc w:val="center"/>
              <w:rPr>
                <w:sz w:val="18"/>
                <w:szCs w:val="18"/>
              </w:rPr>
            </w:pPr>
            <w:r>
              <w:rPr>
                <w:sz w:val="18"/>
                <w:szCs w:val="18"/>
              </w:rPr>
              <w:t>泥浆护壁</w:t>
            </w:r>
          </w:p>
        </w:tc>
        <w:tc>
          <w:tcPr>
            <w:tcW w:w="798" w:type="pct"/>
            <w:vAlign w:val="center"/>
          </w:tcPr>
          <w:p w14:paraId="2705C9B6">
            <w:pPr>
              <w:spacing w:line="276" w:lineRule="auto"/>
              <w:jc w:val="center"/>
              <w:rPr>
                <w:sz w:val="18"/>
                <w:szCs w:val="18"/>
              </w:rPr>
            </w:pPr>
            <w:r>
              <w:rPr>
                <w:sz w:val="18"/>
                <w:szCs w:val="18"/>
              </w:rPr>
              <w:t>0.374</w:t>
            </w:r>
          </w:p>
        </w:tc>
        <w:tc>
          <w:tcPr>
            <w:tcW w:w="803" w:type="pct"/>
            <w:vAlign w:val="center"/>
          </w:tcPr>
          <w:p w14:paraId="3BBDBFCC">
            <w:pPr>
              <w:jc w:val="center"/>
              <w:rPr>
                <w:sz w:val="18"/>
                <w:szCs w:val="18"/>
              </w:rPr>
            </w:pPr>
            <w:r>
              <w:rPr>
                <w:sz w:val="18"/>
                <w:szCs w:val="18"/>
              </w:rPr>
              <w:t>kgCO</w:t>
            </w:r>
            <w:r>
              <w:rPr>
                <w:sz w:val="18"/>
                <w:szCs w:val="18"/>
                <w:vertAlign w:val="subscript"/>
              </w:rPr>
              <w:t>2</w:t>
            </w:r>
            <w:r>
              <w:rPr>
                <w:sz w:val="18"/>
                <w:szCs w:val="18"/>
              </w:rPr>
              <w:t>e/m</w:t>
            </w:r>
            <w:r>
              <w:rPr>
                <w:sz w:val="18"/>
                <w:szCs w:val="18"/>
                <w:vertAlign w:val="superscript"/>
              </w:rPr>
              <w:t>3</w:t>
            </w:r>
          </w:p>
        </w:tc>
        <w:tc>
          <w:tcPr>
            <w:tcW w:w="1581" w:type="pct"/>
            <w:vAlign w:val="center"/>
          </w:tcPr>
          <w:p w14:paraId="0251488E">
            <w:pPr>
              <w:jc w:val="center"/>
              <w:rPr>
                <w:sz w:val="18"/>
                <w:szCs w:val="18"/>
              </w:rPr>
            </w:pPr>
            <w:r>
              <w:rPr>
                <w:sz w:val="18"/>
                <w:szCs w:val="18"/>
              </w:rPr>
              <w:t>通过泥浆比重、水和膨润土的比例换算得到</w:t>
            </w:r>
          </w:p>
        </w:tc>
        <w:tc>
          <w:tcPr>
            <w:tcW w:w="769" w:type="pct"/>
            <w:vAlign w:val="center"/>
          </w:tcPr>
          <w:p w14:paraId="66B405BC">
            <w:pPr>
              <w:jc w:val="center"/>
              <w:rPr>
                <w:sz w:val="18"/>
                <w:szCs w:val="18"/>
              </w:rPr>
            </w:pPr>
          </w:p>
        </w:tc>
      </w:tr>
      <w:tr w14:paraId="50F9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10BFF06B">
            <w:pPr>
              <w:spacing w:line="276" w:lineRule="auto"/>
              <w:jc w:val="center"/>
              <w:rPr>
                <w:sz w:val="18"/>
                <w:szCs w:val="18"/>
              </w:rPr>
            </w:pPr>
            <w:r>
              <w:rPr>
                <w:sz w:val="18"/>
                <w:szCs w:val="18"/>
              </w:rPr>
              <w:t>预埋铁件</w:t>
            </w:r>
          </w:p>
        </w:tc>
        <w:tc>
          <w:tcPr>
            <w:tcW w:w="798" w:type="pct"/>
            <w:vAlign w:val="center"/>
          </w:tcPr>
          <w:p w14:paraId="76D6FF36">
            <w:pPr>
              <w:spacing w:line="276" w:lineRule="auto"/>
              <w:jc w:val="center"/>
              <w:rPr>
                <w:sz w:val="18"/>
                <w:szCs w:val="18"/>
              </w:rPr>
            </w:pPr>
            <w:r>
              <w:rPr>
                <w:sz w:val="18"/>
                <w:szCs w:val="18"/>
              </w:rPr>
              <w:t>2.310</w:t>
            </w:r>
          </w:p>
        </w:tc>
        <w:tc>
          <w:tcPr>
            <w:tcW w:w="803" w:type="pct"/>
          </w:tcPr>
          <w:p w14:paraId="1E7C467A">
            <w:pPr>
              <w:jc w:val="center"/>
              <w:rPr>
                <w:sz w:val="18"/>
                <w:szCs w:val="18"/>
              </w:rPr>
            </w:pPr>
            <w:r>
              <w:rPr>
                <w:sz w:val="18"/>
                <w:szCs w:val="18"/>
              </w:rPr>
              <w:t>kgCO</w:t>
            </w:r>
            <w:r>
              <w:rPr>
                <w:sz w:val="18"/>
                <w:szCs w:val="18"/>
                <w:vertAlign w:val="subscript"/>
              </w:rPr>
              <w:t>2</w:t>
            </w:r>
            <w:r>
              <w:rPr>
                <w:sz w:val="18"/>
                <w:szCs w:val="18"/>
              </w:rPr>
              <w:t>e/kg</w:t>
            </w:r>
          </w:p>
        </w:tc>
        <w:tc>
          <w:tcPr>
            <w:tcW w:w="1581" w:type="pct"/>
            <w:vAlign w:val="center"/>
          </w:tcPr>
          <w:p w14:paraId="39DBF4FC">
            <w:pPr>
              <w:jc w:val="center"/>
              <w:rPr>
                <w:sz w:val="18"/>
                <w:szCs w:val="18"/>
              </w:rPr>
            </w:pPr>
            <w:r>
              <w:rPr>
                <w:sz w:val="18"/>
                <w:szCs w:val="18"/>
              </w:rPr>
              <w:t>参照国标附录D中“热轧碳钢小型型钢”项</w:t>
            </w:r>
          </w:p>
        </w:tc>
        <w:tc>
          <w:tcPr>
            <w:tcW w:w="769" w:type="pct"/>
            <w:vAlign w:val="center"/>
          </w:tcPr>
          <w:p w14:paraId="7DBC565F">
            <w:pPr>
              <w:jc w:val="center"/>
              <w:rPr>
                <w:sz w:val="18"/>
                <w:szCs w:val="18"/>
              </w:rPr>
            </w:pPr>
          </w:p>
        </w:tc>
      </w:tr>
      <w:tr w14:paraId="7924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1F2B4F9D">
            <w:pPr>
              <w:spacing w:line="276" w:lineRule="auto"/>
              <w:jc w:val="center"/>
              <w:rPr>
                <w:sz w:val="18"/>
                <w:szCs w:val="18"/>
              </w:rPr>
            </w:pPr>
            <w:r>
              <w:rPr>
                <w:sz w:val="18"/>
                <w:szCs w:val="18"/>
              </w:rPr>
              <w:t>槽钢</w:t>
            </w:r>
          </w:p>
        </w:tc>
        <w:tc>
          <w:tcPr>
            <w:tcW w:w="798" w:type="pct"/>
            <w:vAlign w:val="center"/>
          </w:tcPr>
          <w:p w14:paraId="3C65D772">
            <w:pPr>
              <w:spacing w:line="276" w:lineRule="auto"/>
              <w:jc w:val="center"/>
              <w:rPr>
                <w:sz w:val="18"/>
                <w:szCs w:val="18"/>
              </w:rPr>
            </w:pPr>
            <w:r>
              <w:rPr>
                <w:sz w:val="18"/>
                <w:szCs w:val="18"/>
              </w:rPr>
              <w:t>2.310</w:t>
            </w:r>
          </w:p>
        </w:tc>
        <w:tc>
          <w:tcPr>
            <w:tcW w:w="803" w:type="pct"/>
          </w:tcPr>
          <w:p w14:paraId="3E06A304">
            <w:pPr>
              <w:jc w:val="center"/>
              <w:rPr>
                <w:sz w:val="18"/>
                <w:szCs w:val="18"/>
              </w:rPr>
            </w:pPr>
            <w:r>
              <w:rPr>
                <w:sz w:val="18"/>
                <w:szCs w:val="18"/>
              </w:rPr>
              <w:t>kgCO</w:t>
            </w:r>
            <w:r>
              <w:rPr>
                <w:sz w:val="18"/>
                <w:szCs w:val="18"/>
                <w:vertAlign w:val="subscript"/>
              </w:rPr>
              <w:t>2</w:t>
            </w:r>
            <w:r>
              <w:rPr>
                <w:sz w:val="18"/>
                <w:szCs w:val="18"/>
              </w:rPr>
              <w:t>e/kg</w:t>
            </w:r>
          </w:p>
        </w:tc>
        <w:tc>
          <w:tcPr>
            <w:tcW w:w="1581" w:type="pct"/>
            <w:vAlign w:val="center"/>
          </w:tcPr>
          <w:p w14:paraId="1DAE5163">
            <w:pPr>
              <w:jc w:val="center"/>
              <w:rPr>
                <w:sz w:val="18"/>
                <w:szCs w:val="18"/>
              </w:rPr>
            </w:pPr>
            <w:r>
              <w:rPr>
                <w:sz w:val="18"/>
                <w:szCs w:val="18"/>
              </w:rPr>
              <w:t>参照国标附录D中“热轧碳钢小型型钢”项</w:t>
            </w:r>
          </w:p>
        </w:tc>
        <w:tc>
          <w:tcPr>
            <w:tcW w:w="769" w:type="pct"/>
            <w:vAlign w:val="center"/>
          </w:tcPr>
          <w:p w14:paraId="10947DCF">
            <w:pPr>
              <w:jc w:val="center"/>
              <w:rPr>
                <w:sz w:val="18"/>
                <w:szCs w:val="18"/>
              </w:rPr>
            </w:pPr>
          </w:p>
        </w:tc>
      </w:tr>
      <w:tr w14:paraId="0D45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072B6313">
            <w:pPr>
              <w:spacing w:line="276" w:lineRule="auto"/>
              <w:jc w:val="center"/>
              <w:rPr>
                <w:sz w:val="18"/>
                <w:szCs w:val="18"/>
              </w:rPr>
            </w:pPr>
            <w:r>
              <w:rPr>
                <w:sz w:val="18"/>
                <w:szCs w:val="18"/>
              </w:rPr>
              <w:t>自来水</w:t>
            </w:r>
          </w:p>
        </w:tc>
        <w:tc>
          <w:tcPr>
            <w:tcW w:w="798" w:type="pct"/>
            <w:vAlign w:val="center"/>
          </w:tcPr>
          <w:p w14:paraId="76A8E318">
            <w:pPr>
              <w:spacing w:line="276" w:lineRule="auto"/>
              <w:jc w:val="center"/>
              <w:rPr>
                <w:sz w:val="18"/>
                <w:szCs w:val="18"/>
              </w:rPr>
            </w:pPr>
            <w:r>
              <w:rPr>
                <w:sz w:val="18"/>
                <w:szCs w:val="18"/>
              </w:rPr>
              <w:t>0.168</w:t>
            </w:r>
          </w:p>
        </w:tc>
        <w:tc>
          <w:tcPr>
            <w:tcW w:w="803" w:type="pct"/>
            <w:vAlign w:val="center"/>
          </w:tcPr>
          <w:p w14:paraId="12527305">
            <w:pPr>
              <w:jc w:val="center"/>
              <w:rPr>
                <w:sz w:val="18"/>
                <w:szCs w:val="18"/>
              </w:rPr>
            </w:pPr>
            <w:r>
              <w:rPr>
                <w:sz w:val="18"/>
                <w:szCs w:val="18"/>
              </w:rPr>
              <w:t>kgCO</w:t>
            </w:r>
            <w:r>
              <w:rPr>
                <w:sz w:val="18"/>
                <w:szCs w:val="18"/>
                <w:vertAlign w:val="subscript"/>
              </w:rPr>
              <w:t>2</w:t>
            </w:r>
            <w:r>
              <w:rPr>
                <w:sz w:val="18"/>
                <w:szCs w:val="18"/>
              </w:rPr>
              <w:t>e/t</w:t>
            </w:r>
          </w:p>
        </w:tc>
        <w:tc>
          <w:tcPr>
            <w:tcW w:w="1581" w:type="pct"/>
          </w:tcPr>
          <w:p w14:paraId="5434576D">
            <w:pPr>
              <w:jc w:val="center"/>
              <w:rPr>
                <w:sz w:val="18"/>
                <w:szCs w:val="18"/>
              </w:rPr>
            </w:pPr>
            <w:r>
              <w:rPr>
                <w:rFonts w:hint="eastAsia"/>
                <w:sz w:val="18"/>
                <w:szCs w:val="18"/>
              </w:rPr>
              <w:t>建筑碳排放计算标准（GB/T 51366-2019）</w:t>
            </w:r>
          </w:p>
        </w:tc>
        <w:tc>
          <w:tcPr>
            <w:tcW w:w="769" w:type="pct"/>
            <w:vAlign w:val="center"/>
          </w:tcPr>
          <w:p w14:paraId="44BB938B">
            <w:pPr>
              <w:jc w:val="center"/>
              <w:rPr>
                <w:sz w:val="18"/>
                <w:szCs w:val="18"/>
              </w:rPr>
            </w:pPr>
          </w:p>
        </w:tc>
      </w:tr>
      <w:tr w14:paraId="5343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3F80AB23">
            <w:pPr>
              <w:spacing w:line="276" w:lineRule="auto"/>
              <w:jc w:val="center"/>
              <w:rPr>
                <w:sz w:val="18"/>
                <w:szCs w:val="18"/>
              </w:rPr>
            </w:pPr>
            <w:r>
              <w:rPr>
                <w:sz w:val="18"/>
                <w:szCs w:val="18"/>
              </w:rPr>
              <w:t>柴油</w:t>
            </w:r>
          </w:p>
        </w:tc>
        <w:tc>
          <w:tcPr>
            <w:tcW w:w="798" w:type="pct"/>
            <w:vAlign w:val="center"/>
          </w:tcPr>
          <w:p w14:paraId="467E0E21">
            <w:pPr>
              <w:spacing w:line="276" w:lineRule="auto"/>
              <w:jc w:val="center"/>
              <w:rPr>
                <w:sz w:val="18"/>
                <w:szCs w:val="18"/>
              </w:rPr>
            </w:pPr>
            <w:r>
              <w:rPr>
                <w:sz w:val="18"/>
                <w:szCs w:val="18"/>
              </w:rPr>
              <w:t>3.096</w:t>
            </w:r>
          </w:p>
        </w:tc>
        <w:tc>
          <w:tcPr>
            <w:tcW w:w="803" w:type="pct"/>
          </w:tcPr>
          <w:p w14:paraId="2E96041B">
            <w:pPr>
              <w:jc w:val="center"/>
              <w:rPr>
                <w:sz w:val="18"/>
                <w:szCs w:val="18"/>
              </w:rPr>
            </w:pPr>
            <w:r>
              <w:rPr>
                <w:sz w:val="18"/>
                <w:szCs w:val="18"/>
              </w:rPr>
              <w:t>kgCO</w:t>
            </w:r>
            <w:r>
              <w:rPr>
                <w:sz w:val="18"/>
                <w:szCs w:val="18"/>
                <w:vertAlign w:val="subscript"/>
              </w:rPr>
              <w:t>2</w:t>
            </w:r>
            <w:r>
              <w:rPr>
                <w:sz w:val="18"/>
                <w:szCs w:val="18"/>
              </w:rPr>
              <w:t>e/kg</w:t>
            </w:r>
          </w:p>
        </w:tc>
        <w:tc>
          <w:tcPr>
            <w:tcW w:w="1581" w:type="pct"/>
          </w:tcPr>
          <w:p w14:paraId="2BEE28F8">
            <w:pPr>
              <w:jc w:val="center"/>
              <w:rPr>
                <w:sz w:val="18"/>
                <w:szCs w:val="18"/>
              </w:rPr>
            </w:pPr>
            <w:r>
              <w:rPr>
                <w:rFonts w:hint="eastAsia"/>
                <w:sz w:val="18"/>
                <w:szCs w:val="18"/>
              </w:rPr>
              <w:t>建筑碳排放计算标准（GB/T 51366-2019）</w:t>
            </w:r>
          </w:p>
        </w:tc>
        <w:tc>
          <w:tcPr>
            <w:tcW w:w="769" w:type="pct"/>
            <w:vAlign w:val="center"/>
          </w:tcPr>
          <w:p w14:paraId="0F5CA16A">
            <w:pPr>
              <w:jc w:val="center"/>
              <w:rPr>
                <w:sz w:val="18"/>
                <w:szCs w:val="18"/>
              </w:rPr>
            </w:pPr>
          </w:p>
        </w:tc>
      </w:tr>
      <w:tr w14:paraId="7F75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pct"/>
            <w:vAlign w:val="center"/>
          </w:tcPr>
          <w:p w14:paraId="3E02838A">
            <w:pPr>
              <w:spacing w:line="276" w:lineRule="auto"/>
              <w:jc w:val="center"/>
              <w:rPr>
                <w:sz w:val="18"/>
                <w:szCs w:val="18"/>
              </w:rPr>
            </w:pPr>
            <w:r>
              <w:rPr>
                <w:sz w:val="18"/>
                <w:szCs w:val="18"/>
              </w:rPr>
              <w:t>电</w:t>
            </w:r>
          </w:p>
        </w:tc>
        <w:tc>
          <w:tcPr>
            <w:tcW w:w="798" w:type="pct"/>
            <w:vAlign w:val="center"/>
          </w:tcPr>
          <w:p w14:paraId="485D5F78">
            <w:pPr>
              <w:spacing w:line="276" w:lineRule="auto"/>
              <w:jc w:val="center"/>
              <w:rPr>
                <w:sz w:val="18"/>
                <w:szCs w:val="18"/>
              </w:rPr>
            </w:pPr>
            <w:r>
              <w:rPr>
                <w:sz w:val="18"/>
                <w:szCs w:val="18"/>
              </w:rPr>
              <w:t>0.8843</w:t>
            </w:r>
          </w:p>
        </w:tc>
        <w:tc>
          <w:tcPr>
            <w:tcW w:w="803" w:type="pct"/>
            <w:vAlign w:val="center"/>
          </w:tcPr>
          <w:p w14:paraId="4741DB4A">
            <w:pPr>
              <w:jc w:val="center"/>
              <w:rPr>
                <w:sz w:val="18"/>
                <w:szCs w:val="18"/>
              </w:rPr>
            </w:pPr>
            <w:r>
              <w:rPr>
                <w:sz w:val="18"/>
                <w:szCs w:val="18"/>
              </w:rPr>
              <w:t>kgCO</w:t>
            </w:r>
            <w:r>
              <w:rPr>
                <w:sz w:val="18"/>
                <w:szCs w:val="18"/>
                <w:vertAlign w:val="subscript"/>
              </w:rPr>
              <w:t>2</w:t>
            </w:r>
            <w:r>
              <w:rPr>
                <w:sz w:val="18"/>
                <w:szCs w:val="18"/>
              </w:rPr>
              <w:t>e/kwh</w:t>
            </w:r>
          </w:p>
        </w:tc>
        <w:tc>
          <w:tcPr>
            <w:tcW w:w="1581" w:type="pct"/>
          </w:tcPr>
          <w:p w14:paraId="4FB89B0D">
            <w:pPr>
              <w:jc w:val="center"/>
              <w:rPr>
                <w:sz w:val="18"/>
                <w:szCs w:val="18"/>
              </w:rPr>
            </w:pPr>
            <w:r>
              <w:rPr>
                <w:rFonts w:hint="eastAsia"/>
                <w:sz w:val="18"/>
                <w:szCs w:val="18"/>
              </w:rPr>
              <w:t>建筑碳排放计算标准（GB/T 51366-2019）</w:t>
            </w:r>
          </w:p>
        </w:tc>
        <w:tc>
          <w:tcPr>
            <w:tcW w:w="769" w:type="pct"/>
            <w:vAlign w:val="center"/>
          </w:tcPr>
          <w:p w14:paraId="27FA5E5D">
            <w:pPr>
              <w:jc w:val="center"/>
              <w:rPr>
                <w:sz w:val="18"/>
                <w:szCs w:val="18"/>
              </w:rPr>
            </w:pPr>
          </w:p>
        </w:tc>
      </w:tr>
    </w:tbl>
    <w:p w14:paraId="39A57CFB">
      <w:pPr>
        <w:rPr>
          <w:sz w:val="15"/>
          <w:szCs w:val="15"/>
        </w:rPr>
      </w:pPr>
    </w:p>
    <w:p w14:paraId="33316893">
      <w:pPr>
        <w:widowControl/>
        <w:jc w:val="left"/>
        <w:rPr>
          <w:szCs w:val="24"/>
        </w:rPr>
      </w:pPr>
      <w:r>
        <w:br w:type="page"/>
      </w:r>
    </w:p>
    <w:p w14:paraId="152F5E1A">
      <w:pPr>
        <w:pStyle w:val="5"/>
        <w:keepNext w:val="0"/>
        <w:keepLines w:val="0"/>
        <w:adjustRightInd w:val="0"/>
        <w:snapToGrid w:val="0"/>
        <w:spacing w:before="156" w:beforeLines="50" w:after="312" w:afterLines="100" w:line="288" w:lineRule="auto"/>
        <w:jc w:val="center"/>
      </w:pPr>
      <w:bookmarkStart w:id="160" w:name="_Toc397965721"/>
      <w:bookmarkStart w:id="161" w:name="_Toc139613786"/>
      <w:bookmarkStart w:id="162" w:name="_Toc468104741"/>
      <w:r>
        <w:rPr>
          <w:rFonts w:hint="eastAsia" w:ascii="黑体" w:hAnsi="黑体"/>
          <w:b w:val="0"/>
          <w:sz w:val="26"/>
          <w:szCs w:val="26"/>
        </w:rPr>
        <w:t>本规程用词说明</w:t>
      </w:r>
      <w:bookmarkEnd w:id="160"/>
      <w:bookmarkEnd w:id="161"/>
      <w:bookmarkEnd w:id="162"/>
    </w:p>
    <w:p w14:paraId="28A63970">
      <w:pPr>
        <w:adjustRightInd w:val="0"/>
        <w:snapToGrid w:val="0"/>
        <w:spacing w:line="288" w:lineRule="auto"/>
        <w:ind w:firstLine="402" w:firstLineChars="200"/>
        <w:rPr>
          <w:rFonts w:ascii="宋体" w:hAnsi="宋体" w:cs="新宋体-18030"/>
          <w:kern w:val="0"/>
          <w:sz w:val="20"/>
          <w:szCs w:val="20"/>
        </w:rPr>
      </w:pPr>
      <w:r>
        <w:rPr>
          <w:b/>
          <w:kern w:val="0"/>
          <w:sz w:val="20"/>
          <w:szCs w:val="20"/>
        </w:rPr>
        <w:t>1</w:t>
      </w:r>
      <w:r>
        <w:rPr>
          <w:rFonts w:hint="eastAsia" w:ascii="宋体" w:hAnsi="宋体" w:cs="新宋体-18030"/>
          <w:kern w:val="0"/>
          <w:sz w:val="20"/>
          <w:szCs w:val="20"/>
        </w:rPr>
        <w:t xml:space="preserve">  为便于在执行本规程条文时区别对待，对要求严格程度不同的用词说明如下：</w:t>
      </w:r>
    </w:p>
    <w:p w14:paraId="355D42A8">
      <w:pPr>
        <w:adjustRightInd w:val="0"/>
        <w:snapToGrid w:val="0"/>
        <w:spacing w:line="288" w:lineRule="auto"/>
        <w:ind w:firstLine="600" w:firstLineChars="300"/>
        <w:rPr>
          <w:rFonts w:ascii="宋体" w:hAnsi="宋体" w:cs="新宋体-18030"/>
          <w:kern w:val="0"/>
          <w:sz w:val="20"/>
          <w:szCs w:val="20"/>
        </w:rPr>
      </w:pPr>
      <w:r>
        <w:rPr>
          <w:rFonts w:hint="eastAsia" w:ascii="宋体" w:hAnsi="宋体" w:cs="新宋体-18030"/>
          <w:kern w:val="0"/>
          <w:sz w:val="20"/>
          <w:szCs w:val="20"/>
        </w:rPr>
        <w:t>1）表示很严格，非这样做不可的：</w:t>
      </w:r>
    </w:p>
    <w:p w14:paraId="0F1B035D">
      <w:pPr>
        <w:adjustRightInd w:val="0"/>
        <w:snapToGrid w:val="0"/>
        <w:spacing w:line="288" w:lineRule="auto"/>
        <w:ind w:firstLine="900" w:firstLineChars="450"/>
        <w:rPr>
          <w:rFonts w:ascii="宋体" w:hAnsi="宋体" w:cs="新宋体-18030"/>
          <w:kern w:val="0"/>
          <w:sz w:val="20"/>
          <w:szCs w:val="20"/>
        </w:rPr>
      </w:pPr>
      <w:r>
        <w:rPr>
          <w:rFonts w:hint="eastAsia" w:ascii="宋体" w:hAnsi="宋体" w:cs="新宋体-18030"/>
          <w:kern w:val="0"/>
          <w:sz w:val="20"/>
          <w:szCs w:val="20"/>
        </w:rPr>
        <w:t>正面词采用“必须”，反面词采用“严禁”。</w:t>
      </w:r>
    </w:p>
    <w:p w14:paraId="3B298586">
      <w:pPr>
        <w:adjustRightInd w:val="0"/>
        <w:snapToGrid w:val="0"/>
        <w:spacing w:line="288" w:lineRule="auto"/>
        <w:ind w:left="400" w:firstLine="200" w:firstLineChars="100"/>
        <w:rPr>
          <w:rFonts w:ascii="宋体" w:hAnsi="宋体" w:cs="新宋体-18030"/>
          <w:kern w:val="0"/>
          <w:sz w:val="20"/>
          <w:szCs w:val="20"/>
        </w:rPr>
      </w:pPr>
      <w:r>
        <w:rPr>
          <w:rFonts w:hint="eastAsia" w:ascii="宋体" w:hAnsi="宋体" w:cs="新宋体-18030"/>
          <w:kern w:val="0"/>
          <w:sz w:val="20"/>
          <w:szCs w:val="20"/>
        </w:rPr>
        <w:t>2）表示严格，在正常情况下均应这样做的：</w:t>
      </w:r>
    </w:p>
    <w:p w14:paraId="3303117E">
      <w:pPr>
        <w:adjustRightInd w:val="0"/>
        <w:snapToGrid w:val="0"/>
        <w:spacing w:line="288" w:lineRule="auto"/>
        <w:ind w:firstLine="900" w:firstLineChars="450"/>
        <w:rPr>
          <w:rFonts w:ascii="宋体" w:hAnsi="宋体" w:cs="新宋体-18030"/>
          <w:kern w:val="0"/>
          <w:sz w:val="20"/>
          <w:szCs w:val="20"/>
        </w:rPr>
      </w:pPr>
      <w:r>
        <w:rPr>
          <w:rFonts w:hint="eastAsia" w:ascii="宋体" w:hAnsi="宋体" w:cs="新宋体-18030"/>
          <w:kern w:val="0"/>
          <w:sz w:val="20"/>
          <w:szCs w:val="20"/>
        </w:rPr>
        <w:t>正面词采用“应”，反面词采用“不应”或“不得”。</w:t>
      </w:r>
    </w:p>
    <w:p w14:paraId="1170E2DB">
      <w:pPr>
        <w:adjustRightInd w:val="0"/>
        <w:snapToGrid w:val="0"/>
        <w:spacing w:line="288" w:lineRule="auto"/>
        <w:ind w:left="400" w:firstLine="200" w:firstLineChars="100"/>
        <w:rPr>
          <w:rFonts w:ascii="宋体" w:hAnsi="宋体" w:cs="新宋体-18030"/>
          <w:kern w:val="0"/>
          <w:sz w:val="20"/>
          <w:szCs w:val="20"/>
        </w:rPr>
      </w:pPr>
      <w:r>
        <w:rPr>
          <w:rFonts w:hint="eastAsia" w:ascii="宋体" w:hAnsi="宋体" w:cs="新宋体-18030"/>
          <w:kern w:val="0"/>
          <w:sz w:val="20"/>
          <w:szCs w:val="20"/>
        </w:rPr>
        <w:t>3）表示允许稍有选择，在条件许可时首先这样做的：</w:t>
      </w:r>
    </w:p>
    <w:p w14:paraId="02EC8F1A">
      <w:pPr>
        <w:adjustRightInd w:val="0"/>
        <w:snapToGrid w:val="0"/>
        <w:spacing w:line="288" w:lineRule="auto"/>
        <w:ind w:firstLine="900" w:firstLineChars="450"/>
        <w:rPr>
          <w:rFonts w:ascii="宋体" w:hAnsi="宋体" w:cs="新宋体-18030"/>
          <w:kern w:val="0"/>
          <w:sz w:val="20"/>
          <w:szCs w:val="20"/>
        </w:rPr>
      </w:pPr>
      <w:r>
        <w:rPr>
          <w:rFonts w:hint="eastAsia" w:ascii="宋体" w:hAnsi="宋体" w:cs="新宋体-18030"/>
          <w:kern w:val="0"/>
          <w:sz w:val="20"/>
          <w:szCs w:val="20"/>
        </w:rPr>
        <w:t>正面词采用“宜”，反面词采用“不宜”；</w:t>
      </w:r>
    </w:p>
    <w:p w14:paraId="562B1D8E">
      <w:pPr>
        <w:adjustRightInd w:val="0"/>
        <w:snapToGrid w:val="0"/>
        <w:spacing w:line="288" w:lineRule="auto"/>
        <w:ind w:left="400" w:firstLine="200" w:firstLineChars="100"/>
        <w:rPr>
          <w:rFonts w:ascii="宋体" w:hAnsi="宋体" w:cs="新宋体-18030"/>
          <w:kern w:val="0"/>
          <w:sz w:val="20"/>
          <w:szCs w:val="20"/>
        </w:rPr>
      </w:pPr>
      <w:r>
        <w:rPr>
          <w:rFonts w:hint="eastAsia" w:ascii="宋体" w:hAnsi="宋体" w:cs="新宋体-18030"/>
          <w:kern w:val="0"/>
          <w:sz w:val="20"/>
          <w:szCs w:val="20"/>
        </w:rPr>
        <w:t>4）表示有选择，在一定条件下可以这样做的，采用“可”。</w:t>
      </w:r>
    </w:p>
    <w:p w14:paraId="783324B7">
      <w:pPr>
        <w:adjustRightInd w:val="0"/>
        <w:snapToGrid w:val="0"/>
        <w:spacing w:line="288" w:lineRule="auto"/>
        <w:ind w:firstLine="402" w:firstLineChars="200"/>
        <w:rPr>
          <w:rFonts w:ascii="宋体" w:hAnsi="宋体" w:cs="新宋体-18030"/>
          <w:kern w:val="0"/>
          <w:sz w:val="20"/>
          <w:szCs w:val="20"/>
        </w:rPr>
        <w:sectPr>
          <w:pgSz w:w="11906" w:h="16838"/>
          <w:pgMar w:top="1361" w:right="1021" w:bottom="1134" w:left="1021" w:header="1021" w:footer="992" w:gutter="0"/>
          <w:pgNumType w:start="1"/>
          <w:cols w:space="425" w:num="1"/>
          <w:docGrid w:type="lines" w:linePitch="312" w:charSpace="0"/>
        </w:sectPr>
      </w:pPr>
      <w:r>
        <w:rPr>
          <w:rFonts w:hint="eastAsia"/>
          <w:b/>
          <w:kern w:val="0"/>
          <w:sz w:val="20"/>
          <w:szCs w:val="20"/>
        </w:rPr>
        <w:t>2</w:t>
      </w:r>
      <w:r>
        <w:rPr>
          <w:rFonts w:hint="eastAsia" w:ascii="宋体" w:hAnsi="宋体" w:cs="新宋体-18030"/>
          <w:kern w:val="0"/>
          <w:sz w:val="20"/>
          <w:szCs w:val="20"/>
        </w:rPr>
        <w:t xml:space="preserve">  条文中指明应按其他有关标准执行的写法为：“应符合……的规定”或“应按……执行”。</w:t>
      </w:r>
    </w:p>
    <w:p w14:paraId="54129BD9">
      <w:pPr>
        <w:pStyle w:val="5"/>
        <w:keepNext w:val="0"/>
        <w:keepLines w:val="0"/>
        <w:adjustRightInd w:val="0"/>
        <w:snapToGrid w:val="0"/>
        <w:spacing w:before="120" w:beforeLines="50" w:after="240" w:afterLines="100" w:line="288" w:lineRule="auto"/>
        <w:jc w:val="center"/>
      </w:pPr>
      <w:bookmarkStart w:id="163" w:name="_Toc139613787"/>
      <w:bookmarkStart w:id="164" w:name="_Toc468104742"/>
      <w:bookmarkStart w:id="165" w:name="_Toc397965722"/>
      <w:r>
        <w:rPr>
          <w:rFonts w:hint="eastAsia" w:ascii="黑体" w:hAnsi="黑体"/>
          <w:b w:val="0"/>
          <w:sz w:val="26"/>
          <w:szCs w:val="26"/>
        </w:rPr>
        <w:t>引用标准名录</w:t>
      </w:r>
      <w:bookmarkEnd w:id="163"/>
      <w:bookmarkEnd w:id="164"/>
      <w:bookmarkEnd w:id="165"/>
    </w:p>
    <w:p w14:paraId="7466571C">
      <w:pPr>
        <w:numPr>
          <w:ilvl w:val="0"/>
          <w:numId w:val="1"/>
        </w:numPr>
        <w:adjustRightInd w:val="0"/>
        <w:snapToGrid w:val="0"/>
        <w:spacing w:line="288" w:lineRule="auto"/>
        <w:ind w:left="0" w:firstLine="0"/>
        <w:jc w:val="center"/>
        <w:rPr>
          <w:sz w:val="20"/>
          <w:szCs w:val="20"/>
        </w:rPr>
      </w:pPr>
      <w:r>
        <w:rPr>
          <w:rFonts w:hAnsi="宋体"/>
          <w:kern w:val="0"/>
          <w:sz w:val="20"/>
          <w:szCs w:val="20"/>
        </w:rPr>
        <w:t>《建筑地基基础设计规范》</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 50007</w:t>
      </w:r>
    </w:p>
    <w:p w14:paraId="0F99A520">
      <w:pPr>
        <w:numPr>
          <w:ilvl w:val="0"/>
          <w:numId w:val="1"/>
        </w:numPr>
        <w:adjustRightInd w:val="0"/>
        <w:snapToGrid w:val="0"/>
        <w:spacing w:line="288" w:lineRule="auto"/>
        <w:ind w:left="0" w:firstLine="0"/>
        <w:jc w:val="center"/>
        <w:rPr>
          <w:sz w:val="20"/>
          <w:szCs w:val="20"/>
        </w:rPr>
      </w:pPr>
      <w:r>
        <w:rPr>
          <w:rFonts w:hAnsi="宋体"/>
          <w:sz w:val="20"/>
          <w:szCs w:val="20"/>
        </w:rPr>
        <w:t>《建筑结构荷载规范</w:t>
      </w:r>
      <w:r>
        <w:rPr>
          <w:rFonts w:hAnsi="宋体"/>
          <w:kern w:val="0"/>
          <w:sz w:val="20"/>
          <w:szCs w:val="20"/>
        </w:rPr>
        <w:t>》</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 50009</w:t>
      </w:r>
    </w:p>
    <w:p w14:paraId="6D2D8808">
      <w:pPr>
        <w:numPr>
          <w:ilvl w:val="0"/>
          <w:numId w:val="1"/>
        </w:numPr>
        <w:adjustRightInd w:val="0"/>
        <w:snapToGrid w:val="0"/>
        <w:spacing w:line="288" w:lineRule="auto"/>
        <w:ind w:left="0" w:firstLine="0"/>
        <w:jc w:val="center"/>
        <w:rPr>
          <w:sz w:val="20"/>
          <w:szCs w:val="20"/>
        </w:rPr>
      </w:pPr>
      <w:r>
        <w:rPr>
          <w:rFonts w:hAnsi="宋体"/>
          <w:kern w:val="0"/>
          <w:sz w:val="20"/>
          <w:szCs w:val="20"/>
        </w:rPr>
        <w:t>《混凝土结构设计规范》</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 50010</w:t>
      </w:r>
    </w:p>
    <w:p w14:paraId="43917E07">
      <w:pPr>
        <w:numPr>
          <w:ilvl w:val="0"/>
          <w:numId w:val="1"/>
        </w:numPr>
        <w:adjustRightInd w:val="0"/>
        <w:snapToGrid w:val="0"/>
        <w:spacing w:line="288" w:lineRule="auto"/>
        <w:ind w:left="0" w:firstLine="0"/>
        <w:jc w:val="center"/>
        <w:rPr>
          <w:sz w:val="20"/>
          <w:szCs w:val="20"/>
        </w:rPr>
      </w:pPr>
      <w:r>
        <w:rPr>
          <w:rFonts w:hAnsi="宋体"/>
          <w:kern w:val="0"/>
          <w:sz w:val="20"/>
          <w:szCs w:val="20"/>
        </w:rPr>
        <w:t>《钢结构设计规范》</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 50017</w:t>
      </w:r>
    </w:p>
    <w:p w14:paraId="0FEBA911">
      <w:pPr>
        <w:numPr>
          <w:ilvl w:val="0"/>
          <w:numId w:val="1"/>
        </w:numPr>
        <w:adjustRightInd w:val="0"/>
        <w:snapToGrid w:val="0"/>
        <w:spacing w:line="288" w:lineRule="auto"/>
        <w:ind w:left="0" w:firstLine="0"/>
        <w:jc w:val="center"/>
        <w:rPr>
          <w:sz w:val="20"/>
          <w:szCs w:val="20"/>
        </w:rPr>
      </w:pPr>
      <w:r>
        <w:rPr>
          <w:rFonts w:hAnsi="宋体"/>
          <w:kern w:val="0"/>
          <w:sz w:val="20"/>
          <w:szCs w:val="20"/>
        </w:rPr>
        <w:t>《岩土工程勘察规范》</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 50021</w:t>
      </w:r>
    </w:p>
    <w:p w14:paraId="6523B639">
      <w:pPr>
        <w:numPr>
          <w:ilvl w:val="0"/>
          <w:numId w:val="1"/>
        </w:numPr>
        <w:adjustRightInd w:val="0"/>
        <w:snapToGrid w:val="0"/>
        <w:spacing w:line="288" w:lineRule="auto"/>
        <w:ind w:left="0" w:firstLine="0"/>
        <w:jc w:val="center"/>
        <w:rPr>
          <w:sz w:val="20"/>
          <w:szCs w:val="20"/>
        </w:rPr>
      </w:pPr>
      <w:r>
        <w:rPr>
          <w:rFonts w:hAnsi="宋体"/>
          <w:kern w:val="0"/>
          <w:sz w:val="20"/>
          <w:szCs w:val="20"/>
        </w:rPr>
        <w:t>《地下工程防水技术规范》</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 50108</w:t>
      </w:r>
    </w:p>
    <w:p w14:paraId="5715CEE3">
      <w:pPr>
        <w:numPr>
          <w:ilvl w:val="0"/>
          <w:numId w:val="1"/>
        </w:numPr>
        <w:adjustRightInd w:val="0"/>
        <w:snapToGrid w:val="0"/>
        <w:spacing w:line="288" w:lineRule="auto"/>
        <w:ind w:left="0" w:firstLine="0"/>
        <w:jc w:val="center"/>
        <w:rPr>
          <w:sz w:val="20"/>
          <w:szCs w:val="20"/>
        </w:rPr>
      </w:pPr>
      <w:r>
        <w:rPr>
          <w:rFonts w:hAnsi="宋体"/>
          <w:kern w:val="0"/>
          <w:sz w:val="20"/>
          <w:szCs w:val="20"/>
        </w:rPr>
        <w:t>《建筑地基基础工程施工质量验收规范》</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 50202</w:t>
      </w:r>
    </w:p>
    <w:p w14:paraId="1B6CE425">
      <w:pPr>
        <w:numPr>
          <w:ilvl w:val="0"/>
          <w:numId w:val="1"/>
        </w:numPr>
        <w:adjustRightInd w:val="0"/>
        <w:snapToGrid w:val="0"/>
        <w:spacing w:line="288" w:lineRule="auto"/>
        <w:ind w:left="0" w:firstLine="0"/>
        <w:jc w:val="center"/>
        <w:rPr>
          <w:sz w:val="20"/>
          <w:szCs w:val="20"/>
        </w:rPr>
      </w:pPr>
      <w:r>
        <w:rPr>
          <w:rFonts w:hAnsi="宋体"/>
          <w:kern w:val="0"/>
          <w:sz w:val="20"/>
          <w:szCs w:val="20"/>
        </w:rPr>
        <w:t>《混凝土结构工程施工质量验收规范》</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 50204</w:t>
      </w:r>
    </w:p>
    <w:p w14:paraId="2D403D55">
      <w:pPr>
        <w:numPr>
          <w:ilvl w:val="0"/>
          <w:numId w:val="1"/>
        </w:numPr>
        <w:adjustRightInd w:val="0"/>
        <w:snapToGrid w:val="0"/>
        <w:spacing w:line="288" w:lineRule="auto"/>
        <w:ind w:left="0" w:firstLine="0"/>
        <w:jc w:val="center"/>
        <w:rPr>
          <w:sz w:val="20"/>
          <w:szCs w:val="20"/>
        </w:rPr>
      </w:pPr>
      <w:r>
        <w:rPr>
          <w:rFonts w:hAnsi="宋体"/>
          <w:kern w:val="0"/>
          <w:sz w:val="20"/>
          <w:szCs w:val="20"/>
        </w:rPr>
        <w:t>《钢结构工程施工质量验收规范》</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 50205</w:t>
      </w:r>
    </w:p>
    <w:p w14:paraId="48E61FE5">
      <w:pPr>
        <w:numPr>
          <w:ilvl w:val="0"/>
          <w:numId w:val="1"/>
        </w:numPr>
        <w:adjustRightInd w:val="0"/>
        <w:snapToGrid w:val="0"/>
        <w:spacing w:line="288" w:lineRule="auto"/>
        <w:ind w:left="0" w:firstLine="0"/>
        <w:jc w:val="center"/>
        <w:rPr>
          <w:kern w:val="0"/>
          <w:sz w:val="20"/>
          <w:szCs w:val="20"/>
        </w:rPr>
      </w:pPr>
      <w:r>
        <w:rPr>
          <w:rFonts w:hAnsi="宋体"/>
          <w:bCs/>
          <w:sz w:val="20"/>
          <w:szCs w:val="20"/>
        </w:rPr>
        <w:t>《建筑工程施工质量验收统一标准</w:t>
      </w:r>
      <w:r>
        <w:rPr>
          <w:rFonts w:hAnsi="宋体"/>
          <w:kern w:val="0"/>
          <w:sz w:val="20"/>
          <w:szCs w:val="20"/>
        </w:rPr>
        <w:t>》</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 50300</w:t>
      </w:r>
    </w:p>
    <w:p w14:paraId="1A077D10">
      <w:pPr>
        <w:numPr>
          <w:ilvl w:val="0"/>
          <w:numId w:val="1"/>
        </w:numPr>
        <w:adjustRightInd w:val="0"/>
        <w:snapToGrid w:val="0"/>
        <w:spacing w:line="288" w:lineRule="auto"/>
        <w:ind w:left="0" w:firstLine="0"/>
        <w:jc w:val="center"/>
        <w:rPr>
          <w:sz w:val="20"/>
          <w:szCs w:val="20"/>
        </w:rPr>
      </w:pPr>
      <w:r>
        <w:rPr>
          <w:rFonts w:hAnsi="宋体"/>
          <w:kern w:val="0"/>
          <w:sz w:val="20"/>
          <w:szCs w:val="20"/>
        </w:rPr>
        <w:t>《建筑基坑工程监测技术</w:t>
      </w:r>
      <w:r>
        <w:rPr>
          <w:rFonts w:hint="eastAsia" w:hAnsi="宋体"/>
          <w:kern w:val="0"/>
          <w:sz w:val="20"/>
          <w:szCs w:val="20"/>
        </w:rPr>
        <w:t>标准</w:t>
      </w:r>
      <w:r>
        <w:rPr>
          <w:rFonts w:hAnsi="宋体"/>
          <w:kern w:val="0"/>
          <w:sz w:val="20"/>
          <w:szCs w:val="20"/>
        </w:rPr>
        <w:t>》</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 50497</w:t>
      </w:r>
    </w:p>
    <w:p w14:paraId="488A0DEE">
      <w:pPr>
        <w:numPr>
          <w:ilvl w:val="0"/>
          <w:numId w:val="1"/>
        </w:numPr>
        <w:adjustRightInd w:val="0"/>
        <w:snapToGrid w:val="0"/>
        <w:spacing w:line="288" w:lineRule="auto"/>
        <w:ind w:left="0" w:firstLine="0"/>
        <w:jc w:val="center"/>
        <w:rPr>
          <w:sz w:val="20"/>
          <w:szCs w:val="20"/>
        </w:rPr>
      </w:pPr>
      <w:r>
        <w:rPr>
          <w:rFonts w:hAnsi="宋体"/>
          <w:kern w:val="0"/>
          <w:sz w:val="20"/>
          <w:szCs w:val="20"/>
        </w:rPr>
        <w:t>《预应力混凝土用钢绞线》</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GB/T 5224</w:t>
      </w:r>
    </w:p>
    <w:p w14:paraId="1F9FAE09">
      <w:pPr>
        <w:numPr>
          <w:ilvl w:val="0"/>
          <w:numId w:val="1"/>
        </w:numPr>
        <w:adjustRightInd w:val="0"/>
        <w:snapToGrid w:val="0"/>
        <w:spacing w:line="288" w:lineRule="auto"/>
        <w:ind w:left="0" w:firstLine="0"/>
        <w:jc w:val="center"/>
        <w:rPr>
          <w:sz w:val="20"/>
          <w:szCs w:val="20"/>
        </w:rPr>
      </w:pPr>
      <w:r>
        <w:rPr>
          <w:rFonts w:hAnsi="宋体"/>
          <w:kern w:val="0"/>
          <w:sz w:val="20"/>
          <w:szCs w:val="20"/>
        </w:rPr>
        <w:t>《建筑地基处理技术规范》</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JGJ 79</w:t>
      </w:r>
    </w:p>
    <w:p w14:paraId="7BCD4B95">
      <w:pPr>
        <w:numPr>
          <w:ilvl w:val="0"/>
          <w:numId w:val="1"/>
        </w:numPr>
        <w:adjustRightInd w:val="0"/>
        <w:snapToGrid w:val="0"/>
        <w:spacing w:line="288" w:lineRule="auto"/>
        <w:ind w:left="0" w:firstLine="0"/>
        <w:jc w:val="center"/>
        <w:rPr>
          <w:kern w:val="0"/>
          <w:sz w:val="20"/>
          <w:szCs w:val="20"/>
        </w:rPr>
      </w:pPr>
      <w:r>
        <w:rPr>
          <w:rFonts w:hAnsi="宋体"/>
          <w:kern w:val="0"/>
          <w:sz w:val="20"/>
          <w:szCs w:val="20"/>
        </w:rPr>
        <w:t>《建筑桩基技术规范》</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JGJ 94</w:t>
      </w:r>
    </w:p>
    <w:p w14:paraId="1EC23E8C">
      <w:pPr>
        <w:numPr>
          <w:ilvl w:val="0"/>
          <w:numId w:val="1"/>
        </w:numPr>
        <w:adjustRightInd w:val="0"/>
        <w:snapToGrid w:val="0"/>
        <w:spacing w:line="288" w:lineRule="auto"/>
        <w:ind w:left="0" w:firstLine="0"/>
        <w:jc w:val="center"/>
        <w:rPr>
          <w:kern w:val="0"/>
          <w:sz w:val="20"/>
          <w:szCs w:val="20"/>
        </w:rPr>
      </w:pPr>
      <w:r>
        <w:rPr>
          <w:rFonts w:hAnsi="宋体"/>
          <w:kern w:val="0"/>
          <w:sz w:val="20"/>
          <w:szCs w:val="20"/>
        </w:rPr>
        <w:t>《建筑基坑支护技术规程》</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JGJ 120</w:t>
      </w:r>
    </w:p>
    <w:p w14:paraId="12350297">
      <w:pPr>
        <w:numPr>
          <w:ilvl w:val="0"/>
          <w:numId w:val="1"/>
        </w:numPr>
        <w:adjustRightInd w:val="0"/>
        <w:snapToGrid w:val="0"/>
        <w:spacing w:line="288" w:lineRule="auto"/>
        <w:ind w:left="0" w:firstLine="0"/>
        <w:jc w:val="center"/>
        <w:rPr>
          <w:kern w:val="0"/>
          <w:sz w:val="20"/>
          <w:szCs w:val="20"/>
        </w:rPr>
      </w:pPr>
      <w:r>
        <w:rPr>
          <w:rFonts w:hAnsi="宋体"/>
          <w:kern w:val="0"/>
          <w:sz w:val="20"/>
          <w:szCs w:val="20"/>
        </w:rPr>
        <w:t>《型钢水泥土搅拌墙技术规程》</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kern w:val="0"/>
          <w:sz w:val="20"/>
          <w:szCs w:val="20"/>
        </w:rPr>
        <w:t>JGJ/T 199</w:t>
      </w:r>
    </w:p>
    <w:p w14:paraId="6219E94A">
      <w:pPr>
        <w:numPr>
          <w:ilvl w:val="0"/>
          <w:numId w:val="1"/>
        </w:numPr>
        <w:adjustRightInd w:val="0"/>
        <w:snapToGrid w:val="0"/>
        <w:spacing w:line="288" w:lineRule="auto"/>
        <w:ind w:left="0" w:firstLine="0"/>
        <w:jc w:val="center"/>
        <w:rPr>
          <w:rFonts w:hAnsi="宋体"/>
          <w:kern w:val="0"/>
          <w:sz w:val="20"/>
          <w:szCs w:val="20"/>
        </w:rPr>
      </w:pPr>
      <w:r>
        <w:rPr>
          <w:rFonts w:hAnsi="宋体"/>
          <w:kern w:val="0"/>
          <w:sz w:val="20"/>
          <w:szCs w:val="20"/>
        </w:rPr>
        <w:t>《城市建设工程地下水控制技术规范》</w:t>
      </w:r>
      <w:r>
        <w:rPr>
          <w:rFonts w:hint="eastAsia" w:hAnsi="宋体"/>
          <w:kern w:val="0"/>
          <w:sz w:val="20"/>
          <w:szCs w:val="20"/>
        </w:rPr>
        <w:t xml:space="preserve">     </w:t>
      </w:r>
      <w:r>
        <w:rPr>
          <w:rFonts w:hAnsi="宋体"/>
          <w:kern w:val="0"/>
          <w:sz w:val="20"/>
          <w:szCs w:val="20"/>
        </w:rPr>
        <w:t xml:space="preserve">                         </w:t>
      </w:r>
      <w:r>
        <w:rPr>
          <w:rFonts w:hint="eastAsia" w:hAnsi="宋体"/>
          <w:kern w:val="0"/>
          <w:sz w:val="20"/>
          <w:szCs w:val="20"/>
        </w:rPr>
        <w:t xml:space="preserve">            </w:t>
      </w:r>
      <w:r>
        <w:rPr>
          <w:rFonts w:hAnsi="宋体"/>
          <w:kern w:val="0"/>
          <w:sz w:val="20"/>
          <w:szCs w:val="20"/>
        </w:rPr>
        <w:t>DB11/ 1115</w:t>
      </w:r>
    </w:p>
    <w:p w14:paraId="36E645E3">
      <w:pPr>
        <w:adjustRightInd w:val="0"/>
        <w:snapToGrid w:val="0"/>
        <w:spacing w:line="288" w:lineRule="auto"/>
        <w:ind w:firstLine="400" w:firstLineChars="200"/>
        <w:jc w:val="center"/>
        <w:rPr>
          <w:rFonts w:ascii="宋体" w:hAnsi="宋体" w:cs="新宋体-18030"/>
          <w:kern w:val="0"/>
          <w:sz w:val="20"/>
          <w:szCs w:val="20"/>
        </w:rPr>
      </w:pPr>
    </w:p>
    <w:p w14:paraId="235DE865">
      <w:pPr>
        <w:widowControl/>
        <w:jc w:val="center"/>
        <w:rPr>
          <w:rFonts w:ascii="宋体" w:hAnsi="宋体"/>
          <w:sz w:val="20"/>
          <w:szCs w:val="20"/>
        </w:rPr>
      </w:pPr>
      <w:r>
        <w:rPr>
          <w:rFonts w:ascii="宋体" w:hAnsi="宋体"/>
          <w:sz w:val="20"/>
          <w:szCs w:val="20"/>
        </w:rPr>
        <w:br w:type="page"/>
      </w:r>
    </w:p>
    <w:p w14:paraId="14C359D6">
      <w:pPr>
        <w:tabs>
          <w:tab w:val="center" w:pos="4140"/>
          <w:tab w:val="left" w:pos="6660"/>
        </w:tabs>
        <w:adjustRightInd w:val="0"/>
        <w:snapToGrid w:val="0"/>
        <w:spacing w:line="288" w:lineRule="auto"/>
        <w:rPr>
          <w:rFonts w:ascii="宋体" w:hAnsi="宋体"/>
          <w:sz w:val="20"/>
          <w:szCs w:val="20"/>
          <w:highlight w:val="yellow"/>
        </w:rPr>
      </w:pPr>
    </w:p>
    <w:p w14:paraId="5BB9E2CA">
      <w:pPr>
        <w:snapToGrid w:val="0"/>
        <w:spacing w:line="288" w:lineRule="auto"/>
        <w:jc w:val="center"/>
        <w:rPr>
          <w:rFonts w:asciiTheme="minorEastAsia" w:hAnsiTheme="minorEastAsia" w:eastAsiaTheme="minorEastAsia"/>
          <w:bCs/>
          <w:sz w:val="20"/>
          <w:szCs w:val="20"/>
          <w:highlight w:val="yellow"/>
        </w:rPr>
      </w:pPr>
    </w:p>
    <w:p w14:paraId="20701684">
      <w:pPr>
        <w:snapToGrid w:val="0"/>
        <w:spacing w:line="288" w:lineRule="auto"/>
        <w:jc w:val="center"/>
        <w:rPr>
          <w:rFonts w:asciiTheme="minorEastAsia" w:hAnsiTheme="minorEastAsia" w:eastAsiaTheme="minorEastAsia"/>
          <w:bCs/>
          <w:sz w:val="20"/>
          <w:szCs w:val="20"/>
          <w:highlight w:val="yellow"/>
        </w:rPr>
      </w:pPr>
    </w:p>
    <w:p w14:paraId="704EBC49">
      <w:pPr>
        <w:snapToGrid w:val="0"/>
        <w:spacing w:line="288" w:lineRule="auto"/>
        <w:jc w:val="center"/>
        <w:rPr>
          <w:rFonts w:asciiTheme="minorEastAsia" w:hAnsiTheme="minorEastAsia" w:eastAsiaTheme="minorEastAsia"/>
          <w:bCs/>
          <w:sz w:val="20"/>
          <w:szCs w:val="20"/>
          <w:highlight w:val="yellow"/>
        </w:rPr>
      </w:pPr>
    </w:p>
    <w:p w14:paraId="3A512EF7">
      <w:pPr>
        <w:snapToGrid w:val="0"/>
        <w:spacing w:line="288" w:lineRule="auto"/>
        <w:jc w:val="center"/>
        <w:rPr>
          <w:rFonts w:asciiTheme="minorEastAsia" w:hAnsiTheme="minorEastAsia" w:eastAsiaTheme="minorEastAsia"/>
          <w:bCs/>
          <w:sz w:val="20"/>
          <w:szCs w:val="20"/>
          <w:highlight w:val="yellow"/>
        </w:rPr>
      </w:pPr>
    </w:p>
    <w:p w14:paraId="329D7D4E">
      <w:pPr>
        <w:snapToGrid w:val="0"/>
        <w:spacing w:line="288" w:lineRule="auto"/>
        <w:jc w:val="center"/>
        <w:rPr>
          <w:rFonts w:asciiTheme="minorEastAsia" w:hAnsiTheme="minorEastAsia" w:eastAsiaTheme="minorEastAsia"/>
          <w:bCs/>
          <w:sz w:val="20"/>
          <w:szCs w:val="20"/>
          <w:highlight w:val="yellow"/>
        </w:rPr>
      </w:pPr>
    </w:p>
    <w:p w14:paraId="41C0D43F">
      <w:pPr>
        <w:snapToGrid w:val="0"/>
        <w:spacing w:line="288" w:lineRule="auto"/>
        <w:jc w:val="center"/>
        <w:rPr>
          <w:rFonts w:ascii="黑体" w:hAnsi="黑体" w:eastAsia="黑体"/>
          <w:bCs/>
          <w:sz w:val="26"/>
          <w:szCs w:val="26"/>
        </w:rPr>
      </w:pPr>
      <w:r>
        <w:rPr>
          <w:rFonts w:hint="eastAsia" w:ascii="黑体" w:hAnsi="黑体" w:eastAsia="黑体" w:cs="宋体"/>
          <w:bCs/>
          <w:sz w:val="26"/>
          <w:szCs w:val="26"/>
        </w:rPr>
        <w:t>北京市地方标准</w:t>
      </w:r>
    </w:p>
    <w:p w14:paraId="5B4C50B7">
      <w:pPr>
        <w:snapToGrid w:val="0"/>
        <w:spacing w:line="288" w:lineRule="auto"/>
        <w:jc w:val="center"/>
        <w:rPr>
          <w:rFonts w:asciiTheme="minorEastAsia" w:hAnsiTheme="minorEastAsia" w:eastAsiaTheme="minorEastAsia"/>
          <w:bCs/>
          <w:sz w:val="20"/>
          <w:szCs w:val="20"/>
        </w:rPr>
      </w:pPr>
    </w:p>
    <w:p w14:paraId="5B6617BF">
      <w:pPr>
        <w:snapToGrid w:val="0"/>
        <w:spacing w:line="288" w:lineRule="auto"/>
        <w:jc w:val="center"/>
        <w:rPr>
          <w:rFonts w:asciiTheme="minorEastAsia" w:hAnsiTheme="minorEastAsia" w:eastAsiaTheme="minorEastAsia"/>
          <w:bCs/>
          <w:sz w:val="20"/>
          <w:szCs w:val="20"/>
        </w:rPr>
      </w:pPr>
    </w:p>
    <w:p w14:paraId="1D97CAC9">
      <w:pPr>
        <w:snapToGrid w:val="0"/>
        <w:spacing w:line="288" w:lineRule="auto"/>
        <w:jc w:val="center"/>
        <w:rPr>
          <w:rFonts w:ascii="黑体" w:hAnsi="黑体" w:eastAsia="黑体"/>
          <w:bCs/>
          <w:sz w:val="30"/>
          <w:szCs w:val="30"/>
        </w:rPr>
      </w:pPr>
      <w:r>
        <w:rPr>
          <w:rFonts w:hint="eastAsia" w:ascii="黑体" w:hAnsi="黑体" w:eastAsia="黑体" w:cs="宋体"/>
          <w:bCs/>
          <w:sz w:val="30"/>
          <w:szCs w:val="30"/>
        </w:rPr>
        <w:t>建筑基坑支护技术规程</w:t>
      </w:r>
    </w:p>
    <w:p w14:paraId="41E4AE43">
      <w:pPr>
        <w:widowControl/>
        <w:spacing w:before="48" w:beforeLines="20"/>
        <w:jc w:val="center"/>
        <w:rPr>
          <w:b/>
          <w:sz w:val="28"/>
          <w:szCs w:val="28"/>
        </w:rPr>
      </w:pPr>
      <w:r>
        <w:rPr>
          <w:b/>
          <w:sz w:val="28"/>
          <w:szCs w:val="28"/>
        </w:rPr>
        <w:t xml:space="preserve">Technical specification for retaining and </w:t>
      </w:r>
    </w:p>
    <w:p w14:paraId="3EBB6118">
      <w:pPr>
        <w:widowControl/>
        <w:spacing w:before="48" w:beforeLines="20"/>
        <w:jc w:val="center"/>
        <w:rPr>
          <w:b/>
          <w:sz w:val="28"/>
          <w:szCs w:val="28"/>
        </w:rPr>
      </w:pPr>
      <w:r>
        <w:rPr>
          <w:b/>
          <w:sz w:val="28"/>
          <w:szCs w:val="28"/>
        </w:rPr>
        <w:t>protecti</w:t>
      </w:r>
      <w:r>
        <w:rPr>
          <w:rFonts w:hint="eastAsia"/>
          <w:b/>
          <w:sz w:val="28"/>
          <w:szCs w:val="28"/>
        </w:rPr>
        <w:t>on</w:t>
      </w:r>
      <w:r>
        <w:rPr>
          <w:b/>
          <w:sz w:val="28"/>
          <w:szCs w:val="28"/>
        </w:rPr>
        <w:t xml:space="preserve"> of building foundation excavation</w:t>
      </w:r>
      <w:r>
        <w:rPr>
          <w:rFonts w:hint="eastAsia"/>
          <w:b/>
          <w:sz w:val="28"/>
          <w:szCs w:val="28"/>
        </w:rPr>
        <w:t>s</w:t>
      </w:r>
    </w:p>
    <w:p w14:paraId="77C07331">
      <w:pPr>
        <w:snapToGrid w:val="0"/>
        <w:spacing w:line="288" w:lineRule="auto"/>
        <w:jc w:val="center"/>
        <w:rPr>
          <w:rFonts w:asciiTheme="minorEastAsia" w:hAnsiTheme="minorEastAsia" w:eastAsiaTheme="minorEastAsia"/>
          <w:bCs/>
          <w:sz w:val="20"/>
          <w:szCs w:val="20"/>
        </w:rPr>
      </w:pPr>
    </w:p>
    <w:p w14:paraId="730A4609">
      <w:pPr>
        <w:snapToGrid w:val="0"/>
        <w:spacing w:line="288" w:lineRule="auto"/>
        <w:jc w:val="center"/>
        <w:rPr>
          <w:rFonts w:asciiTheme="minorEastAsia" w:hAnsiTheme="minorEastAsia" w:eastAsiaTheme="minorEastAsia"/>
          <w:bCs/>
          <w:sz w:val="26"/>
          <w:szCs w:val="26"/>
        </w:rPr>
      </w:pPr>
      <w:r>
        <w:rPr>
          <w:rFonts w:asciiTheme="minorEastAsia" w:hAnsiTheme="minorEastAsia" w:eastAsiaTheme="minorEastAsia"/>
          <w:bCs/>
          <w:sz w:val="26"/>
          <w:szCs w:val="26"/>
        </w:rPr>
        <w:t>DB11/</w:t>
      </w:r>
      <w:r>
        <w:rPr>
          <w:rFonts w:hint="eastAsia" w:asciiTheme="minorEastAsia" w:hAnsiTheme="minorEastAsia" w:eastAsiaTheme="minorEastAsia"/>
          <w:bCs/>
          <w:sz w:val="26"/>
          <w:szCs w:val="26"/>
        </w:rPr>
        <w:t xml:space="preserve">T </w:t>
      </w:r>
      <w:r>
        <w:rPr>
          <w:rFonts w:asciiTheme="minorEastAsia" w:hAnsiTheme="minorEastAsia" w:eastAsiaTheme="minorEastAsia"/>
          <w:bCs/>
          <w:sz w:val="26"/>
          <w:szCs w:val="26"/>
        </w:rPr>
        <w:t>489—20xx</w:t>
      </w:r>
    </w:p>
    <w:p w14:paraId="2F13407A">
      <w:bookmarkStart w:id="166" w:name="_Toc446913621"/>
      <w:bookmarkStart w:id="167" w:name="_Toc451845369"/>
    </w:p>
    <w:p w14:paraId="71925783">
      <w:pPr>
        <w:pStyle w:val="2"/>
      </w:pPr>
    </w:p>
    <w:p w14:paraId="24B21559">
      <w:pPr>
        <w:pStyle w:val="32"/>
        <w:snapToGrid w:val="0"/>
        <w:spacing w:before="0" w:after="0" w:line="288" w:lineRule="auto"/>
        <w:rPr>
          <w:rFonts w:cs="宋体" w:asciiTheme="minorEastAsia" w:hAnsiTheme="minorEastAsia" w:eastAsiaTheme="minorEastAsia"/>
          <w:b w:val="0"/>
          <w:kern w:val="0"/>
          <w:sz w:val="26"/>
          <w:szCs w:val="26"/>
        </w:rPr>
      </w:pPr>
      <w:bookmarkStart w:id="168" w:name="_Toc139613788"/>
      <w:r>
        <w:rPr>
          <w:rFonts w:hint="eastAsia" w:cs="宋体" w:asciiTheme="minorEastAsia" w:hAnsiTheme="minorEastAsia" w:eastAsiaTheme="minorEastAsia"/>
          <w:b w:val="0"/>
          <w:kern w:val="0"/>
          <w:sz w:val="26"/>
          <w:szCs w:val="26"/>
        </w:rPr>
        <w:t>条文说明</w:t>
      </w:r>
      <w:bookmarkEnd w:id="166"/>
      <w:bookmarkEnd w:id="167"/>
      <w:bookmarkEnd w:id="168"/>
    </w:p>
    <w:p w14:paraId="53906654">
      <w:pPr>
        <w:snapToGrid w:val="0"/>
        <w:spacing w:line="288" w:lineRule="auto"/>
        <w:jc w:val="center"/>
        <w:rPr>
          <w:rFonts w:asciiTheme="minorEastAsia" w:hAnsiTheme="minorEastAsia" w:eastAsiaTheme="minorEastAsia"/>
          <w:bCs/>
          <w:sz w:val="20"/>
          <w:szCs w:val="20"/>
        </w:rPr>
      </w:pPr>
    </w:p>
    <w:p w14:paraId="7FF9E2AE">
      <w:pPr>
        <w:snapToGrid w:val="0"/>
        <w:spacing w:line="288" w:lineRule="auto"/>
        <w:jc w:val="center"/>
        <w:rPr>
          <w:rFonts w:asciiTheme="minorEastAsia" w:hAnsiTheme="minorEastAsia" w:eastAsiaTheme="minorEastAsia"/>
          <w:bCs/>
          <w:sz w:val="20"/>
          <w:szCs w:val="20"/>
        </w:rPr>
      </w:pPr>
    </w:p>
    <w:p w14:paraId="099EA9BD">
      <w:pPr>
        <w:snapToGrid w:val="0"/>
        <w:spacing w:line="288" w:lineRule="auto"/>
        <w:jc w:val="center"/>
        <w:rPr>
          <w:rFonts w:asciiTheme="minorEastAsia" w:hAnsiTheme="minorEastAsia" w:eastAsiaTheme="minorEastAsia"/>
          <w:bCs/>
          <w:sz w:val="20"/>
          <w:szCs w:val="20"/>
        </w:rPr>
      </w:pPr>
    </w:p>
    <w:p w14:paraId="5D196B76">
      <w:pPr>
        <w:snapToGrid w:val="0"/>
        <w:spacing w:line="288" w:lineRule="auto"/>
        <w:jc w:val="center"/>
        <w:rPr>
          <w:rFonts w:asciiTheme="minorEastAsia" w:hAnsiTheme="minorEastAsia" w:eastAsiaTheme="minorEastAsia"/>
          <w:bCs/>
          <w:sz w:val="20"/>
          <w:szCs w:val="20"/>
        </w:rPr>
      </w:pPr>
    </w:p>
    <w:p w14:paraId="7154F634">
      <w:pPr>
        <w:snapToGrid w:val="0"/>
        <w:spacing w:line="288" w:lineRule="auto"/>
        <w:jc w:val="center"/>
        <w:rPr>
          <w:rFonts w:asciiTheme="minorEastAsia" w:hAnsiTheme="minorEastAsia" w:eastAsiaTheme="minorEastAsia"/>
          <w:bCs/>
          <w:sz w:val="20"/>
          <w:szCs w:val="20"/>
        </w:rPr>
      </w:pPr>
    </w:p>
    <w:p w14:paraId="5CFED680">
      <w:pPr>
        <w:snapToGrid w:val="0"/>
        <w:spacing w:line="288" w:lineRule="auto"/>
        <w:rPr>
          <w:rFonts w:asciiTheme="minorEastAsia" w:hAnsiTheme="minorEastAsia" w:eastAsiaTheme="minorEastAsia"/>
          <w:bCs/>
          <w:sz w:val="20"/>
          <w:szCs w:val="20"/>
        </w:rPr>
      </w:pPr>
    </w:p>
    <w:p w14:paraId="198DDCD4">
      <w:pPr>
        <w:snapToGrid w:val="0"/>
        <w:spacing w:line="288" w:lineRule="auto"/>
        <w:rPr>
          <w:rFonts w:asciiTheme="minorEastAsia" w:hAnsiTheme="minorEastAsia" w:eastAsiaTheme="minorEastAsia"/>
          <w:bCs/>
          <w:sz w:val="20"/>
          <w:szCs w:val="20"/>
        </w:rPr>
      </w:pPr>
    </w:p>
    <w:p w14:paraId="44264CB4">
      <w:pPr>
        <w:snapToGrid w:val="0"/>
        <w:spacing w:line="288" w:lineRule="auto"/>
        <w:rPr>
          <w:rFonts w:asciiTheme="minorEastAsia" w:hAnsiTheme="minorEastAsia" w:eastAsiaTheme="minorEastAsia"/>
          <w:bCs/>
          <w:sz w:val="20"/>
          <w:szCs w:val="20"/>
        </w:rPr>
      </w:pPr>
    </w:p>
    <w:p w14:paraId="45624819">
      <w:pPr>
        <w:snapToGrid w:val="0"/>
        <w:spacing w:line="288" w:lineRule="auto"/>
        <w:jc w:val="center"/>
        <w:rPr>
          <w:rFonts w:asciiTheme="minorEastAsia" w:hAnsiTheme="minorEastAsia" w:eastAsiaTheme="minorEastAsia"/>
          <w:bCs/>
          <w:sz w:val="20"/>
          <w:szCs w:val="20"/>
        </w:rPr>
      </w:pPr>
    </w:p>
    <w:p w14:paraId="14776571">
      <w:pPr>
        <w:snapToGrid w:val="0"/>
        <w:spacing w:line="288" w:lineRule="auto"/>
        <w:jc w:val="center"/>
        <w:rPr>
          <w:rFonts w:ascii="宋体" w:hAnsi="宋体"/>
          <w:sz w:val="20"/>
          <w:szCs w:val="20"/>
        </w:rPr>
      </w:pPr>
      <w:r>
        <w:rPr>
          <w:rFonts w:eastAsiaTheme="minorEastAsia"/>
          <w:b/>
          <w:bCs/>
          <w:sz w:val="20"/>
          <w:szCs w:val="20"/>
        </w:rPr>
        <w:t>20</w:t>
      </w:r>
      <w:r>
        <w:rPr>
          <w:rFonts w:hint="eastAsia" w:eastAsiaTheme="minorEastAsia"/>
          <w:b/>
          <w:bCs/>
          <w:sz w:val="20"/>
          <w:szCs w:val="20"/>
        </w:rPr>
        <w:t>xx</w:t>
      </w:r>
      <w:r>
        <w:rPr>
          <w:rFonts w:hint="eastAsia" w:ascii="黑体" w:hAnsi="黑体" w:eastAsia="黑体"/>
          <w:bCs/>
          <w:sz w:val="20"/>
          <w:szCs w:val="20"/>
        </w:rPr>
        <w:t xml:space="preserve">  北京</w:t>
      </w:r>
    </w:p>
    <w:p w14:paraId="4FAA7F53">
      <w:pPr>
        <w:widowControl/>
        <w:jc w:val="left"/>
        <w:rPr>
          <w:rFonts w:ascii="宋体" w:hAnsi="宋体"/>
          <w:sz w:val="20"/>
          <w:szCs w:val="20"/>
        </w:rPr>
      </w:pPr>
    </w:p>
    <w:p w14:paraId="6F4480E9">
      <w:pPr>
        <w:widowControl/>
        <w:jc w:val="left"/>
        <w:rPr>
          <w:rFonts w:ascii="宋体" w:hAnsi="宋体"/>
          <w:sz w:val="20"/>
          <w:szCs w:val="20"/>
        </w:rPr>
      </w:pPr>
      <w:r>
        <w:rPr>
          <w:rFonts w:ascii="宋体" w:hAnsi="宋体"/>
          <w:sz w:val="20"/>
          <w:szCs w:val="20"/>
        </w:rPr>
        <w:br w:type="page"/>
      </w:r>
    </w:p>
    <w:p w14:paraId="0EBCD0E7">
      <w:pPr>
        <w:pStyle w:val="28"/>
        <w:ind w:left="0" w:firstLine="0" w:firstLineChars="0"/>
        <w:jc w:val="center"/>
        <w:rPr>
          <w:rStyle w:val="41"/>
          <w:rFonts w:eastAsiaTheme="minorEastAsia"/>
          <w:color w:val="auto"/>
          <w:sz w:val="28"/>
          <w:szCs w:val="28"/>
          <w:highlight w:val="yellow"/>
          <w:u w:val="none"/>
        </w:rPr>
      </w:pPr>
      <w:r>
        <w:rPr>
          <w:rStyle w:val="41"/>
          <w:rFonts w:eastAsiaTheme="minorEastAsia"/>
          <w:color w:val="auto"/>
          <w:sz w:val="28"/>
          <w:szCs w:val="28"/>
          <w:u w:val="none"/>
        </w:rPr>
        <w:t>目次</w:t>
      </w:r>
    </w:p>
    <w:p w14:paraId="57CE5D7D">
      <w:pPr>
        <w:pStyle w:val="28"/>
        <w:jc w:val="center"/>
        <w:rPr>
          <w:rFonts w:eastAsiaTheme="minorEastAsia"/>
          <w:szCs w:val="22"/>
          <w14:ligatures w14:val="standardContextual"/>
        </w:rPr>
      </w:pPr>
      <w:bookmarkStart w:id="169" w:name="_Toc444180166"/>
      <w:bookmarkStart w:id="170" w:name="_Toc466902385"/>
      <w:bookmarkStart w:id="171" w:name="_Toc467515842"/>
      <w:bookmarkStart w:id="172" w:name="_Toc427573463"/>
      <w:bookmarkStart w:id="173" w:name="_Toc413756060"/>
      <w:bookmarkStart w:id="174" w:name="_Toc415730025"/>
      <w:bookmarkStart w:id="175" w:name="_Toc131517231"/>
      <w:bookmarkStart w:id="176" w:name="_Toc417372402"/>
      <w:bookmarkStart w:id="177" w:name="_Toc432232993"/>
      <w:bookmarkStart w:id="178" w:name="_Toc131060578"/>
      <w:bookmarkStart w:id="179" w:name="_Toc468104744"/>
      <w:bookmarkStart w:id="180" w:name="_Toc437878862"/>
      <w:r>
        <w:rPr>
          <w:rFonts w:eastAsiaTheme="minorEastAsia"/>
          <w:highlight w:val="yellow"/>
        </w:rPr>
        <w:fldChar w:fldCharType="begin"/>
      </w:r>
      <w:r>
        <w:rPr>
          <w:rFonts w:eastAsiaTheme="minorEastAsia"/>
          <w:highlight w:val="yellow"/>
        </w:rPr>
        <w:instrText xml:space="preserve"> TOC \o "1-3" \h \z \u </w:instrText>
      </w:r>
      <w:r>
        <w:rPr>
          <w:rFonts w:eastAsiaTheme="minorEastAsia"/>
          <w:highlight w:val="yellow"/>
        </w:rPr>
        <w:fldChar w:fldCharType="separate"/>
      </w:r>
      <w:r>
        <w:fldChar w:fldCharType="begin"/>
      </w:r>
      <w:r>
        <w:instrText xml:space="preserve"> HYPERLINK \l "_Toc139613789" </w:instrText>
      </w:r>
      <w:r>
        <w:fldChar w:fldCharType="separate"/>
      </w:r>
      <w:r>
        <w:rPr>
          <w:rStyle w:val="41"/>
          <w:rFonts w:eastAsiaTheme="minorEastAsia"/>
        </w:rPr>
        <w:t>1  总    则</w:t>
      </w:r>
      <w:r>
        <w:rPr>
          <w:rFonts w:eastAsiaTheme="minorEastAsia"/>
        </w:rPr>
        <w:tab/>
      </w:r>
      <w:r>
        <w:rPr>
          <w:rFonts w:eastAsiaTheme="minorEastAsia"/>
        </w:rPr>
        <w:fldChar w:fldCharType="begin"/>
      </w:r>
      <w:r>
        <w:rPr>
          <w:rFonts w:eastAsiaTheme="minorEastAsia"/>
        </w:rPr>
        <w:instrText xml:space="preserve"> PAGEREF _Toc139613789 \h </w:instrText>
      </w:r>
      <w:r>
        <w:rPr>
          <w:rFonts w:eastAsiaTheme="minorEastAsia"/>
        </w:rPr>
        <w:fldChar w:fldCharType="separate"/>
      </w:r>
      <w:r>
        <w:rPr>
          <w:rFonts w:eastAsiaTheme="minorEastAsia"/>
        </w:rPr>
        <w:t>83</w:t>
      </w:r>
      <w:r>
        <w:rPr>
          <w:rFonts w:eastAsiaTheme="minorEastAsia"/>
        </w:rPr>
        <w:fldChar w:fldCharType="end"/>
      </w:r>
      <w:r>
        <w:rPr>
          <w:rFonts w:eastAsiaTheme="minorEastAsia"/>
        </w:rPr>
        <w:fldChar w:fldCharType="end"/>
      </w:r>
    </w:p>
    <w:p w14:paraId="4B9CF509">
      <w:pPr>
        <w:pStyle w:val="28"/>
        <w:jc w:val="center"/>
        <w:rPr>
          <w:rFonts w:eastAsiaTheme="minorEastAsia"/>
          <w:szCs w:val="22"/>
          <w14:ligatures w14:val="standardContextual"/>
        </w:rPr>
      </w:pPr>
      <w:r>
        <w:fldChar w:fldCharType="begin"/>
      </w:r>
      <w:r>
        <w:instrText xml:space="preserve"> HYPERLINK \l "_Toc139613790" </w:instrText>
      </w:r>
      <w:r>
        <w:fldChar w:fldCharType="separate"/>
      </w:r>
      <w:r>
        <w:rPr>
          <w:rStyle w:val="41"/>
          <w:rFonts w:eastAsiaTheme="minorEastAsia"/>
        </w:rPr>
        <w:t>3  基本规定</w:t>
      </w:r>
      <w:r>
        <w:rPr>
          <w:rFonts w:eastAsiaTheme="minorEastAsia"/>
        </w:rPr>
        <w:tab/>
      </w:r>
      <w:r>
        <w:rPr>
          <w:rFonts w:eastAsiaTheme="minorEastAsia"/>
        </w:rPr>
        <w:fldChar w:fldCharType="begin"/>
      </w:r>
      <w:r>
        <w:rPr>
          <w:rFonts w:eastAsiaTheme="minorEastAsia"/>
        </w:rPr>
        <w:instrText xml:space="preserve"> PAGEREF _Toc139613790 \h </w:instrText>
      </w:r>
      <w:r>
        <w:rPr>
          <w:rFonts w:eastAsiaTheme="minorEastAsia"/>
        </w:rPr>
        <w:fldChar w:fldCharType="separate"/>
      </w:r>
      <w:r>
        <w:rPr>
          <w:rFonts w:eastAsiaTheme="minorEastAsia"/>
        </w:rPr>
        <w:t>84</w:t>
      </w:r>
      <w:r>
        <w:rPr>
          <w:rFonts w:eastAsiaTheme="minorEastAsia"/>
        </w:rPr>
        <w:fldChar w:fldCharType="end"/>
      </w:r>
      <w:r>
        <w:rPr>
          <w:rFonts w:eastAsiaTheme="minorEastAsia"/>
        </w:rPr>
        <w:fldChar w:fldCharType="end"/>
      </w:r>
    </w:p>
    <w:p w14:paraId="629C789F">
      <w:pPr>
        <w:pStyle w:val="15"/>
        <w:spacing w:line="240" w:lineRule="auto"/>
        <w:jc w:val="center"/>
        <w:rPr>
          <w:rFonts w:eastAsiaTheme="minorEastAsia"/>
          <w:szCs w:val="22"/>
          <w14:ligatures w14:val="standardContextual"/>
        </w:rPr>
      </w:pPr>
      <w:r>
        <w:fldChar w:fldCharType="begin"/>
      </w:r>
      <w:r>
        <w:instrText xml:space="preserve"> HYPERLINK \l "_Toc139613791" </w:instrText>
      </w:r>
      <w:r>
        <w:fldChar w:fldCharType="separate"/>
      </w:r>
      <w:r>
        <w:rPr>
          <w:rStyle w:val="41"/>
          <w:rFonts w:eastAsiaTheme="minorEastAsia"/>
        </w:rPr>
        <w:t>3.1  设计原则</w:t>
      </w:r>
      <w:r>
        <w:rPr>
          <w:rFonts w:eastAsiaTheme="minorEastAsia"/>
        </w:rPr>
        <w:tab/>
      </w:r>
      <w:r>
        <w:rPr>
          <w:rFonts w:eastAsiaTheme="minorEastAsia"/>
        </w:rPr>
        <w:fldChar w:fldCharType="begin"/>
      </w:r>
      <w:r>
        <w:rPr>
          <w:rFonts w:eastAsiaTheme="minorEastAsia"/>
        </w:rPr>
        <w:instrText xml:space="preserve"> PAGEREF _Toc139613791 \h </w:instrText>
      </w:r>
      <w:r>
        <w:rPr>
          <w:rFonts w:eastAsiaTheme="minorEastAsia"/>
        </w:rPr>
        <w:fldChar w:fldCharType="separate"/>
      </w:r>
      <w:r>
        <w:rPr>
          <w:rFonts w:eastAsiaTheme="minorEastAsia"/>
        </w:rPr>
        <w:t>84</w:t>
      </w:r>
      <w:r>
        <w:rPr>
          <w:rFonts w:eastAsiaTheme="minorEastAsia"/>
        </w:rPr>
        <w:fldChar w:fldCharType="end"/>
      </w:r>
      <w:r>
        <w:rPr>
          <w:rFonts w:eastAsiaTheme="minorEastAsia"/>
        </w:rPr>
        <w:fldChar w:fldCharType="end"/>
      </w:r>
    </w:p>
    <w:p w14:paraId="54FE1A60">
      <w:pPr>
        <w:pStyle w:val="15"/>
        <w:spacing w:line="240" w:lineRule="auto"/>
        <w:jc w:val="center"/>
        <w:rPr>
          <w:rFonts w:eastAsiaTheme="minorEastAsia"/>
          <w:szCs w:val="22"/>
          <w14:ligatures w14:val="standardContextual"/>
        </w:rPr>
      </w:pPr>
      <w:r>
        <w:fldChar w:fldCharType="begin"/>
      </w:r>
      <w:r>
        <w:instrText xml:space="preserve"> HYPERLINK \l "_Toc139613792" </w:instrText>
      </w:r>
      <w:r>
        <w:fldChar w:fldCharType="separate"/>
      </w:r>
      <w:r>
        <w:rPr>
          <w:rStyle w:val="41"/>
          <w:rFonts w:eastAsiaTheme="minorEastAsia"/>
        </w:rPr>
        <w:t>3.2  支护结构选型</w:t>
      </w:r>
      <w:r>
        <w:rPr>
          <w:rFonts w:eastAsiaTheme="minorEastAsia"/>
        </w:rPr>
        <w:tab/>
      </w:r>
      <w:r>
        <w:rPr>
          <w:rFonts w:eastAsiaTheme="minorEastAsia"/>
        </w:rPr>
        <w:fldChar w:fldCharType="begin"/>
      </w:r>
      <w:r>
        <w:rPr>
          <w:rFonts w:eastAsiaTheme="minorEastAsia"/>
        </w:rPr>
        <w:instrText xml:space="preserve"> PAGEREF _Toc139613792 \h </w:instrText>
      </w:r>
      <w:r>
        <w:rPr>
          <w:rFonts w:eastAsiaTheme="minorEastAsia"/>
        </w:rPr>
        <w:fldChar w:fldCharType="separate"/>
      </w:r>
      <w:r>
        <w:rPr>
          <w:rFonts w:eastAsiaTheme="minorEastAsia"/>
        </w:rPr>
        <w:t>86</w:t>
      </w:r>
      <w:r>
        <w:rPr>
          <w:rFonts w:eastAsiaTheme="minorEastAsia"/>
        </w:rPr>
        <w:fldChar w:fldCharType="end"/>
      </w:r>
      <w:r>
        <w:rPr>
          <w:rFonts w:eastAsiaTheme="minorEastAsia"/>
        </w:rPr>
        <w:fldChar w:fldCharType="end"/>
      </w:r>
    </w:p>
    <w:p w14:paraId="639310E0">
      <w:pPr>
        <w:pStyle w:val="15"/>
        <w:spacing w:line="240" w:lineRule="auto"/>
        <w:jc w:val="center"/>
        <w:rPr>
          <w:rFonts w:eastAsiaTheme="minorEastAsia"/>
          <w:szCs w:val="22"/>
          <w14:ligatures w14:val="standardContextual"/>
        </w:rPr>
      </w:pPr>
      <w:r>
        <w:fldChar w:fldCharType="begin"/>
      </w:r>
      <w:r>
        <w:instrText xml:space="preserve"> HYPERLINK \l "_Toc139613793" </w:instrText>
      </w:r>
      <w:r>
        <w:fldChar w:fldCharType="separate"/>
      </w:r>
      <w:r>
        <w:rPr>
          <w:rStyle w:val="41"/>
          <w:rFonts w:eastAsiaTheme="minorEastAsia"/>
        </w:rPr>
        <w:t>3.3  水平荷载</w:t>
      </w:r>
      <w:r>
        <w:rPr>
          <w:rFonts w:eastAsiaTheme="minorEastAsia"/>
        </w:rPr>
        <w:tab/>
      </w:r>
      <w:r>
        <w:rPr>
          <w:rFonts w:eastAsiaTheme="minorEastAsia"/>
        </w:rPr>
        <w:fldChar w:fldCharType="begin"/>
      </w:r>
      <w:r>
        <w:rPr>
          <w:rFonts w:eastAsiaTheme="minorEastAsia"/>
        </w:rPr>
        <w:instrText xml:space="preserve"> PAGEREF _Toc139613793 \h </w:instrText>
      </w:r>
      <w:r>
        <w:rPr>
          <w:rFonts w:eastAsiaTheme="minorEastAsia"/>
        </w:rPr>
        <w:fldChar w:fldCharType="separate"/>
      </w:r>
      <w:r>
        <w:rPr>
          <w:rFonts w:eastAsiaTheme="minorEastAsia"/>
        </w:rPr>
        <w:t>87</w:t>
      </w:r>
      <w:r>
        <w:rPr>
          <w:rFonts w:eastAsiaTheme="minorEastAsia"/>
        </w:rPr>
        <w:fldChar w:fldCharType="end"/>
      </w:r>
      <w:r>
        <w:rPr>
          <w:rFonts w:eastAsiaTheme="minorEastAsia"/>
        </w:rPr>
        <w:fldChar w:fldCharType="end"/>
      </w:r>
    </w:p>
    <w:p w14:paraId="5B0556A8">
      <w:pPr>
        <w:pStyle w:val="28"/>
        <w:jc w:val="center"/>
        <w:rPr>
          <w:rFonts w:eastAsiaTheme="minorEastAsia"/>
          <w:szCs w:val="22"/>
          <w14:ligatures w14:val="standardContextual"/>
        </w:rPr>
      </w:pPr>
      <w:r>
        <w:fldChar w:fldCharType="begin"/>
      </w:r>
      <w:r>
        <w:instrText xml:space="preserve"> HYPERLINK \l "_Toc139613794" </w:instrText>
      </w:r>
      <w:r>
        <w:fldChar w:fldCharType="separate"/>
      </w:r>
      <w:r>
        <w:rPr>
          <w:rStyle w:val="41"/>
          <w:rFonts w:eastAsiaTheme="minorEastAsia"/>
        </w:rPr>
        <w:t>4  勘察与周边环境调查</w:t>
      </w:r>
      <w:r>
        <w:rPr>
          <w:rFonts w:eastAsiaTheme="minorEastAsia"/>
        </w:rPr>
        <w:tab/>
      </w:r>
      <w:r>
        <w:rPr>
          <w:rFonts w:eastAsiaTheme="minorEastAsia"/>
        </w:rPr>
        <w:fldChar w:fldCharType="begin"/>
      </w:r>
      <w:r>
        <w:rPr>
          <w:rFonts w:eastAsiaTheme="minorEastAsia"/>
        </w:rPr>
        <w:instrText xml:space="preserve"> PAGEREF _Toc139613794 \h </w:instrText>
      </w:r>
      <w:r>
        <w:rPr>
          <w:rFonts w:eastAsiaTheme="minorEastAsia"/>
        </w:rPr>
        <w:fldChar w:fldCharType="separate"/>
      </w:r>
      <w:r>
        <w:rPr>
          <w:rFonts w:eastAsiaTheme="minorEastAsia"/>
        </w:rPr>
        <w:t>100</w:t>
      </w:r>
      <w:r>
        <w:rPr>
          <w:rFonts w:eastAsiaTheme="minorEastAsia"/>
        </w:rPr>
        <w:fldChar w:fldCharType="end"/>
      </w:r>
      <w:r>
        <w:rPr>
          <w:rFonts w:eastAsiaTheme="minorEastAsia"/>
        </w:rPr>
        <w:fldChar w:fldCharType="end"/>
      </w:r>
    </w:p>
    <w:p w14:paraId="173603EF">
      <w:pPr>
        <w:pStyle w:val="15"/>
        <w:spacing w:line="240" w:lineRule="auto"/>
        <w:jc w:val="center"/>
        <w:rPr>
          <w:rFonts w:eastAsiaTheme="minorEastAsia"/>
          <w:szCs w:val="22"/>
          <w14:ligatures w14:val="standardContextual"/>
        </w:rPr>
      </w:pPr>
      <w:r>
        <w:fldChar w:fldCharType="begin"/>
      </w:r>
      <w:r>
        <w:instrText xml:space="preserve"> HYPERLINK \l "_Toc139613795" </w:instrText>
      </w:r>
      <w:r>
        <w:fldChar w:fldCharType="separate"/>
      </w:r>
      <w:r>
        <w:rPr>
          <w:rStyle w:val="41"/>
          <w:rFonts w:eastAsiaTheme="minorEastAsia"/>
        </w:rPr>
        <w:t>4.1 一般规定</w:t>
      </w:r>
      <w:r>
        <w:rPr>
          <w:rFonts w:eastAsiaTheme="minorEastAsia"/>
        </w:rPr>
        <w:tab/>
      </w:r>
      <w:r>
        <w:rPr>
          <w:rFonts w:eastAsiaTheme="minorEastAsia"/>
        </w:rPr>
        <w:fldChar w:fldCharType="begin"/>
      </w:r>
      <w:r>
        <w:rPr>
          <w:rFonts w:eastAsiaTheme="minorEastAsia"/>
        </w:rPr>
        <w:instrText xml:space="preserve"> PAGEREF _Toc139613795 \h </w:instrText>
      </w:r>
      <w:r>
        <w:rPr>
          <w:rFonts w:eastAsiaTheme="minorEastAsia"/>
        </w:rPr>
        <w:fldChar w:fldCharType="separate"/>
      </w:r>
      <w:r>
        <w:rPr>
          <w:rFonts w:eastAsiaTheme="minorEastAsia"/>
        </w:rPr>
        <w:t>100</w:t>
      </w:r>
      <w:r>
        <w:rPr>
          <w:rFonts w:eastAsiaTheme="minorEastAsia"/>
        </w:rPr>
        <w:fldChar w:fldCharType="end"/>
      </w:r>
      <w:r>
        <w:rPr>
          <w:rFonts w:eastAsiaTheme="minorEastAsia"/>
        </w:rPr>
        <w:fldChar w:fldCharType="end"/>
      </w:r>
    </w:p>
    <w:p w14:paraId="1DEBD78F">
      <w:pPr>
        <w:pStyle w:val="15"/>
        <w:spacing w:line="240" w:lineRule="auto"/>
        <w:jc w:val="center"/>
        <w:rPr>
          <w:rFonts w:eastAsiaTheme="minorEastAsia"/>
          <w:szCs w:val="22"/>
          <w14:ligatures w14:val="standardContextual"/>
        </w:rPr>
      </w:pPr>
      <w:r>
        <w:fldChar w:fldCharType="begin"/>
      </w:r>
      <w:r>
        <w:instrText xml:space="preserve"> HYPERLINK \l "_Toc139613796" </w:instrText>
      </w:r>
      <w:r>
        <w:fldChar w:fldCharType="separate"/>
      </w:r>
      <w:r>
        <w:rPr>
          <w:rStyle w:val="41"/>
          <w:rFonts w:eastAsiaTheme="minorEastAsia"/>
        </w:rPr>
        <w:t>4.2 勘察</w:t>
      </w:r>
      <w:r>
        <w:rPr>
          <w:rFonts w:eastAsiaTheme="minorEastAsia"/>
        </w:rPr>
        <w:tab/>
      </w:r>
      <w:r>
        <w:rPr>
          <w:rFonts w:eastAsiaTheme="minorEastAsia"/>
        </w:rPr>
        <w:fldChar w:fldCharType="begin"/>
      </w:r>
      <w:r>
        <w:rPr>
          <w:rFonts w:eastAsiaTheme="minorEastAsia"/>
        </w:rPr>
        <w:instrText xml:space="preserve"> PAGEREF _Toc139613796 \h </w:instrText>
      </w:r>
      <w:r>
        <w:rPr>
          <w:rFonts w:eastAsiaTheme="minorEastAsia"/>
        </w:rPr>
        <w:fldChar w:fldCharType="separate"/>
      </w:r>
      <w:r>
        <w:rPr>
          <w:rFonts w:eastAsiaTheme="minorEastAsia"/>
        </w:rPr>
        <w:t>100</w:t>
      </w:r>
      <w:r>
        <w:rPr>
          <w:rFonts w:eastAsiaTheme="minorEastAsia"/>
        </w:rPr>
        <w:fldChar w:fldCharType="end"/>
      </w:r>
      <w:r>
        <w:rPr>
          <w:rFonts w:eastAsiaTheme="minorEastAsia"/>
        </w:rPr>
        <w:fldChar w:fldCharType="end"/>
      </w:r>
    </w:p>
    <w:p w14:paraId="75A9BECD">
      <w:pPr>
        <w:pStyle w:val="15"/>
        <w:spacing w:line="240" w:lineRule="auto"/>
        <w:jc w:val="center"/>
        <w:rPr>
          <w:rFonts w:eastAsiaTheme="minorEastAsia"/>
          <w:szCs w:val="22"/>
          <w14:ligatures w14:val="standardContextual"/>
        </w:rPr>
      </w:pPr>
      <w:r>
        <w:fldChar w:fldCharType="begin"/>
      </w:r>
      <w:r>
        <w:instrText xml:space="preserve"> HYPERLINK \l "_Toc139613797" </w:instrText>
      </w:r>
      <w:r>
        <w:fldChar w:fldCharType="separate"/>
      </w:r>
      <w:r>
        <w:rPr>
          <w:rStyle w:val="41"/>
          <w:rFonts w:eastAsiaTheme="minorEastAsia"/>
        </w:rPr>
        <w:t>4.3 周边环境调查</w:t>
      </w:r>
      <w:r>
        <w:rPr>
          <w:rFonts w:eastAsiaTheme="minorEastAsia"/>
        </w:rPr>
        <w:tab/>
      </w:r>
      <w:r>
        <w:rPr>
          <w:rFonts w:eastAsiaTheme="minorEastAsia"/>
        </w:rPr>
        <w:fldChar w:fldCharType="begin"/>
      </w:r>
      <w:r>
        <w:rPr>
          <w:rFonts w:eastAsiaTheme="minorEastAsia"/>
        </w:rPr>
        <w:instrText xml:space="preserve"> PAGEREF _Toc139613797 \h </w:instrText>
      </w:r>
      <w:r>
        <w:rPr>
          <w:rFonts w:eastAsiaTheme="minorEastAsia"/>
        </w:rPr>
        <w:fldChar w:fldCharType="separate"/>
      </w:r>
      <w:r>
        <w:rPr>
          <w:rFonts w:eastAsiaTheme="minorEastAsia"/>
        </w:rPr>
        <w:t>101</w:t>
      </w:r>
      <w:r>
        <w:rPr>
          <w:rFonts w:eastAsiaTheme="minorEastAsia"/>
        </w:rPr>
        <w:fldChar w:fldCharType="end"/>
      </w:r>
      <w:r>
        <w:rPr>
          <w:rFonts w:eastAsiaTheme="minorEastAsia"/>
        </w:rPr>
        <w:fldChar w:fldCharType="end"/>
      </w:r>
    </w:p>
    <w:p w14:paraId="6DCEF838">
      <w:pPr>
        <w:pStyle w:val="28"/>
        <w:jc w:val="center"/>
        <w:rPr>
          <w:rFonts w:eastAsiaTheme="minorEastAsia"/>
          <w:szCs w:val="22"/>
          <w14:ligatures w14:val="standardContextual"/>
        </w:rPr>
      </w:pPr>
      <w:r>
        <w:fldChar w:fldCharType="begin"/>
      </w:r>
      <w:r>
        <w:instrText xml:space="preserve"> HYPERLINK \l "_Toc139613798" </w:instrText>
      </w:r>
      <w:r>
        <w:fldChar w:fldCharType="separate"/>
      </w:r>
      <w:r>
        <w:rPr>
          <w:rStyle w:val="41"/>
          <w:rFonts w:eastAsiaTheme="minorEastAsia"/>
        </w:rPr>
        <w:t>5  地下水控制</w:t>
      </w:r>
      <w:r>
        <w:rPr>
          <w:rFonts w:eastAsiaTheme="minorEastAsia"/>
        </w:rPr>
        <w:tab/>
      </w:r>
      <w:r>
        <w:rPr>
          <w:rFonts w:eastAsiaTheme="minorEastAsia"/>
        </w:rPr>
        <w:fldChar w:fldCharType="begin"/>
      </w:r>
      <w:r>
        <w:rPr>
          <w:rFonts w:eastAsiaTheme="minorEastAsia"/>
        </w:rPr>
        <w:instrText xml:space="preserve"> PAGEREF _Toc139613798 \h </w:instrText>
      </w:r>
      <w:r>
        <w:rPr>
          <w:rFonts w:eastAsiaTheme="minorEastAsia"/>
        </w:rPr>
        <w:fldChar w:fldCharType="separate"/>
      </w:r>
      <w:r>
        <w:rPr>
          <w:rFonts w:eastAsiaTheme="minorEastAsia"/>
        </w:rPr>
        <w:t>102</w:t>
      </w:r>
      <w:r>
        <w:rPr>
          <w:rFonts w:eastAsiaTheme="minorEastAsia"/>
        </w:rPr>
        <w:fldChar w:fldCharType="end"/>
      </w:r>
      <w:r>
        <w:rPr>
          <w:rFonts w:eastAsiaTheme="minorEastAsia"/>
        </w:rPr>
        <w:fldChar w:fldCharType="end"/>
      </w:r>
    </w:p>
    <w:p w14:paraId="4C4E019B">
      <w:pPr>
        <w:pStyle w:val="15"/>
        <w:spacing w:line="240" w:lineRule="auto"/>
        <w:jc w:val="center"/>
        <w:rPr>
          <w:rFonts w:eastAsiaTheme="minorEastAsia"/>
          <w:szCs w:val="22"/>
          <w14:ligatures w14:val="standardContextual"/>
        </w:rPr>
      </w:pPr>
      <w:r>
        <w:fldChar w:fldCharType="begin"/>
      </w:r>
      <w:r>
        <w:instrText xml:space="preserve"> HYPERLINK \l "_Toc139613799" </w:instrText>
      </w:r>
      <w:r>
        <w:fldChar w:fldCharType="separate"/>
      </w:r>
      <w:r>
        <w:rPr>
          <w:rStyle w:val="41"/>
          <w:rFonts w:eastAsiaTheme="minorEastAsia"/>
        </w:rPr>
        <w:t>5.1  一般规定</w:t>
      </w:r>
      <w:r>
        <w:rPr>
          <w:rFonts w:eastAsiaTheme="minorEastAsia"/>
        </w:rPr>
        <w:tab/>
      </w:r>
      <w:r>
        <w:rPr>
          <w:rFonts w:eastAsiaTheme="minorEastAsia"/>
        </w:rPr>
        <w:fldChar w:fldCharType="begin"/>
      </w:r>
      <w:r>
        <w:rPr>
          <w:rFonts w:eastAsiaTheme="minorEastAsia"/>
        </w:rPr>
        <w:instrText xml:space="preserve"> PAGEREF _Toc139613799 \h </w:instrText>
      </w:r>
      <w:r>
        <w:rPr>
          <w:rFonts w:eastAsiaTheme="minorEastAsia"/>
        </w:rPr>
        <w:fldChar w:fldCharType="separate"/>
      </w:r>
      <w:r>
        <w:rPr>
          <w:rFonts w:eastAsiaTheme="minorEastAsia"/>
        </w:rPr>
        <w:t>102</w:t>
      </w:r>
      <w:r>
        <w:rPr>
          <w:rFonts w:eastAsiaTheme="minorEastAsia"/>
        </w:rPr>
        <w:fldChar w:fldCharType="end"/>
      </w:r>
      <w:r>
        <w:rPr>
          <w:rFonts w:eastAsiaTheme="minorEastAsia"/>
        </w:rPr>
        <w:fldChar w:fldCharType="end"/>
      </w:r>
    </w:p>
    <w:p w14:paraId="1FA7C301">
      <w:pPr>
        <w:pStyle w:val="15"/>
        <w:spacing w:line="240" w:lineRule="auto"/>
        <w:jc w:val="center"/>
        <w:rPr>
          <w:rFonts w:eastAsiaTheme="minorEastAsia"/>
          <w:szCs w:val="22"/>
          <w14:ligatures w14:val="standardContextual"/>
        </w:rPr>
      </w:pPr>
      <w:r>
        <w:fldChar w:fldCharType="begin"/>
      </w:r>
      <w:r>
        <w:instrText xml:space="preserve"> HYPERLINK \l "_Toc139613800" </w:instrText>
      </w:r>
      <w:r>
        <w:fldChar w:fldCharType="separate"/>
      </w:r>
      <w:r>
        <w:rPr>
          <w:rStyle w:val="41"/>
          <w:rFonts w:eastAsiaTheme="minorEastAsia"/>
        </w:rPr>
        <w:t>5.2  截    水</w:t>
      </w:r>
      <w:r>
        <w:rPr>
          <w:rFonts w:eastAsiaTheme="minorEastAsia"/>
        </w:rPr>
        <w:tab/>
      </w:r>
      <w:r>
        <w:rPr>
          <w:rFonts w:eastAsiaTheme="minorEastAsia"/>
        </w:rPr>
        <w:fldChar w:fldCharType="begin"/>
      </w:r>
      <w:r>
        <w:rPr>
          <w:rFonts w:eastAsiaTheme="minorEastAsia"/>
        </w:rPr>
        <w:instrText xml:space="preserve"> PAGEREF _Toc139613800 \h </w:instrText>
      </w:r>
      <w:r>
        <w:rPr>
          <w:rFonts w:eastAsiaTheme="minorEastAsia"/>
        </w:rPr>
        <w:fldChar w:fldCharType="separate"/>
      </w:r>
      <w:r>
        <w:rPr>
          <w:rFonts w:eastAsiaTheme="minorEastAsia"/>
        </w:rPr>
        <w:t>103</w:t>
      </w:r>
      <w:r>
        <w:rPr>
          <w:rFonts w:eastAsiaTheme="minorEastAsia"/>
        </w:rPr>
        <w:fldChar w:fldCharType="end"/>
      </w:r>
      <w:r>
        <w:rPr>
          <w:rFonts w:eastAsiaTheme="minorEastAsia"/>
        </w:rPr>
        <w:fldChar w:fldCharType="end"/>
      </w:r>
    </w:p>
    <w:p w14:paraId="1AAE18D3">
      <w:pPr>
        <w:pStyle w:val="15"/>
        <w:spacing w:line="240" w:lineRule="auto"/>
        <w:jc w:val="center"/>
        <w:rPr>
          <w:rFonts w:eastAsiaTheme="minorEastAsia"/>
          <w:szCs w:val="22"/>
          <w14:ligatures w14:val="standardContextual"/>
        </w:rPr>
      </w:pPr>
      <w:r>
        <w:fldChar w:fldCharType="begin"/>
      </w:r>
      <w:r>
        <w:instrText xml:space="preserve"> HYPERLINK \l "_Toc139613801" </w:instrText>
      </w:r>
      <w:r>
        <w:fldChar w:fldCharType="separate"/>
      </w:r>
      <w:r>
        <w:rPr>
          <w:rStyle w:val="41"/>
          <w:rFonts w:eastAsiaTheme="minorEastAsia"/>
        </w:rPr>
        <w:t>5.3  降    水</w:t>
      </w:r>
      <w:r>
        <w:rPr>
          <w:rFonts w:eastAsiaTheme="minorEastAsia"/>
        </w:rPr>
        <w:tab/>
      </w:r>
      <w:r>
        <w:rPr>
          <w:rFonts w:eastAsiaTheme="minorEastAsia"/>
        </w:rPr>
        <w:fldChar w:fldCharType="begin"/>
      </w:r>
      <w:r>
        <w:rPr>
          <w:rFonts w:eastAsiaTheme="minorEastAsia"/>
        </w:rPr>
        <w:instrText xml:space="preserve"> PAGEREF _Toc139613801 \h </w:instrText>
      </w:r>
      <w:r>
        <w:rPr>
          <w:rFonts w:eastAsiaTheme="minorEastAsia"/>
        </w:rPr>
        <w:fldChar w:fldCharType="separate"/>
      </w:r>
      <w:r>
        <w:rPr>
          <w:rFonts w:eastAsiaTheme="minorEastAsia"/>
        </w:rPr>
        <w:t>103</w:t>
      </w:r>
      <w:r>
        <w:rPr>
          <w:rFonts w:eastAsiaTheme="minorEastAsia"/>
        </w:rPr>
        <w:fldChar w:fldCharType="end"/>
      </w:r>
      <w:r>
        <w:rPr>
          <w:rFonts w:eastAsiaTheme="minorEastAsia"/>
        </w:rPr>
        <w:fldChar w:fldCharType="end"/>
      </w:r>
    </w:p>
    <w:p w14:paraId="07EA7A8E">
      <w:pPr>
        <w:pStyle w:val="15"/>
        <w:spacing w:line="240" w:lineRule="auto"/>
        <w:jc w:val="center"/>
        <w:rPr>
          <w:rFonts w:eastAsiaTheme="minorEastAsia"/>
          <w:szCs w:val="22"/>
          <w14:ligatures w14:val="standardContextual"/>
        </w:rPr>
      </w:pPr>
      <w:r>
        <w:fldChar w:fldCharType="begin"/>
      </w:r>
      <w:r>
        <w:instrText xml:space="preserve"> HYPERLINK \l "_Toc139613802" </w:instrText>
      </w:r>
      <w:r>
        <w:fldChar w:fldCharType="separate"/>
      </w:r>
      <w:r>
        <w:rPr>
          <w:rStyle w:val="41"/>
          <w:rFonts w:eastAsiaTheme="minorEastAsia"/>
        </w:rPr>
        <w:t>5.4  集水明排</w:t>
      </w:r>
      <w:r>
        <w:rPr>
          <w:rFonts w:eastAsiaTheme="minorEastAsia"/>
        </w:rPr>
        <w:tab/>
      </w:r>
      <w:r>
        <w:rPr>
          <w:rFonts w:eastAsiaTheme="minorEastAsia"/>
        </w:rPr>
        <w:fldChar w:fldCharType="begin"/>
      </w:r>
      <w:r>
        <w:rPr>
          <w:rFonts w:eastAsiaTheme="minorEastAsia"/>
        </w:rPr>
        <w:instrText xml:space="preserve"> PAGEREF _Toc139613802 \h </w:instrText>
      </w:r>
      <w:r>
        <w:rPr>
          <w:rFonts w:eastAsiaTheme="minorEastAsia"/>
        </w:rPr>
        <w:fldChar w:fldCharType="separate"/>
      </w:r>
      <w:r>
        <w:rPr>
          <w:rFonts w:eastAsiaTheme="minorEastAsia"/>
        </w:rPr>
        <w:t>105</w:t>
      </w:r>
      <w:r>
        <w:rPr>
          <w:rFonts w:eastAsiaTheme="minorEastAsia"/>
        </w:rPr>
        <w:fldChar w:fldCharType="end"/>
      </w:r>
      <w:r>
        <w:rPr>
          <w:rFonts w:eastAsiaTheme="minorEastAsia"/>
        </w:rPr>
        <w:fldChar w:fldCharType="end"/>
      </w:r>
    </w:p>
    <w:p w14:paraId="723E4995">
      <w:pPr>
        <w:pStyle w:val="15"/>
        <w:spacing w:line="240" w:lineRule="auto"/>
        <w:jc w:val="center"/>
        <w:rPr>
          <w:rFonts w:eastAsiaTheme="minorEastAsia"/>
          <w:szCs w:val="22"/>
          <w14:ligatures w14:val="standardContextual"/>
        </w:rPr>
      </w:pPr>
      <w:r>
        <w:fldChar w:fldCharType="begin"/>
      </w:r>
      <w:r>
        <w:instrText xml:space="preserve"> HYPERLINK \l "_Toc139613803" </w:instrText>
      </w:r>
      <w:r>
        <w:fldChar w:fldCharType="separate"/>
      </w:r>
      <w:r>
        <w:rPr>
          <w:rStyle w:val="41"/>
          <w:rFonts w:eastAsiaTheme="minorEastAsia"/>
        </w:rPr>
        <w:t>5.5  回    灌</w:t>
      </w:r>
      <w:r>
        <w:rPr>
          <w:rFonts w:eastAsiaTheme="minorEastAsia"/>
        </w:rPr>
        <w:tab/>
      </w:r>
      <w:r>
        <w:rPr>
          <w:rFonts w:eastAsiaTheme="minorEastAsia"/>
        </w:rPr>
        <w:fldChar w:fldCharType="begin"/>
      </w:r>
      <w:r>
        <w:rPr>
          <w:rFonts w:eastAsiaTheme="minorEastAsia"/>
        </w:rPr>
        <w:instrText xml:space="preserve"> PAGEREF _Toc139613803 \h </w:instrText>
      </w:r>
      <w:r>
        <w:rPr>
          <w:rFonts w:eastAsiaTheme="minorEastAsia"/>
        </w:rPr>
        <w:fldChar w:fldCharType="separate"/>
      </w:r>
      <w:r>
        <w:rPr>
          <w:rFonts w:eastAsiaTheme="minorEastAsia"/>
        </w:rPr>
        <w:t>105</w:t>
      </w:r>
      <w:r>
        <w:rPr>
          <w:rFonts w:eastAsiaTheme="minorEastAsia"/>
        </w:rPr>
        <w:fldChar w:fldCharType="end"/>
      </w:r>
      <w:r>
        <w:rPr>
          <w:rFonts w:eastAsiaTheme="minorEastAsia"/>
        </w:rPr>
        <w:fldChar w:fldCharType="end"/>
      </w:r>
    </w:p>
    <w:p w14:paraId="30F4A79D">
      <w:pPr>
        <w:pStyle w:val="28"/>
        <w:jc w:val="center"/>
        <w:rPr>
          <w:rFonts w:eastAsiaTheme="minorEastAsia"/>
          <w:szCs w:val="22"/>
          <w14:ligatures w14:val="standardContextual"/>
        </w:rPr>
      </w:pPr>
      <w:r>
        <w:fldChar w:fldCharType="begin"/>
      </w:r>
      <w:r>
        <w:instrText xml:space="preserve"> HYPERLINK \l "_Toc139613804" </w:instrText>
      </w:r>
      <w:r>
        <w:fldChar w:fldCharType="separate"/>
      </w:r>
      <w:r>
        <w:rPr>
          <w:rStyle w:val="41"/>
          <w:rFonts w:eastAsiaTheme="minorEastAsia"/>
        </w:rPr>
        <w:t>6  放    坡</w:t>
      </w:r>
      <w:r>
        <w:rPr>
          <w:rFonts w:eastAsiaTheme="minorEastAsia"/>
        </w:rPr>
        <w:tab/>
      </w:r>
      <w:r>
        <w:rPr>
          <w:rFonts w:eastAsiaTheme="minorEastAsia"/>
        </w:rPr>
        <w:fldChar w:fldCharType="begin"/>
      </w:r>
      <w:r>
        <w:rPr>
          <w:rFonts w:eastAsiaTheme="minorEastAsia"/>
        </w:rPr>
        <w:instrText xml:space="preserve"> PAGEREF _Toc139613804 \h </w:instrText>
      </w:r>
      <w:r>
        <w:rPr>
          <w:rFonts w:eastAsiaTheme="minorEastAsia"/>
        </w:rPr>
        <w:fldChar w:fldCharType="separate"/>
      </w:r>
      <w:r>
        <w:rPr>
          <w:rFonts w:eastAsiaTheme="minorEastAsia"/>
        </w:rPr>
        <w:t>106</w:t>
      </w:r>
      <w:r>
        <w:rPr>
          <w:rFonts w:eastAsiaTheme="minorEastAsia"/>
        </w:rPr>
        <w:fldChar w:fldCharType="end"/>
      </w:r>
      <w:r>
        <w:rPr>
          <w:rFonts w:eastAsiaTheme="minorEastAsia"/>
        </w:rPr>
        <w:fldChar w:fldCharType="end"/>
      </w:r>
    </w:p>
    <w:p w14:paraId="77889F45">
      <w:pPr>
        <w:pStyle w:val="15"/>
        <w:spacing w:line="240" w:lineRule="auto"/>
        <w:jc w:val="center"/>
        <w:rPr>
          <w:rFonts w:eastAsiaTheme="minorEastAsia"/>
          <w:szCs w:val="22"/>
          <w14:ligatures w14:val="standardContextual"/>
        </w:rPr>
      </w:pPr>
      <w:r>
        <w:fldChar w:fldCharType="begin"/>
      </w:r>
      <w:r>
        <w:instrText xml:space="preserve"> HYPERLINK \l "_Toc139613805" </w:instrText>
      </w:r>
      <w:r>
        <w:fldChar w:fldCharType="separate"/>
      </w:r>
      <w:r>
        <w:rPr>
          <w:rStyle w:val="41"/>
          <w:rFonts w:eastAsiaTheme="minorEastAsia"/>
        </w:rPr>
        <w:t>6.1  放坡设计</w:t>
      </w:r>
      <w:r>
        <w:rPr>
          <w:rFonts w:eastAsiaTheme="minorEastAsia"/>
        </w:rPr>
        <w:tab/>
      </w:r>
      <w:r>
        <w:rPr>
          <w:rFonts w:eastAsiaTheme="minorEastAsia"/>
        </w:rPr>
        <w:fldChar w:fldCharType="begin"/>
      </w:r>
      <w:r>
        <w:rPr>
          <w:rFonts w:eastAsiaTheme="minorEastAsia"/>
        </w:rPr>
        <w:instrText xml:space="preserve"> PAGEREF _Toc139613805 \h </w:instrText>
      </w:r>
      <w:r>
        <w:rPr>
          <w:rFonts w:eastAsiaTheme="minorEastAsia"/>
        </w:rPr>
        <w:fldChar w:fldCharType="separate"/>
      </w:r>
      <w:r>
        <w:rPr>
          <w:rFonts w:eastAsiaTheme="minorEastAsia"/>
        </w:rPr>
        <w:t>106</w:t>
      </w:r>
      <w:r>
        <w:rPr>
          <w:rFonts w:eastAsiaTheme="minorEastAsia"/>
        </w:rPr>
        <w:fldChar w:fldCharType="end"/>
      </w:r>
      <w:r>
        <w:rPr>
          <w:rFonts w:eastAsiaTheme="minorEastAsia"/>
        </w:rPr>
        <w:fldChar w:fldCharType="end"/>
      </w:r>
    </w:p>
    <w:p w14:paraId="555C9889">
      <w:pPr>
        <w:pStyle w:val="15"/>
        <w:spacing w:line="240" w:lineRule="auto"/>
        <w:jc w:val="center"/>
        <w:rPr>
          <w:rFonts w:eastAsiaTheme="minorEastAsia"/>
          <w:szCs w:val="22"/>
          <w14:ligatures w14:val="standardContextual"/>
        </w:rPr>
      </w:pPr>
      <w:r>
        <w:fldChar w:fldCharType="begin"/>
      </w:r>
      <w:r>
        <w:instrText xml:space="preserve"> HYPERLINK \l "_Toc139613806" </w:instrText>
      </w:r>
      <w:r>
        <w:fldChar w:fldCharType="separate"/>
      </w:r>
      <w:r>
        <w:rPr>
          <w:rStyle w:val="41"/>
          <w:rFonts w:eastAsiaTheme="minorEastAsia"/>
        </w:rPr>
        <w:t>6.2  放坡施工</w:t>
      </w:r>
      <w:r>
        <w:rPr>
          <w:rFonts w:eastAsiaTheme="minorEastAsia"/>
        </w:rPr>
        <w:tab/>
      </w:r>
      <w:r>
        <w:rPr>
          <w:rFonts w:eastAsiaTheme="minorEastAsia"/>
        </w:rPr>
        <w:fldChar w:fldCharType="begin"/>
      </w:r>
      <w:r>
        <w:rPr>
          <w:rFonts w:eastAsiaTheme="minorEastAsia"/>
        </w:rPr>
        <w:instrText xml:space="preserve"> PAGEREF _Toc139613806 \h </w:instrText>
      </w:r>
      <w:r>
        <w:rPr>
          <w:rFonts w:eastAsiaTheme="minorEastAsia"/>
        </w:rPr>
        <w:fldChar w:fldCharType="separate"/>
      </w:r>
      <w:r>
        <w:rPr>
          <w:rFonts w:eastAsiaTheme="minorEastAsia"/>
        </w:rPr>
        <w:t>107</w:t>
      </w:r>
      <w:r>
        <w:rPr>
          <w:rFonts w:eastAsiaTheme="minorEastAsia"/>
        </w:rPr>
        <w:fldChar w:fldCharType="end"/>
      </w:r>
      <w:r>
        <w:rPr>
          <w:rFonts w:eastAsiaTheme="minorEastAsia"/>
        </w:rPr>
        <w:fldChar w:fldCharType="end"/>
      </w:r>
    </w:p>
    <w:p w14:paraId="4F445E1B">
      <w:pPr>
        <w:pStyle w:val="28"/>
        <w:jc w:val="center"/>
        <w:rPr>
          <w:rFonts w:eastAsiaTheme="minorEastAsia"/>
          <w:szCs w:val="22"/>
          <w14:ligatures w14:val="standardContextual"/>
        </w:rPr>
      </w:pPr>
      <w:r>
        <w:fldChar w:fldCharType="begin"/>
      </w:r>
      <w:r>
        <w:instrText xml:space="preserve"> HYPERLINK \l "_Toc139613807" </w:instrText>
      </w:r>
      <w:r>
        <w:fldChar w:fldCharType="separate"/>
      </w:r>
      <w:r>
        <w:rPr>
          <w:rStyle w:val="41"/>
          <w:rFonts w:eastAsiaTheme="minorEastAsia"/>
        </w:rPr>
        <w:t>7  支挡式结构</w:t>
      </w:r>
      <w:r>
        <w:rPr>
          <w:rFonts w:eastAsiaTheme="minorEastAsia"/>
        </w:rPr>
        <w:tab/>
      </w:r>
      <w:r>
        <w:rPr>
          <w:rFonts w:eastAsiaTheme="minorEastAsia"/>
        </w:rPr>
        <w:fldChar w:fldCharType="begin"/>
      </w:r>
      <w:r>
        <w:rPr>
          <w:rFonts w:eastAsiaTheme="minorEastAsia"/>
        </w:rPr>
        <w:instrText xml:space="preserve"> PAGEREF _Toc139613807 \h </w:instrText>
      </w:r>
      <w:r>
        <w:rPr>
          <w:rFonts w:eastAsiaTheme="minorEastAsia"/>
        </w:rPr>
        <w:fldChar w:fldCharType="separate"/>
      </w:r>
      <w:r>
        <w:rPr>
          <w:rFonts w:eastAsiaTheme="minorEastAsia"/>
        </w:rPr>
        <w:t>108</w:t>
      </w:r>
      <w:r>
        <w:rPr>
          <w:rFonts w:eastAsiaTheme="minorEastAsia"/>
        </w:rPr>
        <w:fldChar w:fldCharType="end"/>
      </w:r>
      <w:r>
        <w:rPr>
          <w:rFonts w:eastAsiaTheme="minorEastAsia"/>
        </w:rPr>
        <w:fldChar w:fldCharType="end"/>
      </w:r>
    </w:p>
    <w:p w14:paraId="3176F901">
      <w:pPr>
        <w:pStyle w:val="15"/>
        <w:spacing w:line="240" w:lineRule="auto"/>
        <w:jc w:val="center"/>
        <w:rPr>
          <w:rFonts w:eastAsiaTheme="minorEastAsia"/>
          <w:szCs w:val="22"/>
          <w14:ligatures w14:val="standardContextual"/>
        </w:rPr>
      </w:pPr>
      <w:r>
        <w:fldChar w:fldCharType="begin"/>
      </w:r>
      <w:r>
        <w:instrText xml:space="preserve"> HYPERLINK \l "_Toc139613808" </w:instrText>
      </w:r>
      <w:r>
        <w:fldChar w:fldCharType="separate"/>
      </w:r>
      <w:r>
        <w:rPr>
          <w:rStyle w:val="41"/>
          <w:rFonts w:eastAsiaTheme="minorEastAsia"/>
        </w:rPr>
        <w:t>7.1  一般规定</w:t>
      </w:r>
      <w:r>
        <w:rPr>
          <w:rFonts w:eastAsiaTheme="minorEastAsia"/>
        </w:rPr>
        <w:tab/>
      </w:r>
      <w:r>
        <w:rPr>
          <w:rFonts w:eastAsiaTheme="minorEastAsia"/>
        </w:rPr>
        <w:fldChar w:fldCharType="begin"/>
      </w:r>
      <w:r>
        <w:rPr>
          <w:rFonts w:eastAsiaTheme="minorEastAsia"/>
        </w:rPr>
        <w:instrText xml:space="preserve"> PAGEREF _Toc139613808 \h </w:instrText>
      </w:r>
      <w:r>
        <w:rPr>
          <w:rFonts w:eastAsiaTheme="minorEastAsia"/>
        </w:rPr>
        <w:fldChar w:fldCharType="separate"/>
      </w:r>
      <w:r>
        <w:rPr>
          <w:rFonts w:eastAsiaTheme="minorEastAsia"/>
        </w:rPr>
        <w:t>108</w:t>
      </w:r>
      <w:r>
        <w:rPr>
          <w:rFonts w:eastAsiaTheme="minorEastAsia"/>
        </w:rPr>
        <w:fldChar w:fldCharType="end"/>
      </w:r>
      <w:r>
        <w:rPr>
          <w:rFonts w:eastAsiaTheme="minorEastAsia"/>
        </w:rPr>
        <w:fldChar w:fldCharType="end"/>
      </w:r>
    </w:p>
    <w:p w14:paraId="7AFF9445">
      <w:pPr>
        <w:pStyle w:val="15"/>
        <w:spacing w:line="240" w:lineRule="auto"/>
        <w:jc w:val="center"/>
        <w:rPr>
          <w:rFonts w:eastAsiaTheme="minorEastAsia"/>
          <w:szCs w:val="22"/>
          <w14:ligatures w14:val="standardContextual"/>
        </w:rPr>
      </w:pPr>
      <w:r>
        <w:fldChar w:fldCharType="begin"/>
      </w:r>
      <w:r>
        <w:instrText xml:space="preserve"> HYPERLINK \l "_Toc139613809" </w:instrText>
      </w:r>
      <w:r>
        <w:fldChar w:fldCharType="separate"/>
      </w:r>
      <w:r>
        <w:rPr>
          <w:rStyle w:val="41"/>
          <w:rFonts w:eastAsiaTheme="minorEastAsia"/>
        </w:rPr>
        <w:t>7.2  结构分析</w:t>
      </w:r>
      <w:r>
        <w:rPr>
          <w:rFonts w:eastAsiaTheme="minorEastAsia"/>
        </w:rPr>
        <w:tab/>
      </w:r>
      <w:r>
        <w:rPr>
          <w:rFonts w:eastAsiaTheme="minorEastAsia"/>
        </w:rPr>
        <w:fldChar w:fldCharType="begin"/>
      </w:r>
      <w:r>
        <w:rPr>
          <w:rFonts w:eastAsiaTheme="minorEastAsia"/>
        </w:rPr>
        <w:instrText xml:space="preserve"> PAGEREF _Toc139613809 \h </w:instrText>
      </w:r>
      <w:r>
        <w:rPr>
          <w:rFonts w:eastAsiaTheme="minorEastAsia"/>
        </w:rPr>
        <w:fldChar w:fldCharType="separate"/>
      </w:r>
      <w:r>
        <w:rPr>
          <w:rFonts w:eastAsiaTheme="minorEastAsia"/>
        </w:rPr>
        <w:t>108</w:t>
      </w:r>
      <w:r>
        <w:rPr>
          <w:rFonts w:eastAsiaTheme="minorEastAsia"/>
        </w:rPr>
        <w:fldChar w:fldCharType="end"/>
      </w:r>
      <w:r>
        <w:rPr>
          <w:rFonts w:eastAsiaTheme="minorEastAsia"/>
        </w:rPr>
        <w:fldChar w:fldCharType="end"/>
      </w:r>
    </w:p>
    <w:p w14:paraId="2412056E">
      <w:pPr>
        <w:pStyle w:val="15"/>
        <w:spacing w:line="240" w:lineRule="auto"/>
        <w:jc w:val="center"/>
        <w:rPr>
          <w:rFonts w:eastAsiaTheme="minorEastAsia"/>
          <w:szCs w:val="22"/>
          <w14:ligatures w14:val="standardContextual"/>
        </w:rPr>
      </w:pPr>
      <w:r>
        <w:fldChar w:fldCharType="begin"/>
      </w:r>
      <w:r>
        <w:instrText xml:space="preserve"> HYPERLINK \l "_Toc139613810" </w:instrText>
      </w:r>
      <w:r>
        <w:fldChar w:fldCharType="separate"/>
      </w:r>
      <w:r>
        <w:rPr>
          <w:rStyle w:val="41"/>
          <w:rFonts w:eastAsiaTheme="minorEastAsia"/>
        </w:rPr>
        <w:t>7.3  基坑稳定性验算</w:t>
      </w:r>
      <w:r>
        <w:rPr>
          <w:rFonts w:eastAsiaTheme="minorEastAsia"/>
        </w:rPr>
        <w:tab/>
      </w:r>
      <w:r>
        <w:rPr>
          <w:rFonts w:eastAsiaTheme="minorEastAsia"/>
        </w:rPr>
        <w:fldChar w:fldCharType="begin"/>
      </w:r>
      <w:r>
        <w:rPr>
          <w:rFonts w:eastAsiaTheme="minorEastAsia"/>
        </w:rPr>
        <w:instrText xml:space="preserve"> PAGEREF _Toc139613810 \h </w:instrText>
      </w:r>
      <w:r>
        <w:rPr>
          <w:rFonts w:eastAsiaTheme="minorEastAsia"/>
        </w:rPr>
        <w:fldChar w:fldCharType="separate"/>
      </w:r>
      <w:r>
        <w:rPr>
          <w:rFonts w:eastAsiaTheme="minorEastAsia"/>
        </w:rPr>
        <w:t>108</w:t>
      </w:r>
      <w:r>
        <w:rPr>
          <w:rFonts w:eastAsiaTheme="minorEastAsia"/>
        </w:rPr>
        <w:fldChar w:fldCharType="end"/>
      </w:r>
      <w:r>
        <w:rPr>
          <w:rFonts w:eastAsiaTheme="minorEastAsia"/>
        </w:rPr>
        <w:fldChar w:fldCharType="end"/>
      </w:r>
    </w:p>
    <w:p w14:paraId="0C9169B8">
      <w:pPr>
        <w:pStyle w:val="15"/>
        <w:spacing w:line="240" w:lineRule="auto"/>
        <w:jc w:val="center"/>
        <w:rPr>
          <w:rFonts w:eastAsiaTheme="minorEastAsia"/>
          <w:szCs w:val="22"/>
          <w14:ligatures w14:val="standardContextual"/>
        </w:rPr>
      </w:pPr>
      <w:r>
        <w:fldChar w:fldCharType="begin"/>
      </w:r>
      <w:r>
        <w:instrText xml:space="preserve"> HYPERLINK \l "_Toc139613811" </w:instrText>
      </w:r>
      <w:r>
        <w:fldChar w:fldCharType="separate"/>
      </w:r>
      <w:r>
        <w:rPr>
          <w:rStyle w:val="41"/>
          <w:rFonts w:eastAsiaTheme="minorEastAsia"/>
        </w:rPr>
        <w:t>7.4  双排桩设计</w:t>
      </w:r>
      <w:r>
        <w:rPr>
          <w:rFonts w:eastAsiaTheme="minorEastAsia"/>
        </w:rPr>
        <w:tab/>
      </w:r>
      <w:r>
        <w:rPr>
          <w:rFonts w:eastAsiaTheme="minorEastAsia"/>
        </w:rPr>
        <w:fldChar w:fldCharType="begin"/>
      </w:r>
      <w:r>
        <w:rPr>
          <w:rFonts w:eastAsiaTheme="minorEastAsia"/>
        </w:rPr>
        <w:instrText xml:space="preserve"> PAGEREF _Toc139613811 \h </w:instrText>
      </w:r>
      <w:r>
        <w:rPr>
          <w:rFonts w:eastAsiaTheme="minorEastAsia"/>
        </w:rPr>
        <w:fldChar w:fldCharType="separate"/>
      </w:r>
      <w:r>
        <w:rPr>
          <w:rFonts w:eastAsiaTheme="minorEastAsia"/>
        </w:rPr>
        <w:t>109</w:t>
      </w:r>
      <w:r>
        <w:rPr>
          <w:rFonts w:eastAsiaTheme="minorEastAsia"/>
        </w:rPr>
        <w:fldChar w:fldCharType="end"/>
      </w:r>
      <w:r>
        <w:rPr>
          <w:rFonts w:eastAsiaTheme="minorEastAsia"/>
        </w:rPr>
        <w:fldChar w:fldCharType="end"/>
      </w:r>
    </w:p>
    <w:p w14:paraId="017B0709">
      <w:pPr>
        <w:pStyle w:val="15"/>
        <w:spacing w:line="240" w:lineRule="auto"/>
        <w:jc w:val="center"/>
        <w:rPr>
          <w:rFonts w:eastAsiaTheme="minorEastAsia"/>
          <w:szCs w:val="22"/>
          <w14:ligatures w14:val="standardContextual"/>
        </w:rPr>
      </w:pPr>
      <w:r>
        <w:fldChar w:fldCharType="begin"/>
      </w:r>
      <w:r>
        <w:instrText xml:space="preserve"> HYPERLINK \l "_Toc139613812" </w:instrText>
      </w:r>
      <w:r>
        <w:fldChar w:fldCharType="separate"/>
      </w:r>
      <w:r>
        <w:rPr>
          <w:rStyle w:val="41"/>
          <w:rFonts w:eastAsiaTheme="minorEastAsia"/>
        </w:rPr>
        <w:t>7.5  截面承载力计算</w:t>
      </w:r>
      <w:r>
        <w:rPr>
          <w:rFonts w:eastAsiaTheme="minorEastAsia"/>
        </w:rPr>
        <w:tab/>
      </w:r>
      <w:r>
        <w:rPr>
          <w:rFonts w:eastAsiaTheme="minorEastAsia"/>
        </w:rPr>
        <w:fldChar w:fldCharType="begin"/>
      </w:r>
      <w:r>
        <w:rPr>
          <w:rFonts w:eastAsiaTheme="minorEastAsia"/>
        </w:rPr>
        <w:instrText xml:space="preserve"> PAGEREF _Toc139613812 \h </w:instrText>
      </w:r>
      <w:r>
        <w:rPr>
          <w:rFonts w:eastAsiaTheme="minorEastAsia"/>
        </w:rPr>
        <w:fldChar w:fldCharType="separate"/>
      </w:r>
      <w:r>
        <w:rPr>
          <w:rFonts w:eastAsiaTheme="minorEastAsia"/>
        </w:rPr>
        <w:t>110</w:t>
      </w:r>
      <w:r>
        <w:rPr>
          <w:rFonts w:eastAsiaTheme="minorEastAsia"/>
        </w:rPr>
        <w:fldChar w:fldCharType="end"/>
      </w:r>
      <w:r>
        <w:rPr>
          <w:rFonts w:eastAsiaTheme="minorEastAsia"/>
        </w:rPr>
        <w:fldChar w:fldCharType="end"/>
      </w:r>
    </w:p>
    <w:p w14:paraId="189DE8DE">
      <w:pPr>
        <w:pStyle w:val="15"/>
        <w:spacing w:line="240" w:lineRule="auto"/>
        <w:jc w:val="center"/>
        <w:rPr>
          <w:rFonts w:eastAsiaTheme="minorEastAsia"/>
          <w:szCs w:val="22"/>
          <w14:ligatures w14:val="standardContextual"/>
        </w:rPr>
      </w:pPr>
      <w:r>
        <w:fldChar w:fldCharType="begin"/>
      </w:r>
      <w:r>
        <w:instrText xml:space="preserve"> HYPERLINK \l "_Toc139613813" </w:instrText>
      </w:r>
      <w:r>
        <w:fldChar w:fldCharType="separate"/>
      </w:r>
      <w:r>
        <w:rPr>
          <w:rStyle w:val="41"/>
          <w:rFonts w:eastAsiaTheme="minorEastAsia"/>
        </w:rPr>
        <w:t>7.6  锚杆计算</w:t>
      </w:r>
      <w:r>
        <w:rPr>
          <w:rFonts w:eastAsiaTheme="minorEastAsia"/>
        </w:rPr>
        <w:tab/>
      </w:r>
      <w:r>
        <w:rPr>
          <w:rFonts w:eastAsiaTheme="minorEastAsia"/>
        </w:rPr>
        <w:fldChar w:fldCharType="begin"/>
      </w:r>
      <w:r>
        <w:rPr>
          <w:rFonts w:eastAsiaTheme="minorEastAsia"/>
        </w:rPr>
        <w:instrText xml:space="preserve"> PAGEREF _Toc139613813 \h </w:instrText>
      </w:r>
      <w:r>
        <w:rPr>
          <w:rFonts w:eastAsiaTheme="minorEastAsia"/>
        </w:rPr>
        <w:fldChar w:fldCharType="separate"/>
      </w:r>
      <w:r>
        <w:rPr>
          <w:rFonts w:eastAsiaTheme="minorEastAsia"/>
        </w:rPr>
        <w:t>110</w:t>
      </w:r>
      <w:r>
        <w:rPr>
          <w:rFonts w:eastAsiaTheme="minorEastAsia"/>
        </w:rPr>
        <w:fldChar w:fldCharType="end"/>
      </w:r>
      <w:r>
        <w:rPr>
          <w:rFonts w:eastAsiaTheme="minorEastAsia"/>
        </w:rPr>
        <w:fldChar w:fldCharType="end"/>
      </w:r>
    </w:p>
    <w:p w14:paraId="76A94126">
      <w:pPr>
        <w:pStyle w:val="15"/>
        <w:spacing w:line="240" w:lineRule="auto"/>
        <w:jc w:val="center"/>
        <w:rPr>
          <w:rFonts w:eastAsiaTheme="minorEastAsia"/>
          <w:szCs w:val="22"/>
          <w14:ligatures w14:val="standardContextual"/>
        </w:rPr>
      </w:pPr>
      <w:r>
        <w:fldChar w:fldCharType="begin"/>
      </w:r>
      <w:r>
        <w:instrText xml:space="preserve"> HYPERLINK \l "_Toc139613814" </w:instrText>
      </w:r>
      <w:r>
        <w:fldChar w:fldCharType="separate"/>
      </w:r>
      <w:r>
        <w:rPr>
          <w:rStyle w:val="41"/>
          <w:rFonts w:eastAsiaTheme="minorEastAsia"/>
        </w:rPr>
        <w:t>7.7  构造要求</w:t>
      </w:r>
      <w:r>
        <w:rPr>
          <w:rFonts w:eastAsiaTheme="minorEastAsia"/>
        </w:rPr>
        <w:tab/>
      </w:r>
      <w:r>
        <w:rPr>
          <w:rFonts w:eastAsiaTheme="minorEastAsia"/>
        </w:rPr>
        <w:fldChar w:fldCharType="begin"/>
      </w:r>
      <w:r>
        <w:rPr>
          <w:rFonts w:eastAsiaTheme="minorEastAsia"/>
        </w:rPr>
        <w:instrText xml:space="preserve"> PAGEREF _Toc139613814 \h </w:instrText>
      </w:r>
      <w:r>
        <w:rPr>
          <w:rFonts w:eastAsiaTheme="minorEastAsia"/>
        </w:rPr>
        <w:fldChar w:fldCharType="separate"/>
      </w:r>
      <w:r>
        <w:rPr>
          <w:rFonts w:eastAsiaTheme="minorEastAsia"/>
        </w:rPr>
        <w:t>111</w:t>
      </w:r>
      <w:r>
        <w:rPr>
          <w:rFonts w:eastAsiaTheme="minorEastAsia"/>
        </w:rPr>
        <w:fldChar w:fldCharType="end"/>
      </w:r>
      <w:r>
        <w:rPr>
          <w:rFonts w:eastAsiaTheme="minorEastAsia"/>
        </w:rPr>
        <w:fldChar w:fldCharType="end"/>
      </w:r>
    </w:p>
    <w:p w14:paraId="13C56917">
      <w:pPr>
        <w:pStyle w:val="15"/>
        <w:spacing w:line="240" w:lineRule="auto"/>
        <w:jc w:val="center"/>
        <w:rPr>
          <w:rFonts w:eastAsiaTheme="minorEastAsia"/>
          <w:szCs w:val="22"/>
          <w14:ligatures w14:val="standardContextual"/>
        </w:rPr>
      </w:pPr>
      <w:r>
        <w:fldChar w:fldCharType="begin"/>
      </w:r>
      <w:r>
        <w:instrText xml:space="preserve"> HYPERLINK \l "_Toc139613815" </w:instrText>
      </w:r>
      <w:r>
        <w:fldChar w:fldCharType="separate"/>
      </w:r>
      <w:r>
        <w:rPr>
          <w:rStyle w:val="41"/>
          <w:rFonts w:eastAsiaTheme="minorEastAsia"/>
        </w:rPr>
        <w:t>7.8施    工</w:t>
      </w:r>
      <w:r>
        <w:rPr>
          <w:rFonts w:eastAsiaTheme="minorEastAsia"/>
        </w:rPr>
        <w:tab/>
      </w:r>
      <w:r>
        <w:rPr>
          <w:rFonts w:eastAsiaTheme="minorEastAsia"/>
        </w:rPr>
        <w:fldChar w:fldCharType="begin"/>
      </w:r>
      <w:r>
        <w:rPr>
          <w:rFonts w:eastAsiaTheme="minorEastAsia"/>
        </w:rPr>
        <w:instrText xml:space="preserve"> PAGEREF _Toc139613815 \h </w:instrText>
      </w:r>
      <w:r>
        <w:rPr>
          <w:rFonts w:eastAsiaTheme="minorEastAsia"/>
        </w:rPr>
        <w:fldChar w:fldCharType="separate"/>
      </w:r>
      <w:r>
        <w:rPr>
          <w:rFonts w:eastAsiaTheme="minorEastAsia"/>
        </w:rPr>
        <w:t>114</w:t>
      </w:r>
      <w:r>
        <w:rPr>
          <w:rFonts w:eastAsiaTheme="minorEastAsia"/>
        </w:rPr>
        <w:fldChar w:fldCharType="end"/>
      </w:r>
      <w:r>
        <w:rPr>
          <w:rFonts w:eastAsiaTheme="minorEastAsia"/>
        </w:rPr>
        <w:fldChar w:fldCharType="end"/>
      </w:r>
    </w:p>
    <w:p w14:paraId="60057751">
      <w:pPr>
        <w:pStyle w:val="15"/>
        <w:spacing w:line="240" w:lineRule="auto"/>
        <w:jc w:val="center"/>
        <w:rPr>
          <w:rFonts w:eastAsiaTheme="minorEastAsia"/>
          <w:szCs w:val="22"/>
          <w14:ligatures w14:val="standardContextual"/>
        </w:rPr>
      </w:pPr>
      <w:r>
        <w:fldChar w:fldCharType="begin"/>
      </w:r>
      <w:r>
        <w:instrText xml:space="preserve"> HYPERLINK \l "_Toc139613816" </w:instrText>
      </w:r>
      <w:r>
        <w:fldChar w:fldCharType="separate"/>
      </w:r>
      <w:r>
        <w:rPr>
          <w:rStyle w:val="41"/>
          <w:rFonts w:eastAsiaTheme="minorEastAsia"/>
        </w:rPr>
        <w:t>7.9质量检测</w:t>
      </w:r>
      <w:r>
        <w:rPr>
          <w:rFonts w:eastAsiaTheme="minorEastAsia"/>
        </w:rPr>
        <w:tab/>
      </w:r>
      <w:r>
        <w:rPr>
          <w:rFonts w:eastAsiaTheme="minorEastAsia"/>
        </w:rPr>
        <w:fldChar w:fldCharType="begin"/>
      </w:r>
      <w:r>
        <w:rPr>
          <w:rFonts w:eastAsiaTheme="minorEastAsia"/>
        </w:rPr>
        <w:instrText xml:space="preserve"> PAGEREF _Toc139613816 \h </w:instrText>
      </w:r>
      <w:r>
        <w:rPr>
          <w:rFonts w:eastAsiaTheme="minorEastAsia"/>
        </w:rPr>
        <w:fldChar w:fldCharType="separate"/>
      </w:r>
      <w:r>
        <w:rPr>
          <w:rFonts w:eastAsiaTheme="minorEastAsia"/>
        </w:rPr>
        <w:t>114</w:t>
      </w:r>
      <w:r>
        <w:rPr>
          <w:rFonts w:eastAsiaTheme="minorEastAsia"/>
        </w:rPr>
        <w:fldChar w:fldCharType="end"/>
      </w:r>
      <w:r>
        <w:rPr>
          <w:rFonts w:eastAsiaTheme="minorEastAsia"/>
        </w:rPr>
        <w:fldChar w:fldCharType="end"/>
      </w:r>
    </w:p>
    <w:p w14:paraId="1CF599A8">
      <w:pPr>
        <w:pStyle w:val="28"/>
        <w:jc w:val="center"/>
        <w:rPr>
          <w:rFonts w:eastAsiaTheme="minorEastAsia"/>
          <w:szCs w:val="22"/>
          <w14:ligatures w14:val="standardContextual"/>
        </w:rPr>
      </w:pPr>
      <w:r>
        <w:fldChar w:fldCharType="begin"/>
      </w:r>
      <w:r>
        <w:instrText xml:space="preserve"> HYPERLINK \l "_Toc139613817" </w:instrText>
      </w:r>
      <w:r>
        <w:fldChar w:fldCharType="separate"/>
      </w:r>
      <w:r>
        <w:rPr>
          <w:rStyle w:val="41"/>
          <w:rFonts w:eastAsiaTheme="minorEastAsia"/>
        </w:rPr>
        <w:t>8  土钉墙</w:t>
      </w:r>
      <w:r>
        <w:rPr>
          <w:rFonts w:eastAsiaTheme="minorEastAsia"/>
        </w:rPr>
        <w:tab/>
      </w:r>
      <w:r>
        <w:rPr>
          <w:rFonts w:eastAsiaTheme="minorEastAsia"/>
        </w:rPr>
        <w:fldChar w:fldCharType="begin"/>
      </w:r>
      <w:r>
        <w:rPr>
          <w:rFonts w:eastAsiaTheme="minorEastAsia"/>
        </w:rPr>
        <w:instrText xml:space="preserve"> PAGEREF _Toc139613817 \h </w:instrText>
      </w:r>
      <w:r>
        <w:rPr>
          <w:rFonts w:eastAsiaTheme="minorEastAsia"/>
        </w:rPr>
        <w:fldChar w:fldCharType="separate"/>
      </w:r>
      <w:r>
        <w:rPr>
          <w:rFonts w:eastAsiaTheme="minorEastAsia"/>
        </w:rPr>
        <w:t>115</w:t>
      </w:r>
      <w:r>
        <w:rPr>
          <w:rFonts w:eastAsiaTheme="minorEastAsia"/>
        </w:rPr>
        <w:fldChar w:fldCharType="end"/>
      </w:r>
      <w:r>
        <w:rPr>
          <w:rFonts w:eastAsiaTheme="minorEastAsia"/>
        </w:rPr>
        <w:fldChar w:fldCharType="end"/>
      </w:r>
    </w:p>
    <w:p w14:paraId="33AE0E46">
      <w:pPr>
        <w:pStyle w:val="15"/>
        <w:spacing w:line="240" w:lineRule="auto"/>
        <w:jc w:val="center"/>
        <w:rPr>
          <w:rFonts w:eastAsiaTheme="minorEastAsia"/>
          <w:szCs w:val="22"/>
          <w14:ligatures w14:val="standardContextual"/>
        </w:rPr>
      </w:pPr>
      <w:r>
        <w:fldChar w:fldCharType="begin"/>
      </w:r>
      <w:r>
        <w:instrText xml:space="preserve"> HYPERLINK \l "_Toc139613818" </w:instrText>
      </w:r>
      <w:r>
        <w:fldChar w:fldCharType="separate"/>
      </w:r>
      <w:r>
        <w:rPr>
          <w:rStyle w:val="41"/>
          <w:rFonts w:eastAsiaTheme="minorEastAsia"/>
        </w:rPr>
        <w:t>8.1  一般规定</w:t>
      </w:r>
      <w:r>
        <w:rPr>
          <w:rFonts w:eastAsiaTheme="minorEastAsia"/>
        </w:rPr>
        <w:tab/>
      </w:r>
      <w:r>
        <w:rPr>
          <w:rFonts w:eastAsiaTheme="minorEastAsia"/>
        </w:rPr>
        <w:fldChar w:fldCharType="begin"/>
      </w:r>
      <w:r>
        <w:rPr>
          <w:rFonts w:eastAsiaTheme="minorEastAsia"/>
        </w:rPr>
        <w:instrText xml:space="preserve"> PAGEREF _Toc139613818 \h </w:instrText>
      </w:r>
      <w:r>
        <w:rPr>
          <w:rFonts w:eastAsiaTheme="minorEastAsia"/>
        </w:rPr>
        <w:fldChar w:fldCharType="separate"/>
      </w:r>
      <w:r>
        <w:rPr>
          <w:rFonts w:eastAsiaTheme="minorEastAsia"/>
        </w:rPr>
        <w:t>115</w:t>
      </w:r>
      <w:r>
        <w:rPr>
          <w:rFonts w:eastAsiaTheme="minorEastAsia"/>
        </w:rPr>
        <w:fldChar w:fldCharType="end"/>
      </w:r>
      <w:r>
        <w:rPr>
          <w:rFonts w:eastAsiaTheme="minorEastAsia"/>
        </w:rPr>
        <w:fldChar w:fldCharType="end"/>
      </w:r>
    </w:p>
    <w:p w14:paraId="3B70C6CA">
      <w:pPr>
        <w:pStyle w:val="15"/>
        <w:spacing w:line="240" w:lineRule="auto"/>
        <w:jc w:val="center"/>
        <w:rPr>
          <w:rFonts w:eastAsiaTheme="minorEastAsia"/>
          <w:szCs w:val="22"/>
          <w14:ligatures w14:val="standardContextual"/>
        </w:rPr>
      </w:pPr>
      <w:r>
        <w:fldChar w:fldCharType="begin"/>
      </w:r>
      <w:r>
        <w:instrText xml:space="preserve"> HYPERLINK \l "_Toc139613819" </w:instrText>
      </w:r>
      <w:r>
        <w:fldChar w:fldCharType="separate"/>
      </w:r>
      <w:r>
        <w:rPr>
          <w:rStyle w:val="41"/>
          <w:rFonts w:eastAsiaTheme="minorEastAsia"/>
        </w:rPr>
        <w:t>8.2  设    计</w:t>
      </w:r>
      <w:r>
        <w:rPr>
          <w:rFonts w:eastAsiaTheme="minorEastAsia"/>
        </w:rPr>
        <w:tab/>
      </w:r>
      <w:r>
        <w:rPr>
          <w:rFonts w:eastAsiaTheme="minorEastAsia"/>
        </w:rPr>
        <w:fldChar w:fldCharType="begin"/>
      </w:r>
      <w:r>
        <w:rPr>
          <w:rFonts w:eastAsiaTheme="minorEastAsia"/>
        </w:rPr>
        <w:instrText xml:space="preserve"> PAGEREF _Toc139613819 \h </w:instrText>
      </w:r>
      <w:r>
        <w:rPr>
          <w:rFonts w:eastAsiaTheme="minorEastAsia"/>
        </w:rPr>
        <w:fldChar w:fldCharType="separate"/>
      </w:r>
      <w:r>
        <w:rPr>
          <w:rFonts w:eastAsiaTheme="minorEastAsia"/>
        </w:rPr>
        <w:t>115</w:t>
      </w:r>
      <w:r>
        <w:rPr>
          <w:rFonts w:eastAsiaTheme="minorEastAsia"/>
        </w:rPr>
        <w:fldChar w:fldCharType="end"/>
      </w:r>
      <w:r>
        <w:rPr>
          <w:rFonts w:eastAsiaTheme="minorEastAsia"/>
        </w:rPr>
        <w:fldChar w:fldCharType="end"/>
      </w:r>
    </w:p>
    <w:p w14:paraId="1464E3D5">
      <w:pPr>
        <w:pStyle w:val="15"/>
        <w:spacing w:line="240" w:lineRule="auto"/>
        <w:jc w:val="center"/>
        <w:rPr>
          <w:rFonts w:eastAsiaTheme="minorEastAsia"/>
          <w:szCs w:val="22"/>
          <w14:ligatures w14:val="standardContextual"/>
        </w:rPr>
      </w:pPr>
      <w:r>
        <w:fldChar w:fldCharType="begin"/>
      </w:r>
      <w:r>
        <w:instrText xml:space="preserve"> HYPERLINK \l "_Toc139613820" </w:instrText>
      </w:r>
      <w:r>
        <w:fldChar w:fldCharType="separate"/>
      </w:r>
      <w:r>
        <w:rPr>
          <w:rStyle w:val="41"/>
          <w:rFonts w:eastAsiaTheme="minorEastAsia"/>
        </w:rPr>
        <w:t>8.3  施    工</w:t>
      </w:r>
      <w:r>
        <w:rPr>
          <w:rFonts w:eastAsiaTheme="minorEastAsia"/>
        </w:rPr>
        <w:tab/>
      </w:r>
      <w:r>
        <w:rPr>
          <w:rFonts w:eastAsiaTheme="minorEastAsia"/>
        </w:rPr>
        <w:fldChar w:fldCharType="begin"/>
      </w:r>
      <w:r>
        <w:rPr>
          <w:rFonts w:eastAsiaTheme="minorEastAsia"/>
        </w:rPr>
        <w:instrText xml:space="preserve"> PAGEREF _Toc139613820 \h </w:instrText>
      </w:r>
      <w:r>
        <w:rPr>
          <w:rFonts w:eastAsiaTheme="minorEastAsia"/>
        </w:rPr>
        <w:fldChar w:fldCharType="separate"/>
      </w:r>
      <w:r>
        <w:rPr>
          <w:rFonts w:eastAsiaTheme="minorEastAsia"/>
        </w:rPr>
        <w:t>116</w:t>
      </w:r>
      <w:r>
        <w:rPr>
          <w:rFonts w:eastAsiaTheme="minorEastAsia"/>
        </w:rPr>
        <w:fldChar w:fldCharType="end"/>
      </w:r>
      <w:r>
        <w:rPr>
          <w:rFonts w:eastAsiaTheme="minorEastAsia"/>
        </w:rPr>
        <w:fldChar w:fldCharType="end"/>
      </w:r>
    </w:p>
    <w:p w14:paraId="0C264527">
      <w:pPr>
        <w:pStyle w:val="15"/>
        <w:spacing w:line="240" w:lineRule="auto"/>
        <w:jc w:val="center"/>
        <w:rPr>
          <w:rFonts w:eastAsiaTheme="minorEastAsia"/>
          <w:szCs w:val="22"/>
          <w14:ligatures w14:val="standardContextual"/>
        </w:rPr>
      </w:pPr>
      <w:r>
        <w:fldChar w:fldCharType="begin"/>
      </w:r>
      <w:r>
        <w:instrText xml:space="preserve"> HYPERLINK \l "_Toc139613821" </w:instrText>
      </w:r>
      <w:r>
        <w:fldChar w:fldCharType="separate"/>
      </w:r>
      <w:r>
        <w:rPr>
          <w:rStyle w:val="41"/>
          <w:rFonts w:eastAsiaTheme="minorEastAsia"/>
        </w:rPr>
        <w:t>8.4  质量检测</w:t>
      </w:r>
      <w:r>
        <w:rPr>
          <w:rFonts w:eastAsiaTheme="minorEastAsia"/>
        </w:rPr>
        <w:tab/>
      </w:r>
      <w:r>
        <w:rPr>
          <w:rFonts w:eastAsiaTheme="minorEastAsia"/>
        </w:rPr>
        <w:fldChar w:fldCharType="begin"/>
      </w:r>
      <w:r>
        <w:rPr>
          <w:rFonts w:eastAsiaTheme="minorEastAsia"/>
        </w:rPr>
        <w:instrText xml:space="preserve"> PAGEREF _Toc139613821 \h </w:instrText>
      </w:r>
      <w:r>
        <w:rPr>
          <w:rFonts w:eastAsiaTheme="minorEastAsia"/>
        </w:rPr>
        <w:fldChar w:fldCharType="separate"/>
      </w:r>
      <w:r>
        <w:rPr>
          <w:rFonts w:eastAsiaTheme="minorEastAsia"/>
        </w:rPr>
        <w:t>116</w:t>
      </w:r>
      <w:r>
        <w:rPr>
          <w:rFonts w:eastAsiaTheme="minorEastAsia"/>
        </w:rPr>
        <w:fldChar w:fldCharType="end"/>
      </w:r>
      <w:r>
        <w:rPr>
          <w:rFonts w:eastAsiaTheme="minorEastAsia"/>
        </w:rPr>
        <w:fldChar w:fldCharType="end"/>
      </w:r>
    </w:p>
    <w:p w14:paraId="075733C9">
      <w:pPr>
        <w:pStyle w:val="28"/>
        <w:jc w:val="center"/>
        <w:rPr>
          <w:rFonts w:eastAsiaTheme="minorEastAsia"/>
          <w:szCs w:val="22"/>
          <w14:ligatures w14:val="standardContextual"/>
        </w:rPr>
      </w:pPr>
      <w:r>
        <w:fldChar w:fldCharType="begin"/>
      </w:r>
      <w:r>
        <w:instrText xml:space="preserve"> HYPERLINK \l "_Toc139613822" </w:instrText>
      </w:r>
      <w:r>
        <w:fldChar w:fldCharType="separate"/>
      </w:r>
      <w:r>
        <w:rPr>
          <w:rStyle w:val="41"/>
          <w:rFonts w:eastAsiaTheme="minorEastAsia"/>
        </w:rPr>
        <w:t>9  抗震设计</w:t>
      </w:r>
      <w:r>
        <w:rPr>
          <w:rFonts w:eastAsiaTheme="minorEastAsia"/>
        </w:rPr>
        <w:tab/>
      </w:r>
      <w:r>
        <w:rPr>
          <w:rFonts w:eastAsiaTheme="minorEastAsia"/>
        </w:rPr>
        <w:fldChar w:fldCharType="begin"/>
      </w:r>
      <w:r>
        <w:rPr>
          <w:rFonts w:eastAsiaTheme="minorEastAsia"/>
        </w:rPr>
        <w:instrText xml:space="preserve"> PAGEREF _Toc139613822 \h </w:instrText>
      </w:r>
      <w:r>
        <w:rPr>
          <w:rFonts w:eastAsiaTheme="minorEastAsia"/>
        </w:rPr>
        <w:fldChar w:fldCharType="separate"/>
      </w:r>
      <w:r>
        <w:rPr>
          <w:rFonts w:eastAsiaTheme="minorEastAsia"/>
        </w:rPr>
        <w:t>118</w:t>
      </w:r>
      <w:r>
        <w:rPr>
          <w:rFonts w:eastAsiaTheme="minorEastAsia"/>
        </w:rPr>
        <w:fldChar w:fldCharType="end"/>
      </w:r>
      <w:r>
        <w:rPr>
          <w:rFonts w:eastAsiaTheme="minorEastAsia"/>
        </w:rPr>
        <w:fldChar w:fldCharType="end"/>
      </w:r>
    </w:p>
    <w:p w14:paraId="2EA266BE">
      <w:pPr>
        <w:pStyle w:val="15"/>
        <w:spacing w:line="240" w:lineRule="auto"/>
        <w:jc w:val="center"/>
        <w:rPr>
          <w:rFonts w:eastAsiaTheme="minorEastAsia"/>
          <w:szCs w:val="22"/>
          <w14:ligatures w14:val="standardContextual"/>
        </w:rPr>
      </w:pPr>
      <w:r>
        <w:fldChar w:fldCharType="begin"/>
      </w:r>
      <w:r>
        <w:instrText xml:space="preserve"> HYPERLINK \l "_Toc139613823" </w:instrText>
      </w:r>
      <w:r>
        <w:fldChar w:fldCharType="separate"/>
      </w:r>
      <w:r>
        <w:rPr>
          <w:rStyle w:val="41"/>
          <w:rFonts w:eastAsiaTheme="minorEastAsia"/>
        </w:rPr>
        <w:t>9.1  一般规定</w:t>
      </w:r>
      <w:r>
        <w:rPr>
          <w:rFonts w:eastAsiaTheme="minorEastAsia"/>
        </w:rPr>
        <w:tab/>
      </w:r>
      <w:r>
        <w:rPr>
          <w:rFonts w:eastAsiaTheme="minorEastAsia"/>
        </w:rPr>
        <w:fldChar w:fldCharType="begin"/>
      </w:r>
      <w:r>
        <w:rPr>
          <w:rFonts w:eastAsiaTheme="minorEastAsia"/>
        </w:rPr>
        <w:instrText xml:space="preserve"> PAGEREF _Toc139613823 \h </w:instrText>
      </w:r>
      <w:r>
        <w:rPr>
          <w:rFonts w:eastAsiaTheme="minorEastAsia"/>
        </w:rPr>
        <w:fldChar w:fldCharType="separate"/>
      </w:r>
      <w:r>
        <w:rPr>
          <w:rFonts w:eastAsiaTheme="minorEastAsia"/>
        </w:rPr>
        <w:t>118</w:t>
      </w:r>
      <w:r>
        <w:rPr>
          <w:rFonts w:eastAsiaTheme="minorEastAsia"/>
        </w:rPr>
        <w:fldChar w:fldCharType="end"/>
      </w:r>
      <w:r>
        <w:rPr>
          <w:rFonts w:eastAsiaTheme="minorEastAsia"/>
        </w:rPr>
        <w:fldChar w:fldCharType="end"/>
      </w:r>
    </w:p>
    <w:p w14:paraId="3DCDD0BE">
      <w:pPr>
        <w:pStyle w:val="15"/>
        <w:spacing w:line="240" w:lineRule="auto"/>
        <w:jc w:val="center"/>
        <w:rPr>
          <w:rFonts w:eastAsiaTheme="minorEastAsia"/>
          <w:szCs w:val="22"/>
          <w14:ligatures w14:val="standardContextual"/>
        </w:rPr>
      </w:pPr>
      <w:r>
        <w:fldChar w:fldCharType="begin"/>
      </w:r>
      <w:r>
        <w:instrText xml:space="preserve"> HYPERLINK \l "_Toc139613824" </w:instrText>
      </w:r>
      <w:r>
        <w:fldChar w:fldCharType="separate"/>
      </w:r>
      <w:r>
        <w:rPr>
          <w:rStyle w:val="41"/>
          <w:rFonts w:eastAsiaTheme="minorEastAsia"/>
        </w:rPr>
        <w:t>9.2  抗震验算</w:t>
      </w:r>
      <w:r>
        <w:rPr>
          <w:rFonts w:eastAsiaTheme="minorEastAsia"/>
        </w:rPr>
        <w:tab/>
      </w:r>
      <w:r>
        <w:rPr>
          <w:rFonts w:eastAsiaTheme="minorEastAsia"/>
        </w:rPr>
        <w:fldChar w:fldCharType="begin"/>
      </w:r>
      <w:r>
        <w:rPr>
          <w:rFonts w:eastAsiaTheme="minorEastAsia"/>
        </w:rPr>
        <w:instrText xml:space="preserve"> PAGEREF _Toc139613824 \h </w:instrText>
      </w:r>
      <w:r>
        <w:rPr>
          <w:rFonts w:eastAsiaTheme="minorEastAsia"/>
        </w:rPr>
        <w:fldChar w:fldCharType="separate"/>
      </w:r>
      <w:r>
        <w:rPr>
          <w:rFonts w:eastAsiaTheme="minorEastAsia"/>
        </w:rPr>
        <w:t>118</w:t>
      </w:r>
      <w:r>
        <w:rPr>
          <w:rFonts w:eastAsiaTheme="minorEastAsia"/>
        </w:rPr>
        <w:fldChar w:fldCharType="end"/>
      </w:r>
      <w:r>
        <w:rPr>
          <w:rFonts w:eastAsiaTheme="minorEastAsia"/>
        </w:rPr>
        <w:fldChar w:fldCharType="end"/>
      </w:r>
    </w:p>
    <w:p w14:paraId="67B6E929">
      <w:pPr>
        <w:pStyle w:val="28"/>
        <w:jc w:val="center"/>
        <w:rPr>
          <w:rFonts w:eastAsiaTheme="minorEastAsia"/>
          <w:szCs w:val="22"/>
          <w14:ligatures w14:val="standardContextual"/>
        </w:rPr>
      </w:pPr>
      <w:r>
        <w:fldChar w:fldCharType="begin"/>
      </w:r>
      <w:r>
        <w:instrText xml:space="preserve"> HYPERLINK \l "_Toc139613825" </w:instrText>
      </w:r>
      <w:r>
        <w:fldChar w:fldCharType="separate"/>
      </w:r>
      <w:r>
        <w:rPr>
          <w:rStyle w:val="41"/>
          <w:rFonts w:eastAsiaTheme="minorEastAsia"/>
        </w:rPr>
        <w:t>10  基坑开挖</w:t>
      </w:r>
      <w:r>
        <w:rPr>
          <w:rFonts w:eastAsiaTheme="minorEastAsia"/>
        </w:rPr>
        <w:tab/>
      </w:r>
      <w:r>
        <w:rPr>
          <w:rFonts w:eastAsiaTheme="minorEastAsia"/>
        </w:rPr>
        <w:fldChar w:fldCharType="begin"/>
      </w:r>
      <w:r>
        <w:rPr>
          <w:rFonts w:eastAsiaTheme="minorEastAsia"/>
        </w:rPr>
        <w:instrText xml:space="preserve"> PAGEREF _Toc139613825 \h </w:instrText>
      </w:r>
      <w:r>
        <w:rPr>
          <w:rFonts w:eastAsiaTheme="minorEastAsia"/>
        </w:rPr>
        <w:fldChar w:fldCharType="separate"/>
      </w:r>
      <w:r>
        <w:rPr>
          <w:rFonts w:eastAsiaTheme="minorEastAsia"/>
        </w:rPr>
        <w:t>123</w:t>
      </w:r>
      <w:r>
        <w:rPr>
          <w:rFonts w:eastAsiaTheme="minorEastAsia"/>
        </w:rPr>
        <w:fldChar w:fldCharType="end"/>
      </w:r>
      <w:r>
        <w:rPr>
          <w:rFonts w:eastAsiaTheme="minorEastAsia"/>
        </w:rPr>
        <w:fldChar w:fldCharType="end"/>
      </w:r>
    </w:p>
    <w:p w14:paraId="27A312F2">
      <w:pPr>
        <w:pStyle w:val="15"/>
        <w:spacing w:line="240" w:lineRule="auto"/>
        <w:jc w:val="center"/>
        <w:rPr>
          <w:rFonts w:eastAsiaTheme="minorEastAsia"/>
          <w:szCs w:val="22"/>
          <w14:ligatures w14:val="standardContextual"/>
        </w:rPr>
      </w:pPr>
      <w:r>
        <w:fldChar w:fldCharType="begin"/>
      </w:r>
      <w:r>
        <w:instrText xml:space="preserve"> HYPERLINK \l "_Toc139613826" </w:instrText>
      </w:r>
      <w:r>
        <w:fldChar w:fldCharType="separate"/>
      </w:r>
      <w:r>
        <w:rPr>
          <w:rStyle w:val="41"/>
          <w:rFonts w:eastAsiaTheme="minorEastAsia"/>
        </w:rPr>
        <w:t>10.1  一般规定</w:t>
      </w:r>
      <w:r>
        <w:rPr>
          <w:rFonts w:eastAsiaTheme="minorEastAsia"/>
        </w:rPr>
        <w:tab/>
      </w:r>
      <w:r>
        <w:rPr>
          <w:rFonts w:eastAsiaTheme="minorEastAsia"/>
        </w:rPr>
        <w:fldChar w:fldCharType="begin"/>
      </w:r>
      <w:r>
        <w:rPr>
          <w:rFonts w:eastAsiaTheme="minorEastAsia"/>
        </w:rPr>
        <w:instrText xml:space="preserve"> PAGEREF _Toc139613826 \h </w:instrText>
      </w:r>
      <w:r>
        <w:rPr>
          <w:rFonts w:eastAsiaTheme="minorEastAsia"/>
        </w:rPr>
        <w:fldChar w:fldCharType="separate"/>
      </w:r>
      <w:r>
        <w:rPr>
          <w:rFonts w:eastAsiaTheme="minorEastAsia"/>
        </w:rPr>
        <w:t>123</w:t>
      </w:r>
      <w:r>
        <w:rPr>
          <w:rFonts w:eastAsiaTheme="minorEastAsia"/>
        </w:rPr>
        <w:fldChar w:fldCharType="end"/>
      </w:r>
      <w:r>
        <w:rPr>
          <w:rFonts w:eastAsiaTheme="minorEastAsia"/>
        </w:rPr>
        <w:fldChar w:fldCharType="end"/>
      </w:r>
    </w:p>
    <w:p w14:paraId="3CEF13C4">
      <w:pPr>
        <w:pStyle w:val="15"/>
        <w:spacing w:line="240" w:lineRule="auto"/>
        <w:jc w:val="center"/>
        <w:rPr>
          <w:rFonts w:eastAsiaTheme="minorEastAsia"/>
          <w:szCs w:val="22"/>
          <w14:ligatures w14:val="standardContextual"/>
        </w:rPr>
      </w:pPr>
      <w:r>
        <w:fldChar w:fldCharType="begin"/>
      </w:r>
      <w:r>
        <w:instrText xml:space="preserve"> HYPERLINK \l "_Toc139613827" </w:instrText>
      </w:r>
      <w:r>
        <w:fldChar w:fldCharType="separate"/>
      </w:r>
      <w:r>
        <w:rPr>
          <w:rStyle w:val="41"/>
          <w:rFonts w:eastAsiaTheme="minorEastAsia"/>
        </w:rPr>
        <w:t>10.2  开    挖</w:t>
      </w:r>
      <w:r>
        <w:rPr>
          <w:rFonts w:eastAsiaTheme="minorEastAsia"/>
        </w:rPr>
        <w:tab/>
      </w:r>
      <w:r>
        <w:rPr>
          <w:rFonts w:eastAsiaTheme="minorEastAsia"/>
        </w:rPr>
        <w:fldChar w:fldCharType="begin"/>
      </w:r>
      <w:r>
        <w:rPr>
          <w:rFonts w:eastAsiaTheme="minorEastAsia"/>
        </w:rPr>
        <w:instrText xml:space="preserve"> PAGEREF _Toc139613827 \h </w:instrText>
      </w:r>
      <w:r>
        <w:rPr>
          <w:rFonts w:eastAsiaTheme="minorEastAsia"/>
        </w:rPr>
        <w:fldChar w:fldCharType="separate"/>
      </w:r>
      <w:r>
        <w:rPr>
          <w:rFonts w:eastAsiaTheme="minorEastAsia"/>
        </w:rPr>
        <w:t>123</w:t>
      </w:r>
      <w:r>
        <w:rPr>
          <w:rFonts w:eastAsiaTheme="minorEastAsia"/>
        </w:rPr>
        <w:fldChar w:fldCharType="end"/>
      </w:r>
      <w:r>
        <w:rPr>
          <w:rFonts w:eastAsiaTheme="minorEastAsia"/>
        </w:rPr>
        <w:fldChar w:fldCharType="end"/>
      </w:r>
    </w:p>
    <w:p w14:paraId="6EA0147F">
      <w:pPr>
        <w:pStyle w:val="15"/>
        <w:spacing w:line="240" w:lineRule="auto"/>
        <w:jc w:val="center"/>
        <w:rPr>
          <w:rFonts w:eastAsiaTheme="minorEastAsia"/>
          <w:szCs w:val="22"/>
          <w14:ligatures w14:val="standardContextual"/>
        </w:rPr>
      </w:pPr>
      <w:r>
        <w:fldChar w:fldCharType="begin"/>
      </w:r>
      <w:r>
        <w:instrText xml:space="preserve"> HYPERLINK \l "_Toc139613828" </w:instrText>
      </w:r>
      <w:r>
        <w:fldChar w:fldCharType="separate"/>
      </w:r>
      <w:r>
        <w:rPr>
          <w:rStyle w:val="41"/>
          <w:rFonts w:eastAsiaTheme="minorEastAsia"/>
        </w:rPr>
        <w:t>10.3  基坑防排水</w:t>
      </w:r>
      <w:r>
        <w:rPr>
          <w:rFonts w:eastAsiaTheme="minorEastAsia"/>
        </w:rPr>
        <w:tab/>
      </w:r>
      <w:r>
        <w:rPr>
          <w:rFonts w:eastAsiaTheme="minorEastAsia"/>
        </w:rPr>
        <w:fldChar w:fldCharType="begin"/>
      </w:r>
      <w:r>
        <w:rPr>
          <w:rFonts w:eastAsiaTheme="minorEastAsia"/>
        </w:rPr>
        <w:instrText xml:space="preserve"> PAGEREF _Toc139613828 \h </w:instrText>
      </w:r>
      <w:r>
        <w:rPr>
          <w:rFonts w:eastAsiaTheme="minorEastAsia"/>
        </w:rPr>
        <w:fldChar w:fldCharType="separate"/>
      </w:r>
      <w:r>
        <w:rPr>
          <w:rFonts w:eastAsiaTheme="minorEastAsia"/>
        </w:rPr>
        <w:t>123</w:t>
      </w:r>
      <w:r>
        <w:rPr>
          <w:rFonts w:eastAsiaTheme="minorEastAsia"/>
        </w:rPr>
        <w:fldChar w:fldCharType="end"/>
      </w:r>
      <w:r>
        <w:rPr>
          <w:rFonts w:eastAsiaTheme="minorEastAsia"/>
        </w:rPr>
        <w:fldChar w:fldCharType="end"/>
      </w:r>
    </w:p>
    <w:p w14:paraId="3FF8377B">
      <w:pPr>
        <w:pStyle w:val="15"/>
        <w:spacing w:line="240" w:lineRule="auto"/>
        <w:jc w:val="center"/>
        <w:rPr>
          <w:rFonts w:eastAsiaTheme="minorEastAsia"/>
          <w:szCs w:val="22"/>
          <w14:ligatures w14:val="standardContextual"/>
        </w:rPr>
      </w:pPr>
      <w:r>
        <w:fldChar w:fldCharType="begin"/>
      </w:r>
      <w:r>
        <w:instrText xml:space="preserve"> HYPERLINK \l "_Toc139613829" </w:instrText>
      </w:r>
      <w:r>
        <w:fldChar w:fldCharType="separate"/>
      </w:r>
      <w:r>
        <w:rPr>
          <w:rStyle w:val="41"/>
          <w:rFonts w:eastAsiaTheme="minorEastAsia"/>
        </w:rPr>
        <w:t>10.4  封底及回填</w:t>
      </w:r>
      <w:r>
        <w:rPr>
          <w:rFonts w:eastAsiaTheme="minorEastAsia"/>
        </w:rPr>
        <w:tab/>
      </w:r>
      <w:r>
        <w:rPr>
          <w:rFonts w:eastAsiaTheme="minorEastAsia"/>
        </w:rPr>
        <w:fldChar w:fldCharType="begin"/>
      </w:r>
      <w:r>
        <w:rPr>
          <w:rFonts w:eastAsiaTheme="minorEastAsia"/>
        </w:rPr>
        <w:instrText xml:space="preserve"> PAGEREF _Toc139613829 \h </w:instrText>
      </w:r>
      <w:r>
        <w:rPr>
          <w:rFonts w:eastAsiaTheme="minorEastAsia"/>
        </w:rPr>
        <w:fldChar w:fldCharType="separate"/>
      </w:r>
      <w:r>
        <w:rPr>
          <w:rFonts w:eastAsiaTheme="minorEastAsia"/>
        </w:rPr>
        <w:t>123</w:t>
      </w:r>
      <w:r>
        <w:rPr>
          <w:rFonts w:eastAsiaTheme="minorEastAsia"/>
        </w:rPr>
        <w:fldChar w:fldCharType="end"/>
      </w:r>
      <w:r>
        <w:rPr>
          <w:rFonts w:eastAsiaTheme="minorEastAsia"/>
        </w:rPr>
        <w:fldChar w:fldCharType="end"/>
      </w:r>
    </w:p>
    <w:p w14:paraId="7FBAF649">
      <w:pPr>
        <w:pStyle w:val="28"/>
        <w:jc w:val="center"/>
        <w:rPr>
          <w:rFonts w:eastAsiaTheme="minorEastAsia"/>
          <w:szCs w:val="22"/>
          <w14:ligatures w14:val="standardContextual"/>
        </w:rPr>
      </w:pPr>
      <w:r>
        <w:fldChar w:fldCharType="begin"/>
      </w:r>
      <w:r>
        <w:instrText xml:space="preserve"> HYPERLINK \l "_Toc139613830" </w:instrText>
      </w:r>
      <w:r>
        <w:fldChar w:fldCharType="separate"/>
      </w:r>
      <w:r>
        <w:rPr>
          <w:rStyle w:val="41"/>
          <w:rFonts w:eastAsiaTheme="minorEastAsia"/>
        </w:rPr>
        <w:t>11  监    测</w:t>
      </w:r>
      <w:r>
        <w:rPr>
          <w:rFonts w:eastAsiaTheme="minorEastAsia"/>
        </w:rPr>
        <w:tab/>
      </w:r>
      <w:r>
        <w:rPr>
          <w:rFonts w:eastAsiaTheme="minorEastAsia"/>
        </w:rPr>
        <w:fldChar w:fldCharType="begin"/>
      </w:r>
      <w:r>
        <w:rPr>
          <w:rFonts w:eastAsiaTheme="minorEastAsia"/>
        </w:rPr>
        <w:instrText xml:space="preserve"> PAGEREF _Toc139613830 \h </w:instrText>
      </w:r>
      <w:r>
        <w:rPr>
          <w:rFonts w:eastAsiaTheme="minorEastAsia"/>
        </w:rPr>
        <w:fldChar w:fldCharType="separate"/>
      </w:r>
      <w:r>
        <w:rPr>
          <w:rFonts w:eastAsiaTheme="minorEastAsia"/>
        </w:rPr>
        <w:t>124</w:t>
      </w:r>
      <w:r>
        <w:rPr>
          <w:rFonts w:eastAsiaTheme="minorEastAsia"/>
        </w:rPr>
        <w:fldChar w:fldCharType="end"/>
      </w:r>
      <w:r>
        <w:rPr>
          <w:rFonts w:eastAsiaTheme="minorEastAsia"/>
        </w:rPr>
        <w:fldChar w:fldCharType="end"/>
      </w:r>
    </w:p>
    <w:p w14:paraId="67B30F76">
      <w:pPr>
        <w:pStyle w:val="15"/>
        <w:spacing w:line="240" w:lineRule="auto"/>
        <w:jc w:val="center"/>
        <w:rPr>
          <w:rFonts w:eastAsiaTheme="minorEastAsia"/>
          <w:szCs w:val="22"/>
          <w14:ligatures w14:val="standardContextual"/>
        </w:rPr>
      </w:pPr>
      <w:r>
        <w:fldChar w:fldCharType="begin"/>
      </w:r>
      <w:r>
        <w:instrText xml:space="preserve"> HYPERLINK \l "_Toc139613831" </w:instrText>
      </w:r>
      <w:r>
        <w:fldChar w:fldCharType="separate"/>
      </w:r>
      <w:r>
        <w:rPr>
          <w:rStyle w:val="41"/>
          <w:rFonts w:eastAsiaTheme="minorEastAsia"/>
        </w:rPr>
        <w:t>11.1  一般规定</w:t>
      </w:r>
      <w:r>
        <w:rPr>
          <w:rFonts w:eastAsiaTheme="minorEastAsia"/>
        </w:rPr>
        <w:tab/>
      </w:r>
      <w:r>
        <w:rPr>
          <w:rFonts w:eastAsiaTheme="minorEastAsia"/>
        </w:rPr>
        <w:fldChar w:fldCharType="begin"/>
      </w:r>
      <w:r>
        <w:rPr>
          <w:rFonts w:eastAsiaTheme="minorEastAsia"/>
        </w:rPr>
        <w:instrText xml:space="preserve"> PAGEREF _Toc139613831 \h </w:instrText>
      </w:r>
      <w:r>
        <w:rPr>
          <w:rFonts w:eastAsiaTheme="minorEastAsia"/>
        </w:rPr>
        <w:fldChar w:fldCharType="separate"/>
      </w:r>
      <w:r>
        <w:rPr>
          <w:rFonts w:eastAsiaTheme="minorEastAsia"/>
        </w:rPr>
        <w:t>124</w:t>
      </w:r>
      <w:r>
        <w:rPr>
          <w:rFonts w:eastAsiaTheme="minorEastAsia"/>
        </w:rPr>
        <w:fldChar w:fldCharType="end"/>
      </w:r>
      <w:r>
        <w:rPr>
          <w:rFonts w:eastAsiaTheme="minorEastAsia"/>
        </w:rPr>
        <w:fldChar w:fldCharType="end"/>
      </w:r>
    </w:p>
    <w:p w14:paraId="07A14990">
      <w:pPr>
        <w:pStyle w:val="15"/>
        <w:spacing w:line="240" w:lineRule="auto"/>
        <w:jc w:val="center"/>
        <w:rPr>
          <w:rFonts w:eastAsiaTheme="minorEastAsia"/>
          <w:szCs w:val="22"/>
          <w14:ligatures w14:val="standardContextual"/>
        </w:rPr>
      </w:pPr>
      <w:r>
        <w:fldChar w:fldCharType="begin"/>
      </w:r>
      <w:r>
        <w:instrText xml:space="preserve"> HYPERLINK \l "_Toc139613832" </w:instrText>
      </w:r>
      <w:r>
        <w:fldChar w:fldCharType="separate"/>
      </w:r>
      <w:r>
        <w:rPr>
          <w:rStyle w:val="41"/>
          <w:rFonts w:eastAsiaTheme="minorEastAsia"/>
        </w:rPr>
        <w:t>11.2  监测项目</w:t>
      </w:r>
      <w:r>
        <w:rPr>
          <w:rFonts w:eastAsiaTheme="minorEastAsia"/>
        </w:rPr>
        <w:tab/>
      </w:r>
      <w:r>
        <w:rPr>
          <w:rFonts w:eastAsiaTheme="minorEastAsia"/>
        </w:rPr>
        <w:fldChar w:fldCharType="begin"/>
      </w:r>
      <w:r>
        <w:rPr>
          <w:rFonts w:eastAsiaTheme="minorEastAsia"/>
        </w:rPr>
        <w:instrText xml:space="preserve"> PAGEREF _Toc139613832 \h </w:instrText>
      </w:r>
      <w:r>
        <w:rPr>
          <w:rFonts w:eastAsiaTheme="minorEastAsia"/>
        </w:rPr>
        <w:fldChar w:fldCharType="separate"/>
      </w:r>
      <w:r>
        <w:rPr>
          <w:rFonts w:eastAsiaTheme="minorEastAsia"/>
        </w:rPr>
        <w:t>124</w:t>
      </w:r>
      <w:r>
        <w:rPr>
          <w:rFonts w:eastAsiaTheme="minorEastAsia"/>
        </w:rPr>
        <w:fldChar w:fldCharType="end"/>
      </w:r>
      <w:r>
        <w:rPr>
          <w:rFonts w:eastAsiaTheme="minorEastAsia"/>
        </w:rPr>
        <w:fldChar w:fldCharType="end"/>
      </w:r>
    </w:p>
    <w:p w14:paraId="28B4BC84">
      <w:pPr>
        <w:pStyle w:val="15"/>
        <w:spacing w:line="240" w:lineRule="auto"/>
        <w:jc w:val="center"/>
        <w:rPr>
          <w:rFonts w:eastAsiaTheme="minorEastAsia"/>
          <w:szCs w:val="22"/>
          <w14:ligatures w14:val="standardContextual"/>
        </w:rPr>
      </w:pPr>
      <w:r>
        <w:fldChar w:fldCharType="begin"/>
      </w:r>
      <w:r>
        <w:instrText xml:space="preserve"> HYPERLINK \l "_Toc139613833" </w:instrText>
      </w:r>
      <w:r>
        <w:fldChar w:fldCharType="separate"/>
      </w:r>
      <w:r>
        <w:rPr>
          <w:rStyle w:val="41"/>
          <w:rFonts w:eastAsiaTheme="minorEastAsia"/>
        </w:rPr>
        <w:t>11.3  巡视检查</w:t>
      </w:r>
      <w:r>
        <w:rPr>
          <w:rFonts w:eastAsiaTheme="minorEastAsia"/>
        </w:rPr>
        <w:tab/>
      </w:r>
      <w:r>
        <w:rPr>
          <w:rFonts w:eastAsiaTheme="minorEastAsia"/>
        </w:rPr>
        <w:fldChar w:fldCharType="begin"/>
      </w:r>
      <w:r>
        <w:rPr>
          <w:rFonts w:eastAsiaTheme="minorEastAsia"/>
        </w:rPr>
        <w:instrText xml:space="preserve"> PAGEREF _Toc139613833 \h </w:instrText>
      </w:r>
      <w:r>
        <w:rPr>
          <w:rFonts w:eastAsiaTheme="minorEastAsia"/>
        </w:rPr>
        <w:fldChar w:fldCharType="separate"/>
      </w:r>
      <w:r>
        <w:rPr>
          <w:rFonts w:eastAsiaTheme="minorEastAsia"/>
        </w:rPr>
        <w:t>124</w:t>
      </w:r>
      <w:r>
        <w:rPr>
          <w:rFonts w:eastAsiaTheme="minorEastAsia"/>
        </w:rPr>
        <w:fldChar w:fldCharType="end"/>
      </w:r>
      <w:r>
        <w:rPr>
          <w:rFonts w:eastAsiaTheme="minorEastAsia"/>
        </w:rPr>
        <w:fldChar w:fldCharType="end"/>
      </w:r>
    </w:p>
    <w:p w14:paraId="0329FF12">
      <w:pPr>
        <w:pStyle w:val="15"/>
        <w:spacing w:line="240" w:lineRule="auto"/>
        <w:jc w:val="center"/>
        <w:rPr>
          <w:rFonts w:eastAsiaTheme="minorEastAsia"/>
          <w:szCs w:val="22"/>
          <w14:ligatures w14:val="standardContextual"/>
        </w:rPr>
      </w:pPr>
      <w:r>
        <w:fldChar w:fldCharType="begin"/>
      </w:r>
      <w:r>
        <w:instrText xml:space="preserve"> HYPERLINK \l "_Toc139613834" </w:instrText>
      </w:r>
      <w:r>
        <w:fldChar w:fldCharType="separate"/>
      </w:r>
      <w:r>
        <w:rPr>
          <w:rStyle w:val="41"/>
          <w:rFonts w:eastAsiaTheme="minorEastAsia"/>
        </w:rPr>
        <w:t>11.4  监测点布置</w:t>
      </w:r>
      <w:r>
        <w:rPr>
          <w:rFonts w:eastAsiaTheme="minorEastAsia"/>
        </w:rPr>
        <w:tab/>
      </w:r>
      <w:r>
        <w:rPr>
          <w:rFonts w:eastAsiaTheme="minorEastAsia"/>
        </w:rPr>
        <w:fldChar w:fldCharType="begin"/>
      </w:r>
      <w:r>
        <w:rPr>
          <w:rFonts w:eastAsiaTheme="minorEastAsia"/>
        </w:rPr>
        <w:instrText xml:space="preserve"> PAGEREF _Toc139613834 \h </w:instrText>
      </w:r>
      <w:r>
        <w:rPr>
          <w:rFonts w:eastAsiaTheme="minorEastAsia"/>
        </w:rPr>
        <w:fldChar w:fldCharType="separate"/>
      </w:r>
      <w:r>
        <w:rPr>
          <w:rFonts w:eastAsiaTheme="minorEastAsia"/>
        </w:rPr>
        <w:t>124</w:t>
      </w:r>
      <w:r>
        <w:rPr>
          <w:rFonts w:eastAsiaTheme="minorEastAsia"/>
        </w:rPr>
        <w:fldChar w:fldCharType="end"/>
      </w:r>
      <w:r>
        <w:rPr>
          <w:rFonts w:eastAsiaTheme="minorEastAsia"/>
        </w:rPr>
        <w:fldChar w:fldCharType="end"/>
      </w:r>
    </w:p>
    <w:p w14:paraId="0EFFA5ED">
      <w:pPr>
        <w:pStyle w:val="15"/>
        <w:spacing w:line="240" w:lineRule="auto"/>
        <w:jc w:val="center"/>
        <w:rPr>
          <w:rFonts w:eastAsiaTheme="minorEastAsia"/>
          <w:szCs w:val="22"/>
          <w14:ligatures w14:val="standardContextual"/>
        </w:rPr>
      </w:pPr>
      <w:r>
        <w:fldChar w:fldCharType="begin"/>
      </w:r>
      <w:r>
        <w:instrText xml:space="preserve"> HYPERLINK \l "_Toc139613835" </w:instrText>
      </w:r>
      <w:r>
        <w:fldChar w:fldCharType="separate"/>
      </w:r>
      <w:r>
        <w:rPr>
          <w:rStyle w:val="41"/>
          <w:rFonts w:eastAsiaTheme="minorEastAsia"/>
        </w:rPr>
        <w:t>11.5  监测频率</w:t>
      </w:r>
      <w:r>
        <w:rPr>
          <w:rFonts w:eastAsiaTheme="minorEastAsia"/>
        </w:rPr>
        <w:tab/>
      </w:r>
      <w:r>
        <w:rPr>
          <w:rFonts w:eastAsiaTheme="minorEastAsia"/>
        </w:rPr>
        <w:fldChar w:fldCharType="begin"/>
      </w:r>
      <w:r>
        <w:rPr>
          <w:rFonts w:eastAsiaTheme="minorEastAsia"/>
        </w:rPr>
        <w:instrText xml:space="preserve"> PAGEREF _Toc139613835 \h </w:instrText>
      </w:r>
      <w:r>
        <w:rPr>
          <w:rFonts w:eastAsiaTheme="minorEastAsia"/>
        </w:rPr>
        <w:fldChar w:fldCharType="separate"/>
      </w:r>
      <w:r>
        <w:rPr>
          <w:rFonts w:eastAsiaTheme="minorEastAsia"/>
        </w:rPr>
        <w:t>124</w:t>
      </w:r>
      <w:r>
        <w:rPr>
          <w:rFonts w:eastAsiaTheme="minorEastAsia"/>
        </w:rPr>
        <w:fldChar w:fldCharType="end"/>
      </w:r>
      <w:r>
        <w:rPr>
          <w:rFonts w:eastAsiaTheme="minorEastAsia"/>
        </w:rPr>
        <w:fldChar w:fldCharType="end"/>
      </w:r>
    </w:p>
    <w:p w14:paraId="089EB3F3">
      <w:pPr>
        <w:pStyle w:val="15"/>
        <w:spacing w:line="240" w:lineRule="auto"/>
        <w:jc w:val="center"/>
        <w:rPr>
          <w:rFonts w:eastAsiaTheme="minorEastAsia"/>
          <w:szCs w:val="22"/>
          <w14:ligatures w14:val="standardContextual"/>
        </w:rPr>
      </w:pPr>
      <w:r>
        <w:fldChar w:fldCharType="begin"/>
      </w:r>
      <w:r>
        <w:instrText xml:space="preserve"> HYPERLINK \l "_Toc139613836" </w:instrText>
      </w:r>
      <w:r>
        <w:fldChar w:fldCharType="separate"/>
      </w:r>
      <w:r>
        <w:rPr>
          <w:rStyle w:val="41"/>
          <w:rFonts w:eastAsiaTheme="minorEastAsia"/>
        </w:rPr>
        <w:t>11.6  监测报警</w:t>
      </w:r>
      <w:r>
        <w:rPr>
          <w:rFonts w:eastAsiaTheme="minorEastAsia"/>
        </w:rPr>
        <w:tab/>
      </w:r>
      <w:r>
        <w:rPr>
          <w:rFonts w:eastAsiaTheme="minorEastAsia"/>
        </w:rPr>
        <w:fldChar w:fldCharType="begin"/>
      </w:r>
      <w:r>
        <w:rPr>
          <w:rFonts w:eastAsiaTheme="minorEastAsia"/>
        </w:rPr>
        <w:instrText xml:space="preserve"> PAGEREF _Toc139613836 \h </w:instrText>
      </w:r>
      <w:r>
        <w:rPr>
          <w:rFonts w:eastAsiaTheme="minorEastAsia"/>
        </w:rPr>
        <w:fldChar w:fldCharType="separate"/>
      </w:r>
      <w:r>
        <w:rPr>
          <w:rFonts w:eastAsiaTheme="minorEastAsia"/>
        </w:rPr>
        <w:t>125</w:t>
      </w:r>
      <w:r>
        <w:rPr>
          <w:rFonts w:eastAsiaTheme="minorEastAsia"/>
        </w:rPr>
        <w:fldChar w:fldCharType="end"/>
      </w:r>
      <w:r>
        <w:rPr>
          <w:rFonts w:eastAsiaTheme="minorEastAsia"/>
        </w:rPr>
        <w:fldChar w:fldCharType="end"/>
      </w:r>
    </w:p>
    <w:p w14:paraId="7C83E3F2">
      <w:pPr>
        <w:pStyle w:val="15"/>
        <w:spacing w:line="240" w:lineRule="auto"/>
        <w:jc w:val="center"/>
        <w:rPr>
          <w:rFonts w:eastAsiaTheme="minorEastAsia"/>
          <w:szCs w:val="22"/>
          <w14:ligatures w14:val="standardContextual"/>
        </w:rPr>
      </w:pPr>
      <w:r>
        <w:fldChar w:fldCharType="begin"/>
      </w:r>
      <w:r>
        <w:instrText xml:space="preserve"> HYPERLINK \l "_Toc139613837" </w:instrText>
      </w:r>
      <w:r>
        <w:fldChar w:fldCharType="separate"/>
      </w:r>
      <w:r>
        <w:rPr>
          <w:rStyle w:val="41"/>
          <w:rFonts w:eastAsiaTheme="minorEastAsia"/>
        </w:rPr>
        <w:t>11.7  监测成果</w:t>
      </w:r>
      <w:r>
        <w:rPr>
          <w:rFonts w:eastAsiaTheme="minorEastAsia"/>
        </w:rPr>
        <w:tab/>
      </w:r>
      <w:r>
        <w:rPr>
          <w:rFonts w:eastAsiaTheme="minorEastAsia"/>
        </w:rPr>
        <w:fldChar w:fldCharType="begin"/>
      </w:r>
      <w:r>
        <w:rPr>
          <w:rFonts w:eastAsiaTheme="minorEastAsia"/>
        </w:rPr>
        <w:instrText xml:space="preserve"> PAGEREF _Toc139613837 \h </w:instrText>
      </w:r>
      <w:r>
        <w:rPr>
          <w:rFonts w:eastAsiaTheme="minorEastAsia"/>
        </w:rPr>
        <w:fldChar w:fldCharType="separate"/>
      </w:r>
      <w:r>
        <w:rPr>
          <w:rFonts w:eastAsiaTheme="minorEastAsia"/>
        </w:rPr>
        <w:t>125</w:t>
      </w:r>
      <w:r>
        <w:rPr>
          <w:rFonts w:eastAsiaTheme="minorEastAsia"/>
        </w:rPr>
        <w:fldChar w:fldCharType="end"/>
      </w:r>
      <w:r>
        <w:rPr>
          <w:rFonts w:eastAsiaTheme="minorEastAsia"/>
        </w:rPr>
        <w:fldChar w:fldCharType="end"/>
      </w:r>
    </w:p>
    <w:p w14:paraId="63CC2C35">
      <w:pPr>
        <w:pStyle w:val="28"/>
        <w:jc w:val="center"/>
        <w:rPr>
          <w:rFonts w:eastAsiaTheme="minorEastAsia"/>
          <w:szCs w:val="22"/>
          <w14:ligatures w14:val="standardContextual"/>
        </w:rPr>
      </w:pPr>
      <w:r>
        <w:fldChar w:fldCharType="begin"/>
      </w:r>
      <w:r>
        <w:instrText xml:space="preserve"> HYPERLINK \l "_Toc139613838" </w:instrText>
      </w:r>
      <w:r>
        <w:fldChar w:fldCharType="separate"/>
      </w:r>
      <w:r>
        <w:rPr>
          <w:rStyle w:val="41"/>
          <w:rFonts w:eastAsiaTheme="minorEastAsia"/>
        </w:rPr>
        <w:t>12  碳排放量计算</w:t>
      </w:r>
      <w:r>
        <w:rPr>
          <w:rFonts w:eastAsiaTheme="minorEastAsia"/>
        </w:rPr>
        <w:tab/>
      </w:r>
      <w:r>
        <w:rPr>
          <w:rFonts w:eastAsiaTheme="minorEastAsia"/>
        </w:rPr>
        <w:fldChar w:fldCharType="begin"/>
      </w:r>
      <w:r>
        <w:rPr>
          <w:rFonts w:eastAsiaTheme="minorEastAsia"/>
        </w:rPr>
        <w:instrText xml:space="preserve"> PAGEREF _Toc139613838 \h </w:instrText>
      </w:r>
      <w:r>
        <w:rPr>
          <w:rFonts w:eastAsiaTheme="minorEastAsia"/>
        </w:rPr>
        <w:fldChar w:fldCharType="separate"/>
      </w:r>
      <w:r>
        <w:rPr>
          <w:rFonts w:eastAsiaTheme="minorEastAsia"/>
        </w:rPr>
        <w:t>126</w:t>
      </w:r>
      <w:r>
        <w:rPr>
          <w:rFonts w:eastAsiaTheme="minorEastAsia"/>
        </w:rPr>
        <w:fldChar w:fldCharType="end"/>
      </w:r>
      <w:r>
        <w:rPr>
          <w:rFonts w:eastAsiaTheme="minorEastAsia"/>
        </w:rPr>
        <w:fldChar w:fldCharType="end"/>
      </w:r>
    </w:p>
    <w:p w14:paraId="6E9F88FC">
      <w:pPr>
        <w:pStyle w:val="15"/>
        <w:spacing w:line="240" w:lineRule="auto"/>
        <w:jc w:val="center"/>
        <w:rPr>
          <w:rFonts w:eastAsiaTheme="minorEastAsia"/>
          <w:szCs w:val="22"/>
          <w14:ligatures w14:val="standardContextual"/>
        </w:rPr>
      </w:pPr>
      <w:r>
        <w:fldChar w:fldCharType="begin"/>
      </w:r>
      <w:r>
        <w:instrText xml:space="preserve"> HYPERLINK \l "_Toc139613839" </w:instrText>
      </w:r>
      <w:r>
        <w:fldChar w:fldCharType="separate"/>
      </w:r>
      <w:r>
        <w:rPr>
          <w:rStyle w:val="41"/>
          <w:rFonts w:eastAsiaTheme="minorEastAsia"/>
        </w:rPr>
        <w:t>12.1 一般规定</w:t>
      </w:r>
      <w:r>
        <w:rPr>
          <w:rFonts w:eastAsiaTheme="minorEastAsia"/>
        </w:rPr>
        <w:tab/>
      </w:r>
      <w:r>
        <w:rPr>
          <w:rFonts w:eastAsiaTheme="minorEastAsia"/>
        </w:rPr>
        <w:fldChar w:fldCharType="begin"/>
      </w:r>
      <w:r>
        <w:rPr>
          <w:rFonts w:eastAsiaTheme="minorEastAsia"/>
        </w:rPr>
        <w:instrText xml:space="preserve"> PAGEREF _Toc139613839 \h </w:instrText>
      </w:r>
      <w:r>
        <w:rPr>
          <w:rFonts w:eastAsiaTheme="minorEastAsia"/>
        </w:rPr>
        <w:fldChar w:fldCharType="separate"/>
      </w:r>
      <w:r>
        <w:rPr>
          <w:rFonts w:eastAsiaTheme="minorEastAsia"/>
        </w:rPr>
        <w:t>126</w:t>
      </w:r>
      <w:r>
        <w:rPr>
          <w:rFonts w:eastAsiaTheme="minorEastAsia"/>
        </w:rPr>
        <w:fldChar w:fldCharType="end"/>
      </w:r>
      <w:r>
        <w:rPr>
          <w:rFonts w:eastAsiaTheme="minorEastAsia"/>
        </w:rPr>
        <w:fldChar w:fldCharType="end"/>
      </w:r>
    </w:p>
    <w:p w14:paraId="748A01D8">
      <w:pPr>
        <w:widowControl/>
        <w:jc w:val="center"/>
        <w:rPr>
          <w:rFonts w:eastAsiaTheme="minorEastAsia"/>
          <w:b/>
          <w:bCs/>
          <w:sz w:val="26"/>
          <w:szCs w:val="26"/>
        </w:rPr>
      </w:pPr>
      <w:r>
        <w:rPr>
          <w:rFonts w:eastAsiaTheme="minorEastAsia"/>
          <w:b/>
          <w:bCs/>
          <w:highlight w:val="yellow"/>
          <w:lang w:val="zh-CN"/>
        </w:rPr>
        <w:fldChar w:fldCharType="end"/>
      </w:r>
      <w:r>
        <w:rPr>
          <w:rFonts w:eastAsiaTheme="minorEastAsia"/>
          <w:sz w:val="26"/>
          <w:szCs w:val="26"/>
        </w:rPr>
        <w:t xml:space="preserve"> </w:t>
      </w:r>
      <w:r>
        <w:rPr>
          <w:rFonts w:eastAsiaTheme="minorEastAsia"/>
          <w:sz w:val="26"/>
          <w:szCs w:val="26"/>
        </w:rPr>
        <w:br w:type="page"/>
      </w:r>
    </w:p>
    <w:p w14:paraId="42E1D4A5">
      <w:pPr>
        <w:pStyle w:val="5"/>
        <w:keepNext w:val="0"/>
        <w:keepLines w:val="0"/>
        <w:adjustRightInd w:val="0"/>
        <w:snapToGrid w:val="0"/>
        <w:spacing w:before="120" w:beforeLines="50" w:after="240" w:afterLines="100" w:line="288" w:lineRule="auto"/>
        <w:jc w:val="center"/>
        <w:rPr>
          <w:rFonts w:ascii="Times New Roman" w:hAnsi="Times New Roman"/>
          <w:bCs w:val="0"/>
          <w:sz w:val="20"/>
          <w:szCs w:val="20"/>
        </w:rPr>
      </w:pPr>
      <w:bookmarkStart w:id="181" w:name="_Toc139613789"/>
      <w:r>
        <w:rPr>
          <w:rFonts w:ascii="Times New Roman" w:hAnsi="Times New Roman"/>
          <w:sz w:val="26"/>
          <w:szCs w:val="26"/>
        </w:rPr>
        <w:t>1</w:t>
      </w:r>
      <w:r>
        <w:rPr>
          <w:rFonts w:ascii="Times New Roman" w:hAnsi="Times New Roman"/>
          <w:b w:val="0"/>
          <w:sz w:val="26"/>
          <w:szCs w:val="26"/>
        </w:rPr>
        <w:t xml:space="preserve">  总</w:t>
      </w:r>
      <w:r>
        <w:rPr>
          <w:rFonts w:hint="eastAsia" w:ascii="Times New Roman" w:hAnsi="Times New Roman"/>
          <w:b w:val="0"/>
          <w:sz w:val="26"/>
          <w:szCs w:val="26"/>
        </w:rPr>
        <w:t xml:space="preserve">    </w:t>
      </w:r>
      <w:r>
        <w:rPr>
          <w:rFonts w:ascii="Times New Roman" w:hAnsi="Times New Roman"/>
          <w:b w:val="0"/>
          <w:sz w:val="26"/>
          <w:szCs w:val="26"/>
        </w:rPr>
        <w:t>则</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3553D399">
      <w:pPr>
        <w:adjustRightInd w:val="0"/>
        <w:snapToGrid w:val="0"/>
        <w:spacing w:line="288" w:lineRule="auto"/>
        <w:rPr>
          <w:sz w:val="20"/>
          <w:szCs w:val="20"/>
        </w:rPr>
      </w:pPr>
      <w:r>
        <w:rPr>
          <w:rFonts w:eastAsia="黑体"/>
          <w:b/>
          <w:bCs/>
          <w:kern w:val="0"/>
          <w:sz w:val="20"/>
          <w:szCs w:val="20"/>
        </w:rPr>
        <w:t>1.0.1</w:t>
      </w:r>
      <w:r>
        <w:rPr>
          <w:bCs/>
          <w:sz w:val="20"/>
          <w:szCs w:val="20"/>
        </w:rPr>
        <w:t xml:space="preserve">  </w:t>
      </w:r>
      <w:r>
        <w:rPr>
          <w:rFonts w:hAnsi="宋体"/>
          <w:sz w:val="20"/>
          <w:szCs w:val="20"/>
        </w:rPr>
        <w:t>改革开放以来，随着北京城市建设的高速发展，基坑工程向深、大、难方向发展，基坑支护的重要性已愈显突出。同时，由于基坑工程引发的工程安全问题也越来越引起重视。目前，有关基坑支护的标准规范，如国标、行标虽有涉及，有的甚至较为全面，但从北京地区多年的基坑工程实践来看，针对性还不是太强，基坑工程安全事故时有发生，并呈上升趋势。为了使北京地区建筑基坑支护的勘察、设计、施工和监控工作等做到规范化，达到技术先进、经济合理，确保基坑边坡的稳定以及基坑周围建筑物、道路及地下设施的安全，北京市建设委员会于</w:t>
      </w:r>
      <w:r>
        <w:rPr>
          <w:sz w:val="20"/>
          <w:szCs w:val="20"/>
        </w:rPr>
        <w:t>2003</w:t>
      </w:r>
      <w:r>
        <w:rPr>
          <w:rFonts w:hAnsi="宋体"/>
          <w:sz w:val="20"/>
          <w:szCs w:val="20"/>
        </w:rPr>
        <w:t>年组织编制北京市地方标准《建筑基坑支护技术规程》（以下简称《规程》），并于</w:t>
      </w:r>
      <w:r>
        <w:rPr>
          <w:sz w:val="20"/>
          <w:szCs w:val="20"/>
        </w:rPr>
        <w:t>2007</w:t>
      </w:r>
      <w:r>
        <w:rPr>
          <w:rFonts w:hAnsi="宋体"/>
          <w:sz w:val="20"/>
          <w:szCs w:val="20"/>
        </w:rPr>
        <w:t>年正式批准发布并实施。通过</w:t>
      </w:r>
      <w:r>
        <w:rPr>
          <w:rFonts w:hint="eastAsia"/>
          <w:sz w:val="20"/>
          <w:szCs w:val="20"/>
        </w:rPr>
        <w:t>多</w:t>
      </w:r>
      <w:r>
        <w:rPr>
          <w:rFonts w:hAnsi="宋体"/>
          <w:sz w:val="20"/>
          <w:szCs w:val="20"/>
        </w:rPr>
        <w:t>年的工程应用及执行，《规程》确实发挥了技术标准应有的作用，取得了良好的社会与经济效益。但基于近几年北京市深基坑工程技术发展较快，对绿色环保、资源节约理念日趋增强，同时基于《规程》的应用经验，北京市住房和城乡建设委员会于</w:t>
      </w:r>
      <w:r>
        <w:rPr>
          <w:sz w:val="20"/>
          <w:szCs w:val="20"/>
        </w:rPr>
        <w:t>2022</w:t>
      </w:r>
      <w:r>
        <w:rPr>
          <w:rFonts w:hAnsi="宋体"/>
          <w:sz w:val="20"/>
          <w:szCs w:val="20"/>
        </w:rPr>
        <w:t>年正式启动了《规程》的修订工作，形成了本规程。</w:t>
      </w:r>
    </w:p>
    <w:p w14:paraId="584A6A67">
      <w:pPr>
        <w:adjustRightInd w:val="0"/>
        <w:snapToGrid w:val="0"/>
        <w:spacing w:line="288" w:lineRule="auto"/>
        <w:ind w:firstLine="400" w:firstLineChars="200"/>
        <w:rPr>
          <w:sz w:val="20"/>
          <w:szCs w:val="20"/>
        </w:rPr>
      </w:pPr>
      <w:r>
        <w:rPr>
          <w:rFonts w:hAnsi="宋体"/>
          <w:sz w:val="20"/>
          <w:szCs w:val="20"/>
        </w:rPr>
        <w:t>所谓技术先进，就是要求基坑工程的设计和施工要采用先进的技术、先进的设计方法与施工工艺；经济合理，就是指在保障基坑工程安全可靠和适用的条件下，做到造价低廉、省工省时，综合经济效益最好；绿色环保，就是要求基坑工程的设计和施工要注意环境保护，包括工程建设期间的环境、水资源环境等；基坑工程的安全性不仅要保障基坑边坡的稳定，不影响基坑工程及地下结构的施工，同时要保证基坑周围建筑物、道路及地下设施的安全。</w:t>
      </w:r>
    </w:p>
    <w:p w14:paraId="7BE220A4">
      <w:pPr>
        <w:adjustRightInd w:val="0"/>
        <w:snapToGrid w:val="0"/>
        <w:spacing w:line="288" w:lineRule="auto"/>
        <w:rPr>
          <w:sz w:val="20"/>
          <w:szCs w:val="20"/>
        </w:rPr>
      </w:pPr>
      <w:r>
        <w:rPr>
          <w:rFonts w:eastAsia="黑体"/>
          <w:b/>
          <w:bCs/>
          <w:kern w:val="0"/>
          <w:sz w:val="20"/>
          <w:szCs w:val="20"/>
        </w:rPr>
        <w:t xml:space="preserve">1.0.2  </w:t>
      </w:r>
      <w:r>
        <w:rPr>
          <w:rFonts w:hAnsi="宋体"/>
          <w:sz w:val="20"/>
          <w:szCs w:val="20"/>
        </w:rPr>
        <w:t>本条主要阐明本规程的适用范围。对于其他非建筑基坑工程，或本规程未作规定的其他支护方法，并非排除不可使用，仍可参照使用。</w:t>
      </w:r>
    </w:p>
    <w:p w14:paraId="235E1255">
      <w:pPr>
        <w:adjustRightInd w:val="0"/>
        <w:snapToGrid w:val="0"/>
        <w:spacing w:line="288" w:lineRule="auto"/>
        <w:rPr>
          <w:sz w:val="20"/>
          <w:szCs w:val="20"/>
        </w:rPr>
      </w:pPr>
      <w:r>
        <w:rPr>
          <w:rFonts w:eastAsia="黑体"/>
          <w:b/>
          <w:bCs/>
          <w:kern w:val="0"/>
          <w:sz w:val="20"/>
          <w:szCs w:val="20"/>
        </w:rPr>
        <w:t xml:space="preserve">1.0.3  </w:t>
      </w:r>
      <w:r>
        <w:rPr>
          <w:rFonts w:hAnsi="宋体"/>
          <w:sz w:val="20"/>
          <w:szCs w:val="20"/>
        </w:rPr>
        <w:t>本条主要明确了建筑基坑工程应考虑的主要因素及对设计、施工与监控提出总的要求。强调设计与施工应充分了解和掌握与基坑工程有关的资料数据与要求，做到因地制宜、因时制宜。</w:t>
      </w:r>
    </w:p>
    <w:p w14:paraId="340AB7E5">
      <w:pPr>
        <w:adjustRightInd w:val="0"/>
        <w:snapToGrid w:val="0"/>
        <w:spacing w:line="288" w:lineRule="auto"/>
        <w:rPr>
          <w:sz w:val="20"/>
          <w:szCs w:val="20"/>
        </w:rPr>
      </w:pPr>
      <w:r>
        <w:rPr>
          <w:rFonts w:eastAsia="黑体"/>
          <w:b/>
          <w:bCs/>
          <w:kern w:val="0"/>
          <w:sz w:val="20"/>
          <w:szCs w:val="20"/>
        </w:rPr>
        <w:t xml:space="preserve">1.0.4  </w:t>
      </w:r>
      <w:r>
        <w:rPr>
          <w:rFonts w:hAnsi="宋体"/>
          <w:sz w:val="20"/>
          <w:szCs w:val="20"/>
        </w:rPr>
        <w:t>明确在建筑基坑工程中所涉及的内容、在本规程中没有明确规定的，尚应符合现行国家标准和北京地区地方标准的相关规定。在本规程中已经明确的内容虽与国标及北京地区其他标准中相关内容的规定不一致，但与国家工程建设标准强制性条文没有矛盾、或条文强制要求更严的，应照本规程的规定执行。</w:t>
      </w:r>
    </w:p>
    <w:p w14:paraId="1C35371F">
      <w:pPr>
        <w:adjustRightInd w:val="0"/>
        <w:snapToGrid w:val="0"/>
        <w:spacing w:line="288" w:lineRule="auto"/>
        <w:ind w:firstLine="400" w:firstLineChars="200"/>
        <w:rPr>
          <w:sz w:val="20"/>
          <w:szCs w:val="20"/>
        </w:rPr>
      </w:pPr>
      <w:r>
        <w:rPr>
          <w:rFonts w:hAnsi="宋体"/>
          <w:sz w:val="20"/>
          <w:szCs w:val="20"/>
        </w:rPr>
        <w:t>针对现行相关国标、行标及北京地区规范荷载效应及其组合取值不一致的问题，同时考虑建筑基坑支护为临时性构筑物的特点，在符合现行国家标准《建筑地基基础设计规范》</w:t>
      </w:r>
      <w:r>
        <w:rPr>
          <w:sz w:val="20"/>
          <w:szCs w:val="20"/>
        </w:rPr>
        <w:t>GB 50007</w:t>
      </w:r>
      <w:r>
        <w:rPr>
          <w:rFonts w:hAnsi="宋体"/>
          <w:sz w:val="20"/>
          <w:szCs w:val="20"/>
        </w:rPr>
        <w:t>、《建筑结构荷载规范》</w:t>
      </w:r>
      <w:r>
        <w:rPr>
          <w:sz w:val="20"/>
          <w:szCs w:val="20"/>
        </w:rPr>
        <w:t>GB 50009</w:t>
      </w:r>
      <w:r>
        <w:rPr>
          <w:rFonts w:hAnsi="宋体"/>
          <w:sz w:val="20"/>
          <w:szCs w:val="20"/>
        </w:rPr>
        <w:t>、《混凝土结构设计规范》</w:t>
      </w:r>
      <w:r>
        <w:rPr>
          <w:sz w:val="20"/>
          <w:szCs w:val="20"/>
        </w:rPr>
        <w:t>GB 50010</w:t>
      </w:r>
      <w:r>
        <w:rPr>
          <w:rFonts w:hAnsi="宋体"/>
          <w:sz w:val="20"/>
          <w:szCs w:val="20"/>
        </w:rPr>
        <w:t>相关规定的原则下，采用极限状态设计表达式进行设计。除弯矩设计值分项系数根据临时构筑物的特点进行适当调整外，其他均应符合现行国家标准及北京地区规范中的相关规定。执行规定不一致时，从严执行。</w:t>
      </w:r>
    </w:p>
    <w:p w14:paraId="5CAB8109">
      <w:pPr>
        <w:pStyle w:val="5"/>
        <w:keepNext w:val="0"/>
        <w:keepLines w:val="0"/>
        <w:adjustRightInd w:val="0"/>
        <w:snapToGrid w:val="0"/>
        <w:spacing w:before="120" w:beforeLines="50" w:after="240" w:afterLines="100" w:line="288" w:lineRule="auto"/>
        <w:jc w:val="center"/>
        <w:rPr>
          <w:rFonts w:ascii="Times New Roman" w:hAnsi="Times New Roman"/>
          <w:b w:val="0"/>
          <w:sz w:val="20"/>
          <w:szCs w:val="20"/>
        </w:rPr>
      </w:pPr>
      <w:r>
        <w:rPr>
          <w:rFonts w:ascii="Times New Roman" w:hAnsi="Times New Roman"/>
          <w:b w:val="0"/>
          <w:sz w:val="26"/>
          <w:szCs w:val="26"/>
        </w:rPr>
        <w:br w:type="page"/>
      </w:r>
      <w:bookmarkStart w:id="182" w:name="_Toc432232994"/>
      <w:bookmarkStart w:id="183" w:name="_Toc131517232"/>
      <w:bookmarkStart w:id="184" w:name="_Toc437878863"/>
      <w:bookmarkStart w:id="185" w:name="_Toc427573464"/>
      <w:bookmarkStart w:id="186" w:name="_Toc131060579"/>
      <w:bookmarkStart w:id="187" w:name="_Toc428777600"/>
      <w:bookmarkStart w:id="188" w:name="_Toc413756061"/>
      <w:bookmarkStart w:id="189" w:name="_Toc139613790"/>
      <w:bookmarkStart w:id="190" w:name="_Toc417372403"/>
      <w:bookmarkStart w:id="191" w:name="_Toc467515843"/>
      <w:bookmarkStart w:id="192" w:name="_Toc415730026"/>
      <w:bookmarkStart w:id="193" w:name="_Toc468104745"/>
      <w:bookmarkStart w:id="194" w:name="_Toc444180167"/>
      <w:bookmarkStart w:id="195" w:name="_Toc466902386"/>
      <w:r>
        <w:rPr>
          <w:rFonts w:ascii="Times New Roman" w:hAnsi="Times New Roman"/>
          <w:sz w:val="26"/>
          <w:szCs w:val="26"/>
        </w:rPr>
        <w:t>3</w:t>
      </w:r>
      <w:r>
        <w:rPr>
          <w:rFonts w:ascii="Times New Roman" w:hAnsi="Times New Roman"/>
          <w:b w:val="0"/>
          <w:sz w:val="26"/>
          <w:szCs w:val="26"/>
        </w:rPr>
        <w:t xml:space="preserve">  </w:t>
      </w:r>
      <w:r>
        <w:rPr>
          <w:rFonts w:ascii="Times New Roman" w:hAnsi="黑体"/>
          <w:b w:val="0"/>
          <w:sz w:val="26"/>
          <w:szCs w:val="26"/>
        </w:rPr>
        <w:t>基本规定</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Start w:id="196" w:name="_Toc437878864"/>
      <w:bookmarkStart w:id="197" w:name="_Toc444180168"/>
      <w:bookmarkStart w:id="198" w:name="_Toc427573465"/>
      <w:bookmarkStart w:id="199" w:name="_Toc409425793"/>
      <w:bookmarkStart w:id="200" w:name="_Toc415730027"/>
      <w:bookmarkStart w:id="201" w:name="_Toc428777601"/>
      <w:bookmarkStart w:id="202" w:name="_Toc432232995"/>
      <w:bookmarkStart w:id="203" w:name="_Toc468104746"/>
      <w:bookmarkStart w:id="204" w:name="_Toc466902387"/>
      <w:bookmarkStart w:id="205" w:name="_Toc413756062"/>
      <w:bookmarkStart w:id="206" w:name="_Toc417372404"/>
      <w:bookmarkStart w:id="207" w:name="_Toc467515844"/>
    </w:p>
    <w:p w14:paraId="36174E51">
      <w:pPr>
        <w:pStyle w:val="7"/>
        <w:keepNext w:val="0"/>
        <w:keepLines w:val="0"/>
        <w:adjustRightInd w:val="0"/>
        <w:snapToGrid w:val="0"/>
        <w:spacing w:before="240" w:beforeLines="100" w:after="240" w:afterLines="100" w:line="288" w:lineRule="auto"/>
        <w:jc w:val="center"/>
        <w:rPr>
          <w:rFonts w:eastAsia="黑体"/>
          <w:b w:val="0"/>
          <w:sz w:val="20"/>
          <w:szCs w:val="20"/>
        </w:rPr>
      </w:pPr>
      <w:bookmarkStart w:id="208" w:name="_Toc131060580"/>
      <w:bookmarkStart w:id="209" w:name="_Toc139613791"/>
      <w:bookmarkStart w:id="210" w:name="_Toc131517233"/>
      <w:r>
        <w:rPr>
          <w:rFonts w:eastAsia="黑体"/>
          <w:sz w:val="20"/>
          <w:szCs w:val="20"/>
        </w:rPr>
        <w:t>3.1</w:t>
      </w:r>
      <w:r>
        <w:rPr>
          <w:rFonts w:eastAsia="黑体"/>
          <w:b w:val="0"/>
          <w:sz w:val="20"/>
          <w:szCs w:val="20"/>
        </w:rPr>
        <w:t xml:space="preserve">  设计原则</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27F1108C">
      <w:pPr>
        <w:adjustRightInd w:val="0"/>
        <w:snapToGrid w:val="0"/>
        <w:spacing w:line="288" w:lineRule="auto"/>
        <w:rPr>
          <w:sz w:val="20"/>
          <w:szCs w:val="20"/>
        </w:rPr>
      </w:pPr>
      <w:r>
        <w:rPr>
          <w:rFonts w:eastAsia="黑体"/>
          <w:b/>
          <w:bCs/>
          <w:kern w:val="0"/>
          <w:sz w:val="20"/>
          <w:szCs w:val="20"/>
        </w:rPr>
        <w:t xml:space="preserve">3.1.1  </w:t>
      </w:r>
      <w:r>
        <w:rPr>
          <w:rFonts w:hAnsi="宋体"/>
          <w:sz w:val="20"/>
          <w:szCs w:val="20"/>
        </w:rPr>
        <w:t>本条明确在基坑支护设计时应明确支护结构的设计使用期限。建筑基坑工程，一般情况下均为临时性构筑物，因而本条明确除有特殊要求或为永久性支护结构，其设计对象均为临时性的，其支护结构的控制目标应保证支护结构安全和正常使用一年。</w:t>
      </w:r>
      <w:r>
        <w:rPr>
          <w:rFonts w:hint="eastAsia" w:hAnsi="宋体"/>
          <w:sz w:val="20"/>
          <w:szCs w:val="20"/>
        </w:rPr>
        <w:t>一般情况下，</w:t>
      </w:r>
      <w:r>
        <w:rPr>
          <w:rFonts w:hAnsi="宋体"/>
          <w:sz w:val="20"/>
          <w:szCs w:val="20"/>
        </w:rPr>
        <w:t>设计使用期限从基坑开挖至设计基底标高起算。并且，本规程所有条款，在没有特别注明时，均应以此为控制目标。</w:t>
      </w:r>
    </w:p>
    <w:p w14:paraId="533FCD68">
      <w:pPr>
        <w:adjustRightInd w:val="0"/>
        <w:snapToGrid w:val="0"/>
        <w:spacing w:line="288" w:lineRule="auto"/>
        <w:rPr>
          <w:sz w:val="20"/>
          <w:szCs w:val="20"/>
        </w:rPr>
      </w:pPr>
      <w:r>
        <w:rPr>
          <w:rFonts w:eastAsia="黑体"/>
          <w:b/>
          <w:bCs/>
          <w:kern w:val="0"/>
          <w:sz w:val="20"/>
          <w:szCs w:val="20"/>
        </w:rPr>
        <w:t xml:space="preserve">3.1.2～3.1.4  </w:t>
      </w:r>
      <w:r>
        <w:rPr>
          <w:rFonts w:hAnsi="宋体"/>
          <w:sz w:val="20"/>
          <w:szCs w:val="20"/>
        </w:rPr>
        <w:t>依据国家标准《工程结构可靠性设计统一标准》</w:t>
      </w:r>
      <w:r>
        <w:rPr>
          <w:sz w:val="20"/>
          <w:szCs w:val="20"/>
        </w:rPr>
        <w:t>GB 50153</w:t>
      </w:r>
      <w:r>
        <w:rPr>
          <w:rFonts w:hAnsi="宋体"/>
          <w:sz w:val="20"/>
          <w:szCs w:val="20"/>
        </w:rPr>
        <w:t>－</w:t>
      </w:r>
      <w:r>
        <w:rPr>
          <w:sz w:val="20"/>
          <w:szCs w:val="20"/>
        </w:rPr>
        <w:t>2008</w:t>
      </w:r>
      <w:r>
        <w:rPr>
          <w:rFonts w:hAnsi="宋体"/>
          <w:sz w:val="20"/>
          <w:szCs w:val="20"/>
        </w:rPr>
        <w:t>并结合基坑工程自身特点，本条对承载能力极限状态与正常使用极限状态在基坑支护中的具体表现形式进行了归类，目的是使工程技术人员能够对各类基坑支护结构的各种破坏形式有一个总体认识，设计时对各种破坏模式和影响正常使用的状态进行控制。</w:t>
      </w:r>
    </w:p>
    <w:p w14:paraId="244EE2EE">
      <w:pPr>
        <w:adjustRightInd w:val="0"/>
        <w:snapToGrid w:val="0"/>
        <w:spacing w:line="288" w:lineRule="auto"/>
        <w:rPr>
          <w:sz w:val="20"/>
          <w:szCs w:val="20"/>
        </w:rPr>
      </w:pPr>
      <w:r>
        <w:rPr>
          <w:rFonts w:eastAsia="黑体"/>
          <w:b/>
          <w:bCs/>
          <w:kern w:val="0"/>
          <w:sz w:val="20"/>
          <w:szCs w:val="20"/>
        </w:rPr>
        <w:t xml:space="preserve">3.1.5  </w:t>
      </w:r>
      <w:r>
        <w:rPr>
          <w:rFonts w:hAnsi="宋体"/>
          <w:sz w:val="20"/>
          <w:szCs w:val="20"/>
        </w:rPr>
        <w:t>支护工程安全等级划分主要是为了在基坑工程设计、施工、监控中根据基坑工程的不同条件及不同情况加以区分其重要性而分别对待。本规程深基坑工程安全等级的划分主要考虑了破坏后果及影响的严重性、基坑深度（小于</w:t>
      </w:r>
      <w:r>
        <w:rPr>
          <w:sz w:val="20"/>
          <w:szCs w:val="20"/>
        </w:rPr>
        <w:t>10m</w:t>
      </w:r>
      <w:r>
        <w:rPr>
          <w:rFonts w:hAnsi="宋体"/>
          <w:sz w:val="20"/>
          <w:szCs w:val="20"/>
        </w:rPr>
        <w:t>、</w:t>
      </w:r>
      <w:r>
        <w:rPr>
          <w:sz w:val="20"/>
          <w:szCs w:val="20"/>
        </w:rPr>
        <w:t>10m</w:t>
      </w:r>
      <w:r>
        <w:rPr>
          <w:rFonts w:hAnsi="宋体"/>
          <w:sz w:val="20"/>
          <w:szCs w:val="20"/>
        </w:rPr>
        <w:t>～</w:t>
      </w:r>
      <w:r>
        <w:rPr>
          <w:sz w:val="20"/>
          <w:szCs w:val="20"/>
        </w:rPr>
        <w:t>15m</w:t>
      </w:r>
      <w:r>
        <w:rPr>
          <w:rFonts w:hAnsi="宋体"/>
          <w:sz w:val="20"/>
          <w:szCs w:val="20"/>
        </w:rPr>
        <w:t>、大于</w:t>
      </w:r>
      <w:r>
        <w:rPr>
          <w:sz w:val="20"/>
          <w:szCs w:val="20"/>
        </w:rPr>
        <w:t>15m</w:t>
      </w:r>
      <w:r>
        <w:rPr>
          <w:rFonts w:hAnsi="宋体"/>
          <w:sz w:val="20"/>
          <w:szCs w:val="20"/>
        </w:rPr>
        <w:t>）、地质条件复杂程度（复杂、比较复杂、简单）、地下水控制对周边的影响程度（影响严重、有一定影响、影响轻微）、拟建建筑基坑边线与邻近既有建筑（构）筑物或重要管线边缘净距与其基础底距离基坑底相对距离比（小于</w:t>
      </w:r>
      <w:r>
        <w:rPr>
          <w:sz w:val="20"/>
          <w:szCs w:val="20"/>
        </w:rPr>
        <w:t>0.5</w:t>
      </w:r>
      <w:r>
        <w:rPr>
          <w:rFonts w:hAnsi="宋体"/>
          <w:sz w:val="20"/>
          <w:szCs w:val="20"/>
        </w:rPr>
        <w:t>、</w:t>
      </w:r>
      <w:r>
        <w:rPr>
          <w:sz w:val="20"/>
          <w:szCs w:val="20"/>
        </w:rPr>
        <w:t>0.5</w:t>
      </w:r>
      <w:r>
        <w:rPr>
          <w:rFonts w:hAnsi="宋体"/>
          <w:sz w:val="20"/>
          <w:szCs w:val="20"/>
        </w:rPr>
        <w:t>～</w:t>
      </w:r>
      <w:r>
        <w:rPr>
          <w:sz w:val="20"/>
          <w:szCs w:val="20"/>
        </w:rPr>
        <w:t>1.0</w:t>
      </w:r>
      <w:r>
        <w:rPr>
          <w:rFonts w:hAnsi="宋体"/>
          <w:sz w:val="20"/>
          <w:szCs w:val="20"/>
        </w:rPr>
        <w:t>、大于</w:t>
      </w:r>
      <w:r>
        <w:rPr>
          <w:sz w:val="20"/>
          <w:szCs w:val="20"/>
        </w:rPr>
        <w:t>1.0</w:t>
      </w:r>
      <w:r>
        <w:rPr>
          <w:rFonts w:hAnsi="宋体"/>
          <w:sz w:val="20"/>
          <w:szCs w:val="20"/>
        </w:rPr>
        <w:t>）等综合确定，并分为三个等级。可根据基坑侧壁不同情况确定的安全等级选用侧壁重要性系数并分别进行基坑各侧壁支护设计。当基坑支护采用内支撑支护形式时，应采用侧壁重要性系数大的进行设计。</w:t>
      </w:r>
      <w:r>
        <w:rPr>
          <w:sz w:val="20"/>
          <w:szCs w:val="20"/>
        </w:rPr>
        <w:t>.</w:t>
      </w:r>
      <w:r>
        <w:rPr>
          <w:rFonts w:hAnsi="宋体"/>
          <w:sz w:val="20"/>
          <w:szCs w:val="20"/>
        </w:rPr>
        <w:t>如果邻近建（构）筑物为价值不高的、待拆除的或临时性的，管线为非重要干线，一旦破坏没有危险且易于修复，尽管离基坑较近，其</w:t>
      </w:r>
      <w:r>
        <w:rPr>
          <w:sz w:val="20"/>
          <w:szCs w:val="20"/>
        </w:rPr>
        <w:t>α</w:t>
      </w:r>
      <w:r>
        <w:rPr>
          <w:rFonts w:hAnsi="宋体"/>
          <w:sz w:val="20"/>
          <w:szCs w:val="20"/>
        </w:rPr>
        <w:t>值可提高一个范围值；但对变形特别敏感的邻近建（构）筑物或重点保护的古建筑物等有特殊要求的建（构）筑物、当基坑侧壁安全等级为二级或三级时，应提高一级安全等级；当基础（包括地基经</w:t>
      </w:r>
      <w:r>
        <w:rPr>
          <w:sz w:val="20"/>
          <w:szCs w:val="20"/>
        </w:rPr>
        <w:t>CFG</w:t>
      </w:r>
      <w:r>
        <w:rPr>
          <w:rFonts w:hAnsi="宋体"/>
          <w:sz w:val="20"/>
          <w:szCs w:val="20"/>
        </w:rPr>
        <w:t>桩复合地基处理）或桩基础桩端埋深大于基坑开挖深度时，由于情况较为复杂，应根据基础距基坑底的相对距离、附加荷载大小，桩基础形式（箱筏或独立承台）以及上部结构对变形的敏感程度等因素综合确定</w:t>
      </w:r>
      <w:r>
        <w:rPr>
          <w:sz w:val="20"/>
          <w:szCs w:val="20"/>
        </w:rPr>
        <w:t>α</w:t>
      </w:r>
      <w:r>
        <w:rPr>
          <w:rFonts w:hAnsi="宋体"/>
          <w:sz w:val="20"/>
          <w:szCs w:val="20"/>
        </w:rPr>
        <w:t>值范围及安全等级。</w:t>
      </w:r>
    </w:p>
    <w:p w14:paraId="5A3F42EC">
      <w:pPr>
        <w:adjustRightInd w:val="0"/>
        <w:snapToGrid w:val="0"/>
        <w:spacing w:line="288" w:lineRule="auto"/>
        <w:jc w:val="center"/>
        <w:rPr>
          <w:kern w:val="0"/>
          <w:sz w:val="20"/>
          <w:szCs w:val="20"/>
        </w:rPr>
      </w:pPr>
      <w:r>
        <w:rPr>
          <w:kern w:val="0"/>
          <w:sz w:val="20"/>
          <w:szCs w:val="20"/>
        </w:rPr>
        <w:drawing>
          <wp:inline distT="0" distB="0" distL="0" distR="0">
            <wp:extent cx="2743200" cy="2343150"/>
            <wp:effectExtent l="0" t="0" r="0" b="0"/>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0" y="0"/>
                      <a:ext cx="2743200" cy="2343150"/>
                    </a:xfrm>
                    <a:prstGeom prst="rect">
                      <a:avLst/>
                    </a:prstGeom>
                    <a:noFill/>
                    <a:ln>
                      <a:noFill/>
                    </a:ln>
                  </pic:spPr>
                </pic:pic>
              </a:graphicData>
            </a:graphic>
          </wp:inline>
        </w:drawing>
      </w:r>
    </w:p>
    <w:p w14:paraId="18AC3D9F">
      <w:pPr>
        <w:adjustRightInd w:val="0"/>
        <w:snapToGrid w:val="0"/>
        <w:spacing w:before="120" w:beforeLines="50" w:after="120" w:afterLines="50" w:line="288" w:lineRule="auto"/>
        <w:jc w:val="center"/>
        <w:rPr>
          <w:b/>
          <w:bCs/>
          <w:sz w:val="18"/>
          <w:szCs w:val="18"/>
        </w:rPr>
      </w:pPr>
      <w:r>
        <w:rPr>
          <w:rFonts w:ascii="宋体" w:hAnsi="宋体"/>
          <w:b/>
          <w:sz w:val="18"/>
          <w:szCs w:val="18"/>
        </w:rPr>
        <w:t>图</w:t>
      </w:r>
      <w:r>
        <w:rPr>
          <w:rFonts w:ascii="宋体" w:hAnsi="宋体"/>
          <w:b/>
          <w:bCs/>
          <w:sz w:val="18"/>
          <w:szCs w:val="18"/>
        </w:rPr>
        <w:t>3.1.5</w:t>
      </w:r>
      <w:r>
        <w:rPr>
          <w:rFonts w:ascii="宋体" w:hAnsi="宋体"/>
          <w:b/>
          <w:sz w:val="18"/>
          <w:szCs w:val="18"/>
        </w:rPr>
        <w:t xml:space="preserve">  相邻建筑基础与基坑相对关系示意图</w:t>
      </w:r>
      <w:r>
        <w:rPr>
          <w:b/>
          <w:bCs/>
          <w:sz w:val="18"/>
          <w:szCs w:val="18"/>
        </w:rPr>
        <mc:AlternateContent>
          <mc:Choice Requires="wps">
            <w:drawing>
              <wp:anchor distT="0" distB="0" distL="114300" distR="114300" simplePos="0" relativeHeight="251661312" behindDoc="0" locked="0" layoutInCell="1" allowOverlap="1">
                <wp:simplePos x="0" y="0"/>
                <wp:positionH relativeFrom="column">
                  <wp:posOffset>2461260</wp:posOffset>
                </wp:positionH>
                <wp:positionV relativeFrom="paragraph">
                  <wp:posOffset>3475990</wp:posOffset>
                </wp:positionV>
                <wp:extent cx="114300" cy="198120"/>
                <wp:effectExtent l="4445" t="0" r="0" b="2540"/>
                <wp:wrapNone/>
                <wp:docPr id="1580691269" name="Text Box 20"/>
                <wp:cNvGraphicFramePr/>
                <a:graphic xmlns:a="http://schemas.openxmlformats.org/drawingml/2006/main">
                  <a:graphicData uri="http://schemas.microsoft.com/office/word/2010/wordprocessingShape">
                    <wps:wsp>
                      <wps:cNvSpPr txBox="1">
                        <a:spLocks noChangeArrowheads="1"/>
                      </wps:cNvSpPr>
                      <wps:spPr bwMode="auto">
                        <a:xfrm>
                          <a:off x="0" y="0"/>
                          <a:ext cx="114300" cy="198120"/>
                        </a:xfrm>
                        <a:prstGeom prst="rect">
                          <a:avLst/>
                        </a:prstGeom>
                        <a:noFill/>
                        <a:ln>
                          <a:noFill/>
                        </a:ln>
                      </wps:spPr>
                      <wps:txbx>
                        <w:txbxContent>
                          <w:p w14:paraId="2AC462CA">
                            <w:pPr>
                              <w:rPr>
                                <w:i/>
                                <w:iCs/>
                              </w:rPr>
                            </w:pPr>
                            <w:r>
                              <w:rPr>
                                <w:rFonts w:hint="eastAsia" w:ascii="宋体" w:hAnsi="宋体"/>
                                <w:i/>
                                <w:iCs/>
                              </w:rPr>
                              <w:t>χ</w:t>
                            </w:r>
                          </w:p>
                        </w:txbxContent>
                      </wps:txbx>
                      <wps:bodyPr rot="0" vert="horz" wrap="square" lIns="0" tIns="0" rIns="0" bIns="0" anchor="t" anchorCtr="0" upright="1">
                        <a:noAutofit/>
                      </wps:bodyPr>
                    </wps:wsp>
                  </a:graphicData>
                </a:graphic>
              </wp:anchor>
            </w:drawing>
          </mc:Choice>
          <mc:Fallback>
            <w:pict>
              <v:shape id="Text Box 20" o:spid="_x0000_s1026" o:spt="202" type="#_x0000_t202" style="position:absolute;left:0pt;margin-left:193.8pt;margin-top:273.7pt;height:15.6pt;width:9pt;z-index:251661312;mso-width-relative:page;mso-height-relative:page;" filled="f" stroked="f" coordsize="21600,21600" o:gfxdata="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&#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pTO52gAAAAsBAAAPAAAAAAAAAAEAIAAAACIAAABk&#10;cnMvZG93bnJldi54bWxQSwECFAAUAAAACACHTuJAETUs8wQCAAANBAAADgAAAAAAAAABACAAAAAp&#10;AQAAZHJzL2Uyb0RvYy54bWxQSwUGAAAAAAYABgBZAQAAnwUAAAAA&#10;">
                <v:fill on="f" focussize="0,0"/>
                <v:stroke on="f"/>
                <v:imagedata o:title=""/>
                <o:lock v:ext="edit" aspectratio="f"/>
                <v:textbox inset="0mm,0mm,0mm,0mm">
                  <w:txbxContent>
                    <w:p w14:paraId="2AC462CA">
                      <w:pPr>
                        <w:rPr>
                          <w:i/>
                          <w:iCs/>
                        </w:rPr>
                      </w:pPr>
                      <w:r>
                        <w:rPr>
                          <w:rFonts w:hint="eastAsia" w:ascii="宋体" w:hAnsi="宋体"/>
                          <w:i/>
                          <w:iCs/>
                        </w:rPr>
                        <w:t>χ</w:t>
                      </w:r>
                    </w:p>
                  </w:txbxContent>
                </v:textbox>
              </v:shape>
            </w:pict>
          </mc:Fallback>
        </mc:AlternateContent>
      </w:r>
    </w:p>
    <w:p w14:paraId="6580AAEC">
      <w:pPr>
        <w:adjustRightInd w:val="0"/>
        <w:snapToGrid w:val="0"/>
        <w:spacing w:line="288" w:lineRule="auto"/>
        <w:rPr>
          <w:sz w:val="20"/>
          <w:szCs w:val="20"/>
        </w:rPr>
      </w:pPr>
      <w:r>
        <w:rPr>
          <w:rFonts w:eastAsia="黑体"/>
          <w:b/>
          <w:bCs/>
          <w:kern w:val="0"/>
          <w:sz w:val="20"/>
          <w:szCs w:val="20"/>
        </w:rPr>
        <w:t xml:space="preserve">3.1.6  </w:t>
      </w:r>
      <w:r>
        <w:rPr>
          <w:rFonts w:hAnsi="宋体"/>
          <w:sz w:val="20"/>
          <w:szCs w:val="20"/>
        </w:rPr>
        <w:t>支护结构的重要性系数，遵循</w:t>
      </w:r>
      <w:r>
        <w:rPr>
          <w:rFonts w:hint="eastAsia" w:hAnsi="宋体"/>
          <w:sz w:val="20"/>
          <w:szCs w:val="20"/>
        </w:rPr>
        <w:t>现</w:t>
      </w:r>
      <w:r>
        <w:rPr>
          <w:rFonts w:hAnsi="宋体"/>
          <w:sz w:val="20"/>
          <w:szCs w:val="20"/>
        </w:rPr>
        <w:t>行国家标准《工程结构可靠性设计统一标准》</w:t>
      </w:r>
      <w:r>
        <w:rPr>
          <w:sz w:val="20"/>
          <w:szCs w:val="20"/>
        </w:rPr>
        <w:t>GB 50153</w:t>
      </w:r>
      <w:r>
        <w:rPr>
          <w:rFonts w:hAnsi="宋体"/>
          <w:sz w:val="20"/>
          <w:szCs w:val="20"/>
        </w:rPr>
        <w:t>的规定，当需要提高安全标准时，支护结构的重要性系数可以根据具体工程的实际情况取大于上述数值。</w:t>
      </w:r>
    </w:p>
    <w:p w14:paraId="14EDA947">
      <w:pPr>
        <w:adjustRightInd w:val="0"/>
        <w:snapToGrid w:val="0"/>
        <w:spacing w:line="288" w:lineRule="auto"/>
        <w:rPr>
          <w:rFonts w:ascii="宋体" w:hAnsi="宋体"/>
          <w:sz w:val="20"/>
          <w:szCs w:val="20"/>
        </w:rPr>
      </w:pPr>
      <w:r>
        <w:rPr>
          <w:rFonts w:eastAsia="黑体"/>
          <w:b/>
          <w:bCs/>
          <w:kern w:val="0"/>
          <w:sz w:val="20"/>
          <w:szCs w:val="20"/>
        </w:rPr>
        <w:t xml:space="preserve">3.1.7 </w:t>
      </w:r>
      <w:r>
        <w:rPr>
          <w:rFonts w:hAnsi="宋体"/>
          <w:sz w:val="20"/>
          <w:szCs w:val="20"/>
        </w:rPr>
        <w:t>本条强调支护结构设计应考虑其结构水平变形、地下水的变</w:t>
      </w:r>
      <w:r>
        <w:rPr>
          <w:rFonts w:hint="eastAsia" w:ascii="宋体" w:hAnsi="宋体"/>
          <w:sz w:val="20"/>
          <w:szCs w:val="20"/>
        </w:rPr>
        <w:t>化对周边环境的影响，从而根据允许的受影响程度确定支护结构的水平变形控制限值。其限值应满足正常使用要求或根据工程经验确定。当无明确的设计要求及工程经验值时，根据北京地区经验，可按推荐值进行控制。</w:t>
      </w:r>
    </w:p>
    <w:p w14:paraId="58DD365D">
      <w:pPr>
        <w:adjustRightInd w:val="0"/>
        <w:snapToGrid w:val="0"/>
        <w:spacing w:line="288" w:lineRule="auto"/>
        <w:rPr>
          <w:rFonts w:ascii="宋体" w:hAnsi="宋体"/>
          <w:sz w:val="20"/>
          <w:szCs w:val="20"/>
        </w:rPr>
      </w:pPr>
      <w:r>
        <w:rPr>
          <w:rFonts w:eastAsia="黑体"/>
          <w:b/>
          <w:bCs/>
          <w:kern w:val="0"/>
          <w:sz w:val="20"/>
          <w:szCs w:val="20"/>
        </w:rPr>
        <w:t>3.1.</w:t>
      </w:r>
      <w:r>
        <w:rPr>
          <w:rFonts w:hint="eastAsia" w:eastAsia="黑体"/>
          <w:b/>
          <w:bCs/>
          <w:kern w:val="0"/>
          <w:sz w:val="20"/>
          <w:szCs w:val="20"/>
        </w:rPr>
        <w:t>8</w:t>
      </w:r>
      <w:r>
        <w:rPr>
          <w:rFonts w:eastAsia="黑体"/>
          <w:b/>
          <w:bCs/>
          <w:kern w:val="0"/>
          <w:sz w:val="20"/>
          <w:szCs w:val="20"/>
        </w:rPr>
        <w:t xml:space="preserve"> </w:t>
      </w:r>
      <w:r>
        <w:rPr>
          <w:rFonts w:hint="eastAsia" w:eastAsia="黑体"/>
          <w:b/>
          <w:bCs/>
          <w:kern w:val="0"/>
          <w:sz w:val="20"/>
          <w:szCs w:val="20"/>
        </w:rPr>
        <w:t xml:space="preserve"> </w:t>
      </w:r>
      <w:r>
        <w:rPr>
          <w:rFonts w:hint="eastAsia" w:ascii="宋体" w:hAnsi="宋体"/>
          <w:sz w:val="20"/>
          <w:szCs w:val="20"/>
        </w:rPr>
        <w:t>本条强调了地下水控制的原则，包括在施工期间的地表、地下水控制原则。特别强调了降水设计应以对地下水资源和环境影响最小为原则，符合可持续发展、保护地下水资源的国策。</w:t>
      </w:r>
    </w:p>
    <w:p w14:paraId="655C177D">
      <w:pPr>
        <w:adjustRightInd w:val="0"/>
        <w:snapToGrid w:val="0"/>
        <w:spacing w:line="288" w:lineRule="auto"/>
        <w:ind w:firstLine="400" w:firstLineChars="200"/>
        <w:rPr>
          <w:rFonts w:ascii="宋体" w:hAnsi="宋体"/>
          <w:bCs/>
          <w:sz w:val="20"/>
          <w:szCs w:val="20"/>
        </w:rPr>
      </w:pPr>
      <w:r>
        <w:rPr>
          <w:rFonts w:hint="eastAsia" w:ascii="宋体" w:hAnsi="宋体"/>
          <w:bCs/>
          <w:sz w:val="20"/>
          <w:szCs w:val="20"/>
        </w:rPr>
        <w:t>当场地内有影响基坑施工的地下水时，应根据场地及周边区域的工程地质条件、水文地质条件、周边环境情况和支护结构与基础形式等因素，确定地下水控制方法。其中，降水设计应以对地下水资源和环境影响最小为原则，并应保证降水不致引起周边环境产生过量沉降；截水帷幕应控制不致因渗漏而引起水土流失。当场地周围有地表水径流、排泄或地下管涵渗漏可能引发基坑工程风险时，应及早切断水源并对基坑采取截水、封堵、导流等保护措施。</w:t>
      </w:r>
    </w:p>
    <w:p w14:paraId="73C5E7D0">
      <w:pPr>
        <w:adjustRightInd w:val="0"/>
        <w:snapToGrid w:val="0"/>
        <w:spacing w:line="288" w:lineRule="auto"/>
        <w:rPr>
          <w:rFonts w:ascii="宋体" w:hAnsi="宋体"/>
          <w:sz w:val="20"/>
          <w:szCs w:val="20"/>
        </w:rPr>
      </w:pPr>
      <w:r>
        <w:rPr>
          <w:rFonts w:eastAsia="黑体"/>
          <w:b/>
          <w:bCs/>
          <w:kern w:val="0"/>
          <w:sz w:val="20"/>
          <w:szCs w:val="20"/>
        </w:rPr>
        <w:t>3</w:t>
      </w:r>
      <w:r>
        <w:rPr>
          <w:rFonts w:hint="eastAsia" w:eastAsia="黑体"/>
          <w:b/>
          <w:bCs/>
          <w:kern w:val="0"/>
          <w:sz w:val="20"/>
          <w:szCs w:val="20"/>
        </w:rPr>
        <w:t>.</w:t>
      </w:r>
      <w:r>
        <w:rPr>
          <w:rFonts w:eastAsia="黑体"/>
          <w:b/>
          <w:bCs/>
          <w:kern w:val="0"/>
          <w:sz w:val="20"/>
          <w:szCs w:val="20"/>
        </w:rPr>
        <w:t>1</w:t>
      </w:r>
      <w:r>
        <w:rPr>
          <w:rFonts w:hint="eastAsia" w:eastAsia="黑体"/>
          <w:b/>
          <w:bCs/>
          <w:kern w:val="0"/>
          <w:sz w:val="20"/>
          <w:szCs w:val="20"/>
        </w:rPr>
        <w:t>.</w:t>
      </w:r>
      <w:r>
        <w:rPr>
          <w:rFonts w:eastAsia="黑体"/>
          <w:b/>
          <w:bCs/>
          <w:kern w:val="0"/>
          <w:sz w:val="20"/>
          <w:szCs w:val="20"/>
        </w:rPr>
        <w:t xml:space="preserve">9  </w:t>
      </w:r>
      <w:r>
        <w:rPr>
          <w:rFonts w:hint="eastAsia" w:ascii="宋体" w:hAnsi="宋体"/>
          <w:sz w:val="20"/>
          <w:szCs w:val="20"/>
        </w:rPr>
        <w:t>基坑工程的抗震设计是本规程此次修订新增的内容，主要是针对周边建构筑物的抗震保护问题。基坑工程是否应考虑抗震是一个有争议的问题，一方面，基坑工程作为临时性工程，在1～</w:t>
      </w:r>
      <w:r>
        <w:rPr>
          <w:rFonts w:ascii="宋体" w:hAnsi="宋体"/>
          <w:sz w:val="20"/>
          <w:szCs w:val="20"/>
        </w:rPr>
        <w:t>2</w:t>
      </w:r>
      <w:r>
        <w:rPr>
          <w:rFonts w:hint="eastAsia" w:ascii="宋体" w:hAnsi="宋体"/>
          <w:sz w:val="20"/>
          <w:szCs w:val="20"/>
        </w:rPr>
        <w:t>年的基坑开挖使用期间发生强烈地震是极小概率事件，对于极小概率事件采取工程技术措施，既延长工期，又增加费用；另一方面，基坑工程对其影响范围内的周边建构筑物的抗震能力都有一定程度的削弱，削弱程度大小与基坑和建构筑物的空间位置关系及地层条件等因素相关，对于那些抗震能力受到很大削弱的重要建构筑物，万一碰巧在基坑开挖期间遭遇了强地震发生，如果支护结构没有采取抗震措施，则很可能引发该建构筑物倒塌的灾难性后果。</w:t>
      </w:r>
    </w:p>
    <w:p w14:paraId="040CE1AA">
      <w:pPr>
        <w:adjustRightInd w:val="0"/>
        <w:snapToGrid w:val="0"/>
        <w:spacing w:line="288" w:lineRule="auto"/>
        <w:ind w:firstLine="400" w:firstLineChars="200"/>
        <w:rPr>
          <w:rFonts w:ascii="宋体" w:hAnsi="宋体"/>
          <w:sz w:val="20"/>
          <w:szCs w:val="20"/>
        </w:rPr>
      </w:pPr>
      <w:r>
        <w:rPr>
          <w:rFonts w:hint="eastAsia" w:ascii="宋体" w:hAnsi="宋体"/>
          <w:sz w:val="20"/>
          <w:szCs w:val="20"/>
        </w:rPr>
        <w:t>目前，有关的各个国家和行业标准未明确规定基坑支护结构如何考虑抗震设计，也未提出基坑支护结构不需进行抗震设计。现实工程情况是，罕有基坑工程是按当地抗震设防烈度的要求确定支护结构荷载的。但是，随着我国社会经济发展进入新时代，发展不能以牺牲安全为代价，在规范中明确对那些严重削弱周边重要建构筑物抗震能力的基坑工程采取抗震设计是必要的。本规程将是否需要进行抗震设计限制在一旦支护结构倒塌会造成周边建构筑物倒塌这一判定条件上。</w:t>
      </w:r>
    </w:p>
    <w:p w14:paraId="74E588D1">
      <w:pPr>
        <w:adjustRightInd w:val="0"/>
        <w:snapToGrid w:val="0"/>
        <w:spacing w:line="288" w:lineRule="auto"/>
        <w:ind w:firstLine="400" w:firstLineChars="200"/>
        <w:rPr>
          <w:rFonts w:ascii="宋体" w:hAnsi="宋体"/>
          <w:sz w:val="20"/>
          <w:szCs w:val="20"/>
        </w:rPr>
      </w:pPr>
      <w:r>
        <w:rPr>
          <w:rFonts w:hint="eastAsia" w:ascii="宋体" w:hAnsi="宋体"/>
          <w:sz w:val="20"/>
          <w:szCs w:val="20"/>
        </w:rPr>
        <w:t>基坑周边建构筑物是否会因基坑倒塌而倒塌，要根据周边建构筑物具体的结构形式、结构平面与立面布局、地质条件、建构筑物基础与基坑面的相对位置关系等诸多因素的综合情况进行判断，通过规程条文的一般文字规定难以准确划定。如果采用规程条文的形式决定是否应进行抗震设计，难免搞成一刀切，让本不该多花钱的项目花费巨额资金，或有地震危害风险的项目不做必要预防。由于基坑工程抗震设计是一项新内容，缺少应用经验，且会较大幅度增加基坑工程造价，因此，对于哪类基坑工程需要进行抗震设计的问题，本规程采取通过专门论证确定是否需要进行支护结构抗震设计的方法。同时，为了便于操作、适当控制论证的范围，给出了需要进行专门论证的几个适用条件。这种方法在诸多国标、行标中是一种惯例，适合于情况复杂且重要、难以用规范条文明确规定的情况。</w:t>
      </w:r>
    </w:p>
    <w:p w14:paraId="6DE2E6D0">
      <w:pPr>
        <w:pStyle w:val="2"/>
        <w:ind w:left="0" w:leftChars="0" w:firstLine="0" w:firstLineChars="0"/>
      </w:pPr>
      <w:r>
        <w:rPr>
          <w:rFonts w:eastAsia="黑体"/>
          <w:b/>
          <w:bCs/>
          <w:kern w:val="0"/>
          <w:sz w:val="20"/>
          <w:szCs w:val="20"/>
        </w:rPr>
        <w:t xml:space="preserve">3.1.10 </w:t>
      </w:r>
      <w:r>
        <w:rPr>
          <w:rFonts w:hint="eastAsia" w:ascii="宋体" w:hAnsi="宋体"/>
          <w:sz w:val="20"/>
          <w:szCs w:val="20"/>
        </w:rPr>
        <w:t xml:space="preserve"> 基坑工程的碳排量计算是本规程此次修订新增的内容。碳达峰、碳中和已成为国策，减碳是各行各业的义务。基坑工程中，对于同一个特定条件的基坑往往存在多种支护型式的选择，而每一种支护型式对应不同的碳排放量。本条规定基坑工程在进行方案设计时应当计算碳排放量，且在满足安全要求的前提下，应当选择碳排放量最少的基坑支护设计方案，以达到减碳的目的。</w:t>
      </w:r>
    </w:p>
    <w:p w14:paraId="35F20129">
      <w:pPr>
        <w:adjustRightInd w:val="0"/>
        <w:snapToGrid w:val="0"/>
        <w:spacing w:line="288" w:lineRule="auto"/>
        <w:rPr>
          <w:rFonts w:ascii="宋体" w:hAnsi="宋体"/>
          <w:sz w:val="20"/>
          <w:szCs w:val="20"/>
        </w:rPr>
      </w:pPr>
      <w:r>
        <w:rPr>
          <w:rFonts w:eastAsia="黑体"/>
          <w:b/>
          <w:bCs/>
          <w:kern w:val="0"/>
          <w:sz w:val="20"/>
          <w:szCs w:val="20"/>
        </w:rPr>
        <w:t xml:space="preserve">3.1.11 </w:t>
      </w:r>
      <w:r>
        <w:rPr>
          <w:rFonts w:hint="eastAsia" w:eastAsia="黑体"/>
          <w:b/>
          <w:bCs/>
          <w:kern w:val="0"/>
          <w:sz w:val="20"/>
          <w:szCs w:val="20"/>
        </w:rPr>
        <w:t xml:space="preserve"> </w:t>
      </w:r>
      <w:r>
        <w:rPr>
          <w:rFonts w:hint="eastAsia" w:ascii="宋体" w:hAnsi="宋体"/>
          <w:sz w:val="20"/>
          <w:szCs w:val="20"/>
        </w:rPr>
        <w:t>本条规定了基坑支护设计应进行的计算和验算内容，大致可分为三大类问题：</w:t>
      </w:r>
    </w:p>
    <w:p w14:paraId="0790AF76">
      <w:pPr>
        <w:adjustRightInd w:val="0"/>
        <w:snapToGrid w:val="0"/>
        <w:spacing w:line="288" w:lineRule="auto"/>
        <w:ind w:firstLine="402" w:firstLineChars="200"/>
        <w:rPr>
          <w:rFonts w:ascii="宋体" w:hAnsi="宋体"/>
          <w:sz w:val="20"/>
          <w:szCs w:val="20"/>
        </w:rPr>
      </w:pPr>
      <w:r>
        <w:rPr>
          <w:b/>
          <w:bCs/>
          <w:sz w:val="20"/>
          <w:szCs w:val="20"/>
        </w:rPr>
        <w:t>1</w: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稳定性问题：主要包括本规程正文第</w:t>
      </w:r>
      <w:r>
        <w:rPr>
          <w:sz w:val="20"/>
          <w:szCs w:val="20"/>
        </w:rPr>
        <w:t>3.1.</w:t>
      </w:r>
      <w:r>
        <w:rPr>
          <w:rFonts w:hint="eastAsia"/>
          <w:sz w:val="20"/>
          <w:szCs w:val="20"/>
        </w:rPr>
        <w:t>3</w:t>
      </w:r>
      <w:r>
        <w:rPr>
          <w:rFonts w:hint="eastAsia" w:ascii="宋体" w:hAnsi="宋体"/>
          <w:sz w:val="20"/>
          <w:szCs w:val="20"/>
        </w:rPr>
        <w:t>条中提及的“支护体或土体因土中剪应力达到其抗剪强度而发生滑动、隆起、推移、倾覆、滑移，地下水渗流引起土体渗透破坏”。结构或结构构件丧失稳定而破坏的问题，也出现“稳定”二字，但此“稳定”问题与土的强度与渗透性无关，“稳定性”也不是同一个概念，因此，本规程将结构或结构构件丧失稳定而破坏的问题归于构件的承载力问题。</w:t>
      </w:r>
    </w:p>
    <w:p w14:paraId="5E19DEA3">
      <w:pPr>
        <w:pStyle w:val="27"/>
        <w:adjustRightInd w:val="0"/>
        <w:snapToGrid w:val="0"/>
        <w:spacing w:after="0" w:line="288" w:lineRule="auto"/>
        <w:ind w:left="0" w:leftChars="0" w:firstLine="402" w:firstLineChars="200"/>
        <w:rPr>
          <w:rFonts w:ascii="宋体" w:hAnsi="宋体"/>
          <w:sz w:val="20"/>
          <w:szCs w:val="20"/>
        </w:rPr>
      </w:pPr>
      <w:r>
        <w:rPr>
          <w:b/>
          <w:bCs/>
          <w:sz w:val="20"/>
          <w:szCs w:val="20"/>
        </w:rPr>
        <w:t>2</w:t>
      </w:r>
      <w:r>
        <w:rPr>
          <w:rFonts w:ascii="宋体" w:hAnsi="宋体"/>
          <w:sz w:val="20"/>
          <w:szCs w:val="20"/>
        </w:rPr>
        <w:t xml:space="preserve"> </w:t>
      </w:r>
      <w:r>
        <w:rPr>
          <w:rFonts w:hint="eastAsia" w:ascii="宋体" w:hAnsi="宋体"/>
          <w:sz w:val="20"/>
          <w:szCs w:val="20"/>
        </w:rPr>
        <w:t xml:space="preserve"> 承载力问题：主要包括本规程正文第</w:t>
      </w:r>
      <w:r>
        <w:rPr>
          <w:sz w:val="20"/>
          <w:szCs w:val="20"/>
        </w:rPr>
        <w:t>3.1.</w:t>
      </w:r>
      <w:r>
        <w:rPr>
          <w:rFonts w:hint="eastAsia"/>
          <w:sz w:val="20"/>
          <w:szCs w:val="20"/>
        </w:rPr>
        <w:t>3</w:t>
      </w:r>
      <w:r>
        <w:rPr>
          <w:rFonts w:hint="eastAsia" w:ascii="宋体" w:hAnsi="宋体"/>
          <w:sz w:val="20"/>
          <w:szCs w:val="20"/>
        </w:rPr>
        <w:t>条中提及的“支护结构构件或连接因应力超过材料强度而破坏，或因过度变形而不适于继续承载；支护结构转变为机动体系，支护结构或结构构件丧失稳定”。</w:t>
      </w:r>
    </w:p>
    <w:p w14:paraId="13054BA9">
      <w:pPr>
        <w:pStyle w:val="27"/>
        <w:adjustRightInd w:val="0"/>
        <w:snapToGrid w:val="0"/>
        <w:spacing w:after="0" w:line="288" w:lineRule="auto"/>
        <w:ind w:left="0" w:leftChars="0" w:firstLine="402" w:firstLineChars="200"/>
        <w:rPr>
          <w:rFonts w:ascii="宋体" w:hAnsi="宋体"/>
          <w:sz w:val="20"/>
          <w:szCs w:val="20"/>
        </w:rPr>
      </w:pPr>
      <w:r>
        <w:rPr>
          <w:b/>
          <w:bCs/>
          <w:sz w:val="20"/>
          <w:szCs w:val="20"/>
        </w:rPr>
        <w:t xml:space="preserve">3 </w:t>
      </w:r>
      <w:r>
        <w:rPr>
          <w:rFonts w:hint="eastAsia" w:ascii="宋体" w:hAnsi="宋体"/>
          <w:sz w:val="20"/>
          <w:szCs w:val="20"/>
        </w:rPr>
        <w:t xml:space="preserve"> 变形问题：主要包括本规程正文第</w:t>
      </w:r>
      <w:r>
        <w:rPr>
          <w:sz w:val="20"/>
          <w:szCs w:val="20"/>
        </w:rPr>
        <w:t>3.1.4</w:t>
      </w:r>
      <w:r>
        <w:rPr>
          <w:rFonts w:hint="eastAsia" w:ascii="宋体" w:hAnsi="宋体"/>
          <w:sz w:val="20"/>
          <w:szCs w:val="20"/>
        </w:rPr>
        <w:t>条中提及的“支护结构的变形或地下水的状态已妨碍地下结构施工或影响基坑周边环境的正常使用功能”。</w:t>
      </w:r>
    </w:p>
    <w:p w14:paraId="672FF4B1">
      <w:pPr>
        <w:adjustRightInd w:val="0"/>
        <w:snapToGrid w:val="0"/>
        <w:spacing w:line="288" w:lineRule="auto"/>
        <w:rPr>
          <w:rFonts w:ascii="宋体" w:hAnsi="宋体"/>
          <w:sz w:val="20"/>
          <w:szCs w:val="20"/>
        </w:rPr>
      </w:pPr>
      <w:r>
        <w:rPr>
          <w:b/>
          <w:bCs/>
          <w:kern w:val="0"/>
          <w:sz w:val="20"/>
          <w:szCs w:val="20"/>
        </w:rPr>
        <w:t>3.1.12</w:t>
      </w:r>
      <w:r>
        <w:rPr>
          <w:rFonts w:ascii="宋体" w:hAnsi="宋体"/>
          <w:sz w:val="20"/>
          <w:szCs w:val="20"/>
        </w:rPr>
        <w:t xml:space="preserve"> </w:t>
      </w:r>
      <w:r>
        <w:rPr>
          <w:rFonts w:hint="eastAsia" w:ascii="宋体" w:hAnsi="宋体"/>
          <w:sz w:val="20"/>
          <w:szCs w:val="20"/>
        </w:rPr>
        <w:t xml:space="preserve"> 本条强调了基坑支护设计、施工所需要的基本资料。基坑周边环境条件是支护结构设计的重要依据之一。城市内的新建建筑物周围通常存在既有建筑物、各种市政地下管线、道路等，而基坑支护的作用主要是保护其周边环境不受损害。同时，基坑周边即有建筑物荷载会增加作用在支护结构上的荷载，支护结构的施工也需要考虑周边建筑物地下室、地下管线、地下构筑物等的影响。实际工程中因对基坑周边环境因素缺乏准确了解或忽视而造成的工程事故经常发生，为了使基坑支护设计具有针对性，应具备基坑周边环境条件的资料，并按这些环境条件进行设计，施工时应防止对其造成损坏。</w:t>
      </w:r>
    </w:p>
    <w:p w14:paraId="71F99021">
      <w:pPr>
        <w:adjustRightInd w:val="0"/>
        <w:snapToGrid w:val="0"/>
        <w:spacing w:line="288" w:lineRule="auto"/>
        <w:rPr>
          <w:rFonts w:ascii="宋体" w:hAnsi="宋体"/>
          <w:sz w:val="20"/>
          <w:szCs w:val="20"/>
        </w:rPr>
      </w:pPr>
      <w:r>
        <w:rPr>
          <w:b/>
          <w:bCs/>
          <w:sz w:val="20"/>
          <w:szCs w:val="20"/>
        </w:rPr>
        <w:t>3.1.</w:t>
      </w:r>
      <w:r>
        <w:rPr>
          <w:rFonts w:hint="eastAsia"/>
          <w:b/>
          <w:bCs/>
          <w:sz w:val="20"/>
          <w:szCs w:val="20"/>
        </w:rPr>
        <w:t>1</w:t>
      </w:r>
      <w:r>
        <w:rPr>
          <w:b/>
          <w:bCs/>
          <w:sz w:val="20"/>
          <w:szCs w:val="20"/>
        </w:rPr>
        <w:t>3</w:t>
      </w:r>
      <w:r>
        <w:rPr>
          <w:rFonts w:ascii="宋体" w:hAnsi="宋体"/>
          <w:sz w:val="20"/>
          <w:szCs w:val="20"/>
        </w:rPr>
        <w:t xml:space="preserve"> </w:t>
      </w:r>
      <w:r>
        <w:rPr>
          <w:rFonts w:hint="eastAsia" w:ascii="宋体" w:hAnsi="宋体"/>
          <w:sz w:val="20"/>
          <w:szCs w:val="20"/>
        </w:rPr>
        <w:t xml:space="preserve"> 本条对各章土压力、土的各种稳定性验算公式中涉及的土的抗剪强度指标的试验方法进行了归纳并作出统一规定。因为土的抗剪强度指标随排水、固结条件及试验方法的不同有多种类型的参数，不同试验方法做出的抗剪强度指标的结果差异很大，计算和验算时不能任意取用，应采用与基坑开挖过程土中孔隙水的排水和应力路径基本一致的试验方法得到的指标。由于各章有关公式很多，在各个公式中一一指明其试验方法和指标类型难免重复累赘，因此，在这里作出统一说明，应用具体章节的公式计算时，应与此对照，防止误用。</w:t>
      </w:r>
    </w:p>
    <w:p w14:paraId="7A2F56C2">
      <w:pPr>
        <w:adjustRightInd w:val="0"/>
        <w:snapToGrid w:val="0"/>
        <w:spacing w:line="288" w:lineRule="auto"/>
        <w:ind w:firstLine="400" w:firstLineChars="200"/>
        <w:rPr>
          <w:rFonts w:ascii="宋体" w:hAnsi="宋体"/>
          <w:sz w:val="20"/>
          <w:szCs w:val="20"/>
        </w:rPr>
      </w:pPr>
      <w:r>
        <w:rPr>
          <w:rFonts w:hint="eastAsia" w:ascii="宋体" w:hAnsi="宋体"/>
          <w:sz w:val="20"/>
          <w:szCs w:val="20"/>
        </w:rPr>
        <w:t>根据土的有效应力原理，理论上对各种土均采用水土分算方法计算土压力更合理，但实际工程应用时，黏性土的孔隙水压力计算问题难以解决，因此对黏性土采用总应力法更为实用，可以通过将土与水作为一体的总应力强度指标反映孔隙水压力的作用。砂土采用水土分算计算土压力是可以做到的，因此本规程对砂土采用水土分算方法。原规程对粉土是按水土合算方法，本规程修订改为黏质粉土用水土合算，砂质粉土用水土分算。</w:t>
      </w:r>
    </w:p>
    <w:p w14:paraId="33413CF3">
      <w:pPr>
        <w:adjustRightInd w:val="0"/>
        <w:snapToGrid w:val="0"/>
        <w:spacing w:line="288" w:lineRule="auto"/>
        <w:ind w:firstLine="400" w:firstLineChars="200"/>
        <w:rPr>
          <w:rFonts w:ascii="宋体" w:hAnsi="宋体"/>
          <w:sz w:val="20"/>
          <w:szCs w:val="20"/>
        </w:rPr>
      </w:pPr>
      <w:r>
        <w:rPr>
          <w:rFonts w:hint="eastAsia" w:ascii="宋体" w:hAnsi="宋体"/>
          <w:sz w:val="20"/>
          <w:szCs w:val="20"/>
        </w:rPr>
        <w:t>根据土力学中有效应力原理，土的抗剪强度与有效应力存在相关关系，也就是说只有有效抗剪强度指标才能真实的反映土的抗剪强度。但在实际工程中，黏性土无法通过计算得到孔隙水压力随基坑开挖过程的变化情况，从而也就难以采用有效应力法计算支护结构的土压力、水压力和进行基坑稳定性分析。从实际情况出发，本条规定在计算土压力与进行土的稳定分析时，黏性土应采用总应力法。采用总应力法时，土的强度指标按排水条件是采用不排水强度指标还是固结不排水强度指标应根据基坑开挖过程的应力路径和实际排水情况确定。由于基坑开挖过程是卸载过程，基坑外侧的土中总应力是小主应力减小，大主应力不增加，基坑内侧的土中竖向总应力减小，同时，黏性土剪切过程可看作是不排水的。因此认为，土压力计算与稳定性分析时，均采用固结快剪较符合实际情况。</w:t>
      </w:r>
    </w:p>
    <w:p w14:paraId="7B165F62">
      <w:pPr>
        <w:adjustRightInd w:val="0"/>
        <w:snapToGrid w:val="0"/>
        <w:spacing w:line="288" w:lineRule="auto"/>
        <w:ind w:firstLine="400" w:firstLineChars="200"/>
        <w:rPr>
          <w:rFonts w:ascii="宋体" w:hAnsi="宋体"/>
          <w:sz w:val="20"/>
          <w:szCs w:val="20"/>
        </w:rPr>
      </w:pPr>
      <w:r>
        <w:rPr>
          <w:rFonts w:hint="eastAsia" w:ascii="宋体" w:hAnsi="宋体"/>
          <w:sz w:val="20"/>
          <w:szCs w:val="20"/>
        </w:rPr>
        <w:t>对于地下水位以下的砂土，可认为剪切过程水能排出而不出现超静水压力。对静止地下水，孔隙水压力可按水头高度计算。所以，采用有效应力方法并取相应的有效强度指标较为符合实际情况，但砂土难以用三轴剪切试验与直接剪切试验得到原状土的抗剪强度指标，要通过其它方法测得。</w:t>
      </w:r>
    </w:p>
    <w:p w14:paraId="4AF97567">
      <w:pPr>
        <w:adjustRightInd w:val="0"/>
        <w:snapToGrid w:val="0"/>
        <w:spacing w:line="288" w:lineRule="auto"/>
        <w:ind w:firstLine="400" w:firstLineChars="200"/>
        <w:rPr>
          <w:rFonts w:ascii="宋体" w:hAnsi="宋体"/>
          <w:sz w:val="20"/>
          <w:szCs w:val="20"/>
        </w:rPr>
      </w:pPr>
      <w:r>
        <w:rPr>
          <w:rFonts w:hint="eastAsia" w:ascii="宋体" w:hAnsi="宋体"/>
          <w:sz w:val="20"/>
          <w:szCs w:val="20"/>
        </w:rPr>
        <w:t>土的抗剪强度指标试验方法有三轴剪切试验与直接剪切试验。理论上讲，用三轴试验更科学合理，但目前大量工程勘察仅提供了直剪剪切试验的抗剪强度指标，致使采用直剪试验强度指标设计计算的基坑工程为数不少，在支护结构设计上积累了丰富的工程经验。从目前岩土工程试验技术的实际发展状况看，直剪试验尚会与三轴试验并存，不会被三轴剪切试验完全取代。同时，相关的勘察规范也未对采用哪种抗剪强度试验方法作出明确规定。因此，为适应目前的现实状况，本规程采用了上述两种试验方法均可选用的处理办法。但从发展的角度，应提倡用三轴剪切试验强度指标，并应与已有成熟工程应用经验的直接剪切试验指标进行对比。目前，在缺少三轴试验强度指标的情况下，用直剪试验强度指标计算土压力和验算土的稳定性是符合北京地区现实情况的。</w:t>
      </w:r>
    </w:p>
    <w:p w14:paraId="7507C93A">
      <w:pPr>
        <w:adjustRightInd w:val="0"/>
        <w:snapToGrid w:val="0"/>
        <w:spacing w:line="288" w:lineRule="auto"/>
        <w:ind w:firstLine="400" w:firstLineChars="200"/>
        <w:rPr>
          <w:rFonts w:ascii="宋体" w:hAnsi="宋体"/>
          <w:sz w:val="20"/>
          <w:szCs w:val="20"/>
        </w:rPr>
      </w:pPr>
      <w:r>
        <w:rPr>
          <w:rFonts w:hint="eastAsia" w:ascii="宋体" w:hAnsi="宋体"/>
          <w:sz w:val="20"/>
          <w:szCs w:val="20"/>
        </w:rPr>
        <w:t>为避免个别工程勘察项目抗剪强度试验数据粗糙对直接取用抗剪强度试验参数所带来的设计不安全或不合理，选取土的抗剪强度指标时，尚需将剪切试验的抗剪强度指标与土的其它室内与原位试验的物理力学参数进行对比分析，判断其试验指标的可靠性，防止误用。当抗剪强度指标与其他物理力学参数的相关性较差，或岩土勘察资料中缺少符合实际基坑开挖条件的试验方法的抗剪强度指标，在有经验时应结合类似工程经验和相邻、相近场地的岩土勘察试验数据并通过可靠的综合分析判断后合理取值，缺少经验时，则应取偏于安全的试验方法得出的抗剪强度指标。</w:t>
      </w:r>
    </w:p>
    <w:p w14:paraId="232F315D">
      <w:pPr>
        <w:adjustRightInd w:val="0"/>
        <w:snapToGrid w:val="0"/>
        <w:spacing w:line="288" w:lineRule="auto"/>
        <w:rPr>
          <w:rFonts w:ascii="宋体" w:hAnsi="宋体"/>
          <w:bCs/>
          <w:sz w:val="20"/>
          <w:szCs w:val="20"/>
        </w:rPr>
      </w:pPr>
      <w:r>
        <w:rPr>
          <w:rFonts w:eastAsia="黑体"/>
          <w:b/>
          <w:bCs/>
          <w:kern w:val="0"/>
          <w:sz w:val="20"/>
          <w:szCs w:val="20"/>
        </w:rPr>
        <w:t xml:space="preserve">3.1.14  </w:t>
      </w:r>
      <w:r>
        <w:rPr>
          <w:rFonts w:hint="eastAsia" w:ascii="宋体" w:hAnsi="宋体"/>
          <w:sz w:val="20"/>
          <w:szCs w:val="20"/>
        </w:rPr>
        <w:t>本条强调了质量检测和施工监控应是设计内容中</w:t>
      </w:r>
      <w:r>
        <w:rPr>
          <w:rFonts w:hint="eastAsia" w:ascii="宋体" w:hAnsi="宋体"/>
          <w:sz w:val="20"/>
          <w:szCs w:val="20"/>
          <w:lang w:eastAsia="zh-CN"/>
        </w:rPr>
        <w:t>不可或缺</w:t>
      </w:r>
      <w:r>
        <w:rPr>
          <w:rFonts w:hint="eastAsia" w:ascii="宋体" w:hAnsi="宋体"/>
          <w:sz w:val="20"/>
          <w:szCs w:val="20"/>
        </w:rPr>
        <w:t>的内容。</w:t>
      </w:r>
      <w:r>
        <w:rPr>
          <w:rFonts w:hint="eastAsia" w:ascii="宋体" w:hAnsi="宋体"/>
          <w:bCs/>
          <w:sz w:val="20"/>
          <w:szCs w:val="20"/>
        </w:rPr>
        <w:t>质量检测是评价基坑工程施工质量的重要手段，有助于防止不合格的分项工程蒙混过关。基坑工程技术标准对质量检测的规定是原则性的，设计需根据工程的具体特点提出有针对性的质量检测要求，以使检测能够真正起到评价工程质量、发现隐患的作用。尤其支护结构中的重要构件或易出现质量问题的构件，质量检测工作需更加重视。如锚杆、土钉等，其施工质量与土层条件、地下水条件、施工工艺、人员素质、管理水平等多种因素有关，哪个环节处理不当均易导致质量缺陷。因此，基坑设计文件应对支护结构、截水结构的质量检测提出明确的要求。</w:t>
      </w:r>
    </w:p>
    <w:p w14:paraId="38DAFE88">
      <w:pPr>
        <w:adjustRightInd w:val="0"/>
        <w:snapToGrid w:val="0"/>
        <w:spacing w:line="288" w:lineRule="auto"/>
        <w:rPr>
          <w:rFonts w:ascii="宋体" w:hAnsi="宋体"/>
          <w:sz w:val="20"/>
          <w:szCs w:val="20"/>
        </w:rPr>
      </w:pPr>
      <w:r>
        <w:rPr>
          <w:rFonts w:eastAsia="黑体"/>
          <w:b/>
          <w:bCs/>
          <w:kern w:val="0"/>
          <w:sz w:val="20"/>
          <w:szCs w:val="20"/>
        </w:rPr>
        <w:t xml:space="preserve">3.1.15  </w:t>
      </w:r>
      <w:r>
        <w:rPr>
          <w:rFonts w:hint="eastAsia" w:ascii="宋体" w:hAnsi="宋体"/>
          <w:sz w:val="20"/>
          <w:szCs w:val="20"/>
        </w:rPr>
        <w:t>本条强调了在基坑工程设计中应确认其计算工况、计算参数等应与实际工程相符，并在确认计算结果的可靠性后方可用于设计。关于土的抗剪强度的可靠性分析，参见本</w:t>
      </w:r>
      <w:r>
        <w:rPr>
          <w:rFonts w:ascii="宋体" w:hAnsi="宋体"/>
          <w:sz w:val="20"/>
          <w:szCs w:val="20"/>
        </w:rPr>
        <w:t>规程</w:t>
      </w:r>
      <w:r>
        <w:rPr>
          <w:rFonts w:hint="eastAsia" w:ascii="宋体" w:hAnsi="宋体"/>
          <w:sz w:val="20"/>
          <w:szCs w:val="20"/>
        </w:rPr>
        <w:t>第</w:t>
      </w:r>
      <w:r>
        <w:rPr>
          <w:sz w:val="20"/>
          <w:szCs w:val="20"/>
        </w:rPr>
        <w:t>3.1.</w:t>
      </w:r>
      <w:r>
        <w:rPr>
          <w:rFonts w:hint="eastAsia"/>
          <w:sz w:val="20"/>
          <w:szCs w:val="20"/>
        </w:rPr>
        <w:t>1</w:t>
      </w:r>
      <w:r>
        <w:rPr>
          <w:sz w:val="20"/>
          <w:szCs w:val="20"/>
        </w:rPr>
        <w:t>3</w:t>
      </w:r>
      <w:r>
        <w:rPr>
          <w:rFonts w:hint="eastAsia" w:ascii="宋体" w:hAnsi="宋体"/>
          <w:sz w:val="20"/>
          <w:szCs w:val="20"/>
        </w:rPr>
        <w:t>条条文说明。关于计算结果的可靠性问题，由于目前基坑工程领域工程技术人员有过分依赖软件的倾向，而目前基坑支护设计计算的商业软件参差不齐，其中有些甚至存在着错漏，设计人员也常发现不同的软件其计算结果不同，这就需要岩土工程师具有一双火眼金睛，根据力学、岩土工程基本理论、工程经验等综合分析判断计算结果的可靠性、合理性。.</w:t>
      </w:r>
    </w:p>
    <w:p w14:paraId="2A0E8271">
      <w:pPr>
        <w:adjustRightInd w:val="0"/>
        <w:snapToGrid w:val="0"/>
        <w:spacing w:line="288" w:lineRule="auto"/>
        <w:rPr>
          <w:sz w:val="20"/>
          <w:szCs w:val="20"/>
        </w:rPr>
      </w:pPr>
      <w:r>
        <w:rPr>
          <w:rFonts w:eastAsia="黑体"/>
          <w:b/>
          <w:bCs/>
          <w:kern w:val="0"/>
          <w:sz w:val="20"/>
          <w:szCs w:val="20"/>
        </w:rPr>
        <w:t>3.1.17</w:t>
      </w:r>
      <w:r>
        <w:rPr>
          <w:b/>
          <w:bCs/>
          <w:sz w:val="20"/>
          <w:szCs w:val="20"/>
        </w:rPr>
        <w:t xml:space="preserve"> </w:t>
      </w:r>
      <w:r>
        <w:rPr>
          <w:rFonts w:ascii="宋体" w:hAnsi="宋体"/>
          <w:sz w:val="20"/>
          <w:szCs w:val="20"/>
        </w:rPr>
        <w:t xml:space="preserve"> </w:t>
      </w:r>
      <w:r>
        <w:rPr>
          <w:rFonts w:hint="eastAsia" w:ascii="宋体" w:hAnsi="宋体"/>
          <w:sz w:val="20"/>
          <w:szCs w:val="20"/>
        </w:rPr>
        <w:t>本条明确了基坑支护设计文件内容应符合的要求。</w:t>
      </w:r>
      <w:bookmarkStart w:id="211" w:name="_Toc428777602"/>
      <w:bookmarkStart w:id="212" w:name="_Toc417372405"/>
      <w:bookmarkStart w:id="213" w:name="_Toc466902388"/>
      <w:bookmarkStart w:id="214" w:name="_Toc467515845"/>
      <w:bookmarkStart w:id="215" w:name="_Toc427573466"/>
      <w:bookmarkStart w:id="216" w:name="_Toc409425794"/>
      <w:bookmarkStart w:id="217" w:name="_Toc437878865"/>
      <w:bookmarkStart w:id="218" w:name="_Toc468104747"/>
      <w:bookmarkStart w:id="219" w:name="_Toc432232996"/>
      <w:bookmarkStart w:id="220" w:name="_Toc415730028"/>
      <w:bookmarkStart w:id="221" w:name="_Toc413756063"/>
      <w:bookmarkStart w:id="222" w:name="_Toc444180169"/>
    </w:p>
    <w:bookmarkEnd w:id="211"/>
    <w:bookmarkEnd w:id="212"/>
    <w:bookmarkEnd w:id="213"/>
    <w:bookmarkEnd w:id="214"/>
    <w:bookmarkEnd w:id="215"/>
    <w:bookmarkEnd w:id="216"/>
    <w:bookmarkEnd w:id="217"/>
    <w:bookmarkEnd w:id="218"/>
    <w:bookmarkEnd w:id="219"/>
    <w:bookmarkEnd w:id="220"/>
    <w:bookmarkEnd w:id="221"/>
    <w:bookmarkEnd w:id="222"/>
    <w:p w14:paraId="1C11F062">
      <w:pPr>
        <w:pStyle w:val="7"/>
        <w:keepNext w:val="0"/>
        <w:keepLines w:val="0"/>
        <w:adjustRightInd w:val="0"/>
        <w:snapToGrid w:val="0"/>
        <w:spacing w:before="240" w:beforeLines="100" w:after="240" w:afterLines="100" w:line="288" w:lineRule="auto"/>
        <w:jc w:val="center"/>
        <w:rPr>
          <w:rFonts w:ascii="宋体" w:hAnsi="宋体"/>
          <w:b w:val="0"/>
          <w:bCs w:val="0"/>
          <w:sz w:val="20"/>
          <w:szCs w:val="20"/>
        </w:rPr>
      </w:pPr>
      <w:bookmarkStart w:id="223" w:name="_Toc437878866"/>
      <w:bookmarkStart w:id="224" w:name="_Toc139613792"/>
      <w:bookmarkStart w:id="225" w:name="_Toc428777603"/>
      <w:bookmarkStart w:id="226" w:name="_Toc131060581"/>
      <w:bookmarkStart w:id="227" w:name="_Toc415730029"/>
      <w:bookmarkStart w:id="228" w:name="_Toc413756064"/>
      <w:bookmarkStart w:id="229" w:name="_Toc468104748"/>
      <w:bookmarkStart w:id="230" w:name="_Toc432232997"/>
      <w:bookmarkStart w:id="231" w:name="_Toc444180170"/>
      <w:bookmarkStart w:id="232" w:name="_Toc427573467"/>
      <w:bookmarkStart w:id="233" w:name="_Toc417372406"/>
      <w:bookmarkStart w:id="234" w:name="_Toc467515846"/>
      <w:bookmarkStart w:id="235" w:name="_Toc131517234"/>
      <w:bookmarkStart w:id="236" w:name="_Toc466902389"/>
      <w:bookmarkStart w:id="237" w:name="_Toc409425795"/>
      <w:r>
        <w:rPr>
          <w:sz w:val="20"/>
          <w:szCs w:val="20"/>
        </w:rPr>
        <w:t xml:space="preserve">3.2  </w:t>
      </w:r>
      <w:r>
        <w:rPr>
          <w:rFonts w:hint="eastAsia" w:ascii="黑体" w:hAnsi="黑体" w:eastAsia="黑体"/>
          <w:b w:val="0"/>
          <w:sz w:val="20"/>
          <w:szCs w:val="20"/>
        </w:rPr>
        <w:t>支护结构选型</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64E717A3">
      <w:pPr>
        <w:adjustRightInd w:val="0"/>
        <w:snapToGrid w:val="0"/>
        <w:spacing w:line="288" w:lineRule="auto"/>
        <w:rPr>
          <w:rFonts w:ascii="宋体" w:hAnsi="宋体"/>
          <w:sz w:val="20"/>
          <w:szCs w:val="20"/>
        </w:rPr>
      </w:pPr>
      <w:r>
        <w:rPr>
          <w:rFonts w:eastAsia="黑体"/>
          <w:b/>
          <w:bCs/>
          <w:kern w:val="0"/>
          <w:sz w:val="20"/>
          <w:szCs w:val="20"/>
        </w:rPr>
        <w:t xml:space="preserve">3.2.1 </w:t>
      </w:r>
      <w:r>
        <w:rPr>
          <w:rFonts w:hint="eastAsia" w:eastAsia="黑体"/>
          <w:b/>
          <w:bCs/>
          <w:kern w:val="0"/>
          <w:sz w:val="20"/>
          <w:szCs w:val="20"/>
        </w:rPr>
        <w:t xml:space="preserve"> </w:t>
      </w:r>
      <w:r>
        <w:rPr>
          <w:rFonts w:hint="eastAsia" w:ascii="宋体" w:hAnsi="宋体"/>
          <w:sz w:val="20"/>
          <w:szCs w:val="20"/>
        </w:rPr>
        <w:t>在本规程中，支挡式结构是由挡土构件和锚杆或支撑组成的一类支护结构体系的统称，其结构类型包括：排桩－锚杆结构、排桩－支撑结构、地下连续墙－锚杆结构、地下连续墙－支撑结构、悬臂式排桩或地下连续墙、双排桩结构等，这类支护结构都可用弹性支点法的计算简图进行结构分析。支挡式结构受力明确，计算方法和工程实践相对成熟，是目前应用最多也较为可靠的支护结构形式。支挡式结构的具体形式应根据本规程第</w:t>
      </w:r>
      <w:r>
        <w:rPr>
          <w:sz w:val="20"/>
          <w:szCs w:val="20"/>
        </w:rPr>
        <w:t>3.2.1</w:t>
      </w:r>
      <w:r>
        <w:rPr>
          <w:rFonts w:hint="eastAsia" w:ascii="宋体" w:hAnsi="宋体"/>
          <w:sz w:val="20"/>
          <w:szCs w:val="20"/>
        </w:rPr>
        <w:t>条适用条件选择。锚拉式支挡结构（排桩－锚杆结构、地下连续墙－锚杆结构）和支撑式支挡结构（排桩－支撑结构、地下连续墙－支撑结构）易于控制其水平变形，挡土构件内力分布均匀，当基坑较深或基坑周边环境对支护结构位移的要求严格时，常采用这种结构形式。悬臂式支挡结构顶部位移较大，内力分布不理想，但可省去锚杆和支撑，当基坑较浅且基坑周边环境对支护结构位移的限制不严格时，可采用悬臂式支挡结构。双排桩支挡结构是一种刚架结构形式，其内力分布特性明显优于悬臂式结构，水平变形也比悬臂式结构小的多，适用的基坑深度比悬臂式结构略大，但占用的场地较大，当不适合采用其他支护结构形式且在场地条件及基坑深度均满足要求的情况下，可采用双排桩支挡结构。</w:t>
      </w:r>
    </w:p>
    <w:p w14:paraId="2549EEC2">
      <w:pPr>
        <w:adjustRightInd w:val="0"/>
        <w:snapToGrid w:val="0"/>
        <w:spacing w:line="288" w:lineRule="auto"/>
        <w:ind w:firstLine="400" w:firstLineChars="200"/>
        <w:rPr>
          <w:rFonts w:ascii="宋体" w:hAnsi="宋体"/>
          <w:sz w:val="20"/>
          <w:szCs w:val="20"/>
        </w:rPr>
      </w:pPr>
      <w:r>
        <w:rPr>
          <w:rFonts w:hint="eastAsia" w:ascii="宋体" w:hAnsi="宋体"/>
          <w:sz w:val="20"/>
          <w:szCs w:val="20"/>
        </w:rPr>
        <w:t>仅从技术角度讲，支撑式支挡结构比锚拉式支挡结构适用范围要宽得多，但内支撑的设置给后期主体结构施工造成很大障碍，所以，当能用其他支护结构形式时，人们一般不愿意首选内支撑结构。锚拉式支挡结构可以给后期主体结构施工提供很大的便利，但有些条件下是不适合使用锚杆的，本条列举了不适合采用锚拉式结构的几种情况。另外，锚杆长期留在地下，给相邻地域的使用和地下空间开发造成障碍，不符合保护环境和可持续发展的要求。</w:t>
      </w:r>
    </w:p>
    <w:p w14:paraId="16656C11">
      <w:pPr>
        <w:adjustRightInd w:val="0"/>
        <w:snapToGrid w:val="0"/>
        <w:spacing w:line="288" w:lineRule="auto"/>
        <w:ind w:firstLine="400" w:firstLineChars="200"/>
        <w:rPr>
          <w:rFonts w:ascii="宋体" w:hAnsi="宋体"/>
          <w:sz w:val="20"/>
          <w:szCs w:val="20"/>
        </w:rPr>
      </w:pPr>
      <w:r>
        <w:rPr>
          <w:rFonts w:hint="eastAsia" w:ascii="宋体" w:hAnsi="宋体"/>
          <w:sz w:val="20"/>
          <w:szCs w:val="20"/>
        </w:rPr>
        <w:t>土钉墙是一种经济、简便、快速、不需大型施工设备的基坑支护形式。曾经一段时期，不管环境条件如何、基坑多深，几乎不受限止的应用土钉墙，甚至土钉墙支护的基坑深度达到</w:t>
      </w:r>
      <w:r>
        <w:rPr>
          <w:sz w:val="20"/>
          <w:szCs w:val="20"/>
        </w:rPr>
        <w:t>18m</w:t>
      </w:r>
      <w:r>
        <w:rPr>
          <w:rFonts w:hint="eastAsia" w:ascii="宋体" w:hAnsi="宋体"/>
          <w:sz w:val="20"/>
          <w:szCs w:val="20"/>
        </w:rPr>
        <w:t>～</w:t>
      </w:r>
      <w:r>
        <w:rPr>
          <w:sz w:val="20"/>
          <w:szCs w:val="20"/>
        </w:rPr>
        <w:t>20m</w:t>
      </w:r>
      <w:r>
        <w:rPr>
          <w:rFonts w:hint="eastAsia" w:ascii="宋体" w:hAnsi="宋体"/>
          <w:sz w:val="20"/>
          <w:szCs w:val="20"/>
        </w:rPr>
        <w:t>。即使基坑周边既有浅基础建筑物很近时，也冒然采用土钉墙。一段时间内，土钉墙支护的基坑工程险情不断、事故频发。土钉墙支护的基坑之所以在基坑坍塌事故中所占比例大，除去施工质量因素外，主要原因之一是在土钉墙的设计理论还不完善的现状下，将常规的经验设计参数用于基坑深度或土质条件超限的基坑工程中。目前的土钉墙设计方法，主要按土钉墙整体滑动稳定性控制，同时对单根土钉抗拔力控制，土钉墙面层及连接按构造设计。土钉墙设计与支挡式结构相比，一些问题尚未解决或没有成熟、统一的认识。如：</w:t>
      </w:r>
      <w:r>
        <w:rPr>
          <w:sz w:val="20"/>
          <w:szCs w:val="20"/>
        </w:rPr>
        <w:t>1</w:t>
      </w:r>
      <w:r>
        <w:rPr>
          <w:rFonts w:hint="eastAsia" w:ascii="宋体" w:hAnsi="宋体"/>
          <w:sz w:val="20"/>
          <w:szCs w:val="20"/>
        </w:rPr>
        <w:t>、土钉墙作为一种结构形式，没有完整的结构分析的实用方法，工作状况下土钉拉力、面层受力没有得到解决。面层设计只能通过构造要求解决，本规程规定了面层构造要求，但限定在深度</w:t>
      </w:r>
      <w:r>
        <w:rPr>
          <w:sz w:val="20"/>
          <w:szCs w:val="20"/>
        </w:rPr>
        <w:t>12m</w:t>
      </w:r>
      <w:r>
        <w:rPr>
          <w:rFonts w:hint="eastAsia" w:ascii="宋体" w:hAnsi="宋体"/>
          <w:sz w:val="20"/>
          <w:szCs w:val="20"/>
        </w:rPr>
        <w:t>以内的非软土、无地下水条件下的基坑。</w:t>
      </w:r>
      <w:r>
        <w:rPr>
          <w:sz w:val="20"/>
          <w:szCs w:val="20"/>
        </w:rPr>
        <w:t>2</w:t>
      </w:r>
      <w:r>
        <w:rPr>
          <w:rFonts w:hint="eastAsia" w:ascii="宋体" w:hAnsi="宋体"/>
          <w:sz w:val="20"/>
          <w:szCs w:val="20"/>
        </w:rPr>
        <w:t>、土钉墙位移计算问题没有得到根本解决。由于国内土钉墙的通常作法是土钉不施加预应力，也只有在基坑有一定变形后土钉才会达到工作状态下的受力水平，因此，理论上土钉墙位移和沉降较大。当基坑周边变形影响范围内有建筑物等时，是不适合采用土钉墙支护的。</w:t>
      </w:r>
    </w:p>
    <w:p w14:paraId="21732A4F">
      <w:pPr>
        <w:adjustRightInd w:val="0"/>
        <w:snapToGrid w:val="0"/>
        <w:spacing w:line="288" w:lineRule="auto"/>
        <w:ind w:firstLine="400" w:firstLineChars="200"/>
        <w:rPr>
          <w:rFonts w:ascii="宋体" w:hAnsi="宋体"/>
          <w:sz w:val="20"/>
          <w:szCs w:val="20"/>
        </w:rPr>
      </w:pPr>
      <w:r>
        <w:rPr>
          <w:rFonts w:hint="eastAsia" w:ascii="宋体" w:hAnsi="宋体"/>
          <w:sz w:val="20"/>
          <w:szCs w:val="20"/>
        </w:rPr>
        <w:t>土钉墙与水泥土桩、微型桩及预应力锚杆组合形成的复合土钉墙，主要有下列几种形式：</w:t>
      </w:r>
      <w:r>
        <w:rPr>
          <w:sz w:val="20"/>
          <w:szCs w:val="20"/>
        </w:rPr>
        <w:t>1</w:t>
      </w:r>
      <w:r>
        <w:rPr>
          <w:rFonts w:hint="eastAsia" w:ascii="宋体" w:hAnsi="宋体"/>
          <w:sz w:val="20"/>
          <w:szCs w:val="20"/>
        </w:rPr>
        <w:t>、土钉墙＋预应力锚杆；</w:t>
      </w:r>
      <w:r>
        <w:rPr>
          <w:sz w:val="20"/>
          <w:szCs w:val="20"/>
        </w:rPr>
        <w:t>2</w:t>
      </w:r>
      <w:r>
        <w:rPr>
          <w:rFonts w:hint="eastAsia" w:ascii="宋体" w:hAnsi="宋体"/>
          <w:sz w:val="20"/>
          <w:szCs w:val="20"/>
        </w:rPr>
        <w:t>、土钉墙＋水泥土桩；</w:t>
      </w:r>
      <w:r>
        <w:rPr>
          <w:sz w:val="20"/>
          <w:szCs w:val="20"/>
        </w:rPr>
        <w:t>3</w:t>
      </w:r>
      <w:r>
        <w:rPr>
          <w:rFonts w:hint="eastAsia" w:ascii="宋体" w:hAnsi="宋体"/>
          <w:sz w:val="20"/>
          <w:szCs w:val="20"/>
        </w:rPr>
        <w:t>、土钉墙＋水泥土桩＋预应力锚杆；</w:t>
      </w:r>
      <w:r>
        <w:rPr>
          <w:sz w:val="20"/>
          <w:szCs w:val="20"/>
        </w:rPr>
        <w:t>4</w:t>
      </w:r>
      <w:r>
        <w:rPr>
          <w:rFonts w:hint="eastAsia" w:ascii="宋体" w:hAnsi="宋体"/>
          <w:sz w:val="20"/>
          <w:szCs w:val="20"/>
        </w:rPr>
        <w:t>、土钉墙＋微型桩＋预应力锚杆；</w:t>
      </w:r>
      <w:r>
        <w:rPr>
          <w:rFonts w:ascii="宋体" w:hAnsi="宋体"/>
          <w:sz w:val="20"/>
          <w:szCs w:val="20"/>
        </w:rPr>
        <w:t>5</w:t>
      </w:r>
      <w:r>
        <w:rPr>
          <w:rFonts w:hint="eastAsia" w:ascii="宋体" w:hAnsi="宋体"/>
          <w:sz w:val="20"/>
          <w:szCs w:val="20"/>
        </w:rPr>
        <w:t>、土钉墙＋水泥土桩＋微型桩＋预应力锚杆。不同的组合形式作用不同，应根据实际工程需要选择。</w:t>
      </w:r>
    </w:p>
    <w:p w14:paraId="136B0EA0">
      <w:pPr>
        <w:adjustRightInd w:val="0"/>
        <w:snapToGrid w:val="0"/>
        <w:spacing w:line="288" w:lineRule="auto"/>
        <w:rPr>
          <w:sz w:val="20"/>
          <w:szCs w:val="20"/>
        </w:rPr>
      </w:pPr>
      <w:r>
        <w:rPr>
          <w:rFonts w:eastAsia="黑体"/>
          <w:b/>
          <w:bCs/>
          <w:kern w:val="0"/>
          <w:sz w:val="20"/>
          <w:szCs w:val="20"/>
        </w:rPr>
        <w:t xml:space="preserve">3.2.2 </w:t>
      </w:r>
      <w:r>
        <w:rPr>
          <w:rFonts w:hint="eastAsia" w:eastAsia="黑体"/>
          <w:b/>
          <w:bCs/>
          <w:kern w:val="0"/>
          <w:sz w:val="20"/>
          <w:szCs w:val="20"/>
        </w:rPr>
        <w:t xml:space="preserve"> </w:t>
      </w:r>
      <w:r>
        <w:rPr>
          <w:rFonts w:hint="eastAsia" w:ascii="宋体" w:hAnsi="宋体"/>
          <w:sz w:val="20"/>
          <w:szCs w:val="20"/>
        </w:rPr>
        <w:t>本条明确在支护结构选型时应考虑结构的空间效应和受力特点，采用有利支护结构材料受力特性的形式，优化设计。</w:t>
      </w:r>
      <w:bookmarkStart w:id="238" w:name="_Toc428777604"/>
      <w:bookmarkStart w:id="239" w:name="_Toc467515847"/>
      <w:bookmarkStart w:id="240" w:name="_Toc413756065"/>
      <w:bookmarkStart w:id="241" w:name="_Toc409425796"/>
      <w:bookmarkStart w:id="242" w:name="_Toc417372407"/>
      <w:bookmarkStart w:id="243" w:name="_Toc437878867"/>
      <w:bookmarkStart w:id="244" w:name="_Toc466902390"/>
      <w:bookmarkStart w:id="245" w:name="_Toc415730030"/>
      <w:bookmarkStart w:id="246" w:name="_Toc427573468"/>
      <w:bookmarkStart w:id="247" w:name="_Toc468104749"/>
      <w:bookmarkStart w:id="248" w:name="_Toc432232998"/>
      <w:bookmarkStart w:id="249" w:name="_Toc444180171"/>
    </w:p>
    <w:p w14:paraId="05DF87FB">
      <w:pPr>
        <w:pStyle w:val="7"/>
        <w:keepNext w:val="0"/>
        <w:keepLines w:val="0"/>
        <w:adjustRightInd w:val="0"/>
        <w:snapToGrid w:val="0"/>
        <w:spacing w:before="240" w:beforeLines="100" w:after="240" w:afterLines="100" w:line="288" w:lineRule="auto"/>
        <w:jc w:val="center"/>
        <w:rPr>
          <w:rFonts w:ascii="宋体" w:hAnsi="宋体"/>
          <w:b w:val="0"/>
          <w:bCs w:val="0"/>
          <w:sz w:val="20"/>
          <w:szCs w:val="20"/>
        </w:rPr>
      </w:pPr>
      <w:bookmarkStart w:id="250" w:name="_Toc139613793"/>
      <w:bookmarkStart w:id="251" w:name="_Toc131517235"/>
      <w:bookmarkStart w:id="252" w:name="_Toc131060582"/>
      <w:r>
        <w:rPr>
          <w:sz w:val="20"/>
          <w:szCs w:val="20"/>
        </w:rPr>
        <w:t xml:space="preserve">3.3  </w:t>
      </w:r>
      <w:r>
        <w:rPr>
          <w:rFonts w:hint="eastAsia" w:ascii="黑体" w:hAnsi="黑体" w:eastAsia="黑体"/>
          <w:b w:val="0"/>
          <w:sz w:val="20"/>
          <w:szCs w:val="20"/>
        </w:rPr>
        <w:t>水平荷载</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64943A85">
      <w:pPr>
        <w:adjustRightInd w:val="0"/>
        <w:snapToGrid w:val="0"/>
        <w:spacing w:line="288" w:lineRule="auto"/>
        <w:rPr>
          <w:rFonts w:ascii="宋体" w:hAnsi="宋体"/>
          <w:sz w:val="20"/>
          <w:szCs w:val="20"/>
        </w:rPr>
      </w:pPr>
      <w:r>
        <w:rPr>
          <w:rFonts w:eastAsia="黑体"/>
          <w:b/>
          <w:bCs/>
          <w:kern w:val="0"/>
          <w:sz w:val="20"/>
          <w:szCs w:val="20"/>
        </w:rPr>
        <w:t xml:space="preserve">3.3.1 </w:t>
      </w:r>
      <w:r>
        <w:rPr>
          <w:rFonts w:hint="eastAsia" w:eastAsia="黑体"/>
          <w:b/>
          <w:bCs/>
          <w:kern w:val="0"/>
          <w:sz w:val="20"/>
          <w:szCs w:val="20"/>
        </w:rPr>
        <w:t xml:space="preserve"> </w:t>
      </w:r>
      <w:r>
        <w:rPr>
          <w:rFonts w:hint="eastAsia" w:ascii="宋体" w:hAnsi="宋体"/>
          <w:sz w:val="20"/>
          <w:szCs w:val="20"/>
        </w:rPr>
        <w:t>针对基坑支护一般为临时性的特点，本条对支护结构设计时，所采用的荷载效应组合作了规定，其中对支护结构整体稳定性计算、支护结构水平位移计算时的荷载效应组合作了特别规定。</w:t>
      </w:r>
    </w:p>
    <w:p w14:paraId="7DFC3FC4">
      <w:pPr>
        <w:adjustRightInd w:val="0"/>
        <w:snapToGrid w:val="0"/>
        <w:spacing w:line="288" w:lineRule="auto"/>
        <w:rPr>
          <w:rFonts w:ascii="宋体" w:hAnsi="宋体"/>
          <w:sz w:val="20"/>
          <w:szCs w:val="20"/>
        </w:rPr>
      </w:pPr>
      <w:r>
        <w:rPr>
          <w:rFonts w:eastAsia="黑体"/>
          <w:b/>
          <w:bCs/>
          <w:kern w:val="0"/>
          <w:sz w:val="20"/>
          <w:szCs w:val="20"/>
        </w:rPr>
        <w:t xml:space="preserve">3.3.2 </w:t>
      </w:r>
      <w:r>
        <w:rPr>
          <w:rFonts w:hint="eastAsia" w:eastAsia="黑体"/>
          <w:b/>
          <w:bCs/>
          <w:kern w:val="0"/>
          <w:sz w:val="20"/>
          <w:szCs w:val="20"/>
        </w:rPr>
        <w:t xml:space="preserve"> </w:t>
      </w:r>
      <w:r>
        <w:rPr>
          <w:rFonts w:hint="eastAsia" w:ascii="宋体" w:hAnsi="宋体"/>
          <w:sz w:val="20"/>
          <w:szCs w:val="20"/>
        </w:rPr>
        <w:t>支护结构作为分析对象时，作用在支护结构上的力或间接作用为荷载。除土体直接作用在支护结构上形成土压力之外，周边建筑物、施工材料、设备、车辆等荷载虽未直接作用在支护结构上，但其作用通过土体传递到支护结构上，也对支护结构上土压力的大小产生影响。土的冻胀、温度变化也会使土压力发生改变。本条列出影响土压力的各种因素，其目的是为了在土压力计算时，要把各种影响因素考虑全。基坑周边建筑物、施工材料、设备、车辆等附加荷载传递到支护结构上的附加竖向应力的计算，本规程第</w:t>
      </w:r>
      <w:r>
        <w:rPr>
          <w:sz w:val="20"/>
          <w:szCs w:val="20"/>
        </w:rPr>
        <w:t>3.3.6</w:t>
      </w:r>
      <w:r>
        <w:rPr>
          <w:rFonts w:hint="eastAsia"/>
          <w:sz w:val="20"/>
          <w:szCs w:val="20"/>
        </w:rPr>
        <w:t>条</w:t>
      </w:r>
      <w:r>
        <w:rPr>
          <w:rFonts w:hint="eastAsia" w:ascii="宋体" w:hAnsi="宋体"/>
          <w:sz w:val="20"/>
          <w:szCs w:val="20"/>
        </w:rPr>
        <w:t>～第</w:t>
      </w:r>
      <w:r>
        <w:rPr>
          <w:sz w:val="20"/>
          <w:szCs w:val="20"/>
        </w:rPr>
        <w:t>3.3.8</w:t>
      </w:r>
      <w:r>
        <w:rPr>
          <w:rFonts w:hint="eastAsia" w:ascii="宋体" w:hAnsi="宋体"/>
          <w:sz w:val="20"/>
          <w:szCs w:val="20"/>
        </w:rPr>
        <w:t>条给出了附加荷载的具体计算公式。</w:t>
      </w:r>
    </w:p>
    <w:p w14:paraId="6E8FA32D">
      <w:pPr>
        <w:adjustRightInd w:val="0"/>
        <w:snapToGrid w:val="0"/>
        <w:spacing w:line="288" w:lineRule="auto"/>
        <w:rPr>
          <w:rFonts w:ascii="宋体" w:hAnsi="宋体"/>
          <w:sz w:val="20"/>
          <w:szCs w:val="20"/>
        </w:rPr>
      </w:pPr>
      <w:r>
        <w:rPr>
          <w:rFonts w:eastAsia="黑体"/>
          <w:b/>
          <w:bCs/>
          <w:kern w:val="0"/>
          <w:sz w:val="20"/>
          <w:szCs w:val="20"/>
        </w:rPr>
        <w:t xml:space="preserve">3.3.3  </w:t>
      </w:r>
      <w:r>
        <w:rPr>
          <w:rFonts w:hint="eastAsia" w:ascii="宋体" w:hAnsi="宋体"/>
          <w:sz w:val="20"/>
          <w:szCs w:val="20"/>
        </w:rPr>
        <w:t>挡土结构物上的土压力计算是个比较复杂的问题，从土力学这门学科的土压力理论上讲，根据不同的计算理论和假定，得出了多种土压力计算方法，其中有代表性的经典理论如朗肯土压力、库仑土压力。由于每种土压力计算方法都有其各自的适用条件与局限性，也就没有一种统一的且普遍适用的土压力计算方法。</w:t>
      </w:r>
    </w:p>
    <w:p w14:paraId="4232EC25">
      <w:pPr>
        <w:adjustRightInd w:val="0"/>
        <w:snapToGrid w:val="0"/>
        <w:spacing w:line="288" w:lineRule="auto"/>
        <w:ind w:firstLine="400" w:firstLineChars="200"/>
        <w:rPr>
          <w:rFonts w:ascii="宋体" w:hAnsi="宋体"/>
          <w:sz w:val="20"/>
          <w:szCs w:val="20"/>
        </w:rPr>
      </w:pPr>
      <w:r>
        <w:rPr>
          <w:rFonts w:hint="eastAsia" w:ascii="宋体" w:hAnsi="宋体"/>
          <w:sz w:val="20"/>
          <w:szCs w:val="20"/>
        </w:rPr>
        <w:t>由于朗肯土压力方法的假定概念明确，与库仑土压力理论相比具有能直接得出土压力的分布，从而适合结构计算的特点，受到工程设计人员的普遍接受。但是，由于朗肯土压力是建立在半无限土体的假定之上，在实际基坑工程中基坑的边界条件有时不符合这一假定，如基坑邻近有建筑物的地下室时，支护结构与地下室之间是有限宽度的土体；再如，对排桩顶面低于自然地面的支护结构，是将桩顶以上土的自重化作均布荷载作用在桩顶平面上，然后再按朗肯公式计算土压力。但是当桩顶位置较低时，将桩顶以上土层的自重折算成荷载后计算的土压力会明显小于这部分土重实际产生的土压力。对于这类基坑边界条件，按朗肯土压力计算会有较大误差。所以，当朗肯土压力方法不能适用时，应考虑采用其它计算方法解决土压力的计算精度问题。</w:t>
      </w:r>
    </w:p>
    <w:p w14:paraId="27ABF5E7">
      <w:pPr>
        <w:adjustRightInd w:val="0"/>
        <w:snapToGrid w:val="0"/>
        <w:spacing w:line="288" w:lineRule="auto"/>
        <w:ind w:firstLine="400" w:firstLineChars="200"/>
        <w:rPr>
          <w:rFonts w:ascii="宋体" w:hAnsi="宋体"/>
          <w:sz w:val="20"/>
          <w:szCs w:val="20"/>
        </w:rPr>
      </w:pPr>
      <w:r>
        <w:rPr>
          <w:rFonts w:hint="eastAsia" w:ascii="宋体" w:hAnsi="宋体"/>
          <w:sz w:val="20"/>
          <w:szCs w:val="20"/>
        </w:rPr>
        <w:t>库仑土压力理论（滑动楔体法）的假定适用范围较广，对上面提到的两种情况，库仑方法能够计算出土压力的合力。但其缺点是如何解决成层土的土压力分布问题。为此，本规程规定在不符合按朗肯土压力计算条件下，可采用库仑方法计算土压力。但库仑方法在考虑墙背摩擦角时计算的被动土压力偏大，不应用于被动土压力的计算。</w:t>
      </w:r>
    </w:p>
    <w:p w14:paraId="4E3DD29F">
      <w:pPr>
        <w:adjustRightInd w:val="0"/>
        <w:snapToGrid w:val="0"/>
        <w:spacing w:line="288" w:lineRule="auto"/>
        <w:ind w:firstLine="400" w:firstLineChars="200"/>
        <w:rPr>
          <w:rFonts w:ascii="宋体" w:hAnsi="宋体"/>
          <w:sz w:val="20"/>
          <w:szCs w:val="20"/>
        </w:rPr>
      </w:pPr>
      <w:r>
        <w:rPr>
          <w:rFonts w:hint="eastAsia" w:ascii="宋体" w:hAnsi="宋体"/>
          <w:sz w:val="20"/>
          <w:szCs w:val="20"/>
        </w:rPr>
        <w:t>考虑结构与土相互作用的土压力计算方法，理论上更科学，从长远考虑该方法应是岩土工程中支挡结构计算技术的一个发展方向。从促进技术发展角度，对先进的计算方法不应加以限制。但是，目前考虑结构与土相互作用的土压力计算方法在工程应用上尚不够成熟，现阶段只有在有经验时才能采用，如方法使用不当反而会弄巧成拙。</w:t>
      </w:r>
    </w:p>
    <w:p w14:paraId="162D09D1">
      <w:pPr>
        <w:adjustRightInd w:val="0"/>
        <w:snapToGrid w:val="0"/>
        <w:spacing w:line="288" w:lineRule="auto"/>
        <w:ind w:firstLine="400" w:firstLineChars="200"/>
        <w:rPr>
          <w:rFonts w:ascii="宋体" w:hAnsi="宋体"/>
          <w:sz w:val="20"/>
          <w:szCs w:val="20"/>
        </w:rPr>
      </w:pPr>
      <w:r>
        <w:rPr>
          <w:rFonts w:hint="eastAsia" w:ascii="宋体" w:hAnsi="宋体"/>
          <w:sz w:val="20"/>
          <w:szCs w:val="20"/>
        </w:rPr>
        <w:t>总之，本规程考虑到适应实际工程特殊情况及土压力计算技术发展的需要，对土压力计算方法适当放宽，但同时对几种计算方法的适用条件也做了原则规定。本规程未采纳一些土力学书中的经验土压力方法。</w:t>
      </w:r>
    </w:p>
    <w:p w14:paraId="098E6978">
      <w:pPr>
        <w:adjustRightInd w:val="0"/>
        <w:snapToGrid w:val="0"/>
        <w:spacing w:line="288" w:lineRule="auto"/>
        <w:ind w:firstLine="400" w:firstLineChars="200"/>
        <w:rPr>
          <w:rFonts w:ascii="宋体" w:hAnsi="宋体"/>
          <w:sz w:val="20"/>
          <w:szCs w:val="20"/>
        </w:rPr>
      </w:pPr>
      <w:r>
        <w:rPr>
          <w:rFonts w:hint="eastAsia" w:ascii="宋体" w:hAnsi="宋体"/>
          <w:sz w:val="20"/>
          <w:szCs w:val="20"/>
        </w:rPr>
        <w:t>本条各公式是朗肯土压力理论的主动、被动土压力计算公式。水土合算与水土分算时，其公式采用不同的形式。</w:t>
      </w:r>
    </w:p>
    <w:p w14:paraId="2161AC77">
      <w:pPr>
        <w:adjustRightInd w:val="0"/>
        <w:snapToGrid w:val="0"/>
        <w:spacing w:line="288" w:lineRule="auto"/>
        <w:rPr>
          <w:rFonts w:ascii="宋体" w:hAnsi="宋体"/>
          <w:sz w:val="20"/>
          <w:szCs w:val="20"/>
        </w:rPr>
      </w:pPr>
      <w:r>
        <w:rPr>
          <w:rFonts w:hint="eastAsia" w:eastAsia="黑体"/>
          <w:b/>
          <w:bCs/>
          <w:kern w:val="0"/>
          <w:sz w:val="20"/>
          <w:szCs w:val="20"/>
        </w:rPr>
        <w:t>3.</w:t>
      </w:r>
      <w:r>
        <w:rPr>
          <w:rFonts w:eastAsia="黑体"/>
          <w:b/>
          <w:bCs/>
          <w:kern w:val="0"/>
          <w:sz w:val="20"/>
          <w:szCs w:val="20"/>
        </w:rPr>
        <w:t>3</w:t>
      </w:r>
      <w:r>
        <w:rPr>
          <w:rFonts w:hint="eastAsia" w:eastAsia="黑体"/>
          <w:b/>
          <w:bCs/>
          <w:kern w:val="0"/>
          <w:sz w:val="20"/>
          <w:szCs w:val="20"/>
        </w:rPr>
        <w:t>.6～3.</w:t>
      </w:r>
      <w:r>
        <w:rPr>
          <w:rFonts w:eastAsia="黑体"/>
          <w:b/>
          <w:bCs/>
          <w:kern w:val="0"/>
          <w:sz w:val="20"/>
          <w:szCs w:val="20"/>
        </w:rPr>
        <w:t>3</w:t>
      </w:r>
      <w:r>
        <w:rPr>
          <w:rFonts w:hint="eastAsia" w:eastAsia="黑体"/>
          <w:b/>
          <w:bCs/>
          <w:kern w:val="0"/>
          <w:sz w:val="20"/>
          <w:szCs w:val="20"/>
        </w:rPr>
        <w:t xml:space="preserve">.8  </w:t>
      </w:r>
      <w:r>
        <w:rPr>
          <w:rFonts w:hint="eastAsia" w:ascii="宋体" w:hAnsi="宋体"/>
          <w:sz w:val="20"/>
          <w:szCs w:val="20"/>
        </w:rPr>
        <w:t>支护结构外侧的附加荷载，包括周边建筑物荷载、地面施工荷载、道路车辆荷载等，会对支护结构土压力产生一定作用，特别是建筑物荷载对支护结构的作用明显。因各种附加竖向荷载对土压力的影响不可忽略，</w:t>
      </w:r>
      <w:r>
        <w:rPr>
          <w:sz w:val="20"/>
          <w:szCs w:val="20"/>
        </w:rPr>
        <w:t>3.3.6</w:t>
      </w:r>
      <w:r>
        <w:rPr>
          <w:rFonts w:hAnsi="宋体"/>
          <w:sz w:val="20"/>
          <w:szCs w:val="20"/>
        </w:rPr>
        <w:t>～</w:t>
      </w:r>
      <w:r>
        <w:rPr>
          <w:sz w:val="20"/>
          <w:szCs w:val="20"/>
        </w:rPr>
        <w:t>3.3.8</w:t>
      </w:r>
      <w:r>
        <w:rPr>
          <w:rFonts w:hint="eastAsia" w:ascii="宋体" w:hAnsi="宋体"/>
          <w:sz w:val="20"/>
          <w:szCs w:val="20"/>
        </w:rPr>
        <w:t>给出了不同几何形状的分布荷载产生的土层附加竖向应力的计算公式。这些计算公式都是简化公式，虽存在一定误差，但基本上能满足工程应用。</w:t>
      </w:r>
    </w:p>
    <w:p w14:paraId="76B65228">
      <w:pPr>
        <w:adjustRightInd w:val="0"/>
        <w:snapToGrid w:val="0"/>
        <w:spacing w:line="288" w:lineRule="auto"/>
        <w:ind w:firstLine="400" w:firstLineChars="200"/>
        <w:rPr>
          <w:rFonts w:ascii="宋体" w:hAnsi="宋体"/>
          <w:sz w:val="20"/>
          <w:szCs w:val="20"/>
        </w:rPr>
      </w:pPr>
      <w:r>
        <w:rPr>
          <w:rFonts w:hint="eastAsia" w:ascii="宋体" w:hAnsi="宋体"/>
          <w:sz w:val="20"/>
          <w:szCs w:val="20"/>
        </w:rPr>
        <w:t>当临近基坑的建筑物基础低于基坑底面时，且外墙距支护结构净距</w:t>
      </w:r>
      <w:r>
        <w:rPr>
          <w:sz w:val="20"/>
          <w:szCs w:val="20"/>
        </w:rPr>
        <w:t xml:space="preserve">b </w:t>
      </w:r>
      <w:r>
        <w:rPr>
          <w:rFonts w:hAnsi="宋体"/>
          <w:sz w:val="20"/>
          <w:szCs w:val="20"/>
        </w:rPr>
        <w:t>小于</w:t>
      </w:r>
      <w:r>
        <w:rPr>
          <w:i/>
          <w:sz w:val="20"/>
          <w:szCs w:val="20"/>
        </w:rPr>
        <w:t>h</w:t>
      </w:r>
      <w:r>
        <w:rPr>
          <w:sz w:val="20"/>
          <w:szCs w:val="20"/>
        </w:rPr>
        <w:t>×tan</w:t>
      </w:r>
      <w:r>
        <w:rPr>
          <w:rFonts w:hAnsi="宋体"/>
          <w:sz w:val="20"/>
          <w:szCs w:val="20"/>
        </w:rPr>
        <w:t>（</w:t>
      </w:r>
      <w:r>
        <w:rPr>
          <w:sz w:val="20"/>
          <w:szCs w:val="20"/>
        </w:rPr>
        <w:t>45°-</w:t>
      </w:r>
      <w:r>
        <w:rPr>
          <w:i/>
          <w:iCs/>
          <w:sz w:val="20"/>
          <w:szCs w:val="20"/>
        </w:rPr>
        <w:t>φ</w:t>
      </w:r>
      <w:r>
        <w:rPr>
          <w:i/>
          <w:iCs/>
          <w:sz w:val="20"/>
          <w:szCs w:val="20"/>
          <w:vertAlign w:val="subscript"/>
        </w:rPr>
        <w:t>k</w:t>
      </w:r>
      <w:r>
        <w:rPr>
          <w:sz w:val="20"/>
          <w:szCs w:val="20"/>
          <w:vertAlign w:val="subscript"/>
        </w:rPr>
        <w:t>/</w:t>
      </w:r>
      <w:r>
        <w:rPr>
          <w:sz w:val="20"/>
          <w:szCs w:val="20"/>
        </w:rPr>
        <w:t>/2</w:t>
      </w:r>
      <w:r>
        <w:rPr>
          <w:rFonts w:hAnsi="宋体"/>
          <w:sz w:val="20"/>
          <w:szCs w:val="20"/>
        </w:rPr>
        <w:t>）</w:t>
      </w:r>
      <w:r>
        <w:rPr>
          <w:rFonts w:hint="eastAsia" w:ascii="宋体" w:hAnsi="宋体"/>
          <w:sz w:val="20"/>
          <w:szCs w:val="20"/>
        </w:rPr>
        <w:t>时，有限宽度土体作用在支护结构上任意点的水平荷载标准值</w:t>
      </w:r>
      <w:r>
        <w:rPr>
          <w:i/>
          <w:iCs/>
          <w:sz w:val="20"/>
          <w:szCs w:val="20"/>
        </w:rPr>
        <w:t>p</w:t>
      </w:r>
      <w:r>
        <w:rPr>
          <w:sz w:val="20"/>
          <w:szCs w:val="20"/>
          <w:vertAlign w:val="subscript"/>
        </w:rPr>
        <w:t>ak</w:t>
      </w:r>
      <w:r>
        <w:rPr>
          <w:rFonts w:hint="eastAsia" w:ascii="宋体" w:hAnsi="宋体"/>
          <w:sz w:val="20"/>
          <w:szCs w:val="20"/>
        </w:rPr>
        <w:t>可按</w:t>
      </w:r>
      <w:r>
        <w:rPr>
          <w:sz w:val="20"/>
          <w:szCs w:val="20"/>
        </w:rPr>
        <w:t>3.3.8</w:t>
      </w:r>
      <w:r>
        <w:rPr>
          <w:rFonts w:hint="eastAsia" w:ascii="宋体" w:hAnsi="宋体"/>
          <w:sz w:val="20"/>
          <w:szCs w:val="20"/>
        </w:rPr>
        <w:t>规定的简化方法计算。简化方法假定土体为刚塑性体、不考虑土体与墙体的摩擦力、基于极限平衡原理推导如下：</w:t>
      </w:r>
    </w:p>
    <w:p w14:paraId="50B1C718">
      <w:pPr>
        <w:autoSpaceDE w:val="0"/>
        <w:autoSpaceDN w:val="0"/>
        <w:adjustRightInd w:val="0"/>
        <w:snapToGrid w:val="0"/>
        <w:spacing w:line="288" w:lineRule="auto"/>
        <w:ind w:firstLine="402" w:firstLineChars="200"/>
        <w:rPr>
          <w:rFonts w:ascii="宋体" w:hAnsi="宋体" w:cs="宋体"/>
          <w:sz w:val="20"/>
          <w:szCs w:val="20"/>
        </w:rPr>
      </w:pPr>
      <w:r>
        <w:rPr>
          <w:rFonts w:hint="eastAsia"/>
          <w:b/>
          <w:bCs/>
          <w:sz w:val="20"/>
          <w:szCs w:val="20"/>
        </w:rPr>
        <w:t>1</w:t>
      </w:r>
      <w:r>
        <w:rPr>
          <w:rFonts w:hint="eastAsia" w:ascii="宋体" w:hAnsi="宋体" w:cs="宋体"/>
          <w:sz w:val="20"/>
          <w:szCs w:val="20"/>
        </w:rPr>
        <w:t>. 计算模型</w:t>
      </w:r>
    </w:p>
    <w:p w14:paraId="31F24046">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当墙背光滑，坡顶水平时，朗肯与库仑土压力理论得到的主动土压力计算时的剪切破坏角均为</w:t>
      </w:r>
      <w:r>
        <w:rPr>
          <w:rFonts w:ascii="宋体" w:hAnsi="宋体"/>
          <w:sz w:val="20"/>
          <w:szCs w:val="20"/>
        </w:rPr>
        <w:object>
          <v:shape id="_x0000_i1127" o:spt="75" type="#_x0000_t75" style="height:15pt;width:57pt;" o:ole="t" filled="f" o:preferrelative="t" stroked="f" coordsize="21600,21600">
            <v:path/>
            <v:fill on="f" focussize="0,0"/>
            <v:stroke on="f" joinstyle="miter"/>
            <v:imagedata r:id="rId225" o:title=""/>
            <o:lock v:ext="edit" aspectratio="t"/>
            <w10:wrap type="none"/>
            <w10:anchorlock/>
          </v:shape>
          <o:OLEObject Type="Embed" ProgID="Equation.DSMT4" ShapeID="_x0000_i1127" DrawAspect="Content" ObjectID="_1468075831" r:id="rId224">
            <o:LockedField>false</o:LockedField>
          </o:OLEObject>
        </w:object>
      </w:r>
      <w:r>
        <w:rPr>
          <w:rFonts w:hint="eastAsia" w:ascii="宋体" w:hAnsi="宋体"/>
          <w:sz w:val="20"/>
          <w:szCs w:val="20"/>
        </w:rPr>
        <w:t>，剪切破坏角是个定值，与深度无关，如图</w:t>
      </w:r>
      <w:r>
        <w:rPr>
          <w:rFonts w:hint="eastAsia"/>
          <w:sz w:val="20"/>
          <w:szCs w:val="20"/>
        </w:rPr>
        <w:t>3.</w:t>
      </w:r>
      <w:r>
        <w:rPr>
          <w:sz w:val="20"/>
          <w:szCs w:val="20"/>
        </w:rPr>
        <w:t>3</w:t>
      </w:r>
      <w:r>
        <w:rPr>
          <w:rFonts w:hint="eastAsia"/>
          <w:sz w:val="20"/>
          <w:szCs w:val="20"/>
        </w:rPr>
        <w:t>.8-1</w:t>
      </w:r>
      <w:r>
        <w:rPr>
          <w:rFonts w:hint="eastAsia" w:ascii="宋体" w:hAnsi="宋体"/>
          <w:sz w:val="20"/>
          <w:szCs w:val="20"/>
        </w:rPr>
        <w:t>中</w:t>
      </w:r>
      <w:r>
        <w:rPr>
          <w:rFonts w:hint="eastAsia"/>
          <w:sz w:val="20"/>
          <w:szCs w:val="20"/>
        </w:rPr>
        <w:t>A</w:t>
      </w:r>
      <w:r>
        <w:rPr>
          <w:rFonts w:hint="eastAsia" w:ascii="宋体" w:hAnsi="宋体"/>
          <w:sz w:val="20"/>
          <w:szCs w:val="20"/>
        </w:rPr>
        <w:t>所示。然而，当离基坑侧壁一定距离有已有构筑物存在时，滑动土体的剪切破坏面不能剪穿已有构筑物，此时朗肯与库仑土压力理论中的剪切破坏面不成立，如图</w:t>
      </w:r>
      <w:r>
        <w:rPr>
          <w:rFonts w:hint="eastAsia"/>
          <w:sz w:val="20"/>
          <w:szCs w:val="20"/>
        </w:rPr>
        <w:t>3.</w:t>
      </w:r>
      <w:r>
        <w:rPr>
          <w:sz w:val="20"/>
          <w:szCs w:val="20"/>
        </w:rPr>
        <w:t>3</w:t>
      </w:r>
      <w:r>
        <w:rPr>
          <w:rFonts w:hint="eastAsia"/>
          <w:sz w:val="20"/>
          <w:szCs w:val="20"/>
        </w:rPr>
        <w:t>.8-1</w:t>
      </w:r>
      <w:r>
        <w:rPr>
          <w:rFonts w:hint="eastAsia" w:ascii="宋体" w:hAnsi="宋体"/>
          <w:sz w:val="20"/>
          <w:szCs w:val="20"/>
        </w:rPr>
        <w:t>中</w:t>
      </w:r>
      <w:r>
        <w:rPr>
          <w:rFonts w:hint="eastAsia"/>
          <w:sz w:val="20"/>
          <w:szCs w:val="20"/>
        </w:rPr>
        <w:t>B</w:t>
      </w:r>
      <w:r>
        <w:rPr>
          <w:rFonts w:hint="eastAsia" w:ascii="宋体" w:hAnsi="宋体"/>
          <w:sz w:val="20"/>
          <w:szCs w:val="20"/>
        </w:rPr>
        <w:t>所示。可以看出，由于已有构筑物的存在，使滑动土体不再是经典土压力理论中描述的三角形滑动体，而成为梯形体。因此不能够采用经典的朗肯或库仑土压力理论计算有限土体产生的主动土压力，应采用有限土体土压力的计算方法进行计算。</w:t>
      </w:r>
    </w:p>
    <w:p w14:paraId="5DDF09A6">
      <w:pPr>
        <w:autoSpaceDE w:val="0"/>
        <w:autoSpaceDN w:val="0"/>
        <w:adjustRightInd w:val="0"/>
        <w:snapToGrid w:val="0"/>
        <w:spacing w:line="288" w:lineRule="auto"/>
        <w:jc w:val="center"/>
        <w:textAlignment w:val="center"/>
        <w:rPr>
          <w:rFonts w:ascii="宋体" w:hAnsi="宋体"/>
          <w:sz w:val="20"/>
          <w:szCs w:val="20"/>
        </w:rPr>
      </w:pPr>
      <w:r>
        <w:rPr>
          <w:rFonts w:ascii="宋体" w:hAnsi="宋体"/>
          <w:sz w:val="20"/>
          <w:szCs w:val="20"/>
        </w:rPr>
        <w:drawing>
          <wp:inline distT="0" distB="0" distL="0" distR="0">
            <wp:extent cx="3165475" cy="16281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6">
                      <a:extLst>
                        <a:ext uri="{28A0092B-C50C-407E-A947-70E740481C1C}">
                          <a14:useLocalDpi xmlns:a14="http://schemas.microsoft.com/office/drawing/2010/main" val="0"/>
                        </a:ext>
                      </a:extLst>
                    </a:blip>
                    <a:srcRect t="11534" r="4723" b="8305"/>
                    <a:stretch>
                      <a:fillRect/>
                    </a:stretch>
                  </pic:blipFill>
                  <pic:spPr>
                    <a:xfrm>
                      <a:off x="0" y="0"/>
                      <a:ext cx="3189317" cy="1640147"/>
                    </a:xfrm>
                    <a:prstGeom prst="rect">
                      <a:avLst/>
                    </a:prstGeom>
                    <a:noFill/>
                    <a:ln>
                      <a:noFill/>
                    </a:ln>
                  </pic:spPr>
                </pic:pic>
              </a:graphicData>
            </a:graphic>
          </wp:inline>
        </w:drawing>
      </w:r>
    </w:p>
    <w:p w14:paraId="08BF9082">
      <w:pPr>
        <w:adjustRightInd w:val="0"/>
        <w:snapToGrid w:val="0"/>
        <w:spacing w:before="120" w:beforeLines="50" w:after="120" w:afterLines="50" w:line="288" w:lineRule="auto"/>
        <w:jc w:val="center"/>
        <w:rPr>
          <w:rFonts w:ascii="宋体" w:hAnsi="宋体"/>
          <w:b/>
          <w:sz w:val="18"/>
          <w:szCs w:val="18"/>
        </w:rPr>
      </w:pPr>
      <w:r>
        <w:rPr>
          <w:rFonts w:ascii="宋体" w:hAnsi="宋体"/>
          <w:b/>
          <w:sz w:val="18"/>
          <w:szCs w:val="18"/>
        </w:rPr>
        <w:t>图</w:t>
      </w:r>
      <w:r>
        <w:rPr>
          <w:b/>
          <w:bCs/>
          <w:sz w:val="18"/>
          <w:szCs w:val="18"/>
        </w:rPr>
        <w:t>3.3.8-1</w:t>
      </w:r>
      <w:r>
        <w:rPr>
          <w:rFonts w:ascii="宋体" w:hAnsi="宋体"/>
          <w:b/>
          <w:bCs/>
          <w:sz w:val="18"/>
          <w:szCs w:val="18"/>
        </w:rPr>
        <w:t xml:space="preserve"> </w:t>
      </w:r>
      <w:r>
        <w:rPr>
          <w:rFonts w:ascii="宋体" w:hAnsi="宋体"/>
          <w:b/>
          <w:sz w:val="18"/>
          <w:szCs w:val="18"/>
        </w:rPr>
        <w:t xml:space="preserve"> 破坏模式分析</w:t>
      </w:r>
    </w:p>
    <w:p w14:paraId="53F07AC1">
      <w:pPr>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假设：</w:t>
      </w:r>
      <w:r>
        <w:rPr>
          <w:sz w:val="20"/>
          <w:szCs w:val="20"/>
        </w:rPr>
        <w:t>1</w:t>
      </w:r>
      <w:r>
        <w:rPr>
          <w:rFonts w:hAnsi="宋体"/>
          <w:sz w:val="20"/>
          <w:szCs w:val="20"/>
        </w:rPr>
        <w:t>）</w:t>
      </w:r>
      <w:r>
        <w:rPr>
          <w:rFonts w:hint="eastAsia" w:ascii="宋体" w:hAnsi="宋体"/>
          <w:sz w:val="20"/>
          <w:szCs w:val="20"/>
        </w:rPr>
        <w:t xml:space="preserve"> 土体为刚塑性体，不考虑土体与桩墙之间的摩擦力；</w:t>
      </w:r>
      <w:r>
        <w:rPr>
          <w:sz w:val="20"/>
          <w:szCs w:val="20"/>
        </w:rPr>
        <w:t>2</w:t>
      </w:r>
      <w:r>
        <w:rPr>
          <w:rFonts w:hAnsi="宋体"/>
          <w:sz w:val="20"/>
          <w:szCs w:val="20"/>
        </w:rPr>
        <w:t>）</w:t>
      </w:r>
      <w:r>
        <w:rPr>
          <w:rFonts w:hint="eastAsia" w:ascii="宋体" w:hAnsi="宋体"/>
          <w:sz w:val="20"/>
          <w:szCs w:val="20"/>
        </w:rPr>
        <w:t>已有构筑物埋深大于桩墙埋深。则对于图</w:t>
      </w:r>
      <w:r>
        <w:rPr>
          <w:rFonts w:hint="eastAsia"/>
          <w:sz w:val="20"/>
          <w:szCs w:val="20"/>
        </w:rPr>
        <w:t>3.</w:t>
      </w:r>
      <w:r>
        <w:rPr>
          <w:sz w:val="20"/>
          <w:szCs w:val="20"/>
        </w:rPr>
        <w:t>3</w:t>
      </w:r>
      <w:r>
        <w:rPr>
          <w:rFonts w:hint="eastAsia"/>
          <w:sz w:val="20"/>
          <w:szCs w:val="20"/>
        </w:rPr>
        <w:t>.8-2中B</w:t>
      </w:r>
      <w:r>
        <w:rPr>
          <w:rFonts w:hint="eastAsia" w:ascii="宋体" w:hAnsi="宋体"/>
          <w:sz w:val="20"/>
          <w:szCs w:val="20"/>
        </w:rPr>
        <w:t>所示的有限范围土体的情况，可以建立</w:t>
      </w:r>
      <w:r>
        <w:rPr>
          <w:rFonts w:hint="eastAsia"/>
          <w:sz w:val="20"/>
          <w:szCs w:val="20"/>
        </w:rPr>
        <w:t>图3.</w:t>
      </w:r>
      <w:r>
        <w:rPr>
          <w:sz w:val="20"/>
          <w:szCs w:val="20"/>
        </w:rPr>
        <w:t>3</w:t>
      </w:r>
      <w:r>
        <w:rPr>
          <w:rFonts w:hint="eastAsia"/>
          <w:sz w:val="20"/>
          <w:szCs w:val="20"/>
        </w:rPr>
        <w:t>.8-2</w:t>
      </w:r>
      <w:r>
        <w:rPr>
          <w:rFonts w:hint="eastAsia" w:ascii="宋体" w:hAnsi="宋体"/>
          <w:sz w:val="20"/>
          <w:szCs w:val="20"/>
        </w:rPr>
        <w:t>所示的土体受力计算模型。梯形滑动土体</w:t>
      </w:r>
      <w:r>
        <w:rPr>
          <w:rFonts w:hint="eastAsia"/>
          <w:sz w:val="20"/>
          <w:szCs w:val="20"/>
        </w:rPr>
        <w:t>abcd</w:t>
      </w:r>
      <w:r>
        <w:rPr>
          <w:rFonts w:hint="eastAsia" w:ascii="宋体" w:hAnsi="宋体"/>
          <w:sz w:val="20"/>
          <w:szCs w:val="20"/>
        </w:rPr>
        <w:t>沿滑面</w:t>
      </w:r>
      <w:r>
        <w:rPr>
          <w:rFonts w:hint="eastAsia"/>
          <w:sz w:val="20"/>
          <w:szCs w:val="20"/>
        </w:rPr>
        <w:t>ab</w:t>
      </w:r>
      <w:r>
        <w:rPr>
          <w:rFonts w:hint="eastAsia" w:ascii="宋体" w:hAnsi="宋体"/>
          <w:sz w:val="20"/>
          <w:szCs w:val="20"/>
        </w:rPr>
        <w:t>向下滑动，在重力</w:t>
      </w:r>
      <w:r>
        <w:rPr>
          <w:sz w:val="20"/>
          <w:szCs w:val="20"/>
        </w:rPr>
        <w:object>
          <v:shape id="_x0000_i1128" o:spt="75" type="#_x0000_t75" style="height:10.95pt;width:10.95pt;" o:ole="t" filled="f" o:preferrelative="t" stroked="f" coordsize="21600,21600">
            <v:path/>
            <v:fill on="f" focussize="0,0"/>
            <v:stroke on="f" joinstyle="miter"/>
            <v:imagedata r:id="rId228" o:title=""/>
            <o:lock v:ext="edit" aspectratio="t"/>
            <w10:wrap type="none"/>
            <w10:anchorlock/>
          </v:shape>
          <o:OLEObject Type="Embed" ProgID="Equation.DSMT4" ShapeID="_x0000_i1128" DrawAspect="Content" ObjectID="_1468075832" r:id="rId227">
            <o:LockedField>false</o:LockedField>
          </o:OLEObject>
        </w:object>
      </w:r>
      <w:r>
        <w:rPr>
          <w:rFonts w:hint="eastAsia" w:ascii="宋体" w:hAnsi="宋体"/>
          <w:sz w:val="20"/>
          <w:szCs w:val="20"/>
        </w:rPr>
        <w:t>、桩墙抗力</w:t>
      </w:r>
      <w:r>
        <w:rPr>
          <w:rFonts w:ascii="宋体" w:hAnsi="宋体"/>
          <w:sz w:val="20"/>
          <w:szCs w:val="20"/>
        </w:rPr>
        <w:object>
          <v:shape id="_x0000_i1129" o:spt="75" type="#_x0000_t75" style="height:11.5pt;width:10.95pt;" o:ole="t" filled="f" o:preferrelative="t" stroked="f" coordsize="21600,21600">
            <v:path/>
            <v:fill on="f" focussize="0,0"/>
            <v:stroke on="f" joinstyle="miter"/>
            <v:imagedata r:id="rId230" o:title=""/>
            <o:lock v:ext="edit" aspectratio="t"/>
            <w10:wrap type="none"/>
            <w10:anchorlock/>
          </v:shape>
          <o:OLEObject Type="Embed" ProgID="Equation.DSMT4" ShapeID="_x0000_i1129" DrawAspect="Content" ObjectID="_1468075833" r:id="rId229">
            <o:LockedField>false</o:LockedField>
          </o:OLEObject>
        </w:object>
      </w:r>
      <w:r>
        <w:rPr>
          <w:rFonts w:hint="eastAsia" w:ascii="宋体" w:hAnsi="宋体"/>
          <w:sz w:val="20"/>
          <w:szCs w:val="20"/>
        </w:rPr>
        <w:t>、下部不动土体反力</w:t>
      </w:r>
      <w:r>
        <w:rPr>
          <w:rFonts w:ascii="宋体" w:hAnsi="宋体"/>
          <w:sz w:val="20"/>
          <w:szCs w:val="20"/>
        </w:rPr>
        <w:object>
          <v:shape id="_x0000_i1130" o:spt="75" type="#_x0000_t75" style="height:10.95pt;width:10.95pt;" o:ole="t" filled="f" o:preferrelative="t" stroked="f" coordsize="21600,21600">
            <v:path/>
            <v:fill on="f" focussize="0,0"/>
            <v:stroke on="f" joinstyle="miter"/>
            <v:imagedata r:id="rId232" o:title=""/>
            <o:lock v:ext="edit" aspectratio="t"/>
            <w10:wrap type="none"/>
            <w10:anchorlock/>
          </v:shape>
          <o:OLEObject Type="Embed" ProgID="Equation.DSMT4" ShapeID="_x0000_i1130" DrawAspect="Content" ObjectID="_1468075834" r:id="rId231">
            <o:LockedField>false</o:LockedField>
          </o:OLEObject>
        </w:object>
      </w:r>
      <w:r>
        <w:rPr>
          <w:rFonts w:hint="eastAsia" w:ascii="宋体" w:hAnsi="宋体"/>
          <w:sz w:val="20"/>
          <w:szCs w:val="20"/>
        </w:rPr>
        <w:t>以及下部土体对上部土体的粘结力</w:t>
      </w:r>
      <w:r>
        <w:rPr>
          <w:rFonts w:ascii="宋体" w:hAnsi="宋体"/>
          <w:sz w:val="20"/>
          <w:szCs w:val="20"/>
        </w:rPr>
        <w:object>
          <v:shape id="_x0000_i1131" o:spt="75" type="#_x0000_t75" style="height:10.95pt;width:10.95pt;" o:ole="t" filled="f" o:preferrelative="t" stroked="f" coordsize="21600,21600">
            <v:path/>
            <v:fill on="f" focussize="0,0"/>
            <v:stroke on="f" joinstyle="miter"/>
            <v:imagedata r:id="rId234" o:title=""/>
            <o:lock v:ext="edit" aspectratio="t"/>
            <w10:wrap type="none"/>
            <w10:anchorlock/>
          </v:shape>
          <o:OLEObject Type="Embed" ProgID="Equation.DSMT4" ShapeID="_x0000_i1131" DrawAspect="Content" ObjectID="_1468075835" r:id="rId233">
            <o:LockedField>false</o:LockedField>
          </o:OLEObject>
        </w:object>
      </w:r>
      <w:r>
        <w:rPr>
          <w:rFonts w:hint="eastAsia" w:ascii="宋体" w:hAnsi="宋体"/>
          <w:sz w:val="20"/>
          <w:szCs w:val="20"/>
        </w:rPr>
        <w:t>作用下，处于极限平衡状态。桩墙抗力</w:t>
      </w:r>
      <w:r>
        <w:rPr>
          <w:rFonts w:ascii="宋体" w:hAnsi="宋体"/>
          <w:sz w:val="20"/>
          <w:szCs w:val="20"/>
        </w:rPr>
        <w:object>
          <v:shape id="_x0000_i1132" o:spt="75" type="#_x0000_t75" style="height:11.5pt;width:10.95pt;" o:ole="t" filled="f" o:preferrelative="t" stroked="f" coordsize="21600,21600">
            <v:path/>
            <v:fill on="f" focussize="0,0"/>
            <v:stroke on="f" joinstyle="miter"/>
            <v:imagedata r:id="rId230" o:title=""/>
            <o:lock v:ext="edit" aspectratio="t"/>
            <w10:wrap type="none"/>
            <w10:anchorlock/>
          </v:shape>
          <o:OLEObject Type="Embed" ProgID="Equation.DSMT4" ShapeID="_x0000_i1132" DrawAspect="Content" ObjectID="_1468075836" r:id="rId235">
            <o:LockedField>false</o:LockedField>
          </o:OLEObject>
        </w:object>
      </w:r>
      <w:r>
        <w:rPr>
          <w:rFonts w:hint="eastAsia" w:ascii="宋体" w:hAnsi="宋体"/>
          <w:sz w:val="20"/>
          <w:szCs w:val="20"/>
        </w:rPr>
        <w:t>与主动土压力大小相等方向相反。</w:t>
      </w:r>
    </w:p>
    <w:p w14:paraId="7D09E5E4">
      <w:pPr>
        <w:autoSpaceDE w:val="0"/>
        <w:autoSpaceDN w:val="0"/>
        <w:adjustRightInd w:val="0"/>
        <w:snapToGrid w:val="0"/>
        <w:spacing w:line="288" w:lineRule="auto"/>
        <w:jc w:val="center"/>
        <w:textAlignment w:val="center"/>
        <w:rPr>
          <w:rFonts w:ascii="宋体" w:hAnsi="宋体"/>
          <w:sz w:val="20"/>
          <w:szCs w:val="20"/>
        </w:rPr>
      </w:pPr>
      <w:r>
        <w:rPr>
          <w:rFonts w:ascii="宋体" w:hAnsi="宋体"/>
          <w:sz w:val="20"/>
          <w:szCs w:val="20"/>
        </w:rPr>
        <w:drawing>
          <wp:inline distT="0" distB="0" distL="0" distR="0">
            <wp:extent cx="2926715" cy="21831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6">
                      <a:extLst>
                        <a:ext uri="{28A0092B-C50C-407E-A947-70E740481C1C}">
                          <a14:useLocalDpi xmlns:a14="http://schemas.microsoft.com/office/drawing/2010/main" val="0"/>
                        </a:ext>
                      </a:extLst>
                    </a:blip>
                    <a:srcRect l="2956" t="2679"/>
                    <a:stretch>
                      <a:fillRect/>
                    </a:stretch>
                  </pic:blipFill>
                  <pic:spPr>
                    <a:xfrm>
                      <a:off x="0" y="0"/>
                      <a:ext cx="2936123" cy="2190364"/>
                    </a:xfrm>
                    <a:prstGeom prst="rect">
                      <a:avLst/>
                    </a:prstGeom>
                    <a:noFill/>
                    <a:ln>
                      <a:noFill/>
                    </a:ln>
                  </pic:spPr>
                </pic:pic>
              </a:graphicData>
            </a:graphic>
          </wp:inline>
        </w:drawing>
      </w:r>
    </w:p>
    <w:p w14:paraId="0D1676F8">
      <w:pPr>
        <w:adjustRightInd w:val="0"/>
        <w:snapToGrid w:val="0"/>
        <w:spacing w:before="120" w:beforeLines="50" w:after="120" w:afterLines="50" w:line="288" w:lineRule="auto"/>
        <w:jc w:val="center"/>
        <w:rPr>
          <w:rFonts w:ascii="宋体" w:hAnsi="宋体"/>
          <w:b/>
          <w:sz w:val="18"/>
          <w:szCs w:val="18"/>
        </w:rPr>
      </w:pPr>
      <w:r>
        <w:rPr>
          <w:rFonts w:ascii="宋体" w:hAnsi="宋体"/>
          <w:b/>
          <w:sz w:val="18"/>
          <w:szCs w:val="18"/>
        </w:rPr>
        <w:t>图</w:t>
      </w:r>
      <w:r>
        <w:rPr>
          <w:b/>
          <w:sz w:val="18"/>
          <w:szCs w:val="18"/>
        </w:rPr>
        <w:t>3.3.8-2</w:t>
      </w:r>
      <w:r>
        <w:rPr>
          <w:rFonts w:ascii="宋体" w:hAnsi="宋体"/>
          <w:b/>
          <w:sz w:val="18"/>
          <w:szCs w:val="18"/>
        </w:rPr>
        <w:t xml:space="preserve">  主动土压力计算简图</w:t>
      </w:r>
    </w:p>
    <w:p w14:paraId="17A06047">
      <w:pPr>
        <w:autoSpaceDE w:val="0"/>
        <w:autoSpaceDN w:val="0"/>
        <w:adjustRightInd w:val="0"/>
        <w:snapToGrid w:val="0"/>
        <w:spacing w:line="288" w:lineRule="auto"/>
        <w:ind w:firstLine="402" w:firstLineChars="200"/>
        <w:textAlignment w:val="center"/>
        <w:rPr>
          <w:rFonts w:ascii="宋体" w:hAnsi="宋体"/>
          <w:sz w:val="20"/>
          <w:szCs w:val="20"/>
        </w:rPr>
      </w:pPr>
      <w:r>
        <w:rPr>
          <w:b/>
          <w:sz w:val="20"/>
          <w:szCs w:val="20"/>
        </w:rPr>
        <w:t>2．</w:t>
      </w:r>
      <w:r>
        <w:rPr>
          <w:rFonts w:hint="eastAsia" w:ascii="宋体" w:hAnsi="宋体"/>
          <w:sz w:val="20"/>
          <w:szCs w:val="20"/>
        </w:rPr>
        <w:t>基本方程</w:t>
      </w:r>
    </w:p>
    <w:p w14:paraId="03AF015E">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根据极限平衡原理，梯形滑动土体abcd每延米土体的总重</w:t>
      </w:r>
      <w:r>
        <w:rPr>
          <w:rFonts w:hint="eastAsia"/>
          <w:i/>
          <w:sz w:val="20"/>
          <w:szCs w:val="20"/>
        </w:rPr>
        <w:t>W</w:t>
      </w:r>
      <w:r>
        <w:rPr>
          <w:rFonts w:hint="eastAsia" w:ascii="宋体" w:hAnsi="宋体"/>
          <w:sz w:val="20"/>
          <w:szCs w:val="20"/>
        </w:rPr>
        <w:t>为</w:t>
      </w:r>
    </w:p>
    <w:p w14:paraId="62B9EEBD">
      <w:pPr>
        <w:autoSpaceDE w:val="0"/>
        <w:autoSpaceDN w:val="0"/>
        <w:adjustRightInd w:val="0"/>
        <w:snapToGrid w:val="0"/>
        <w:spacing w:line="288" w:lineRule="auto"/>
        <w:ind w:firstLine="400" w:firstLineChars="200"/>
        <w:jc w:val="right"/>
        <w:textAlignment w:val="center"/>
        <w:rPr>
          <w:rFonts w:ascii="宋体" w:hAnsi="宋体"/>
          <w:sz w:val="20"/>
          <w:szCs w:val="20"/>
        </w:rPr>
      </w:pPr>
      <w:r>
        <w:rPr>
          <w:rFonts w:hint="eastAsia" w:ascii="宋体" w:hAnsi="宋体"/>
          <w:sz w:val="20"/>
          <w:szCs w:val="20"/>
        </w:rPr>
        <w:t xml:space="preserve">                   </w:t>
      </w:r>
      <w:r>
        <w:rPr>
          <w:rFonts w:ascii="宋体" w:hAnsi="宋体"/>
          <w:sz w:val="20"/>
          <w:szCs w:val="20"/>
        </w:rPr>
        <w:object>
          <v:shape id="_x0000_i1133" o:spt="75" type="#_x0000_t75" style="height:21.9pt;width:65.65pt;" o:ole="t" filled="f" o:preferrelative="t" stroked="f" coordsize="21600,21600">
            <v:path/>
            <v:fill on="f" focussize="0,0"/>
            <v:stroke on="f" joinstyle="miter"/>
            <v:imagedata r:id="rId238" o:title=""/>
            <o:lock v:ext="edit" aspectratio="t"/>
            <w10:wrap type="none"/>
            <w10:anchorlock/>
          </v:shape>
          <o:OLEObject Type="Embed" ProgID="Equation.DSMT4" ShapeID="_x0000_i1133" DrawAspect="Content" ObjectID="_1468075837" r:id="rId237">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sz w:val="20"/>
          <w:szCs w:val="20"/>
        </w:rPr>
        <w:t>1</w:t>
      </w:r>
      <w:r>
        <w:rPr>
          <w:rFonts w:hint="eastAsia" w:ascii="宋体" w:hAnsi="宋体"/>
          <w:sz w:val="20"/>
          <w:szCs w:val="20"/>
        </w:rPr>
        <w:t>）</w:t>
      </w:r>
    </w:p>
    <w:p w14:paraId="0DA8784F">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剪切破坏面下部不动土体对上部土体的粘结力</w:t>
      </w:r>
      <w:r>
        <w:rPr>
          <w:rFonts w:ascii="宋体" w:hAnsi="宋体"/>
          <w:sz w:val="20"/>
          <w:szCs w:val="20"/>
        </w:rPr>
        <w:object>
          <v:shape id="_x0000_i1134" o:spt="75" type="#_x0000_t75" style="height:10.95pt;width:10.95pt;" o:ole="t" filled="f" o:preferrelative="t" stroked="f" coordsize="21600,21600">
            <v:path/>
            <v:fill on="f" focussize="0,0"/>
            <v:stroke on="f" joinstyle="miter"/>
            <v:imagedata r:id="rId240" o:title=""/>
            <o:lock v:ext="edit" aspectratio="t"/>
            <w10:wrap type="none"/>
            <w10:anchorlock/>
          </v:shape>
          <o:OLEObject Type="Embed" ProgID="Equation.DSMT4" ShapeID="_x0000_i1134" DrawAspect="Content" ObjectID="_1468075838" r:id="rId239">
            <o:LockedField>false</o:LockedField>
          </o:OLEObject>
        </w:object>
      </w:r>
      <w:r>
        <w:rPr>
          <w:rFonts w:hint="eastAsia" w:ascii="宋体" w:hAnsi="宋体"/>
          <w:sz w:val="20"/>
          <w:szCs w:val="20"/>
        </w:rPr>
        <w:t>为</w:t>
      </w:r>
    </w:p>
    <w:p w14:paraId="060B55A4">
      <w:pPr>
        <w:autoSpaceDE w:val="0"/>
        <w:autoSpaceDN w:val="0"/>
        <w:adjustRightInd w:val="0"/>
        <w:snapToGrid w:val="0"/>
        <w:spacing w:line="288" w:lineRule="auto"/>
        <w:ind w:firstLine="400" w:firstLineChars="200"/>
        <w:jc w:val="right"/>
        <w:textAlignment w:val="center"/>
        <w:rPr>
          <w:rFonts w:ascii="宋体" w:hAnsi="宋体"/>
          <w:sz w:val="20"/>
          <w:szCs w:val="20"/>
        </w:rPr>
      </w:pPr>
      <w:r>
        <w:rPr>
          <w:rFonts w:hint="eastAsia" w:ascii="宋体" w:hAnsi="宋体"/>
          <w:sz w:val="20"/>
          <w:szCs w:val="20"/>
        </w:rPr>
        <w:t xml:space="preserve">                   </w:t>
      </w:r>
      <w:r>
        <w:rPr>
          <w:rFonts w:ascii="宋体" w:hAnsi="宋体"/>
          <w:sz w:val="20"/>
          <w:szCs w:val="20"/>
        </w:rPr>
        <w:object>
          <v:shape id="_x0000_i1135" o:spt="75" type="#_x0000_t75" style="height:21.9pt;width:37.45pt;" o:ole="t" filled="f" o:preferrelative="t" stroked="f" coordsize="21600,21600">
            <v:path/>
            <v:fill on="f" focussize="0,0"/>
            <v:stroke on="f" joinstyle="miter"/>
            <v:imagedata r:id="rId242" o:title=""/>
            <o:lock v:ext="edit" aspectratio="t"/>
            <w10:wrap type="none"/>
            <w10:anchorlock/>
          </v:shape>
          <o:OLEObject Type="Embed" ProgID="Equation.DSMT4" ShapeID="_x0000_i1135" DrawAspect="Content" ObjectID="_1468075839" r:id="rId241">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w:t>
      </w:r>
      <w:r>
        <w:rPr>
          <w:sz w:val="20"/>
          <w:szCs w:val="20"/>
        </w:rPr>
        <w:t>2</w:t>
      </w:r>
      <w:r>
        <w:rPr>
          <w:rFonts w:hint="eastAsia" w:ascii="宋体" w:hAnsi="宋体"/>
          <w:sz w:val="20"/>
          <w:szCs w:val="20"/>
        </w:rPr>
        <w:t>）</w:t>
      </w:r>
    </w:p>
    <w:p w14:paraId="1D4A46C6">
      <w:pPr>
        <w:adjustRightInd w:val="0"/>
        <w:snapToGrid w:val="0"/>
        <w:spacing w:line="288" w:lineRule="auto"/>
        <w:ind w:firstLine="400" w:firstLineChars="200"/>
        <w:textAlignment w:val="center"/>
        <w:rPr>
          <w:rFonts w:ascii="宋体" w:hAnsi="宋体"/>
          <w:sz w:val="20"/>
          <w:szCs w:val="20"/>
        </w:rPr>
      </w:pPr>
      <w:r>
        <w:rPr>
          <w:rFonts w:hint="eastAsia"/>
          <w:i/>
          <w:sz w:val="20"/>
          <w:szCs w:val="20"/>
        </w:rPr>
        <w:t>W</w:t>
      </w:r>
      <w:r>
        <w:rPr>
          <w:rFonts w:hint="eastAsia" w:ascii="宋体" w:hAnsi="宋体"/>
          <w:sz w:val="20"/>
          <w:szCs w:val="20"/>
        </w:rPr>
        <w:t>垂直向下，</w:t>
      </w:r>
      <w:r>
        <w:rPr>
          <w:i/>
          <w:sz w:val="20"/>
          <w:szCs w:val="20"/>
        </w:rPr>
        <w:t>K</w:t>
      </w:r>
      <w:r>
        <w:rPr>
          <w:rFonts w:hint="eastAsia" w:ascii="宋体" w:hAnsi="宋体"/>
          <w:sz w:val="20"/>
          <w:szCs w:val="20"/>
        </w:rPr>
        <w:t>与滑动面平行且向斜上方。</w:t>
      </w:r>
      <w:r>
        <w:rPr>
          <w:i/>
          <w:sz w:val="20"/>
          <w:szCs w:val="20"/>
        </w:rPr>
        <w:t>R</w:t>
      </w:r>
      <w:r>
        <w:rPr>
          <w:rFonts w:hint="eastAsia" w:ascii="宋体" w:hAnsi="宋体"/>
          <w:sz w:val="20"/>
          <w:szCs w:val="20"/>
        </w:rPr>
        <w:t>为滑面下方不动土体对</w:t>
      </w:r>
      <w:r>
        <w:rPr>
          <w:sz w:val="20"/>
          <w:szCs w:val="20"/>
        </w:rPr>
        <w:t>abcd</w:t>
      </w:r>
      <w:r>
        <w:rPr>
          <w:rFonts w:hint="eastAsia" w:ascii="宋体" w:hAnsi="宋体"/>
          <w:sz w:val="20"/>
          <w:szCs w:val="20"/>
        </w:rPr>
        <w:t>滑体的反力，此反力与土体内摩擦角</w:t>
      </w:r>
      <w:r>
        <w:rPr>
          <w:i/>
          <w:sz w:val="20"/>
          <w:szCs w:val="20"/>
        </w:rPr>
        <w:t>φ</w:t>
      </w:r>
      <w:r>
        <w:rPr>
          <w:rFonts w:hint="eastAsia" w:ascii="宋体" w:hAnsi="宋体"/>
          <w:sz w:val="20"/>
          <w:szCs w:val="20"/>
        </w:rPr>
        <w:t>有关，大小未知，方向已知，</w:t>
      </w:r>
      <w:r>
        <w:rPr>
          <w:i/>
          <w:sz w:val="20"/>
          <w:szCs w:val="20"/>
        </w:rPr>
        <w:t>R</w:t>
      </w:r>
      <w:r>
        <w:rPr>
          <w:rFonts w:hint="eastAsia" w:ascii="宋体" w:hAnsi="宋体"/>
          <w:sz w:val="20"/>
          <w:szCs w:val="20"/>
        </w:rPr>
        <w:t>的方向与滑动面的法线成</w:t>
      </w:r>
      <w:r>
        <w:rPr>
          <w:i/>
          <w:sz w:val="20"/>
          <w:szCs w:val="20"/>
        </w:rPr>
        <w:t>φ</w:t>
      </w:r>
      <w:r>
        <w:rPr>
          <w:rFonts w:hint="eastAsia" w:ascii="宋体" w:hAnsi="宋体"/>
          <w:sz w:val="20"/>
          <w:szCs w:val="20"/>
        </w:rPr>
        <w:t>角。将</w:t>
      </w:r>
      <w:r>
        <w:rPr>
          <w:i/>
          <w:sz w:val="20"/>
          <w:szCs w:val="20"/>
        </w:rPr>
        <w:t>K</w:t>
      </w:r>
      <w:r>
        <w:rPr>
          <w:rFonts w:hint="eastAsia" w:ascii="宋体" w:hAnsi="宋体"/>
          <w:sz w:val="20"/>
          <w:szCs w:val="20"/>
        </w:rPr>
        <w:t>分解为垂直方向与水平方向的力，因滑体abcd处于平衡状态，则垂直方向力（</w:t>
      </w:r>
      <w:r>
        <w:rPr>
          <w:rFonts w:hint="eastAsia"/>
          <w:i/>
          <w:sz w:val="20"/>
          <w:szCs w:val="20"/>
        </w:rPr>
        <w:t>W</w:t>
      </w:r>
      <w:r>
        <w:rPr>
          <w:rFonts w:hint="eastAsia" w:ascii="宋体" w:hAnsi="宋体"/>
          <w:sz w:val="20"/>
          <w:szCs w:val="20"/>
        </w:rPr>
        <w:t>与</w:t>
      </w:r>
      <w:r>
        <w:rPr>
          <w:i/>
          <w:sz w:val="20"/>
          <w:szCs w:val="20"/>
        </w:rPr>
        <w:t>K</w:t>
      </w:r>
      <w:r>
        <w:rPr>
          <w:rFonts w:hint="eastAsia" w:ascii="宋体" w:hAnsi="宋体"/>
          <w:sz w:val="20"/>
          <w:szCs w:val="20"/>
        </w:rPr>
        <w:t>垂直分量），水平方向力（</w:t>
      </w:r>
      <w:r>
        <w:rPr>
          <w:rFonts w:hint="eastAsia" w:ascii="宋体" w:hAnsi="宋体"/>
          <w:i/>
          <w:sz w:val="20"/>
          <w:szCs w:val="20"/>
        </w:rPr>
        <w:t>E</w:t>
      </w:r>
      <w:r>
        <w:rPr>
          <w:i/>
          <w:sz w:val="20"/>
          <w:szCs w:val="20"/>
          <w:vertAlign w:val="subscript"/>
        </w:rPr>
        <w:t>a</w:t>
      </w:r>
      <w:r>
        <w:rPr>
          <w:rFonts w:hint="eastAsia" w:ascii="宋体" w:hAnsi="宋体"/>
          <w:sz w:val="20"/>
          <w:szCs w:val="20"/>
        </w:rPr>
        <w:t>与</w:t>
      </w:r>
      <w:r>
        <w:rPr>
          <w:i/>
          <w:sz w:val="20"/>
          <w:szCs w:val="20"/>
        </w:rPr>
        <w:t>K</w:t>
      </w:r>
      <w:r>
        <w:rPr>
          <w:rFonts w:hint="eastAsia" w:ascii="宋体" w:hAnsi="宋体"/>
          <w:sz w:val="20"/>
          <w:szCs w:val="20"/>
        </w:rPr>
        <w:t>水平向分量）与</w:t>
      </w:r>
      <w:r>
        <w:rPr>
          <w:i/>
          <w:sz w:val="20"/>
          <w:szCs w:val="20"/>
        </w:rPr>
        <w:t>R</w:t>
      </w:r>
      <w:r>
        <w:rPr>
          <w:rFonts w:hint="eastAsia" w:ascii="宋体" w:hAnsi="宋体"/>
          <w:sz w:val="20"/>
          <w:szCs w:val="20"/>
        </w:rPr>
        <w:t>三力共点，即可形成图</w:t>
      </w:r>
      <w:r>
        <w:rPr>
          <w:sz w:val="20"/>
          <w:szCs w:val="20"/>
        </w:rPr>
        <w:t>3.3.8-2</w:t>
      </w:r>
      <w:r>
        <w:rPr>
          <w:rFonts w:hAnsi="宋体"/>
          <w:sz w:val="20"/>
          <w:szCs w:val="20"/>
        </w:rPr>
        <w:t>中</w:t>
      </w:r>
      <w:r>
        <w:rPr>
          <w:sz w:val="20"/>
          <w:szCs w:val="20"/>
        </w:rPr>
        <w:t>B</w:t>
      </w:r>
      <w:r>
        <w:rPr>
          <w:rFonts w:hAnsi="宋体"/>
          <w:sz w:val="20"/>
          <w:szCs w:val="20"/>
        </w:rPr>
        <w:t>所</w:t>
      </w:r>
      <w:r>
        <w:rPr>
          <w:rFonts w:hint="eastAsia" w:ascii="宋体" w:hAnsi="宋体"/>
          <w:sz w:val="20"/>
          <w:szCs w:val="20"/>
        </w:rPr>
        <w:t>示封闭力三角形。则主动土压力合力</w:t>
      </w:r>
      <w:r>
        <w:rPr>
          <w:rFonts w:hint="eastAsia" w:ascii="宋体" w:hAnsi="宋体"/>
          <w:i/>
          <w:sz w:val="20"/>
          <w:szCs w:val="20"/>
        </w:rPr>
        <w:t>E</w:t>
      </w:r>
      <w:r>
        <w:rPr>
          <w:i/>
          <w:sz w:val="20"/>
          <w:szCs w:val="20"/>
          <w:vertAlign w:val="subscript"/>
        </w:rPr>
        <w:t>a</w:t>
      </w:r>
      <w:r>
        <w:rPr>
          <w:rFonts w:hint="eastAsia" w:ascii="宋体" w:hAnsi="宋体"/>
          <w:sz w:val="20"/>
          <w:szCs w:val="20"/>
        </w:rPr>
        <w:t>为</w:t>
      </w:r>
    </w:p>
    <w:p w14:paraId="693A9B55">
      <w:pPr>
        <w:autoSpaceDE w:val="0"/>
        <w:autoSpaceDN w:val="0"/>
        <w:adjustRightInd w:val="0"/>
        <w:snapToGrid w:val="0"/>
        <w:spacing w:line="288" w:lineRule="auto"/>
        <w:ind w:firstLine="1200" w:firstLineChars="600"/>
        <w:textAlignment w:val="center"/>
        <w:rPr>
          <w:rFonts w:ascii="宋体" w:hAnsi="宋体"/>
          <w:sz w:val="20"/>
          <w:szCs w:val="20"/>
        </w:rPr>
      </w:pPr>
      <w:r>
        <w:rPr>
          <w:rFonts w:ascii="宋体" w:hAnsi="宋体"/>
          <w:sz w:val="20"/>
          <w:szCs w:val="20"/>
        </w:rPr>
        <w:object>
          <v:shape id="_x0000_i1136" o:spt="75" type="#_x0000_t75" style="height:24.2pt;width:180.85pt;" o:ole="t" filled="f" o:preferrelative="t" stroked="f" coordsize="21600,21600">
            <v:path/>
            <v:fill on="f" focussize="0,0"/>
            <v:stroke on="f" joinstyle="miter"/>
            <v:imagedata r:id="rId244" o:title=""/>
            <o:lock v:ext="edit" aspectratio="t"/>
            <w10:wrap type="none"/>
            <w10:anchorlock/>
          </v:shape>
          <o:OLEObject Type="Embed" ProgID="Equation.DSMT4" ShapeID="_x0000_i1136" DrawAspect="Content" ObjectID="_1468075840" r:id="rId243">
            <o:LockedField>false</o:LockedField>
          </o:OLEObject>
        </w:object>
      </w:r>
      <w:r>
        <w:rPr>
          <w:rFonts w:ascii="宋体" w:hAnsi="宋体"/>
          <w:sz w:val="20"/>
          <w:szCs w:val="20"/>
        </w:rPr>
        <w:tab/>
      </w:r>
      <w:r>
        <w:rPr>
          <w:rFonts w:hint="eastAsia" w:ascii="宋体" w:hAnsi="宋体"/>
          <w:sz w:val="20"/>
          <w:szCs w:val="20"/>
        </w:rPr>
        <w:t xml:space="preserve">    （3）</w:t>
      </w:r>
    </w:p>
    <w:p w14:paraId="0CB1FE60">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主动土压力强度</w:t>
      </w:r>
      <w:r>
        <w:rPr>
          <w:rFonts w:ascii="宋体" w:hAnsi="宋体"/>
          <w:sz w:val="20"/>
          <w:szCs w:val="20"/>
        </w:rPr>
        <w:object>
          <v:shape id="_x0000_i1137" o:spt="75" type="#_x0000_t75" style="height:19pt;width:14.4pt;" o:ole="t" filled="f" o:preferrelative="t" stroked="f" coordsize="21600,21600">
            <v:path/>
            <v:fill on="f" focussize="0,0"/>
            <v:stroke on="f" joinstyle="miter"/>
            <v:imagedata r:id="rId246" o:title=""/>
            <o:lock v:ext="edit" aspectratio="t"/>
            <w10:wrap type="none"/>
            <w10:anchorlock/>
          </v:shape>
          <o:OLEObject Type="Embed" ProgID="Equation.DSMT4" ShapeID="_x0000_i1137" DrawAspect="Content" ObjectID="_1468075841" r:id="rId245">
            <o:LockedField>false</o:LockedField>
          </o:OLEObject>
        </w:object>
      </w:r>
      <w:r>
        <w:rPr>
          <w:rFonts w:hint="eastAsia" w:ascii="宋体" w:hAnsi="宋体"/>
          <w:sz w:val="20"/>
          <w:szCs w:val="20"/>
        </w:rPr>
        <w:t>微分表达式为</w:t>
      </w:r>
    </w:p>
    <w:p w14:paraId="45C8F5B5">
      <w:pPr>
        <w:autoSpaceDE w:val="0"/>
        <w:autoSpaceDN w:val="0"/>
        <w:adjustRightInd w:val="0"/>
        <w:snapToGrid w:val="0"/>
        <w:spacing w:line="288" w:lineRule="auto"/>
        <w:ind w:firstLine="400" w:firstLineChars="200"/>
        <w:jc w:val="right"/>
        <w:textAlignment w:val="center"/>
        <w:rPr>
          <w:rFonts w:ascii="宋体" w:hAnsi="宋体"/>
          <w:sz w:val="20"/>
          <w:szCs w:val="20"/>
        </w:rPr>
      </w:pPr>
      <w:r>
        <w:rPr>
          <w:rFonts w:hint="eastAsia" w:ascii="宋体" w:hAnsi="宋体"/>
          <w:sz w:val="20"/>
          <w:szCs w:val="20"/>
        </w:rPr>
        <w:t xml:space="preserve">                        </w:t>
      </w:r>
      <w:r>
        <w:rPr>
          <w:rFonts w:ascii="宋体" w:hAnsi="宋体"/>
          <w:sz w:val="20"/>
          <w:szCs w:val="20"/>
        </w:rPr>
        <w:object>
          <v:shape id="_x0000_i1138" o:spt="75" type="#_x0000_t75" style="height:24.2pt;width:31.7pt;" o:ole="t" filled="f" o:preferrelative="t" stroked="f" coordsize="21600,21600">
            <v:path/>
            <v:fill on="f" focussize="0,0"/>
            <v:stroke on="f" joinstyle="miter"/>
            <v:imagedata r:id="rId248" o:title=""/>
            <o:lock v:ext="edit" aspectratio="t"/>
            <w10:wrap type="none"/>
            <w10:anchorlock/>
          </v:shape>
          <o:OLEObject Type="Embed" ProgID="Equation.DSMT4" ShapeID="_x0000_i1138" DrawAspect="Content" ObjectID="_1468075842" r:id="rId247">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hint="eastAsia" w:ascii="宋体" w:hAnsi="宋体"/>
          <w:sz w:val="20"/>
          <w:szCs w:val="20"/>
        </w:rPr>
        <w:t xml:space="preserve">  </w:t>
      </w:r>
      <w:r>
        <w:rPr>
          <w:rFonts w:ascii="宋体" w:hAnsi="宋体"/>
          <w:sz w:val="20"/>
          <w:szCs w:val="20"/>
        </w:rPr>
        <w:tab/>
      </w:r>
      <w:r>
        <w:rPr>
          <w:rFonts w:hint="eastAsia" w:ascii="宋体" w:hAnsi="宋体"/>
          <w:sz w:val="20"/>
          <w:szCs w:val="20"/>
        </w:rPr>
        <w:t>（4）</w:t>
      </w:r>
    </w:p>
    <w:p w14:paraId="30A28B5C">
      <w:pPr>
        <w:autoSpaceDE w:val="0"/>
        <w:autoSpaceDN w:val="0"/>
        <w:adjustRightInd w:val="0"/>
        <w:snapToGrid w:val="0"/>
        <w:spacing w:line="288" w:lineRule="auto"/>
        <w:ind w:firstLine="400" w:firstLineChars="200"/>
        <w:textAlignment w:val="center"/>
        <w:rPr>
          <w:sz w:val="20"/>
          <w:szCs w:val="20"/>
        </w:rPr>
      </w:pPr>
      <w:r>
        <w:rPr>
          <w:rFonts w:hint="eastAsia" w:ascii="宋体" w:hAnsi="宋体"/>
          <w:sz w:val="20"/>
          <w:szCs w:val="20"/>
        </w:rPr>
        <w:t>式中：</w:t>
      </w:r>
      <w:r>
        <w:rPr>
          <w:rFonts w:ascii="宋体" w:hAnsi="宋体"/>
          <w:sz w:val="20"/>
          <w:szCs w:val="20"/>
        </w:rPr>
        <w:object>
          <v:shape id="_x0000_i1139" o:spt="75" type="#_x0000_t75" style="height:10.95pt;width:7.5pt;" o:ole="t" filled="f" o:preferrelative="t" stroked="f" coordsize="21600,21600">
            <v:path/>
            <v:fill on="f" focussize="0,0"/>
            <v:stroke on="f" joinstyle="miter"/>
            <v:imagedata r:id="rId250" o:title=""/>
            <o:lock v:ext="edit" aspectratio="t"/>
            <w10:wrap type="none"/>
            <w10:anchorlock/>
          </v:shape>
          <o:OLEObject Type="Embed" ProgID="Equation.DSMT4" ShapeID="_x0000_i1139" DrawAspect="Content" ObjectID="_1468075843" r:id="rId249">
            <o:LockedField>false</o:LockedField>
          </o:OLEObject>
        </w:object>
      </w:r>
      <w:r>
        <w:rPr>
          <w:iCs/>
        </w:rPr>
        <w:t>——</w:t>
      </w:r>
      <w:r>
        <w:rPr>
          <w:rFonts w:hint="eastAsia" w:ascii="宋体" w:hAnsi="宋体"/>
          <w:sz w:val="20"/>
          <w:szCs w:val="20"/>
        </w:rPr>
        <w:t>土的重度</w:t>
      </w:r>
      <w:r>
        <w:rPr>
          <w:rFonts w:hAnsi="宋体"/>
          <w:sz w:val="20"/>
          <w:szCs w:val="20"/>
        </w:rPr>
        <w:t>（</w:t>
      </w:r>
      <w:r>
        <w:rPr>
          <w:sz w:val="20"/>
          <w:szCs w:val="20"/>
        </w:rPr>
        <w:t>kN/m</w:t>
      </w:r>
      <w:r>
        <w:rPr>
          <w:sz w:val="20"/>
          <w:szCs w:val="20"/>
          <w:vertAlign w:val="superscript"/>
        </w:rPr>
        <w:t>3</w:t>
      </w:r>
      <w:r>
        <w:rPr>
          <w:rFonts w:hAnsi="宋体"/>
          <w:sz w:val="20"/>
          <w:szCs w:val="20"/>
        </w:rPr>
        <w:t>）；</w:t>
      </w:r>
    </w:p>
    <w:p w14:paraId="3FC8F2A4">
      <w:pPr>
        <w:autoSpaceDE w:val="0"/>
        <w:autoSpaceDN w:val="0"/>
        <w:adjustRightInd w:val="0"/>
        <w:snapToGrid w:val="0"/>
        <w:spacing w:line="288" w:lineRule="auto"/>
        <w:ind w:firstLine="994" w:firstLineChars="497"/>
        <w:textAlignment w:val="center"/>
        <w:rPr>
          <w:sz w:val="20"/>
          <w:szCs w:val="20"/>
        </w:rPr>
      </w:pPr>
      <w:r>
        <w:rPr>
          <w:sz w:val="20"/>
          <w:szCs w:val="20"/>
        </w:rPr>
        <w:object>
          <v:shape id="_x0000_i1140" o:spt="75" type="#_x0000_t75" style="height:10.95pt;width:7.5pt;" o:ole="t" filled="f" o:preferrelative="t" stroked="f" coordsize="21600,21600">
            <v:path/>
            <v:fill on="f" focussize="0,0"/>
            <v:stroke on="f" joinstyle="miter"/>
            <v:imagedata r:id="rId252" o:title=""/>
            <o:lock v:ext="edit" aspectratio="t"/>
            <w10:wrap type="none"/>
            <w10:anchorlock/>
          </v:shape>
          <o:OLEObject Type="Embed" ProgID="Equation.DSMT4" ShapeID="_x0000_i1140" DrawAspect="Content" ObjectID="_1468075844" r:id="rId251">
            <o:LockedField>false</o:LockedField>
          </o:OLEObject>
        </w:object>
      </w:r>
      <w:r>
        <w:rPr>
          <w:iCs/>
        </w:rPr>
        <w:t>——</w:t>
      </w:r>
      <w:r>
        <w:rPr>
          <w:rFonts w:hAnsi="宋体"/>
          <w:sz w:val="20"/>
          <w:szCs w:val="20"/>
        </w:rPr>
        <w:t>已有构筑物距基坑的距离，即有限土体宽度（</w:t>
      </w:r>
      <w:r>
        <w:rPr>
          <w:sz w:val="20"/>
          <w:szCs w:val="20"/>
        </w:rPr>
        <w:t>m</w:t>
      </w:r>
      <w:r>
        <w:rPr>
          <w:rFonts w:hAnsi="宋体"/>
          <w:sz w:val="20"/>
          <w:szCs w:val="20"/>
        </w:rPr>
        <w:t>）；</w:t>
      </w:r>
    </w:p>
    <w:p w14:paraId="3DA0F150">
      <w:pPr>
        <w:autoSpaceDE w:val="0"/>
        <w:autoSpaceDN w:val="0"/>
        <w:adjustRightInd w:val="0"/>
        <w:snapToGrid w:val="0"/>
        <w:spacing w:line="288" w:lineRule="auto"/>
        <w:ind w:firstLine="994" w:firstLineChars="497"/>
        <w:textAlignment w:val="center"/>
        <w:rPr>
          <w:sz w:val="20"/>
          <w:szCs w:val="20"/>
        </w:rPr>
      </w:pPr>
      <w:r>
        <w:rPr>
          <w:sz w:val="20"/>
          <w:szCs w:val="20"/>
        </w:rPr>
        <w:object>
          <v:shape id="_x0000_i1141" o:spt="75" type="#_x0000_t75" style="height:10.95pt;width:10.95pt;" o:ole="t" filled="f" o:preferrelative="t" stroked="f" coordsize="21600,21600">
            <v:path/>
            <v:fill on="f" focussize="0,0"/>
            <v:stroke on="f" joinstyle="miter"/>
            <v:imagedata r:id="rId254" o:title=""/>
            <o:lock v:ext="edit" aspectratio="t"/>
            <w10:wrap type="none"/>
            <w10:anchorlock/>
          </v:shape>
          <o:OLEObject Type="Embed" ProgID="Equation.DSMT4" ShapeID="_x0000_i1141" DrawAspect="Content" ObjectID="_1468075845" r:id="rId253">
            <o:LockedField>false</o:LockedField>
          </o:OLEObject>
        </w:object>
      </w:r>
      <w:r>
        <w:rPr>
          <w:iCs/>
        </w:rPr>
        <w:t>——</w:t>
      </w:r>
      <w:r>
        <w:rPr>
          <w:rFonts w:hAnsi="宋体"/>
          <w:sz w:val="20"/>
          <w:szCs w:val="20"/>
        </w:rPr>
        <w:t>计算点深度（</w:t>
      </w:r>
      <w:r>
        <w:rPr>
          <w:sz w:val="20"/>
          <w:szCs w:val="20"/>
        </w:rPr>
        <w:t>m</w:t>
      </w:r>
      <w:r>
        <w:rPr>
          <w:rFonts w:hAnsi="宋体"/>
          <w:sz w:val="20"/>
          <w:szCs w:val="20"/>
        </w:rPr>
        <w:t>）；</w:t>
      </w:r>
    </w:p>
    <w:p w14:paraId="12C2B8F6">
      <w:pPr>
        <w:autoSpaceDE w:val="0"/>
        <w:autoSpaceDN w:val="0"/>
        <w:adjustRightInd w:val="0"/>
        <w:snapToGrid w:val="0"/>
        <w:spacing w:line="288" w:lineRule="auto"/>
        <w:ind w:firstLine="994" w:firstLineChars="497"/>
        <w:textAlignment w:val="center"/>
        <w:rPr>
          <w:sz w:val="20"/>
          <w:szCs w:val="20"/>
        </w:rPr>
      </w:pPr>
      <w:r>
        <w:rPr>
          <w:sz w:val="20"/>
          <w:szCs w:val="20"/>
        </w:rPr>
        <w:object>
          <v:shape id="_x0000_i1142" o:spt="75" type="#_x0000_t75" style="height:10.95pt;width:7.5pt;" o:ole="t" filled="f" o:preferrelative="t" stroked="f" coordsize="21600,21600">
            <v:path/>
            <v:fill on="f" focussize="0,0"/>
            <v:stroke on="f" joinstyle="miter"/>
            <v:imagedata r:id="rId256" o:title=""/>
            <o:lock v:ext="edit" aspectratio="t"/>
            <w10:wrap type="none"/>
            <w10:anchorlock/>
          </v:shape>
          <o:OLEObject Type="Embed" ProgID="Equation.DSMT4" ShapeID="_x0000_i1142" DrawAspect="Content" ObjectID="_1468075846" r:id="rId255">
            <o:LockedField>false</o:LockedField>
          </o:OLEObject>
        </w:object>
      </w:r>
      <w:r>
        <w:rPr>
          <w:iCs/>
        </w:rPr>
        <w:t>——</w:t>
      </w:r>
      <w:r>
        <w:rPr>
          <w:rFonts w:hAnsi="宋体"/>
          <w:sz w:val="20"/>
          <w:szCs w:val="20"/>
        </w:rPr>
        <w:t>滑动破坏面与水平面的夹角（</w:t>
      </w:r>
      <w:r>
        <w:rPr>
          <w:sz w:val="20"/>
          <w:szCs w:val="20"/>
        </w:rPr>
        <w:t>º</w:t>
      </w:r>
      <w:r>
        <w:rPr>
          <w:rFonts w:hAnsi="宋体"/>
          <w:sz w:val="20"/>
          <w:szCs w:val="20"/>
        </w:rPr>
        <w:t>）；</w:t>
      </w:r>
    </w:p>
    <w:p w14:paraId="04B5422E">
      <w:pPr>
        <w:autoSpaceDE w:val="0"/>
        <w:autoSpaceDN w:val="0"/>
        <w:adjustRightInd w:val="0"/>
        <w:snapToGrid w:val="0"/>
        <w:spacing w:line="288" w:lineRule="auto"/>
        <w:ind w:firstLine="994" w:firstLineChars="497"/>
        <w:textAlignment w:val="center"/>
        <w:rPr>
          <w:sz w:val="20"/>
          <w:szCs w:val="20"/>
        </w:rPr>
      </w:pPr>
      <w:r>
        <w:rPr>
          <w:sz w:val="20"/>
          <w:szCs w:val="20"/>
        </w:rPr>
        <w:object>
          <v:shape id="_x0000_i1143" o:spt="75" type="#_x0000_t75" style="height:10.95pt;width:7.5pt;" o:ole="t" filled="f" o:preferrelative="t" stroked="f" coordsize="21600,21600">
            <v:path/>
            <v:fill on="f" focussize="0,0"/>
            <v:stroke on="f" joinstyle="miter"/>
            <v:imagedata r:id="rId258" o:title=""/>
            <o:lock v:ext="edit" aspectratio="t"/>
            <w10:wrap type="none"/>
            <w10:anchorlock/>
          </v:shape>
          <o:OLEObject Type="Embed" ProgID="Equation.DSMT4" ShapeID="_x0000_i1143" DrawAspect="Content" ObjectID="_1468075847" r:id="rId257">
            <o:LockedField>false</o:LockedField>
          </o:OLEObject>
        </w:object>
      </w:r>
      <w:r>
        <w:rPr>
          <w:iCs/>
        </w:rPr>
        <w:t>——</w:t>
      </w:r>
      <w:r>
        <w:rPr>
          <w:rFonts w:hAnsi="宋体"/>
          <w:sz w:val="20"/>
          <w:szCs w:val="20"/>
        </w:rPr>
        <w:t>土的内摩擦角（</w:t>
      </w:r>
      <w:r>
        <w:rPr>
          <w:sz w:val="20"/>
          <w:szCs w:val="20"/>
        </w:rPr>
        <w:t>º</w:t>
      </w:r>
      <w:r>
        <w:rPr>
          <w:rFonts w:hAnsi="宋体"/>
          <w:sz w:val="20"/>
          <w:szCs w:val="20"/>
        </w:rPr>
        <w:t>）；</w:t>
      </w:r>
    </w:p>
    <w:p w14:paraId="254FCFEA">
      <w:pPr>
        <w:autoSpaceDE w:val="0"/>
        <w:autoSpaceDN w:val="0"/>
        <w:adjustRightInd w:val="0"/>
        <w:snapToGrid w:val="0"/>
        <w:spacing w:line="288" w:lineRule="auto"/>
        <w:ind w:firstLine="994" w:firstLineChars="497"/>
        <w:textAlignment w:val="center"/>
        <w:rPr>
          <w:rFonts w:ascii="宋体" w:hAnsi="宋体"/>
          <w:sz w:val="20"/>
          <w:szCs w:val="20"/>
        </w:rPr>
      </w:pPr>
      <w:r>
        <w:rPr>
          <w:sz w:val="20"/>
          <w:szCs w:val="20"/>
        </w:rPr>
        <w:object>
          <v:shape id="_x0000_i1144" o:spt="75" type="#_x0000_t75" style="height:10.95pt;width:9.2pt;" o:ole="t" filled="f" o:preferrelative="t" stroked="f" coordsize="21600,21600">
            <v:path/>
            <v:fill on="f" focussize="0,0"/>
            <v:stroke on="f" joinstyle="miter"/>
            <v:imagedata r:id="rId260" o:title=""/>
            <o:lock v:ext="edit" aspectratio="t"/>
            <w10:wrap type="none"/>
            <w10:anchorlock/>
          </v:shape>
          <o:OLEObject Type="Embed" ProgID="Equation.DSMT4" ShapeID="_x0000_i1144" DrawAspect="Content" ObjectID="_1468075848" r:id="rId259">
            <o:LockedField>false</o:LockedField>
          </o:OLEObject>
        </w:object>
      </w:r>
      <w:r>
        <w:rPr>
          <w:iCs/>
        </w:rPr>
        <w:t>——</w:t>
      </w:r>
      <w:r>
        <w:rPr>
          <w:rFonts w:hAnsi="宋体"/>
          <w:sz w:val="20"/>
          <w:szCs w:val="20"/>
        </w:rPr>
        <w:t>土的粘聚力（</w:t>
      </w:r>
      <w:r>
        <w:rPr>
          <w:sz w:val="20"/>
          <w:szCs w:val="20"/>
        </w:rPr>
        <w:t>kPa</w:t>
      </w:r>
      <w:r>
        <w:rPr>
          <w:rFonts w:hint="eastAsia" w:ascii="宋体" w:hAnsi="宋体"/>
          <w:sz w:val="20"/>
          <w:szCs w:val="20"/>
        </w:rPr>
        <w:t>）；</w:t>
      </w:r>
    </w:p>
    <w:p w14:paraId="16DC6B8D">
      <w:pPr>
        <w:autoSpaceDE w:val="0"/>
        <w:autoSpaceDN w:val="0"/>
        <w:adjustRightInd w:val="0"/>
        <w:snapToGrid w:val="0"/>
        <w:spacing w:line="288" w:lineRule="auto"/>
        <w:ind w:firstLine="402" w:firstLineChars="200"/>
        <w:textAlignment w:val="center"/>
        <w:rPr>
          <w:rFonts w:ascii="宋体" w:hAnsi="宋体"/>
          <w:sz w:val="20"/>
          <w:szCs w:val="20"/>
        </w:rPr>
      </w:pPr>
      <w:r>
        <w:rPr>
          <w:b/>
          <w:sz w:val="20"/>
          <w:szCs w:val="20"/>
        </w:rPr>
        <w:t>3</w:t>
      </w:r>
      <w:r>
        <w:rPr>
          <w:rFonts w:hint="eastAsia" w:ascii="宋体" w:hAnsi="宋体"/>
          <w:sz w:val="20"/>
          <w:szCs w:val="20"/>
        </w:rPr>
        <w:t>．破坏面</w:t>
      </w:r>
    </w:p>
    <w:p w14:paraId="17F3B9E6">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极限平衡理论解土压力问题的关键在于确定破坏面。对于经典的朗肯土压力理论与库仑土压力理论中三角形滑动体而言，按照极限平衡理论导出的破坏面与深度无关，破坏面与水平面的夹角始终为</w:t>
      </w:r>
      <w:r>
        <w:rPr>
          <w:rFonts w:ascii="宋体" w:hAnsi="宋体"/>
          <w:sz w:val="20"/>
          <w:szCs w:val="20"/>
        </w:rPr>
        <w:object>
          <v:shape id="_x0000_i1145" o:spt="75" type="#_x0000_t75" style="height:14.4pt;width:42.05pt;" o:ole="t" filled="f" o:preferrelative="t" stroked="f" coordsize="21600,21600">
            <v:path/>
            <v:fill on="f" focussize="0,0"/>
            <v:stroke on="f" joinstyle="miter"/>
            <v:imagedata r:id="rId262" o:title=""/>
            <o:lock v:ext="edit" aspectratio="t"/>
            <w10:wrap type="none"/>
            <w10:anchorlock/>
          </v:shape>
          <o:OLEObject Type="Embed" ProgID="Equation.DSMT4" ShapeID="_x0000_i1145" DrawAspect="Content" ObjectID="_1468075849" r:id="rId261">
            <o:LockedField>false</o:LockedField>
          </o:OLEObject>
        </w:object>
      </w:r>
      <w:r>
        <w:rPr>
          <w:rFonts w:hint="eastAsia" w:ascii="宋体" w:hAnsi="宋体"/>
          <w:sz w:val="20"/>
          <w:szCs w:val="20"/>
        </w:rPr>
        <w:t>（主动土压力）。从式（</w:t>
      </w:r>
      <w:r>
        <w:rPr>
          <w:sz w:val="20"/>
          <w:szCs w:val="20"/>
        </w:rPr>
        <w:t>3</w:t>
      </w:r>
      <w:r>
        <w:rPr>
          <w:rFonts w:hint="eastAsia" w:ascii="宋体" w:hAnsi="宋体"/>
          <w:sz w:val="20"/>
          <w:szCs w:val="20"/>
        </w:rPr>
        <w:t>）可以看出，对于土体边界条件不同于经典理论的有限土体主动土压力</w:t>
      </w:r>
      <w:r>
        <w:rPr>
          <w:rFonts w:hint="eastAsia" w:ascii="宋体" w:hAnsi="宋体"/>
          <w:i/>
          <w:sz w:val="20"/>
          <w:szCs w:val="20"/>
        </w:rPr>
        <w:t>E</w:t>
      </w:r>
      <w:r>
        <w:rPr>
          <w:i/>
          <w:sz w:val="20"/>
          <w:szCs w:val="20"/>
          <w:vertAlign w:val="subscript"/>
        </w:rPr>
        <w:t>a</w:t>
      </w:r>
      <w:r>
        <w:rPr>
          <w:rFonts w:hint="eastAsia" w:ascii="宋体" w:hAnsi="宋体"/>
          <w:sz w:val="20"/>
          <w:szCs w:val="20"/>
        </w:rPr>
        <w:t>直接受滑动破坏面</w:t>
      </w:r>
      <w:r>
        <w:rPr>
          <w:i/>
          <w:sz w:val="20"/>
          <w:szCs w:val="20"/>
        </w:rPr>
        <w:t>θ</w:t>
      </w:r>
      <w:r>
        <w:rPr>
          <w:rFonts w:hint="eastAsia" w:ascii="宋体" w:hAnsi="宋体"/>
          <w:sz w:val="20"/>
          <w:szCs w:val="20"/>
        </w:rPr>
        <w:t>的影响。</w:t>
      </w:r>
    </w:p>
    <w:p w14:paraId="10862F80">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当深度</w:t>
      </w:r>
      <w:r>
        <w:rPr>
          <w:rFonts w:ascii="宋体" w:hAnsi="宋体"/>
          <w:sz w:val="20"/>
          <w:szCs w:val="20"/>
        </w:rPr>
        <w:object>
          <v:shape id="_x0000_i1146" o:spt="75" type="#_x0000_t75" style="height:10.95pt;width:10.95pt;" o:ole="t" filled="f" o:preferrelative="t" stroked="f" coordsize="21600,21600">
            <v:path/>
            <v:fill on="f" focussize="0,0"/>
            <v:stroke on="f" joinstyle="miter"/>
            <v:imagedata r:id="rId264" o:title=""/>
            <o:lock v:ext="edit" aspectratio="t"/>
            <w10:wrap type="none"/>
            <w10:anchorlock/>
          </v:shape>
          <o:OLEObject Type="Embed" ProgID="Equation.DSMT4" ShapeID="_x0000_i1146" DrawAspect="Content" ObjectID="_1468075850" r:id="rId263">
            <o:LockedField>false</o:LockedField>
          </o:OLEObject>
        </w:object>
      </w:r>
      <w:r>
        <w:rPr>
          <w:rFonts w:hint="eastAsia" w:ascii="宋体" w:hAnsi="宋体"/>
          <w:sz w:val="20"/>
          <w:szCs w:val="20"/>
        </w:rPr>
        <w:t>一定时，</w:t>
      </w:r>
      <w:r>
        <w:rPr>
          <w:rFonts w:hint="eastAsia" w:ascii="宋体" w:hAnsi="宋体"/>
          <w:i/>
          <w:sz w:val="20"/>
          <w:szCs w:val="20"/>
        </w:rPr>
        <w:t>E</w:t>
      </w:r>
      <w:r>
        <w:rPr>
          <w:i/>
          <w:sz w:val="20"/>
          <w:szCs w:val="20"/>
          <w:vertAlign w:val="subscript"/>
        </w:rPr>
        <w:t>a</w:t>
      </w:r>
      <w:r>
        <w:rPr>
          <w:rFonts w:hint="eastAsia" w:ascii="宋体" w:hAnsi="宋体"/>
          <w:sz w:val="20"/>
          <w:szCs w:val="20"/>
        </w:rPr>
        <w:t>为剪切破坏角</w:t>
      </w:r>
      <w:r>
        <w:rPr>
          <w:i/>
          <w:sz w:val="20"/>
          <w:szCs w:val="20"/>
        </w:rPr>
        <w:t>θ</w:t>
      </w:r>
      <w:r>
        <w:rPr>
          <w:rFonts w:hint="eastAsia" w:ascii="宋体" w:hAnsi="宋体"/>
          <w:sz w:val="20"/>
          <w:szCs w:val="20"/>
        </w:rPr>
        <w:t>的函数。按照极限平衡理论，当</w:t>
      </w:r>
      <w:r>
        <w:rPr>
          <w:rFonts w:ascii="宋体" w:hAnsi="宋体"/>
          <w:sz w:val="20"/>
          <w:szCs w:val="20"/>
        </w:rPr>
        <w:object>
          <v:shape id="_x0000_i1147" o:spt="75" type="#_x0000_t75" style="height:15pt;width:54.7pt;" o:ole="t" filled="f" o:preferrelative="t" stroked="f" coordsize="21600,21600">
            <v:path/>
            <v:fill on="f" focussize="0,0"/>
            <v:stroke on="f" joinstyle="miter"/>
            <v:imagedata r:id="rId266" o:title=""/>
            <o:lock v:ext="edit" aspectratio="t"/>
            <w10:wrap type="none"/>
            <w10:anchorlock/>
          </v:shape>
          <o:OLEObject Type="Embed" ProgID="Equation.DSMT4" ShapeID="_x0000_i1147" DrawAspect="Content" ObjectID="_1468075851" r:id="rId265">
            <o:LockedField>false</o:LockedField>
          </o:OLEObject>
        </w:object>
      </w:r>
      <w:r>
        <w:rPr>
          <w:rFonts w:hint="eastAsia" w:ascii="宋体" w:hAnsi="宋体"/>
          <w:sz w:val="20"/>
          <w:szCs w:val="20"/>
        </w:rPr>
        <w:t>时，</w:t>
      </w:r>
      <w:r>
        <w:rPr>
          <w:rFonts w:hint="eastAsia" w:ascii="宋体" w:hAnsi="宋体"/>
          <w:i/>
          <w:sz w:val="20"/>
          <w:szCs w:val="20"/>
        </w:rPr>
        <w:t>E</w:t>
      </w:r>
      <w:r>
        <w:rPr>
          <w:i/>
          <w:sz w:val="20"/>
          <w:szCs w:val="20"/>
          <w:vertAlign w:val="subscript"/>
        </w:rPr>
        <w:t>a</w:t>
      </w:r>
      <w:r>
        <w:rPr>
          <w:rFonts w:hint="eastAsia" w:ascii="宋体" w:hAnsi="宋体"/>
          <w:sz w:val="20"/>
          <w:szCs w:val="20"/>
        </w:rPr>
        <w:t>取极值，即为主动土压力合力，并可得真正剪切破坏角</w:t>
      </w:r>
      <w:r>
        <w:rPr>
          <w:i/>
          <w:sz w:val="20"/>
          <w:szCs w:val="20"/>
        </w:rPr>
        <w:t>θ</w:t>
      </w:r>
      <w:r>
        <w:rPr>
          <w:rFonts w:hint="eastAsia" w:ascii="宋体" w:hAnsi="宋体"/>
          <w:sz w:val="20"/>
          <w:szCs w:val="20"/>
        </w:rPr>
        <w:t>值。式（</w:t>
      </w:r>
      <w:r>
        <w:rPr>
          <w:sz w:val="20"/>
          <w:szCs w:val="20"/>
        </w:rPr>
        <w:t>3</w:t>
      </w:r>
      <w:r>
        <w:rPr>
          <w:rFonts w:hint="eastAsia" w:ascii="宋体" w:hAnsi="宋体"/>
          <w:sz w:val="20"/>
          <w:szCs w:val="20"/>
        </w:rPr>
        <w:t>）对</w:t>
      </w:r>
      <w:r>
        <w:rPr>
          <w:i/>
          <w:sz w:val="20"/>
          <w:szCs w:val="20"/>
        </w:rPr>
        <w:t>θ</w:t>
      </w:r>
      <w:r>
        <w:rPr>
          <w:rFonts w:hint="eastAsia" w:ascii="宋体" w:hAnsi="宋体"/>
          <w:sz w:val="20"/>
          <w:szCs w:val="20"/>
        </w:rPr>
        <w:t>求导得</w:t>
      </w:r>
    </w:p>
    <w:p w14:paraId="1DEF6067">
      <w:pPr>
        <w:autoSpaceDE w:val="0"/>
        <w:autoSpaceDN w:val="0"/>
        <w:adjustRightInd w:val="0"/>
        <w:snapToGrid w:val="0"/>
        <w:spacing w:line="288" w:lineRule="auto"/>
        <w:ind w:firstLine="500" w:firstLineChars="250"/>
        <w:textAlignment w:val="center"/>
        <w:rPr>
          <w:rFonts w:ascii="宋体" w:hAnsi="宋体"/>
          <w:sz w:val="20"/>
          <w:szCs w:val="20"/>
        </w:rPr>
      </w:pPr>
      <w:r>
        <w:rPr>
          <w:rFonts w:ascii="宋体" w:hAnsi="宋体"/>
          <w:sz w:val="20"/>
          <w:szCs w:val="20"/>
        </w:rPr>
        <w:object>
          <v:shape id="_x0000_i1148" o:spt="75" type="#_x0000_t75" style="height:61.05pt;width:214.85pt;" o:ole="t" filled="f" o:preferrelative="t" stroked="f" coordsize="21600,21600">
            <v:path/>
            <v:fill on="f" focussize="0,0"/>
            <v:stroke on="f" joinstyle="miter"/>
            <v:imagedata r:id="rId268" o:title=""/>
            <o:lock v:ext="edit" aspectratio="t"/>
            <w10:wrap type="none"/>
            <w10:anchorlock/>
          </v:shape>
          <o:OLEObject Type="Embed" ProgID="Equation.DSMT4" ShapeID="_x0000_i1148" DrawAspect="Content" ObjectID="_1468075852" r:id="rId267">
            <o:LockedField>false</o:LockedField>
          </o:OLEObject>
        </w:object>
      </w:r>
      <w:r>
        <w:rPr>
          <w:rFonts w:hint="eastAsia" w:ascii="宋体" w:hAnsi="宋体"/>
          <w:sz w:val="20"/>
          <w:szCs w:val="20"/>
        </w:rPr>
        <w:t xml:space="preserve">      （5）</w:t>
      </w:r>
    </w:p>
    <w:p w14:paraId="7D7A2A60">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令</w:t>
      </w:r>
      <w:r>
        <w:rPr>
          <w:rFonts w:ascii="宋体" w:hAnsi="宋体"/>
          <w:sz w:val="20"/>
          <w:szCs w:val="20"/>
        </w:rPr>
        <w:object>
          <v:shape id="_x0000_i1149" o:spt="75" type="#_x0000_t75" style="height:21.9pt;width:27.65pt;" o:ole="t" filled="f" o:preferrelative="t" stroked="f" coordsize="21600,21600">
            <v:path/>
            <v:fill on="f" focussize="0,0"/>
            <v:stroke on="f" joinstyle="miter"/>
            <v:imagedata r:id="rId270" o:title=""/>
            <o:lock v:ext="edit" aspectratio="t"/>
            <w10:wrap type="none"/>
            <w10:anchorlock/>
          </v:shape>
          <o:OLEObject Type="Embed" ProgID="Equation.DSMT4" ShapeID="_x0000_i1149" DrawAspect="Content" ObjectID="_1468075853" r:id="rId269">
            <o:LockedField>false</o:LockedField>
          </o:OLEObject>
        </w:object>
      </w:r>
      <w:r>
        <w:rPr>
          <w:rFonts w:hint="eastAsia" w:ascii="宋体" w:hAnsi="宋体"/>
          <w:sz w:val="20"/>
          <w:szCs w:val="20"/>
        </w:rPr>
        <w:t>，求得</w:t>
      </w:r>
    </w:p>
    <w:p w14:paraId="766C020C">
      <w:pPr>
        <w:autoSpaceDE w:val="0"/>
        <w:autoSpaceDN w:val="0"/>
        <w:adjustRightInd w:val="0"/>
        <w:snapToGrid w:val="0"/>
        <w:spacing w:line="288" w:lineRule="auto"/>
        <w:ind w:firstLine="400" w:firstLineChars="200"/>
        <w:textAlignment w:val="center"/>
        <w:rPr>
          <w:rFonts w:ascii="宋体" w:hAnsi="宋体"/>
          <w:sz w:val="20"/>
          <w:szCs w:val="20"/>
        </w:rPr>
      </w:pPr>
      <w:r>
        <w:rPr>
          <w:rFonts w:ascii="宋体" w:hAnsi="宋体"/>
          <w:sz w:val="20"/>
          <w:szCs w:val="20"/>
        </w:rPr>
        <w:object>
          <v:shape id="_x0000_i1150" o:spt="75" type="#_x0000_t75" style="height:61.05pt;width:222.9pt;" o:ole="t" filled="f" o:preferrelative="t" stroked="f" coordsize="21600,21600">
            <v:path/>
            <v:fill on="f" focussize="0,0"/>
            <v:stroke on="f" joinstyle="miter"/>
            <v:imagedata r:id="rId272" o:title=""/>
            <o:lock v:ext="edit" aspectratio="t"/>
            <w10:wrap type="none"/>
            <w10:anchorlock/>
          </v:shape>
          <o:OLEObject Type="Embed" ProgID="Equation.DSMT4" ShapeID="_x0000_i1150" DrawAspect="Content" ObjectID="_1468075854" r:id="rId271">
            <o:LockedField>false</o:LockedField>
          </o:OLEObject>
        </w:object>
      </w:r>
      <w:r>
        <w:rPr>
          <w:rFonts w:hint="eastAsia" w:ascii="宋体" w:hAnsi="宋体"/>
          <w:sz w:val="20"/>
          <w:szCs w:val="20"/>
        </w:rPr>
        <w:t xml:space="preserve">      （6）</w:t>
      </w:r>
    </w:p>
    <w:p w14:paraId="2F2D2566">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由式（</w:t>
      </w:r>
      <w:r>
        <w:rPr>
          <w:sz w:val="20"/>
          <w:szCs w:val="20"/>
        </w:rPr>
        <w:t>6</w:t>
      </w:r>
      <w:r>
        <w:rPr>
          <w:rFonts w:hint="eastAsia" w:ascii="宋体" w:hAnsi="宋体"/>
          <w:sz w:val="20"/>
          <w:szCs w:val="20"/>
        </w:rPr>
        <w:t>）可以看出，由于已有构筑物的存在，使滑动土体剪切破坏角</w:t>
      </w:r>
      <w:r>
        <w:rPr>
          <w:i/>
          <w:sz w:val="20"/>
          <w:szCs w:val="20"/>
        </w:rPr>
        <w:t>θ</w:t>
      </w:r>
      <w:r>
        <w:rPr>
          <w:rFonts w:hint="eastAsia" w:ascii="宋体" w:hAnsi="宋体"/>
          <w:sz w:val="20"/>
          <w:szCs w:val="20"/>
        </w:rPr>
        <w:t>不再是一般朗肯土压力理论所给出的定值</w:t>
      </w:r>
      <w:r>
        <w:rPr>
          <w:rFonts w:ascii="宋体" w:hAnsi="宋体"/>
          <w:sz w:val="20"/>
          <w:szCs w:val="20"/>
        </w:rPr>
        <w:object>
          <v:shape id="_x0000_i1151" o:spt="75" type="#_x0000_t75" style="height:15pt;width:42.05pt;" o:ole="t" filled="f" o:preferrelative="t" stroked="f" coordsize="21600,21600">
            <v:path/>
            <v:fill on="f" focussize="0,0"/>
            <v:stroke on="f" joinstyle="miter"/>
            <v:imagedata r:id="rId274" o:title=""/>
            <o:lock v:ext="edit" aspectratio="t"/>
            <w10:wrap type="none"/>
            <w10:anchorlock/>
          </v:shape>
          <o:OLEObject Type="Embed" ProgID="Equation.DSMT4" ShapeID="_x0000_i1151" DrawAspect="Content" ObjectID="_1468075855" r:id="rId273">
            <o:LockedField>false</o:LockedField>
          </o:OLEObject>
        </w:object>
      </w:r>
      <w:r>
        <w:rPr>
          <w:rFonts w:hint="eastAsia" w:ascii="宋体" w:hAnsi="宋体"/>
          <w:sz w:val="20"/>
          <w:szCs w:val="20"/>
        </w:rPr>
        <w:t>，而是一个变量，它与土体物理力学性质、有限土体宽度以及深度有关，其一般表达式为</w:t>
      </w:r>
    </w:p>
    <w:p w14:paraId="7A9C7E4E">
      <w:pPr>
        <w:autoSpaceDE w:val="0"/>
        <w:autoSpaceDN w:val="0"/>
        <w:adjustRightInd w:val="0"/>
        <w:snapToGrid w:val="0"/>
        <w:spacing w:line="288" w:lineRule="auto"/>
        <w:ind w:firstLine="400" w:firstLineChars="200"/>
        <w:jc w:val="right"/>
        <w:textAlignment w:val="center"/>
        <w:rPr>
          <w:rFonts w:ascii="宋体" w:hAnsi="宋体"/>
          <w:sz w:val="20"/>
          <w:szCs w:val="20"/>
        </w:rPr>
      </w:pPr>
      <w:r>
        <w:rPr>
          <w:rFonts w:hint="eastAsia" w:ascii="宋体" w:hAnsi="宋体"/>
          <w:sz w:val="20"/>
          <w:szCs w:val="20"/>
        </w:rPr>
        <w:t xml:space="preserve">                  </w:t>
      </w:r>
      <w:r>
        <w:rPr>
          <w:rFonts w:ascii="宋体" w:hAnsi="宋体"/>
          <w:sz w:val="20"/>
          <w:szCs w:val="20"/>
        </w:rPr>
        <w:object>
          <v:shape id="_x0000_i1152" o:spt="75" type="#_x0000_t75" style="height:14.4pt;width:76.05pt;" o:ole="t" filled="f" o:preferrelative="t" stroked="f" coordsize="21600,21600">
            <v:path/>
            <v:fill on="f" focussize="0,0"/>
            <v:stroke on="f" joinstyle="miter"/>
            <v:imagedata r:id="rId276" o:title=""/>
            <o:lock v:ext="edit" aspectratio="t"/>
            <w10:wrap type="none"/>
            <w10:anchorlock/>
          </v:shape>
          <o:OLEObject Type="Embed" ProgID="Equation.DSMT4" ShapeID="_x0000_i1152" DrawAspect="Content" ObjectID="_1468075856" r:id="rId275">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 xml:space="preserve">    （7）</w:t>
      </w:r>
    </w:p>
    <w:p w14:paraId="349CFBC6">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剪切破坏角</w:t>
      </w:r>
      <w:r>
        <w:rPr>
          <w:i/>
          <w:sz w:val="20"/>
          <w:szCs w:val="20"/>
        </w:rPr>
        <w:t>θ</w:t>
      </w:r>
      <w:r>
        <w:rPr>
          <w:rFonts w:hint="eastAsia" w:ascii="宋体" w:hAnsi="宋体"/>
          <w:sz w:val="20"/>
          <w:szCs w:val="20"/>
        </w:rPr>
        <w:t>与深度、土内摩擦角、土粘聚力及有限土体宽度的关系如下各图所示。</w:t>
      </w:r>
    </w:p>
    <w:p w14:paraId="68BC3685">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object>
          <v:shape id="_x0000_i1153" o:spt="75" type="#_x0000_t75" style="height:134.8pt;width:137.1pt;" o:ole="t" filled="f" o:preferrelative="t" stroked="f" coordsize="21600,21600">
            <v:path/>
            <v:fill on="f" focussize="0,0"/>
            <v:stroke on="f" joinstyle="miter"/>
            <v:imagedata r:id="rId278" o:title=""/>
            <o:lock v:ext="edit" aspectratio="t"/>
            <w10:wrap type="none"/>
            <w10:anchorlock/>
          </v:shape>
          <o:OLEObject Type="Embed" ProgID="Grapher.Document" ShapeID="_x0000_i1153" DrawAspect="Content" ObjectID="_1468075857" r:id="rId277">
            <o:LockedField>false</o:LockedField>
          </o:OLEObject>
        </w:object>
      </w:r>
      <w:r>
        <w:rPr>
          <w:rFonts w:ascii="宋体" w:hAnsi="宋体"/>
          <w:sz w:val="20"/>
          <w:szCs w:val="20"/>
        </w:rPr>
        <w:t xml:space="preserve">    </w:t>
      </w:r>
      <w:r>
        <w:rPr>
          <w:rFonts w:ascii="宋体" w:hAnsi="宋体"/>
          <w:sz w:val="20"/>
          <w:szCs w:val="20"/>
        </w:rPr>
        <w:object>
          <v:shape id="_x0000_i1154" o:spt="75" type="#_x0000_t75" style="height:137.1pt;width:137.1pt;" o:ole="t" filled="f" o:preferrelative="t" stroked="f" coordsize="21600,21600">
            <v:path/>
            <v:fill on="f" focussize="0,0"/>
            <v:stroke on="f" joinstyle="miter"/>
            <v:imagedata r:id="rId280" o:title=""/>
            <o:lock v:ext="edit" aspectratio="t"/>
            <w10:wrap type="none"/>
            <w10:anchorlock/>
          </v:shape>
          <o:OLEObject Type="Embed" ProgID="Grapher.Document" ShapeID="_x0000_i1154" DrawAspect="Content" ObjectID="_1468075858" r:id="rId279">
            <o:LockedField>false</o:LockedField>
          </o:OLEObject>
        </w:object>
      </w:r>
    </w:p>
    <w:p w14:paraId="45813E9A">
      <w:pPr>
        <w:autoSpaceDE w:val="0"/>
        <w:autoSpaceDN w:val="0"/>
        <w:adjustRightInd w:val="0"/>
        <w:snapToGrid w:val="0"/>
        <w:spacing w:before="120" w:beforeLines="50" w:line="288" w:lineRule="auto"/>
        <w:ind w:firstLine="994" w:firstLineChars="550"/>
        <w:textAlignment w:val="center"/>
        <w:rPr>
          <w:rFonts w:ascii="宋体" w:hAnsi="宋体"/>
          <w:b/>
          <w:sz w:val="18"/>
          <w:szCs w:val="18"/>
        </w:rPr>
      </w:pPr>
      <w:r>
        <w:rPr>
          <w:rFonts w:ascii="宋体" w:hAnsi="宋体"/>
          <w:b/>
          <w:sz w:val="18"/>
          <w:szCs w:val="18"/>
        </w:rPr>
        <w:t>图</w:t>
      </w:r>
      <w:r>
        <w:rPr>
          <w:b/>
          <w:sz w:val="18"/>
          <w:szCs w:val="18"/>
        </w:rPr>
        <w:t>3.3.8-3</w:t>
      </w:r>
      <w:r>
        <w:rPr>
          <w:rFonts w:ascii="宋体" w:hAnsi="宋体"/>
          <w:b/>
          <w:sz w:val="18"/>
          <w:szCs w:val="18"/>
        </w:rPr>
        <w:t xml:space="preserve"> </w:t>
      </w:r>
      <w:r>
        <w:rPr>
          <w:rFonts w:hint="eastAsia" w:ascii="宋体" w:hAnsi="宋体"/>
          <w:b/>
          <w:sz w:val="18"/>
          <w:szCs w:val="18"/>
        </w:rPr>
        <w:t xml:space="preserve"> </w:t>
      </w:r>
      <w:r>
        <w:rPr>
          <w:b/>
          <w:i/>
          <w:sz w:val="18"/>
          <w:szCs w:val="18"/>
        </w:rPr>
        <w:t>θ</w:t>
      </w:r>
      <w:r>
        <w:rPr>
          <w:rFonts w:ascii="宋体" w:hAnsi="宋体"/>
          <w:b/>
          <w:sz w:val="18"/>
          <w:szCs w:val="18"/>
        </w:rPr>
        <w:t>与</w:t>
      </w:r>
      <w:r>
        <w:rPr>
          <w:b/>
          <w:i/>
          <w:sz w:val="18"/>
          <w:szCs w:val="18"/>
        </w:rPr>
        <w:t>z</w:t>
      </w:r>
      <w:r>
        <w:rPr>
          <w:rFonts w:ascii="宋体" w:hAnsi="宋体"/>
          <w:b/>
          <w:sz w:val="18"/>
          <w:szCs w:val="18"/>
        </w:rPr>
        <w:t xml:space="preserve">的关系    </w:t>
      </w:r>
      <w:r>
        <w:rPr>
          <w:rFonts w:hint="eastAsia" w:ascii="宋体" w:hAnsi="宋体"/>
          <w:b/>
          <w:sz w:val="18"/>
          <w:szCs w:val="18"/>
        </w:rPr>
        <w:t xml:space="preserve"> </w:t>
      </w:r>
      <w:r>
        <w:rPr>
          <w:rFonts w:ascii="宋体" w:hAnsi="宋体"/>
          <w:b/>
          <w:sz w:val="18"/>
          <w:szCs w:val="18"/>
        </w:rPr>
        <w:t xml:space="preserve">   </w:t>
      </w:r>
      <w:r>
        <w:rPr>
          <w:rFonts w:hint="eastAsia" w:ascii="宋体" w:hAnsi="宋体"/>
          <w:b/>
          <w:sz w:val="18"/>
          <w:szCs w:val="18"/>
        </w:rPr>
        <w:t xml:space="preserve"> </w:t>
      </w:r>
      <w:r>
        <w:rPr>
          <w:rFonts w:ascii="宋体" w:hAnsi="宋体"/>
          <w:b/>
          <w:sz w:val="18"/>
          <w:szCs w:val="18"/>
        </w:rPr>
        <w:t xml:space="preserve">   图</w:t>
      </w:r>
      <w:r>
        <w:rPr>
          <w:b/>
          <w:sz w:val="18"/>
          <w:szCs w:val="18"/>
        </w:rPr>
        <w:t>3.3.8-4</w:t>
      </w:r>
      <w:r>
        <w:rPr>
          <w:rFonts w:ascii="宋体" w:hAnsi="宋体"/>
          <w:b/>
          <w:sz w:val="18"/>
          <w:szCs w:val="18"/>
        </w:rPr>
        <w:t xml:space="preserve"> </w:t>
      </w:r>
      <w:r>
        <w:rPr>
          <w:rFonts w:ascii="宋体" w:hAnsi="宋体"/>
          <w:b/>
          <w:i/>
          <w:sz w:val="18"/>
          <w:szCs w:val="18"/>
        </w:rPr>
        <w:t>θ</w:t>
      </w:r>
      <w:r>
        <w:rPr>
          <w:rFonts w:ascii="宋体" w:hAnsi="宋体"/>
          <w:b/>
          <w:sz w:val="18"/>
          <w:szCs w:val="18"/>
        </w:rPr>
        <w:t>与</w:t>
      </w:r>
      <w:r>
        <w:rPr>
          <w:rFonts w:hint="eastAsia" w:ascii="宋体" w:hAnsi="宋体"/>
          <w:b/>
          <w:i/>
          <w:sz w:val="18"/>
          <w:szCs w:val="18"/>
        </w:rPr>
        <w:t>b</w:t>
      </w:r>
      <w:r>
        <w:rPr>
          <w:rFonts w:ascii="宋体" w:hAnsi="宋体"/>
          <w:b/>
          <w:sz w:val="18"/>
          <w:szCs w:val="18"/>
        </w:rPr>
        <w:t>的关系</w:t>
      </w:r>
    </w:p>
    <w:p w14:paraId="59FA12E7">
      <w:pPr>
        <w:autoSpaceDE w:val="0"/>
        <w:autoSpaceDN w:val="0"/>
        <w:adjustRightInd w:val="0"/>
        <w:snapToGrid w:val="0"/>
        <w:spacing w:after="120" w:afterLines="50" w:line="288" w:lineRule="auto"/>
        <w:ind w:firstLine="300" w:firstLineChars="200"/>
        <w:jc w:val="left"/>
        <w:textAlignment w:val="center"/>
        <w:rPr>
          <w:rFonts w:ascii="宋体" w:hAnsi="宋体"/>
          <w:sz w:val="15"/>
          <w:szCs w:val="15"/>
        </w:rPr>
      </w:pPr>
      <w:r>
        <w:rPr>
          <w:rFonts w:hint="eastAsia" w:ascii="宋体" w:hAnsi="宋体"/>
          <w:sz w:val="15"/>
          <w:szCs w:val="15"/>
        </w:rPr>
        <w:t>（</w:t>
      </w:r>
      <w:r>
        <w:rPr>
          <w:i/>
          <w:sz w:val="15"/>
          <w:szCs w:val="15"/>
        </w:rPr>
        <w:t>γ</w:t>
      </w:r>
      <w:r>
        <w:rPr>
          <w:rFonts w:ascii="宋体" w:hAnsi="宋体"/>
          <w:sz w:val="15"/>
          <w:szCs w:val="15"/>
        </w:rPr>
        <w:t>=20kN/m</w:t>
      </w:r>
      <w:r>
        <w:rPr>
          <w:rFonts w:ascii="宋体" w:hAnsi="宋体"/>
          <w:sz w:val="15"/>
          <w:szCs w:val="15"/>
          <w:vertAlign w:val="superscript"/>
        </w:rPr>
        <w:t>3</w:t>
      </w:r>
      <w:r>
        <w:rPr>
          <w:rFonts w:ascii="宋体" w:hAnsi="宋体"/>
          <w:sz w:val="15"/>
          <w:szCs w:val="15"/>
        </w:rPr>
        <w:t>；</w:t>
      </w:r>
      <w:r>
        <w:rPr>
          <w:i/>
          <w:sz w:val="15"/>
          <w:szCs w:val="15"/>
        </w:rPr>
        <w:t>c</w:t>
      </w:r>
      <w:r>
        <w:rPr>
          <w:rFonts w:ascii="宋体" w:hAnsi="宋体"/>
          <w:i/>
          <w:sz w:val="15"/>
          <w:szCs w:val="15"/>
        </w:rPr>
        <w:t>=</w:t>
      </w:r>
      <w:r>
        <w:rPr>
          <w:rFonts w:ascii="宋体" w:hAnsi="宋体"/>
          <w:sz w:val="15"/>
          <w:szCs w:val="15"/>
        </w:rPr>
        <w:t>15kPa；</w:t>
      </w:r>
      <w:r>
        <w:rPr>
          <w:i/>
          <w:sz w:val="15"/>
          <w:szCs w:val="15"/>
        </w:rPr>
        <w:t>φ</w:t>
      </w:r>
      <w:r>
        <w:rPr>
          <w:rFonts w:ascii="宋体" w:hAnsi="宋体"/>
          <w:sz w:val="15"/>
          <w:szCs w:val="15"/>
        </w:rPr>
        <w:t>=20º；</w:t>
      </w:r>
      <w:r>
        <w:rPr>
          <w:rFonts w:ascii="宋体" w:hAnsi="宋体"/>
          <w:i/>
          <w:sz w:val="15"/>
          <w:szCs w:val="15"/>
        </w:rPr>
        <w:t>b</w:t>
      </w:r>
      <w:r>
        <w:rPr>
          <w:rFonts w:ascii="宋体" w:hAnsi="宋体"/>
          <w:sz w:val="15"/>
          <w:szCs w:val="15"/>
        </w:rPr>
        <w:t>=3m）</w:t>
      </w:r>
      <w:r>
        <w:rPr>
          <w:rFonts w:hint="eastAsia" w:ascii="宋体" w:hAnsi="宋体"/>
          <w:sz w:val="15"/>
          <w:szCs w:val="15"/>
        </w:rPr>
        <w:t xml:space="preserve">        </w:t>
      </w:r>
      <w:r>
        <w:rPr>
          <w:rFonts w:ascii="宋体" w:hAnsi="宋体"/>
          <w:sz w:val="15"/>
          <w:szCs w:val="15"/>
        </w:rPr>
        <w:t>（</w:t>
      </w:r>
      <w:r>
        <w:rPr>
          <w:i/>
          <w:sz w:val="15"/>
          <w:szCs w:val="15"/>
        </w:rPr>
        <w:t>γ</w:t>
      </w:r>
      <w:r>
        <w:rPr>
          <w:rFonts w:ascii="宋体" w:hAnsi="宋体"/>
          <w:sz w:val="15"/>
          <w:szCs w:val="15"/>
        </w:rPr>
        <w:t>=20kN/m</w:t>
      </w:r>
      <w:r>
        <w:rPr>
          <w:rFonts w:ascii="宋体" w:hAnsi="宋体"/>
          <w:sz w:val="15"/>
          <w:szCs w:val="15"/>
          <w:vertAlign w:val="superscript"/>
        </w:rPr>
        <w:t>3</w:t>
      </w:r>
      <w:r>
        <w:rPr>
          <w:rFonts w:ascii="宋体" w:hAnsi="宋体"/>
          <w:sz w:val="15"/>
          <w:szCs w:val="15"/>
        </w:rPr>
        <w:t xml:space="preserve">； </w:t>
      </w:r>
      <w:r>
        <w:rPr>
          <w:i/>
          <w:sz w:val="15"/>
          <w:szCs w:val="15"/>
        </w:rPr>
        <w:t>c</w:t>
      </w:r>
      <w:r>
        <w:rPr>
          <w:rFonts w:ascii="宋体" w:hAnsi="宋体"/>
          <w:sz w:val="15"/>
          <w:szCs w:val="15"/>
        </w:rPr>
        <w:t xml:space="preserve">=15kPa； </w:t>
      </w:r>
      <w:r>
        <w:rPr>
          <w:i/>
          <w:sz w:val="15"/>
          <w:szCs w:val="15"/>
        </w:rPr>
        <w:t>φ</w:t>
      </w:r>
      <w:r>
        <w:rPr>
          <w:rFonts w:ascii="宋体" w:hAnsi="宋体"/>
          <w:sz w:val="15"/>
          <w:szCs w:val="15"/>
        </w:rPr>
        <w:t>=20º；</w:t>
      </w:r>
      <w:r>
        <w:rPr>
          <w:i/>
          <w:sz w:val="15"/>
          <w:szCs w:val="15"/>
        </w:rPr>
        <w:t>z</w:t>
      </w:r>
      <w:r>
        <w:rPr>
          <w:rFonts w:ascii="宋体" w:hAnsi="宋体"/>
          <w:sz w:val="15"/>
          <w:szCs w:val="15"/>
        </w:rPr>
        <w:t>=10m</w:t>
      </w:r>
      <w:r>
        <w:rPr>
          <w:rFonts w:hint="eastAsia" w:ascii="宋体" w:hAnsi="宋体"/>
          <w:sz w:val="15"/>
          <w:szCs w:val="15"/>
        </w:rPr>
        <w:t>）</w:t>
      </w:r>
    </w:p>
    <w:p w14:paraId="6EFF4831">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object>
          <v:shape id="_x0000_i1155" o:spt="75" type="#_x0000_t75" style="height:144pt;width:141.7pt;" o:ole="t" filled="f" o:preferrelative="t" stroked="f" coordsize="21600,21600">
            <v:path/>
            <v:fill on="f" focussize="0,0"/>
            <v:stroke on="f" joinstyle="miter"/>
            <v:imagedata r:id="rId282" o:title=""/>
            <o:lock v:ext="edit" aspectratio="t"/>
            <w10:wrap type="none"/>
            <w10:anchorlock/>
          </v:shape>
          <o:OLEObject Type="Embed" ProgID="Grapher.Document" ShapeID="_x0000_i1155" DrawAspect="Content" ObjectID="_1468075859" r:id="rId281">
            <o:LockedField>false</o:LockedField>
          </o:OLEObject>
        </w:object>
      </w:r>
      <w:r>
        <w:rPr>
          <w:rFonts w:ascii="宋体" w:hAnsi="宋体"/>
          <w:sz w:val="20"/>
          <w:szCs w:val="20"/>
        </w:rPr>
        <w:t xml:space="preserve">  </w:t>
      </w:r>
      <w:r>
        <w:rPr>
          <w:rFonts w:ascii="宋体" w:hAnsi="宋体"/>
          <w:sz w:val="20"/>
          <w:szCs w:val="20"/>
        </w:rPr>
        <w:object>
          <v:shape id="_x0000_i1156" o:spt="75" type="#_x0000_t75" style="height:135.35pt;width:134.8pt;" o:ole="t" filled="f" o:preferrelative="t" stroked="f" coordsize="21600,21600">
            <v:path/>
            <v:fill on="f" focussize="0,0"/>
            <v:stroke on="f" joinstyle="miter"/>
            <v:imagedata r:id="rId284" o:title=""/>
            <o:lock v:ext="edit" aspectratio="t"/>
            <w10:wrap type="none"/>
            <w10:anchorlock/>
          </v:shape>
          <o:OLEObject Type="Embed" ProgID="Grapher.Document" ShapeID="_x0000_i1156" DrawAspect="Content" ObjectID="_1468075860" r:id="rId283">
            <o:LockedField>false</o:LockedField>
          </o:OLEObject>
        </w:object>
      </w:r>
    </w:p>
    <w:p w14:paraId="48D505C0">
      <w:pPr>
        <w:autoSpaceDE w:val="0"/>
        <w:autoSpaceDN w:val="0"/>
        <w:adjustRightInd w:val="0"/>
        <w:snapToGrid w:val="0"/>
        <w:spacing w:before="120" w:beforeLines="50" w:line="288" w:lineRule="auto"/>
        <w:ind w:firstLine="907" w:firstLineChars="502"/>
        <w:textAlignment w:val="center"/>
        <w:rPr>
          <w:rFonts w:ascii="宋体" w:hAnsi="宋体"/>
          <w:b/>
          <w:sz w:val="18"/>
          <w:szCs w:val="18"/>
        </w:rPr>
      </w:pPr>
      <w:r>
        <w:rPr>
          <w:rFonts w:ascii="宋体" w:hAnsi="宋体"/>
          <w:b/>
          <w:sz w:val="18"/>
          <w:szCs w:val="18"/>
        </w:rPr>
        <w:t>图</w:t>
      </w:r>
      <w:r>
        <w:rPr>
          <w:b/>
          <w:sz w:val="18"/>
          <w:szCs w:val="18"/>
        </w:rPr>
        <w:t>3.3.8-5</w:t>
      </w:r>
      <w:r>
        <w:rPr>
          <w:rFonts w:ascii="宋体" w:hAnsi="宋体"/>
          <w:b/>
          <w:sz w:val="18"/>
          <w:szCs w:val="18"/>
        </w:rPr>
        <w:t xml:space="preserve"> </w:t>
      </w:r>
      <w:r>
        <w:rPr>
          <w:b/>
          <w:i/>
          <w:sz w:val="18"/>
          <w:szCs w:val="18"/>
        </w:rPr>
        <w:t>θ</w:t>
      </w:r>
      <w:r>
        <w:rPr>
          <w:rFonts w:ascii="宋体" w:hAnsi="宋体"/>
          <w:b/>
          <w:sz w:val="18"/>
          <w:szCs w:val="18"/>
        </w:rPr>
        <w:t>与</w:t>
      </w:r>
      <w:r>
        <w:rPr>
          <w:rFonts w:hint="eastAsia"/>
          <w:b/>
          <w:i/>
          <w:sz w:val="18"/>
          <w:szCs w:val="18"/>
        </w:rPr>
        <w:t>c</w:t>
      </w:r>
      <w:r>
        <w:rPr>
          <w:rFonts w:ascii="宋体" w:hAnsi="宋体"/>
          <w:b/>
          <w:sz w:val="18"/>
          <w:szCs w:val="18"/>
        </w:rPr>
        <w:t xml:space="preserve">的关系            </w:t>
      </w:r>
      <w:r>
        <w:rPr>
          <w:b/>
          <w:sz w:val="18"/>
          <w:szCs w:val="18"/>
        </w:rPr>
        <w:t xml:space="preserve"> 图3.3.8-6 </w:t>
      </w:r>
      <w:r>
        <w:rPr>
          <w:b/>
          <w:i/>
          <w:sz w:val="18"/>
          <w:szCs w:val="18"/>
        </w:rPr>
        <w:t>θ</w:t>
      </w:r>
      <w:r>
        <w:rPr>
          <w:b/>
          <w:sz w:val="18"/>
          <w:szCs w:val="18"/>
        </w:rPr>
        <w:t>与</w:t>
      </w:r>
      <w:r>
        <w:rPr>
          <w:b/>
          <w:i/>
          <w:sz w:val="18"/>
          <w:szCs w:val="18"/>
        </w:rPr>
        <w:t>φ</w:t>
      </w:r>
      <w:r>
        <w:rPr>
          <w:b/>
          <w:sz w:val="18"/>
          <w:szCs w:val="18"/>
        </w:rPr>
        <w:t>的关系</w:t>
      </w:r>
    </w:p>
    <w:p w14:paraId="2F250172">
      <w:pPr>
        <w:autoSpaceDE w:val="0"/>
        <w:autoSpaceDN w:val="0"/>
        <w:adjustRightInd w:val="0"/>
        <w:snapToGrid w:val="0"/>
        <w:spacing w:after="120" w:afterLines="50" w:line="288" w:lineRule="auto"/>
        <w:ind w:firstLine="375" w:firstLineChars="250"/>
        <w:jc w:val="left"/>
        <w:textAlignment w:val="center"/>
        <w:rPr>
          <w:rFonts w:ascii="宋体" w:hAnsi="宋体"/>
          <w:sz w:val="15"/>
          <w:szCs w:val="15"/>
        </w:rPr>
      </w:pPr>
      <w:r>
        <w:rPr>
          <w:rFonts w:hint="eastAsia" w:ascii="宋体" w:hAnsi="宋体"/>
          <w:sz w:val="15"/>
          <w:szCs w:val="15"/>
        </w:rPr>
        <w:t>（</w:t>
      </w:r>
      <w:r>
        <w:rPr>
          <w:i/>
          <w:sz w:val="15"/>
          <w:szCs w:val="15"/>
        </w:rPr>
        <w:t>γ</w:t>
      </w:r>
      <w:r>
        <w:rPr>
          <w:rFonts w:ascii="宋体" w:hAnsi="宋体"/>
          <w:sz w:val="15"/>
          <w:szCs w:val="15"/>
        </w:rPr>
        <w:t>=20kN/m</w:t>
      </w:r>
      <w:r>
        <w:rPr>
          <w:rFonts w:ascii="宋体" w:hAnsi="宋体"/>
          <w:sz w:val="15"/>
          <w:szCs w:val="15"/>
          <w:vertAlign w:val="superscript"/>
        </w:rPr>
        <w:t>3</w:t>
      </w:r>
      <w:r>
        <w:rPr>
          <w:rFonts w:ascii="宋体" w:hAnsi="宋体"/>
          <w:sz w:val="15"/>
          <w:szCs w:val="15"/>
        </w:rPr>
        <w:t>；</w:t>
      </w:r>
      <w:r>
        <w:rPr>
          <w:i/>
          <w:sz w:val="15"/>
          <w:szCs w:val="15"/>
        </w:rPr>
        <w:t>z</w:t>
      </w:r>
      <w:r>
        <w:rPr>
          <w:rFonts w:ascii="宋体" w:hAnsi="宋体"/>
          <w:sz w:val="15"/>
          <w:szCs w:val="15"/>
        </w:rPr>
        <w:t>=10m；</w:t>
      </w:r>
      <w:r>
        <w:rPr>
          <w:i/>
          <w:sz w:val="15"/>
          <w:szCs w:val="15"/>
        </w:rPr>
        <w:t>φ</w:t>
      </w:r>
      <w:r>
        <w:rPr>
          <w:rFonts w:ascii="宋体" w:hAnsi="宋体"/>
          <w:sz w:val="15"/>
          <w:szCs w:val="15"/>
        </w:rPr>
        <w:t>=20º；</w:t>
      </w:r>
      <w:r>
        <w:rPr>
          <w:i/>
          <w:sz w:val="15"/>
          <w:szCs w:val="15"/>
        </w:rPr>
        <w:t>b</w:t>
      </w:r>
      <w:r>
        <w:rPr>
          <w:rFonts w:ascii="宋体" w:hAnsi="宋体"/>
          <w:sz w:val="15"/>
          <w:szCs w:val="15"/>
        </w:rPr>
        <w:t>=3m）</w:t>
      </w:r>
      <w:r>
        <w:rPr>
          <w:rFonts w:hint="eastAsia" w:ascii="宋体" w:hAnsi="宋体"/>
          <w:sz w:val="15"/>
          <w:szCs w:val="15"/>
        </w:rPr>
        <w:t xml:space="preserve">    </w:t>
      </w:r>
      <w:r>
        <w:rPr>
          <w:rFonts w:ascii="宋体" w:hAnsi="宋体"/>
          <w:sz w:val="15"/>
          <w:szCs w:val="15"/>
        </w:rPr>
        <w:t>（</w:t>
      </w:r>
      <w:r>
        <w:rPr>
          <w:i/>
          <w:sz w:val="15"/>
          <w:szCs w:val="15"/>
        </w:rPr>
        <w:t>γ</w:t>
      </w:r>
      <w:r>
        <w:rPr>
          <w:rFonts w:ascii="宋体" w:hAnsi="宋体"/>
          <w:sz w:val="15"/>
          <w:szCs w:val="15"/>
        </w:rPr>
        <w:t>=20kN/m</w:t>
      </w:r>
      <w:r>
        <w:rPr>
          <w:rFonts w:ascii="宋体" w:hAnsi="宋体"/>
          <w:sz w:val="15"/>
          <w:szCs w:val="15"/>
          <w:vertAlign w:val="superscript"/>
        </w:rPr>
        <w:t>3</w:t>
      </w:r>
      <w:r>
        <w:rPr>
          <w:rFonts w:ascii="宋体" w:hAnsi="宋体"/>
          <w:sz w:val="15"/>
          <w:szCs w:val="15"/>
        </w:rPr>
        <w:t>；</w:t>
      </w:r>
      <w:r>
        <w:rPr>
          <w:i/>
          <w:sz w:val="15"/>
          <w:szCs w:val="15"/>
        </w:rPr>
        <w:t>z</w:t>
      </w:r>
      <w:r>
        <w:rPr>
          <w:rFonts w:ascii="宋体" w:hAnsi="宋体"/>
          <w:sz w:val="15"/>
          <w:szCs w:val="15"/>
        </w:rPr>
        <w:t>=10m；</w:t>
      </w:r>
      <w:r>
        <w:rPr>
          <w:i/>
          <w:sz w:val="15"/>
          <w:szCs w:val="15"/>
        </w:rPr>
        <w:t>c</w:t>
      </w:r>
      <w:r>
        <w:rPr>
          <w:rFonts w:ascii="宋体" w:hAnsi="宋体"/>
          <w:sz w:val="15"/>
          <w:szCs w:val="15"/>
        </w:rPr>
        <w:t>=15kPa；</w:t>
      </w:r>
      <w:r>
        <w:rPr>
          <w:i/>
          <w:sz w:val="15"/>
          <w:szCs w:val="15"/>
        </w:rPr>
        <w:t>b=</w:t>
      </w:r>
      <w:r>
        <w:rPr>
          <w:rFonts w:ascii="宋体" w:hAnsi="宋体"/>
          <w:sz w:val="15"/>
          <w:szCs w:val="15"/>
        </w:rPr>
        <w:t>3m</w:t>
      </w:r>
      <w:r>
        <w:rPr>
          <w:rFonts w:hint="eastAsia" w:ascii="宋体" w:hAnsi="宋体"/>
          <w:sz w:val="15"/>
          <w:szCs w:val="15"/>
        </w:rPr>
        <w:t>）</w:t>
      </w:r>
    </w:p>
    <w:p w14:paraId="60D06DEF">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从图</w:t>
      </w:r>
      <w:r>
        <w:rPr>
          <w:sz w:val="20"/>
          <w:szCs w:val="20"/>
        </w:rPr>
        <w:t>3.3.8-3</w:t>
      </w:r>
      <w:r>
        <w:rPr>
          <w:rFonts w:hAnsi="宋体"/>
          <w:sz w:val="20"/>
          <w:szCs w:val="20"/>
        </w:rPr>
        <w:t>可以看出，随着深度的增加，剪切破坏角成非线性增长。图</w:t>
      </w:r>
      <w:r>
        <w:rPr>
          <w:sz w:val="20"/>
          <w:szCs w:val="20"/>
        </w:rPr>
        <w:t>3.3.8-4</w:t>
      </w:r>
      <w:r>
        <w:rPr>
          <w:rFonts w:hAnsi="宋体"/>
          <w:sz w:val="20"/>
          <w:szCs w:val="20"/>
        </w:rPr>
        <w:t>、</w:t>
      </w:r>
      <w:r>
        <w:rPr>
          <w:rFonts w:hint="eastAsia" w:hAnsi="宋体"/>
          <w:sz w:val="20"/>
          <w:szCs w:val="20"/>
        </w:rPr>
        <w:t>3.</w:t>
      </w:r>
      <w:r>
        <w:rPr>
          <w:rFonts w:hAnsi="宋体"/>
          <w:sz w:val="20"/>
          <w:szCs w:val="20"/>
        </w:rPr>
        <w:t>3</w:t>
      </w:r>
      <w:r>
        <w:rPr>
          <w:rFonts w:hint="eastAsia" w:hAnsi="宋体"/>
          <w:sz w:val="20"/>
          <w:szCs w:val="20"/>
        </w:rPr>
        <w:t>.8</w:t>
      </w:r>
      <w:r>
        <w:rPr>
          <w:sz w:val="20"/>
          <w:szCs w:val="20"/>
        </w:rPr>
        <w:t>-5</w:t>
      </w:r>
      <w:r>
        <w:rPr>
          <w:rFonts w:hAnsi="宋体"/>
          <w:sz w:val="20"/>
          <w:szCs w:val="20"/>
        </w:rPr>
        <w:t>则表明土粘聚力和有限土体宽度与剪切破坏角均成负相关。图</w:t>
      </w:r>
      <w:r>
        <w:rPr>
          <w:sz w:val="20"/>
          <w:szCs w:val="20"/>
        </w:rPr>
        <w:t>3.3.8-6</w:t>
      </w:r>
      <w:r>
        <w:rPr>
          <w:rFonts w:hAnsi="宋体"/>
          <w:sz w:val="20"/>
          <w:szCs w:val="20"/>
        </w:rPr>
        <w:t>显示，随着土内摩擦角的增大，剪切破坏角先是减小，随后增大</w:t>
      </w:r>
      <w:r>
        <w:rPr>
          <w:rFonts w:hint="eastAsia" w:ascii="宋体" w:hAnsi="宋体"/>
          <w:sz w:val="20"/>
          <w:szCs w:val="20"/>
        </w:rPr>
        <w:t>。</w:t>
      </w:r>
    </w:p>
    <w:p w14:paraId="4BDF68B8">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总之，有限土体剪切破坏角是个不确定值，它与计算深度、土内摩擦角、土粘聚力及有限土体宽度有密切关系。在进行有限土体土压力计算时，必须考虑这些影响因素。</w:t>
      </w:r>
    </w:p>
    <w:p w14:paraId="1BAE0108">
      <w:pPr>
        <w:autoSpaceDE w:val="0"/>
        <w:autoSpaceDN w:val="0"/>
        <w:adjustRightInd w:val="0"/>
        <w:snapToGrid w:val="0"/>
        <w:spacing w:line="288" w:lineRule="auto"/>
        <w:ind w:firstLine="402" w:firstLineChars="200"/>
        <w:textAlignment w:val="center"/>
        <w:rPr>
          <w:rFonts w:ascii="宋体" w:hAnsi="宋体"/>
          <w:sz w:val="20"/>
          <w:szCs w:val="20"/>
        </w:rPr>
      </w:pPr>
      <w:r>
        <w:rPr>
          <w:b/>
          <w:sz w:val="20"/>
          <w:szCs w:val="20"/>
        </w:rPr>
        <w:t>4．</w:t>
      </w:r>
      <w:r>
        <w:rPr>
          <w:rFonts w:hint="eastAsia" w:ascii="宋体" w:hAnsi="宋体"/>
          <w:sz w:val="20"/>
          <w:szCs w:val="20"/>
        </w:rPr>
        <w:t>土压力强度</w:t>
      </w:r>
    </w:p>
    <w:p w14:paraId="2180F0B8">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将</w:t>
      </w:r>
      <w:r>
        <w:rPr>
          <w:rFonts w:hAnsi="宋体"/>
          <w:sz w:val="20"/>
          <w:szCs w:val="20"/>
        </w:rPr>
        <w:t>（</w:t>
      </w:r>
      <w:r>
        <w:rPr>
          <w:sz w:val="20"/>
          <w:szCs w:val="20"/>
        </w:rPr>
        <w:t>6</w:t>
      </w:r>
      <w:r>
        <w:rPr>
          <w:rFonts w:hAnsi="宋体"/>
          <w:sz w:val="20"/>
          <w:szCs w:val="20"/>
        </w:rPr>
        <w:t>）式代入（</w:t>
      </w:r>
      <w:r>
        <w:rPr>
          <w:sz w:val="20"/>
          <w:szCs w:val="20"/>
        </w:rPr>
        <w:t>3</w:t>
      </w:r>
      <w:r>
        <w:rPr>
          <w:rFonts w:hAnsi="宋体"/>
          <w:sz w:val="20"/>
          <w:szCs w:val="20"/>
        </w:rPr>
        <w:t>）式，即可得到总主动土压力</w:t>
      </w:r>
      <w:r>
        <w:rPr>
          <w:i/>
          <w:sz w:val="20"/>
          <w:szCs w:val="20"/>
        </w:rPr>
        <w:t>E</w:t>
      </w:r>
      <w:r>
        <w:rPr>
          <w:i/>
          <w:sz w:val="20"/>
          <w:szCs w:val="20"/>
          <w:vertAlign w:val="subscript"/>
        </w:rPr>
        <w:t>a</w:t>
      </w:r>
      <w:r>
        <w:rPr>
          <w:rFonts w:hAnsi="宋体"/>
          <w:sz w:val="20"/>
          <w:szCs w:val="20"/>
        </w:rPr>
        <w:t>。</w:t>
      </w:r>
      <w:r>
        <w:rPr>
          <w:i/>
          <w:sz w:val="20"/>
          <w:szCs w:val="20"/>
        </w:rPr>
        <w:t>θ</w:t>
      </w:r>
      <w:r>
        <w:rPr>
          <w:rFonts w:hAnsi="宋体"/>
          <w:sz w:val="20"/>
          <w:szCs w:val="20"/>
        </w:rPr>
        <w:t>随深度</w:t>
      </w:r>
      <w:r>
        <w:rPr>
          <w:rFonts w:hint="eastAsia"/>
          <w:i/>
          <w:sz w:val="24"/>
          <w:szCs w:val="24"/>
        </w:rPr>
        <w:t>z</w:t>
      </w:r>
      <w:r>
        <w:rPr>
          <w:rFonts w:hAnsi="宋体"/>
          <w:sz w:val="20"/>
          <w:szCs w:val="20"/>
        </w:rPr>
        <w:t>的变化使得土压力强度</w:t>
      </w:r>
      <w:r>
        <w:rPr>
          <w:i/>
          <w:sz w:val="28"/>
          <w:szCs w:val="28"/>
        </w:rPr>
        <w:t>e</w:t>
      </w:r>
      <w:r>
        <w:rPr>
          <w:i/>
          <w:sz w:val="20"/>
          <w:szCs w:val="20"/>
          <w:vertAlign w:val="subscript"/>
        </w:rPr>
        <w:t>a</w:t>
      </w:r>
      <w:r>
        <w:rPr>
          <w:rFonts w:hAnsi="宋体"/>
          <w:sz w:val="20"/>
          <w:szCs w:val="20"/>
        </w:rPr>
        <w:t>不再随深度线性分布，因此很难求得式（</w:t>
      </w:r>
      <w:r>
        <w:rPr>
          <w:sz w:val="20"/>
          <w:szCs w:val="20"/>
        </w:rPr>
        <w:t>4</w:t>
      </w:r>
      <w:r>
        <w:rPr>
          <w:rFonts w:hint="eastAsia" w:ascii="宋体" w:hAnsi="宋体"/>
          <w:sz w:val="20"/>
          <w:szCs w:val="20"/>
        </w:rPr>
        <w:t>）的表达式，即</w:t>
      </w:r>
      <w:r>
        <w:rPr>
          <w:rFonts w:ascii="宋体" w:hAnsi="宋体"/>
          <w:sz w:val="20"/>
          <w:szCs w:val="20"/>
        </w:rPr>
        <w:object>
          <v:shape id="_x0000_i1157" o:spt="75" type="#_x0000_t75" style="height:11.5pt;width:29.4pt;" o:ole="t" filled="f" o:preferrelative="t" stroked="f" coordsize="21600,21600">
            <v:path/>
            <v:fill on="f" focussize="0,0"/>
            <v:stroke on="f" joinstyle="miter"/>
            <v:imagedata r:id="rId286" o:title=""/>
            <o:lock v:ext="edit" aspectratio="t"/>
            <w10:wrap type="none"/>
            <w10:anchorlock/>
          </v:shape>
          <o:OLEObject Type="Embed" ProgID="Equation.DSMT4" ShapeID="_x0000_i1157" DrawAspect="Content" ObjectID="_1468075861" r:id="rId285">
            <o:LockedField>false</o:LockedField>
          </o:OLEObject>
        </w:object>
      </w:r>
      <w:r>
        <w:rPr>
          <w:rFonts w:hint="eastAsia" w:ascii="宋体" w:hAnsi="宋体"/>
          <w:sz w:val="20"/>
          <w:szCs w:val="20"/>
        </w:rPr>
        <w:t>的表达式。但可以采用差分的形式表达</w:t>
      </w:r>
    </w:p>
    <w:p w14:paraId="620DE1AE">
      <w:pPr>
        <w:autoSpaceDE w:val="0"/>
        <w:autoSpaceDN w:val="0"/>
        <w:adjustRightInd w:val="0"/>
        <w:snapToGrid w:val="0"/>
        <w:spacing w:line="288" w:lineRule="auto"/>
        <w:ind w:firstLine="400" w:firstLineChars="200"/>
        <w:jc w:val="right"/>
        <w:textAlignment w:val="center"/>
        <w:rPr>
          <w:rFonts w:ascii="宋体" w:hAnsi="宋体"/>
          <w:sz w:val="20"/>
          <w:szCs w:val="20"/>
        </w:rPr>
      </w:pPr>
      <w:r>
        <w:rPr>
          <w:rFonts w:ascii="宋体" w:hAnsi="宋体"/>
          <w:sz w:val="20"/>
          <w:szCs w:val="20"/>
        </w:rPr>
        <w:object>
          <v:shape id="_x0000_i1158" o:spt="75" type="#_x0000_t75" style="height:29.4pt;width:122.1pt;" o:ole="t" filled="f" o:preferrelative="t" stroked="f" coordsize="21600,21600">
            <v:path/>
            <v:fill on="f" focussize="0,0"/>
            <v:stroke on="f" joinstyle="miter"/>
            <v:imagedata r:id="rId288" o:title=""/>
            <o:lock v:ext="edit" aspectratio="t"/>
            <w10:wrap type="none"/>
            <w10:anchorlock/>
          </v:shape>
          <o:OLEObject Type="Embed" ProgID="Equation.DSMT4" ShapeID="_x0000_i1158" DrawAspect="Content" ObjectID="_1468075862" r:id="rId287">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（8）</w:t>
      </w:r>
    </w:p>
    <w:p w14:paraId="4CC1BA31">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然而，式（8）只适合于滑动破坏土体为梯形的情况，如若计算深度较小，有限土体宽度足够宽，剪切破坏土体为三角形时，仍然需采用经典的土压力理论进行土压力强度计算。</w:t>
      </w:r>
    </w:p>
    <w:p w14:paraId="36C6E701">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① 当</w:t>
      </w:r>
      <w:r>
        <w:rPr>
          <w:rFonts w:ascii="宋体" w:hAnsi="宋体"/>
          <w:sz w:val="20"/>
          <w:szCs w:val="20"/>
        </w:rPr>
        <w:object>
          <v:shape id="_x0000_i1159" o:spt="75" type="#_x0000_t75" style="height:17.3pt;width:89.3pt;" o:ole="t" filled="f" o:preferrelative="t" stroked="f" coordsize="21600,21600">
            <v:path/>
            <v:fill on="f" focussize="0,0"/>
            <v:stroke on="f" joinstyle="miter"/>
            <v:imagedata r:id="rId290" o:title=""/>
            <o:lock v:ext="edit" aspectratio="t"/>
            <w10:wrap type="none"/>
            <w10:anchorlock/>
          </v:shape>
          <o:OLEObject Type="Embed" ProgID="Equation.DSMT4" ShapeID="_x0000_i1159" DrawAspect="Content" ObjectID="_1468075863" r:id="rId289">
            <o:LockedField>false</o:LockedField>
          </o:OLEObject>
        </w:object>
      </w:r>
      <w:r>
        <w:rPr>
          <w:rFonts w:hint="eastAsia" w:ascii="宋体" w:hAnsi="宋体"/>
          <w:sz w:val="20"/>
          <w:szCs w:val="20"/>
        </w:rPr>
        <w:t>时，剪切破坏面通过地面，此时破坏模式与经典的土压力破坏模式相同，则依照朗肯理论进行计算；</w:t>
      </w:r>
    </w:p>
    <w:p w14:paraId="4CBC954C">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② 当</w:t>
      </w:r>
      <w:r>
        <w:rPr>
          <w:rFonts w:ascii="宋体" w:hAnsi="宋体"/>
          <w:sz w:val="20"/>
          <w:szCs w:val="20"/>
        </w:rPr>
        <w:object>
          <v:shape id="_x0000_i1160" o:spt="75" type="#_x0000_t75" style="height:17.3pt;width:89.3pt;" o:ole="t" filled="f" o:preferrelative="t" stroked="f" coordsize="21600,21600">
            <v:path/>
            <v:fill on="f" focussize="0,0"/>
            <v:stroke on="f" joinstyle="miter"/>
            <v:imagedata r:id="rId292" o:title=""/>
            <o:lock v:ext="edit" aspectratio="t"/>
            <w10:wrap type="none"/>
            <w10:anchorlock/>
          </v:shape>
          <o:OLEObject Type="Embed" ProgID="Equation.DSMT4" ShapeID="_x0000_i1160" DrawAspect="Content" ObjectID="_1468075864" r:id="rId291">
            <o:LockedField>false</o:LockedField>
          </o:OLEObject>
        </w:object>
      </w:r>
      <w:r>
        <w:rPr>
          <w:rFonts w:hint="eastAsia" w:ascii="宋体" w:hAnsi="宋体"/>
          <w:sz w:val="20"/>
          <w:szCs w:val="20"/>
        </w:rPr>
        <w:t>时，桩墙后的剪切破坏土体为梯形体（如图</w:t>
      </w:r>
      <w:r>
        <w:rPr>
          <w:sz w:val="20"/>
          <w:szCs w:val="20"/>
        </w:rPr>
        <w:t>3.3.8-1</w:t>
      </w:r>
      <w:r>
        <w:rPr>
          <w:rFonts w:hAnsi="宋体"/>
          <w:sz w:val="20"/>
          <w:szCs w:val="20"/>
        </w:rPr>
        <w:t>中</w:t>
      </w:r>
      <w:r>
        <w:rPr>
          <w:sz w:val="20"/>
          <w:szCs w:val="20"/>
        </w:rPr>
        <w:t>B</w:t>
      </w:r>
      <w:r>
        <w:rPr>
          <w:rFonts w:hint="eastAsia" w:ascii="宋体" w:hAnsi="宋体"/>
          <w:sz w:val="20"/>
          <w:szCs w:val="20"/>
        </w:rPr>
        <w:t>所示），此时先根据（</w:t>
      </w:r>
      <w:r>
        <w:rPr>
          <w:sz w:val="20"/>
          <w:szCs w:val="20"/>
        </w:rPr>
        <w:t>6）式计算剪切破坏角，然后代入（3）式，再依据（8）式进行土</w:t>
      </w:r>
      <w:r>
        <w:rPr>
          <w:rFonts w:hint="eastAsia" w:ascii="宋体" w:hAnsi="宋体"/>
          <w:sz w:val="20"/>
          <w:szCs w:val="20"/>
        </w:rPr>
        <w:t>压力强度计算。</w:t>
      </w:r>
    </w:p>
    <w:p w14:paraId="57ECEA59">
      <w:pPr>
        <w:autoSpaceDE w:val="0"/>
        <w:autoSpaceDN w:val="0"/>
        <w:adjustRightInd w:val="0"/>
        <w:snapToGrid w:val="0"/>
        <w:spacing w:line="288" w:lineRule="auto"/>
        <w:ind w:firstLine="402" w:firstLineChars="200"/>
        <w:textAlignment w:val="center"/>
        <w:rPr>
          <w:rFonts w:ascii="宋体" w:hAnsi="宋体"/>
          <w:sz w:val="20"/>
          <w:szCs w:val="20"/>
        </w:rPr>
      </w:pPr>
      <w:r>
        <w:rPr>
          <w:b/>
          <w:sz w:val="20"/>
          <w:szCs w:val="20"/>
        </w:rPr>
        <w:t>5．</w:t>
      </w:r>
      <w:r>
        <w:rPr>
          <w:rFonts w:hint="eastAsia" w:ascii="宋体" w:hAnsi="宋体"/>
          <w:sz w:val="20"/>
          <w:szCs w:val="20"/>
        </w:rPr>
        <w:t>实例</w:t>
      </w:r>
    </w:p>
    <w:p w14:paraId="44D47B5E">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前提条件：土重度</w:t>
      </w:r>
      <w:r>
        <w:rPr>
          <w:i/>
          <w:sz w:val="20"/>
          <w:szCs w:val="20"/>
        </w:rPr>
        <w:t>γ</w:t>
      </w:r>
      <w:r>
        <w:rPr>
          <w:rFonts w:hint="eastAsia" w:ascii="宋体" w:hAnsi="宋体"/>
          <w:sz w:val="20"/>
          <w:szCs w:val="20"/>
        </w:rPr>
        <w:t>＝20</w:t>
      </w:r>
      <w:r>
        <w:rPr>
          <w:rFonts w:hint="eastAsia"/>
          <w:sz w:val="20"/>
          <w:szCs w:val="20"/>
        </w:rPr>
        <w:t>kN</w:t>
      </w:r>
      <w:r>
        <w:rPr>
          <w:rFonts w:hint="eastAsia" w:ascii="宋体" w:hAnsi="宋体"/>
          <w:sz w:val="20"/>
          <w:szCs w:val="20"/>
        </w:rPr>
        <w:t>/</w:t>
      </w:r>
      <w:r>
        <w:rPr>
          <w:rFonts w:hint="eastAsia"/>
          <w:sz w:val="20"/>
          <w:szCs w:val="20"/>
        </w:rPr>
        <w:t>m</w:t>
      </w:r>
      <w:r>
        <w:rPr>
          <w:rFonts w:hint="eastAsia"/>
          <w:sz w:val="20"/>
          <w:szCs w:val="20"/>
          <w:vertAlign w:val="superscript"/>
        </w:rPr>
        <w:t>3</w:t>
      </w:r>
      <w:r>
        <w:rPr>
          <w:rFonts w:hint="eastAsia" w:ascii="宋体" w:hAnsi="宋体"/>
          <w:sz w:val="20"/>
          <w:szCs w:val="20"/>
        </w:rPr>
        <w:t>、土的粘聚力</w:t>
      </w:r>
      <w:r>
        <w:rPr>
          <w:i/>
          <w:sz w:val="20"/>
          <w:szCs w:val="20"/>
        </w:rPr>
        <w:t>C</w:t>
      </w:r>
      <w:r>
        <w:rPr>
          <w:rFonts w:hint="eastAsia" w:ascii="宋体" w:hAnsi="宋体"/>
          <w:sz w:val="20"/>
          <w:szCs w:val="20"/>
        </w:rPr>
        <w:t>＝</w:t>
      </w:r>
      <w:r>
        <w:rPr>
          <w:sz w:val="20"/>
          <w:szCs w:val="20"/>
        </w:rPr>
        <w:t>10</w:t>
      </w:r>
      <w:r>
        <w:rPr>
          <w:rFonts w:hint="eastAsia" w:ascii="宋体" w:hAnsi="宋体"/>
          <w:sz w:val="20"/>
          <w:szCs w:val="20"/>
        </w:rPr>
        <w:t>kPa、内摩擦角</w:t>
      </w:r>
      <w:r>
        <w:rPr>
          <w:i/>
          <w:sz w:val="20"/>
          <w:szCs w:val="20"/>
        </w:rPr>
        <w:t>φ</w:t>
      </w:r>
      <w:r>
        <w:rPr>
          <w:rFonts w:hint="eastAsia" w:ascii="宋体" w:hAnsi="宋体"/>
          <w:sz w:val="20"/>
          <w:szCs w:val="20"/>
        </w:rPr>
        <w:t>=20º；计算深度15</w:t>
      </w:r>
      <w:r>
        <w:rPr>
          <w:rFonts w:hint="eastAsia"/>
          <w:sz w:val="20"/>
          <w:szCs w:val="20"/>
        </w:rPr>
        <w:t>m</w:t>
      </w:r>
      <w:r>
        <w:rPr>
          <w:rFonts w:hint="eastAsia" w:ascii="宋体" w:hAnsi="宋体"/>
          <w:sz w:val="20"/>
          <w:szCs w:val="20"/>
        </w:rPr>
        <w:t>；有限土体宽度</w:t>
      </w:r>
      <w:r>
        <w:rPr>
          <w:i/>
          <w:sz w:val="20"/>
          <w:szCs w:val="20"/>
        </w:rPr>
        <w:t>b</w:t>
      </w:r>
      <w:r>
        <w:rPr>
          <w:rFonts w:hint="eastAsia" w:ascii="宋体" w:hAnsi="宋体"/>
          <w:sz w:val="20"/>
          <w:szCs w:val="20"/>
        </w:rPr>
        <w:t>=3m。</w:t>
      </w:r>
      <w:r>
        <w:rPr>
          <w:rFonts w:ascii="宋体" w:hAnsi="宋体"/>
          <w:sz w:val="20"/>
          <w:szCs w:val="20"/>
        </w:rPr>
        <w:object>
          <v:shape id="_x0000_i1161" o:spt="75" type="#_x0000_t75" style="height:11.5pt;width:82.95pt;" o:ole="t" filled="f" o:preferrelative="t" stroked="f" coordsize="21600,21600">
            <v:path/>
            <v:fill on="f" focussize="0,0"/>
            <v:stroke on="f" joinstyle="miter"/>
            <v:imagedata r:id="rId294" o:title=""/>
            <o:lock v:ext="edit" aspectratio="t"/>
            <w10:wrap type="none"/>
            <w10:anchorlock/>
          </v:shape>
          <o:OLEObject Type="Embed" ProgID="Equation.DSMT4" ShapeID="_x0000_i1161" DrawAspect="Content" ObjectID="_1468075865" r:id="rId293">
            <o:LockedField>false</o:LockedField>
          </o:OLEObject>
        </w:object>
      </w:r>
      <w:r>
        <w:rPr>
          <w:sz w:val="20"/>
          <w:szCs w:val="20"/>
        </w:rPr>
        <w:t>m</w:t>
      </w:r>
    </w:p>
    <w:p w14:paraId="14ABD13B">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① 当</w:t>
      </w:r>
      <w:r>
        <w:rPr>
          <w:rFonts w:ascii="宋体" w:hAnsi="宋体"/>
          <w:sz w:val="20"/>
          <w:szCs w:val="20"/>
        </w:rPr>
        <w:object>
          <v:shape id="_x0000_i1162" o:spt="75" type="#_x0000_t75" style="height:10.95pt;width:42.05pt;" o:ole="t" filled="f" o:preferrelative="t" stroked="f" coordsize="21600,21600">
            <v:path/>
            <v:fill on="f" focussize="0,0"/>
            <v:stroke on="f" joinstyle="miter"/>
            <v:imagedata r:id="rId296" o:title=""/>
            <o:lock v:ext="edit" aspectratio="t"/>
            <w10:wrap type="none"/>
            <w10:anchorlock/>
          </v:shape>
          <o:OLEObject Type="Embed" ProgID="Equation.DSMT4" ShapeID="_x0000_i1162" DrawAspect="Content" ObjectID="_1468075866" r:id="rId295">
            <o:LockedField>false</o:LockedField>
          </o:OLEObject>
        </w:object>
      </w:r>
      <w:r>
        <w:rPr>
          <w:sz w:val="20"/>
          <w:szCs w:val="20"/>
        </w:rPr>
        <w:t>m</w:t>
      </w:r>
      <w:r>
        <w:rPr>
          <w:rFonts w:hint="eastAsia" w:ascii="宋体" w:hAnsi="宋体"/>
          <w:sz w:val="20"/>
          <w:szCs w:val="20"/>
        </w:rPr>
        <w:t>时 采用朗肯理论进行土压力强度计算。</w:t>
      </w:r>
    </w:p>
    <w:p w14:paraId="25F53A1D">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② 当</w:t>
      </w:r>
      <w:r>
        <w:rPr>
          <w:rFonts w:ascii="宋体" w:hAnsi="宋体"/>
          <w:sz w:val="20"/>
          <w:szCs w:val="20"/>
        </w:rPr>
        <w:object>
          <v:shape id="_x0000_i1163" o:spt="75" type="#_x0000_t75" style="height:10.95pt;width:40.9pt;" o:ole="t" filled="f" o:preferrelative="t" stroked="f" coordsize="21600,21600">
            <v:path/>
            <v:fill on="f" focussize="0,0"/>
            <v:stroke on="f" joinstyle="miter"/>
            <v:imagedata r:id="rId298" o:title=""/>
            <o:lock v:ext="edit" aspectratio="t"/>
            <w10:wrap type="none"/>
            <w10:anchorlock/>
          </v:shape>
          <o:OLEObject Type="Embed" ProgID="Equation.DSMT4" ShapeID="_x0000_i1163" DrawAspect="Content" ObjectID="_1468075867" r:id="rId297">
            <o:LockedField>false</o:LockedField>
          </o:OLEObject>
        </w:object>
      </w:r>
      <w:r>
        <w:rPr>
          <w:rFonts w:hint="eastAsia"/>
          <w:sz w:val="20"/>
          <w:szCs w:val="20"/>
        </w:rPr>
        <w:t>m</w:t>
      </w:r>
      <w:r>
        <w:rPr>
          <w:rFonts w:hint="eastAsia" w:ascii="宋体" w:hAnsi="宋体"/>
          <w:sz w:val="20"/>
          <w:szCs w:val="20"/>
        </w:rPr>
        <w:t>时，不同深度时的前切破坏角采用（</w:t>
      </w:r>
      <w:r>
        <w:rPr>
          <w:sz w:val="20"/>
          <w:szCs w:val="20"/>
        </w:rPr>
        <w:t>7</w:t>
      </w:r>
      <w:r>
        <w:rPr>
          <w:rFonts w:hAnsi="宋体"/>
          <w:sz w:val="20"/>
          <w:szCs w:val="20"/>
        </w:rPr>
        <w:t>）式进行计算；总土压力用（</w:t>
      </w:r>
      <w:r>
        <w:rPr>
          <w:sz w:val="20"/>
          <w:szCs w:val="20"/>
        </w:rPr>
        <w:t>4</w:t>
      </w:r>
      <w:r>
        <w:rPr>
          <w:rFonts w:hAnsi="宋体"/>
          <w:sz w:val="20"/>
          <w:szCs w:val="20"/>
        </w:rPr>
        <w:t>）式子计算；土压力强度采用（</w:t>
      </w:r>
      <w:r>
        <w:rPr>
          <w:sz w:val="20"/>
          <w:szCs w:val="20"/>
        </w:rPr>
        <w:t>9</w:t>
      </w:r>
      <w:r>
        <w:rPr>
          <w:rFonts w:hAnsi="宋体"/>
          <w:sz w:val="20"/>
          <w:szCs w:val="20"/>
        </w:rPr>
        <w:t>）</w:t>
      </w:r>
      <w:r>
        <w:rPr>
          <w:rFonts w:hint="eastAsia" w:ascii="宋体" w:hAnsi="宋体"/>
          <w:sz w:val="20"/>
          <w:szCs w:val="20"/>
        </w:rPr>
        <w:t>式计算。计算结果如下表。</w:t>
      </w:r>
    </w:p>
    <w:p w14:paraId="0C3541FD">
      <w:pPr>
        <w:adjustRightInd w:val="0"/>
        <w:snapToGrid w:val="0"/>
        <w:spacing w:before="120" w:beforeLines="50" w:line="288" w:lineRule="auto"/>
        <w:jc w:val="center"/>
        <w:textAlignment w:val="center"/>
        <w:rPr>
          <w:rFonts w:ascii="宋体" w:hAnsi="宋体"/>
          <w:b/>
          <w:sz w:val="15"/>
          <w:szCs w:val="15"/>
        </w:rPr>
      </w:pPr>
      <w:r>
        <w:rPr>
          <w:rFonts w:ascii="宋体" w:hAnsi="宋体"/>
          <w:b/>
          <w:sz w:val="15"/>
          <w:szCs w:val="15"/>
        </w:rPr>
        <w:t>表1  有限土体土压力计算结果</w:t>
      </w:r>
    </w:p>
    <w:tbl>
      <w:tblPr>
        <w:tblStyle w:val="34"/>
        <w:tblW w:w="584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45" w:type="dxa"/>
          <w:left w:w="28" w:type="dxa"/>
          <w:bottom w:w="45" w:type="dxa"/>
          <w:right w:w="28" w:type="dxa"/>
        </w:tblCellMar>
      </w:tblPr>
      <w:tblGrid>
        <w:gridCol w:w="1322"/>
        <w:gridCol w:w="1535"/>
        <w:gridCol w:w="1497"/>
        <w:gridCol w:w="1486"/>
      </w:tblGrid>
      <w:tr w14:paraId="475BB457">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36798D2F">
            <w:pPr>
              <w:adjustRightInd w:val="0"/>
              <w:snapToGrid w:val="0"/>
              <w:spacing w:line="264" w:lineRule="auto"/>
              <w:jc w:val="center"/>
              <w:rPr>
                <w:sz w:val="15"/>
                <w:szCs w:val="15"/>
              </w:rPr>
            </w:pPr>
            <w:r>
              <w:rPr>
                <w:i/>
                <w:sz w:val="15"/>
                <w:szCs w:val="15"/>
              </w:rPr>
              <w:t>z</w:t>
            </w:r>
            <w:r>
              <w:rPr>
                <w:rFonts w:hAnsi="宋体"/>
                <w:sz w:val="15"/>
                <w:szCs w:val="15"/>
              </w:rPr>
              <w:t>（</w:t>
            </w:r>
            <w:r>
              <w:rPr>
                <w:sz w:val="15"/>
                <w:szCs w:val="15"/>
              </w:rPr>
              <w:t>m</w:t>
            </w:r>
            <w:r>
              <w:rPr>
                <w:rFonts w:hAnsi="宋体"/>
                <w:sz w:val="15"/>
                <w:szCs w:val="15"/>
              </w:rPr>
              <w:t>）</w:t>
            </w:r>
          </w:p>
        </w:tc>
        <w:tc>
          <w:tcPr>
            <w:tcW w:w="1314" w:type="pct"/>
            <w:shd w:val="clear" w:color="auto" w:fill="auto"/>
            <w:noWrap/>
            <w:tcMar>
              <w:top w:w="13" w:type="dxa"/>
              <w:left w:w="13" w:type="dxa"/>
              <w:bottom w:w="0" w:type="dxa"/>
              <w:right w:w="13" w:type="dxa"/>
            </w:tcMar>
            <w:vAlign w:val="center"/>
          </w:tcPr>
          <w:p w14:paraId="306D1085">
            <w:pPr>
              <w:adjustRightInd w:val="0"/>
              <w:snapToGrid w:val="0"/>
              <w:spacing w:line="264" w:lineRule="auto"/>
              <w:jc w:val="center"/>
              <w:rPr>
                <w:sz w:val="15"/>
                <w:szCs w:val="15"/>
              </w:rPr>
            </w:pPr>
            <w:r>
              <w:rPr>
                <w:i/>
                <w:sz w:val="20"/>
                <w:szCs w:val="20"/>
              </w:rPr>
              <w:t>θ</w:t>
            </w:r>
            <w:r>
              <w:rPr>
                <w:rFonts w:hAnsi="宋体"/>
                <w:sz w:val="15"/>
                <w:szCs w:val="15"/>
              </w:rPr>
              <w:t>（</w:t>
            </w:r>
            <w:r>
              <w:rPr>
                <w:sz w:val="15"/>
                <w:szCs w:val="15"/>
              </w:rPr>
              <w:t>º</w:t>
            </w:r>
            <w:r>
              <w:rPr>
                <w:rFonts w:hAnsi="宋体"/>
                <w:sz w:val="15"/>
                <w:szCs w:val="15"/>
              </w:rPr>
              <w:t>）</w:t>
            </w:r>
          </w:p>
        </w:tc>
        <w:tc>
          <w:tcPr>
            <w:tcW w:w="1282" w:type="pct"/>
            <w:shd w:val="clear" w:color="auto" w:fill="auto"/>
            <w:noWrap/>
            <w:tcMar>
              <w:top w:w="13" w:type="dxa"/>
              <w:left w:w="13" w:type="dxa"/>
              <w:bottom w:w="0" w:type="dxa"/>
              <w:right w:w="13" w:type="dxa"/>
            </w:tcMar>
            <w:vAlign w:val="center"/>
          </w:tcPr>
          <w:p w14:paraId="5FA03B71">
            <w:pPr>
              <w:adjustRightInd w:val="0"/>
              <w:snapToGrid w:val="0"/>
              <w:spacing w:line="264" w:lineRule="auto"/>
              <w:jc w:val="center"/>
              <w:rPr>
                <w:sz w:val="15"/>
                <w:szCs w:val="15"/>
              </w:rPr>
            </w:pPr>
            <w:r>
              <w:rPr>
                <w:i/>
                <w:sz w:val="15"/>
                <w:szCs w:val="15"/>
              </w:rPr>
              <w:t>E</w:t>
            </w:r>
            <w:r>
              <w:rPr>
                <w:i/>
                <w:sz w:val="15"/>
                <w:szCs w:val="15"/>
                <w:vertAlign w:val="subscript"/>
              </w:rPr>
              <w:t>a</w:t>
            </w:r>
            <w:r>
              <w:rPr>
                <w:rFonts w:hAnsi="宋体"/>
                <w:sz w:val="15"/>
                <w:szCs w:val="15"/>
              </w:rPr>
              <w:t>（</w:t>
            </w:r>
            <w:r>
              <w:rPr>
                <w:sz w:val="15"/>
                <w:szCs w:val="15"/>
              </w:rPr>
              <w:t>kN</w:t>
            </w:r>
            <w:r>
              <w:rPr>
                <w:rFonts w:hAnsi="宋体"/>
                <w:sz w:val="15"/>
                <w:szCs w:val="15"/>
              </w:rPr>
              <w:t>）</w:t>
            </w:r>
          </w:p>
        </w:tc>
        <w:tc>
          <w:tcPr>
            <w:tcW w:w="1272" w:type="pct"/>
            <w:shd w:val="clear" w:color="auto" w:fill="auto"/>
            <w:noWrap/>
            <w:tcMar>
              <w:top w:w="13" w:type="dxa"/>
              <w:left w:w="13" w:type="dxa"/>
              <w:bottom w:w="0" w:type="dxa"/>
              <w:right w:w="13" w:type="dxa"/>
            </w:tcMar>
            <w:vAlign w:val="center"/>
          </w:tcPr>
          <w:p w14:paraId="037645E6">
            <w:pPr>
              <w:adjustRightInd w:val="0"/>
              <w:snapToGrid w:val="0"/>
              <w:spacing w:line="264" w:lineRule="auto"/>
              <w:jc w:val="center"/>
              <w:rPr>
                <w:sz w:val="15"/>
                <w:szCs w:val="15"/>
              </w:rPr>
            </w:pPr>
            <w:r>
              <w:rPr>
                <w:i/>
                <w:sz w:val="15"/>
                <w:szCs w:val="15"/>
              </w:rPr>
              <w:t>e</w:t>
            </w:r>
            <w:r>
              <w:rPr>
                <w:i/>
                <w:sz w:val="15"/>
                <w:szCs w:val="15"/>
                <w:vertAlign w:val="subscript"/>
              </w:rPr>
              <w:t>a</w:t>
            </w:r>
            <w:r>
              <w:rPr>
                <w:rFonts w:hAnsi="宋体"/>
                <w:sz w:val="15"/>
                <w:szCs w:val="15"/>
              </w:rPr>
              <w:t>（</w:t>
            </w:r>
            <w:r>
              <w:rPr>
                <w:sz w:val="15"/>
                <w:szCs w:val="15"/>
              </w:rPr>
              <w:t>kPa</w:t>
            </w:r>
            <w:r>
              <w:rPr>
                <w:rFonts w:hAnsi="宋体"/>
                <w:sz w:val="15"/>
                <w:szCs w:val="15"/>
              </w:rPr>
              <w:t>）</w:t>
            </w:r>
          </w:p>
        </w:tc>
      </w:tr>
      <w:tr w14:paraId="3B1A97F7">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495D19A6">
            <w:pPr>
              <w:adjustRightInd w:val="0"/>
              <w:snapToGrid w:val="0"/>
              <w:spacing w:line="264" w:lineRule="auto"/>
              <w:jc w:val="center"/>
              <w:rPr>
                <w:sz w:val="15"/>
                <w:szCs w:val="15"/>
              </w:rPr>
            </w:pPr>
            <w:r>
              <w:rPr>
                <w:sz w:val="15"/>
                <w:szCs w:val="15"/>
              </w:rPr>
              <w:t>5</w:t>
            </w:r>
          </w:p>
        </w:tc>
        <w:tc>
          <w:tcPr>
            <w:tcW w:w="1314" w:type="pct"/>
            <w:shd w:val="clear" w:color="auto" w:fill="auto"/>
            <w:noWrap/>
            <w:tcMar>
              <w:top w:w="13" w:type="dxa"/>
              <w:left w:w="13" w:type="dxa"/>
              <w:bottom w:w="0" w:type="dxa"/>
              <w:right w:w="13" w:type="dxa"/>
            </w:tcMar>
            <w:vAlign w:val="center"/>
          </w:tcPr>
          <w:p w14:paraId="3255CA3C">
            <w:pPr>
              <w:adjustRightInd w:val="0"/>
              <w:snapToGrid w:val="0"/>
              <w:spacing w:line="264" w:lineRule="auto"/>
              <w:jc w:val="center"/>
              <w:rPr>
                <w:sz w:val="15"/>
                <w:szCs w:val="15"/>
              </w:rPr>
            </w:pPr>
            <w:r>
              <w:rPr>
                <w:sz w:val="15"/>
                <w:szCs w:val="15"/>
              </w:rPr>
              <w:t>52.31105</w:t>
            </w:r>
          </w:p>
        </w:tc>
        <w:tc>
          <w:tcPr>
            <w:tcW w:w="1282" w:type="pct"/>
            <w:shd w:val="clear" w:color="auto" w:fill="auto"/>
            <w:noWrap/>
            <w:tcMar>
              <w:top w:w="13" w:type="dxa"/>
              <w:left w:w="13" w:type="dxa"/>
              <w:bottom w:w="0" w:type="dxa"/>
              <w:right w:w="13" w:type="dxa"/>
            </w:tcMar>
            <w:vAlign w:val="center"/>
          </w:tcPr>
          <w:p w14:paraId="00A18011">
            <w:pPr>
              <w:adjustRightInd w:val="0"/>
              <w:snapToGrid w:val="0"/>
              <w:spacing w:line="264" w:lineRule="auto"/>
              <w:jc w:val="center"/>
              <w:rPr>
                <w:sz w:val="15"/>
                <w:szCs w:val="15"/>
              </w:rPr>
            </w:pPr>
            <w:r>
              <w:rPr>
                <w:sz w:val="15"/>
                <w:szCs w:val="15"/>
              </w:rPr>
              <w:t>61.513</w:t>
            </w:r>
          </w:p>
        </w:tc>
        <w:tc>
          <w:tcPr>
            <w:tcW w:w="1272" w:type="pct"/>
            <w:shd w:val="clear" w:color="auto" w:fill="auto"/>
            <w:noWrap/>
            <w:tcMar>
              <w:top w:w="13" w:type="dxa"/>
              <w:left w:w="13" w:type="dxa"/>
              <w:bottom w:w="0" w:type="dxa"/>
              <w:right w:w="13" w:type="dxa"/>
            </w:tcMar>
            <w:vAlign w:val="center"/>
          </w:tcPr>
          <w:p w14:paraId="29185041">
            <w:pPr>
              <w:adjustRightInd w:val="0"/>
              <w:snapToGrid w:val="0"/>
              <w:spacing w:line="264" w:lineRule="auto"/>
              <w:jc w:val="center"/>
              <w:rPr>
                <w:sz w:val="15"/>
                <w:szCs w:val="15"/>
              </w:rPr>
            </w:pPr>
            <w:r>
              <w:rPr>
                <w:sz w:val="15"/>
                <w:szCs w:val="15"/>
              </w:rPr>
              <w:t>40.804</w:t>
            </w:r>
          </w:p>
        </w:tc>
      </w:tr>
      <w:tr w14:paraId="711F015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2CD18EF0">
            <w:pPr>
              <w:adjustRightInd w:val="0"/>
              <w:snapToGrid w:val="0"/>
              <w:spacing w:line="264" w:lineRule="auto"/>
              <w:jc w:val="center"/>
              <w:rPr>
                <w:sz w:val="15"/>
                <w:szCs w:val="15"/>
              </w:rPr>
            </w:pPr>
            <w:r>
              <w:rPr>
                <w:sz w:val="15"/>
                <w:szCs w:val="15"/>
              </w:rPr>
              <w:t>6</w:t>
            </w:r>
          </w:p>
        </w:tc>
        <w:tc>
          <w:tcPr>
            <w:tcW w:w="1314" w:type="pct"/>
            <w:shd w:val="clear" w:color="auto" w:fill="auto"/>
            <w:noWrap/>
            <w:tcMar>
              <w:top w:w="13" w:type="dxa"/>
              <w:left w:w="13" w:type="dxa"/>
              <w:bottom w:w="0" w:type="dxa"/>
              <w:right w:w="13" w:type="dxa"/>
            </w:tcMar>
            <w:vAlign w:val="center"/>
          </w:tcPr>
          <w:p w14:paraId="32322457">
            <w:pPr>
              <w:adjustRightInd w:val="0"/>
              <w:snapToGrid w:val="0"/>
              <w:spacing w:line="264" w:lineRule="auto"/>
              <w:jc w:val="center"/>
              <w:rPr>
                <w:sz w:val="15"/>
                <w:szCs w:val="15"/>
              </w:rPr>
            </w:pPr>
            <w:r>
              <w:rPr>
                <w:sz w:val="15"/>
                <w:szCs w:val="15"/>
              </w:rPr>
              <w:t>55.97798</w:t>
            </w:r>
          </w:p>
        </w:tc>
        <w:tc>
          <w:tcPr>
            <w:tcW w:w="1282" w:type="pct"/>
            <w:shd w:val="clear" w:color="auto" w:fill="auto"/>
            <w:noWrap/>
            <w:tcMar>
              <w:top w:w="13" w:type="dxa"/>
              <w:left w:w="13" w:type="dxa"/>
              <w:bottom w:w="0" w:type="dxa"/>
              <w:right w:w="13" w:type="dxa"/>
            </w:tcMar>
            <w:vAlign w:val="center"/>
          </w:tcPr>
          <w:p w14:paraId="41BCE7F2">
            <w:pPr>
              <w:adjustRightInd w:val="0"/>
              <w:snapToGrid w:val="0"/>
              <w:spacing w:line="264" w:lineRule="auto"/>
              <w:jc w:val="center"/>
              <w:rPr>
                <w:sz w:val="15"/>
                <w:szCs w:val="15"/>
              </w:rPr>
            </w:pPr>
            <w:r>
              <w:rPr>
                <w:sz w:val="15"/>
                <w:szCs w:val="15"/>
              </w:rPr>
              <w:t>102.317</w:t>
            </w:r>
          </w:p>
        </w:tc>
        <w:tc>
          <w:tcPr>
            <w:tcW w:w="1272" w:type="pct"/>
            <w:shd w:val="clear" w:color="auto" w:fill="auto"/>
            <w:noWrap/>
            <w:tcMar>
              <w:top w:w="13" w:type="dxa"/>
              <w:left w:w="13" w:type="dxa"/>
              <w:bottom w:w="0" w:type="dxa"/>
              <w:right w:w="13" w:type="dxa"/>
            </w:tcMar>
            <w:vAlign w:val="center"/>
          </w:tcPr>
          <w:p w14:paraId="4021EA13">
            <w:pPr>
              <w:adjustRightInd w:val="0"/>
              <w:snapToGrid w:val="0"/>
              <w:spacing w:line="264" w:lineRule="auto"/>
              <w:jc w:val="center"/>
              <w:rPr>
                <w:sz w:val="15"/>
                <w:szCs w:val="15"/>
              </w:rPr>
            </w:pPr>
            <w:r>
              <w:rPr>
                <w:sz w:val="15"/>
                <w:szCs w:val="15"/>
              </w:rPr>
              <w:t>46.092</w:t>
            </w:r>
          </w:p>
        </w:tc>
      </w:tr>
      <w:tr w14:paraId="76D1630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6118E527">
            <w:pPr>
              <w:adjustRightInd w:val="0"/>
              <w:snapToGrid w:val="0"/>
              <w:spacing w:line="264" w:lineRule="auto"/>
              <w:jc w:val="center"/>
              <w:rPr>
                <w:sz w:val="15"/>
                <w:szCs w:val="15"/>
              </w:rPr>
            </w:pPr>
            <w:r>
              <w:rPr>
                <w:sz w:val="15"/>
                <w:szCs w:val="15"/>
              </w:rPr>
              <w:t>7</w:t>
            </w:r>
          </w:p>
        </w:tc>
        <w:tc>
          <w:tcPr>
            <w:tcW w:w="1314" w:type="pct"/>
            <w:shd w:val="clear" w:color="auto" w:fill="auto"/>
            <w:noWrap/>
            <w:tcMar>
              <w:top w:w="13" w:type="dxa"/>
              <w:left w:w="13" w:type="dxa"/>
              <w:bottom w:w="0" w:type="dxa"/>
              <w:right w:w="13" w:type="dxa"/>
            </w:tcMar>
            <w:vAlign w:val="center"/>
          </w:tcPr>
          <w:p w14:paraId="0A6D92BF">
            <w:pPr>
              <w:adjustRightInd w:val="0"/>
              <w:snapToGrid w:val="0"/>
              <w:spacing w:line="264" w:lineRule="auto"/>
              <w:jc w:val="center"/>
              <w:rPr>
                <w:sz w:val="15"/>
                <w:szCs w:val="15"/>
              </w:rPr>
            </w:pPr>
            <w:r>
              <w:rPr>
                <w:sz w:val="15"/>
                <w:szCs w:val="15"/>
              </w:rPr>
              <w:t>58.95736</w:t>
            </w:r>
          </w:p>
        </w:tc>
        <w:tc>
          <w:tcPr>
            <w:tcW w:w="1282" w:type="pct"/>
            <w:shd w:val="clear" w:color="auto" w:fill="auto"/>
            <w:noWrap/>
            <w:tcMar>
              <w:top w:w="13" w:type="dxa"/>
              <w:left w:w="13" w:type="dxa"/>
              <w:bottom w:w="0" w:type="dxa"/>
              <w:right w:w="13" w:type="dxa"/>
            </w:tcMar>
            <w:vAlign w:val="center"/>
          </w:tcPr>
          <w:p w14:paraId="1EAEA743">
            <w:pPr>
              <w:adjustRightInd w:val="0"/>
              <w:snapToGrid w:val="0"/>
              <w:spacing w:line="264" w:lineRule="auto"/>
              <w:jc w:val="center"/>
              <w:rPr>
                <w:sz w:val="15"/>
                <w:szCs w:val="15"/>
              </w:rPr>
            </w:pPr>
            <w:r>
              <w:rPr>
                <w:sz w:val="15"/>
                <w:szCs w:val="15"/>
              </w:rPr>
              <w:t>148.409</w:t>
            </w:r>
          </w:p>
        </w:tc>
        <w:tc>
          <w:tcPr>
            <w:tcW w:w="1272" w:type="pct"/>
            <w:shd w:val="clear" w:color="auto" w:fill="auto"/>
            <w:noWrap/>
            <w:tcMar>
              <w:top w:w="13" w:type="dxa"/>
              <w:left w:w="13" w:type="dxa"/>
              <w:bottom w:w="0" w:type="dxa"/>
              <w:right w:w="13" w:type="dxa"/>
            </w:tcMar>
            <w:vAlign w:val="center"/>
          </w:tcPr>
          <w:p w14:paraId="021652F1">
            <w:pPr>
              <w:adjustRightInd w:val="0"/>
              <w:snapToGrid w:val="0"/>
              <w:spacing w:line="264" w:lineRule="auto"/>
              <w:jc w:val="center"/>
              <w:rPr>
                <w:sz w:val="15"/>
                <w:szCs w:val="15"/>
              </w:rPr>
            </w:pPr>
            <w:r>
              <w:rPr>
                <w:sz w:val="15"/>
                <w:szCs w:val="15"/>
              </w:rPr>
              <w:t>50.758</w:t>
            </w:r>
          </w:p>
        </w:tc>
      </w:tr>
      <w:tr w14:paraId="2875D100">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5BE78F85">
            <w:pPr>
              <w:adjustRightInd w:val="0"/>
              <w:snapToGrid w:val="0"/>
              <w:spacing w:line="264" w:lineRule="auto"/>
              <w:jc w:val="center"/>
              <w:rPr>
                <w:sz w:val="15"/>
                <w:szCs w:val="15"/>
              </w:rPr>
            </w:pPr>
            <w:r>
              <w:rPr>
                <w:sz w:val="15"/>
                <w:szCs w:val="15"/>
              </w:rPr>
              <w:t>8</w:t>
            </w:r>
          </w:p>
        </w:tc>
        <w:tc>
          <w:tcPr>
            <w:tcW w:w="1314" w:type="pct"/>
            <w:shd w:val="clear" w:color="auto" w:fill="auto"/>
            <w:noWrap/>
            <w:tcMar>
              <w:top w:w="13" w:type="dxa"/>
              <w:left w:w="13" w:type="dxa"/>
              <w:bottom w:w="0" w:type="dxa"/>
              <w:right w:w="13" w:type="dxa"/>
            </w:tcMar>
            <w:vAlign w:val="center"/>
          </w:tcPr>
          <w:p w14:paraId="2F09F3A5">
            <w:pPr>
              <w:adjustRightInd w:val="0"/>
              <w:snapToGrid w:val="0"/>
              <w:spacing w:line="264" w:lineRule="auto"/>
              <w:jc w:val="center"/>
              <w:rPr>
                <w:sz w:val="15"/>
                <w:szCs w:val="15"/>
              </w:rPr>
            </w:pPr>
            <w:r>
              <w:rPr>
                <w:sz w:val="15"/>
                <w:szCs w:val="15"/>
              </w:rPr>
              <w:t>61.42108</w:t>
            </w:r>
          </w:p>
        </w:tc>
        <w:tc>
          <w:tcPr>
            <w:tcW w:w="1282" w:type="pct"/>
            <w:shd w:val="clear" w:color="auto" w:fill="auto"/>
            <w:noWrap/>
            <w:tcMar>
              <w:top w:w="13" w:type="dxa"/>
              <w:left w:w="13" w:type="dxa"/>
              <w:bottom w:w="0" w:type="dxa"/>
              <w:right w:w="13" w:type="dxa"/>
            </w:tcMar>
            <w:vAlign w:val="center"/>
          </w:tcPr>
          <w:p w14:paraId="46171D2F">
            <w:pPr>
              <w:adjustRightInd w:val="0"/>
              <w:snapToGrid w:val="0"/>
              <w:spacing w:line="264" w:lineRule="auto"/>
              <w:jc w:val="center"/>
              <w:rPr>
                <w:sz w:val="15"/>
                <w:szCs w:val="15"/>
              </w:rPr>
            </w:pPr>
            <w:r>
              <w:rPr>
                <w:sz w:val="15"/>
                <w:szCs w:val="15"/>
              </w:rPr>
              <w:t>199.167</w:t>
            </w:r>
          </w:p>
        </w:tc>
        <w:tc>
          <w:tcPr>
            <w:tcW w:w="1272" w:type="pct"/>
            <w:shd w:val="clear" w:color="auto" w:fill="auto"/>
            <w:noWrap/>
            <w:tcMar>
              <w:top w:w="13" w:type="dxa"/>
              <w:left w:w="13" w:type="dxa"/>
              <w:bottom w:w="0" w:type="dxa"/>
              <w:right w:w="13" w:type="dxa"/>
            </w:tcMar>
            <w:vAlign w:val="center"/>
          </w:tcPr>
          <w:p w14:paraId="54CDBE4F">
            <w:pPr>
              <w:adjustRightInd w:val="0"/>
              <w:snapToGrid w:val="0"/>
              <w:spacing w:line="264" w:lineRule="auto"/>
              <w:jc w:val="center"/>
              <w:rPr>
                <w:sz w:val="15"/>
                <w:szCs w:val="15"/>
              </w:rPr>
            </w:pPr>
            <w:r>
              <w:rPr>
                <w:sz w:val="15"/>
                <w:szCs w:val="15"/>
              </w:rPr>
              <w:t>54.913</w:t>
            </w:r>
          </w:p>
        </w:tc>
      </w:tr>
      <w:tr w14:paraId="71E23E1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06226C7E">
            <w:pPr>
              <w:adjustRightInd w:val="0"/>
              <w:snapToGrid w:val="0"/>
              <w:spacing w:line="264" w:lineRule="auto"/>
              <w:jc w:val="center"/>
              <w:rPr>
                <w:sz w:val="15"/>
                <w:szCs w:val="15"/>
              </w:rPr>
            </w:pPr>
            <w:r>
              <w:rPr>
                <w:sz w:val="15"/>
                <w:szCs w:val="15"/>
              </w:rPr>
              <w:t>9</w:t>
            </w:r>
          </w:p>
        </w:tc>
        <w:tc>
          <w:tcPr>
            <w:tcW w:w="1314" w:type="pct"/>
            <w:shd w:val="clear" w:color="auto" w:fill="auto"/>
            <w:noWrap/>
            <w:tcMar>
              <w:top w:w="13" w:type="dxa"/>
              <w:left w:w="13" w:type="dxa"/>
              <w:bottom w:w="0" w:type="dxa"/>
              <w:right w:w="13" w:type="dxa"/>
            </w:tcMar>
            <w:vAlign w:val="center"/>
          </w:tcPr>
          <w:p w14:paraId="52810ED9">
            <w:pPr>
              <w:adjustRightInd w:val="0"/>
              <w:snapToGrid w:val="0"/>
              <w:spacing w:line="264" w:lineRule="auto"/>
              <w:jc w:val="center"/>
              <w:rPr>
                <w:sz w:val="15"/>
                <w:szCs w:val="15"/>
              </w:rPr>
            </w:pPr>
            <w:r>
              <w:rPr>
                <w:sz w:val="15"/>
                <w:szCs w:val="15"/>
              </w:rPr>
              <w:t>63.42643</w:t>
            </w:r>
          </w:p>
        </w:tc>
        <w:tc>
          <w:tcPr>
            <w:tcW w:w="1282" w:type="pct"/>
            <w:shd w:val="clear" w:color="auto" w:fill="auto"/>
            <w:noWrap/>
            <w:tcMar>
              <w:top w:w="13" w:type="dxa"/>
              <w:left w:w="13" w:type="dxa"/>
              <w:bottom w:w="0" w:type="dxa"/>
              <w:right w:w="13" w:type="dxa"/>
            </w:tcMar>
            <w:vAlign w:val="center"/>
          </w:tcPr>
          <w:p w14:paraId="354071D2">
            <w:pPr>
              <w:adjustRightInd w:val="0"/>
              <w:snapToGrid w:val="0"/>
              <w:spacing w:line="264" w:lineRule="auto"/>
              <w:jc w:val="center"/>
              <w:rPr>
                <w:sz w:val="15"/>
                <w:szCs w:val="15"/>
              </w:rPr>
            </w:pPr>
            <w:r>
              <w:rPr>
                <w:sz w:val="15"/>
                <w:szCs w:val="15"/>
              </w:rPr>
              <w:t>254.08</w:t>
            </w:r>
          </w:p>
        </w:tc>
        <w:tc>
          <w:tcPr>
            <w:tcW w:w="1272" w:type="pct"/>
            <w:shd w:val="clear" w:color="auto" w:fill="auto"/>
            <w:noWrap/>
            <w:tcMar>
              <w:top w:w="13" w:type="dxa"/>
              <w:left w:w="13" w:type="dxa"/>
              <w:bottom w:w="0" w:type="dxa"/>
              <w:right w:w="13" w:type="dxa"/>
            </w:tcMar>
            <w:vAlign w:val="center"/>
          </w:tcPr>
          <w:p w14:paraId="28F6D126">
            <w:pPr>
              <w:adjustRightInd w:val="0"/>
              <w:snapToGrid w:val="0"/>
              <w:spacing w:line="264" w:lineRule="auto"/>
              <w:jc w:val="center"/>
              <w:rPr>
                <w:sz w:val="15"/>
                <w:szCs w:val="15"/>
              </w:rPr>
            </w:pPr>
            <w:r>
              <w:rPr>
                <w:sz w:val="15"/>
                <w:szCs w:val="15"/>
              </w:rPr>
              <w:t>58.645</w:t>
            </w:r>
          </w:p>
        </w:tc>
      </w:tr>
      <w:tr w14:paraId="41CA40C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2D0D1481">
            <w:pPr>
              <w:adjustRightInd w:val="0"/>
              <w:snapToGrid w:val="0"/>
              <w:spacing w:line="264" w:lineRule="auto"/>
              <w:jc w:val="center"/>
              <w:rPr>
                <w:sz w:val="15"/>
                <w:szCs w:val="15"/>
              </w:rPr>
            </w:pPr>
            <w:r>
              <w:rPr>
                <w:sz w:val="15"/>
                <w:szCs w:val="15"/>
              </w:rPr>
              <w:t>10</w:t>
            </w:r>
          </w:p>
        </w:tc>
        <w:tc>
          <w:tcPr>
            <w:tcW w:w="1314" w:type="pct"/>
            <w:shd w:val="clear" w:color="auto" w:fill="auto"/>
            <w:noWrap/>
            <w:tcMar>
              <w:top w:w="13" w:type="dxa"/>
              <w:left w:w="13" w:type="dxa"/>
              <w:bottom w:w="0" w:type="dxa"/>
              <w:right w:w="13" w:type="dxa"/>
            </w:tcMar>
            <w:vAlign w:val="center"/>
          </w:tcPr>
          <w:p w14:paraId="36249318">
            <w:pPr>
              <w:adjustRightInd w:val="0"/>
              <w:snapToGrid w:val="0"/>
              <w:spacing w:line="264" w:lineRule="auto"/>
              <w:jc w:val="center"/>
              <w:rPr>
                <w:sz w:val="15"/>
                <w:szCs w:val="15"/>
              </w:rPr>
            </w:pPr>
            <w:r>
              <w:rPr>
                <w:sz w:val="15"/>
                <w:szCs w:val="15"/>
              </w:rPr>
              <w:t>65.20260</w:t>
            </w:r>
          </w:p>
        </w:tc>
        <w:tc>
          <w:tcPr>
            <w:tcW w:w="1282" w:type="pct"/>
            <w:shd w:val="clear" w:color="auto" w:fill="auto"/>
            <w:noWrap/>
            <w:tcMar>
              <w:top w:w="13" w:type="dxa"/>
              <w:left w:w="13" w:type="dxa"/>
              <w:bottom w:w="0" w:type="dxa"/>
              <w:right w:w="13" w:type="dxa"/>
            </w:tcMar>
            <w:vAlign w:val="center"/>
          </w:tcPr>
          <w:p w14:paraId="28D052FB">
            <w:pPr>
              <w:adjustRightInd w:val="0"/>
              <w:snapToGrid w:val="0"/>
              <w:spacing w:line="264" w:lineRule="auto"/>
              <w:jc w:val="center"/>
              <w:rPr>
                <w:sz w:val="15"/>
                <w:szCs w:val="15"/>
              </w:rPr>
            </w:pPr>
            <w:r>
              <w:rPr>
                <w:sz w:val="15"/>
                <w:szCs w:val="15"/>
              </w:rPr>
              <w:t>312.725</w:t>
            </w:r>
          </w:p>
        </w:tc>
        <w:tc>
          <w:tcPr>
            <w:tcW w:w="1272" w:type="pct"/>
            <w:shd w:val="clear" w:color="auto" w:fill="auto"/>
            <w:noWrap/>
            <w:tcMar>
              <w:top w:w="13" w:type="dxa"/>
              <w:left w:w="13" w:type="dxa"/>
              <w:bottom w:w="0" w:type="dxa"/>
              <w:right w:w="13" w:type="dxa"/>
            </w:tcMar>
            <w:vAlign w:val="center"/>
          </w:tcPr>
          <w:p w14:paraId="36658403">
            <w:pPr>
              <w:adjustRightInd w:val="0"/>
              <w:snapToGrid w:val="0"/>
              <w:spacing w:line="264" w:lineRule="auto"/>
              <w:jc w:val="center"/>
              <w:rPr>
                <w:sz w:val="15"/>
                <w:szCs w:val="15"/>
              </w:rPr>
            </w:pPr>
            <w:r>
              <w:rPr>
                <w:sz w:val="15"/>
                <w:szCs w:val="15"/>
              </w:rPr>
              <w:t>62.021</w:t>
            </w:r>
          </w:p>
        </w:tc>
      </w:tr>
      <w:tr w14:paraId="2E919F07">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2CC9A358">
            <w:pPr>
              <w:adjustRightInd w:val="0"/>
              <w:snapToGrid w:val="0"/>
              <w:spacing w:line="264" w:lineRule="auto"/>
              <w:jc w:val="center"/>
              <w:rPr>
                <w:sz w:val="15"/>
                <w:szCs w:val="15"/>
              </w:rPr>
            </w:pPr>
            <w:r>
              <w:rPr>
                <w:sz w:val="15"/>
                <w:szCs w:val="15"/>
              </w:rPr>
              <w:t>11</w:t>
            </w:r>
          </w:p>
        </w:tc>
        <w:tc>
          <w:tcPr>
            <w:tcW w:w="1314" w:type="pct"/>
            <w:shd w:val="clear" w:color="auto" w:fill="auto"/>
            <w:noWrap/>
            <w:tcMar>
              <w:top w:w="13" w:type="dxa"/>
              <w:left w:w="13" w:type="dxa"/>
              <w:bottom w:w="0" w:type="dxa"/>
              <w:right w:w="13" w:type="dxa"/>
            </w:tcMar>
            <w:vAlign w:val="center"/>
          </w:tcPr>
          <w:p w14:paraId="799D9716">
            <w:pPr>
              <w:adjustRightInd w:val="0"/>
              <w:snapToGrid w:val="0"/>
              <w:spacing w:line="264" w:lineRule="auto"/>
              <w:jc w:val="center"/>
              <w:rPr>
                <w:sz w:val="15"/>
                <w:szCs w:val="15"/>
              </w:rPr>
            </w:pPr>
            <w:r>
              <w:rPr>
                <w:sz w:val="15"/>
                <w:szCs w:val="15"/>
              </w:rPr>
              <w:t>66.69229</w:t>
            </w:r>
          </w:p>
        </w:tc>
        <w:tc>
          <w:tcPr>
            <w:tcW w:w="1282" w:type="pct"/>
            <w:shd w:val="clear" w:color="auto" w:fill="auto"/>
            <w:noWrap/>
            <w:tcMar>
              <w:top w:w="13" w:type="dxa"/>
              <w:left w:w="13" w:type="dxa"/>
              <w:bottom w:w="0" w:type="dxa"/>
              <w:right w:w="13" w:type="dxa"/>
            </w:tcMar>
            <w:vAlign w:val="center"/>
          </w:tcPr>
          <w:p w14:paraId="7120AC38">
            <w:pPr>
              <w:adjustRightInd w:val="0"/>
              <w:snapToGrid w:val="0"/>
              <w:spacing w:line="264" w:lineRule="auto"/>
              <w:jc w:val="center"/>
              <w:rPr>
                <w:sz w:val="15"/>
                <w:szCs w:val="15"/>
              </w:rPr>
            </w:pPr>
            <w:r>
              <w:rPr>
                <w:sz w:val="15"/>
                <w:szCs w:val="15"/>
              </w:rPr>
              <w:t>374.746</w:t>
            </w:r>
          </w:p>
        </w:tc>
        <w:tc>
          <w:tcPr>
            <w:tcW w:w="1272" w:type="pct"/>
            <w:shd w:val="clear" w:color="auto" w:fill="auto"/>
            <w:noWrap/>
            <w:tcMar>
              <w:top w:w="13" w:type="dxa"/>
              <w:left w:w="13" w:type="dxa"/>
              <w:bottom w:w="0" w:type="dxa"/>
              <w:right w:w="13" w:type="dxa"/>
            </w:tcMar>
            <w:vAlign w:val="center"/>
          </w:tcPr>
          <w:p w14:paraId="67240E29">
            <w:pPr>
              <w:adjustRightInd w:val="0"/>
              <w:snapToGrid w:val="0"/>
              <w:spacing w:line="264" w:lineRule="auto"/>
              <w:jc w:val="center"/>
              <w:rPr>
                <w:sz w:val="15"/>
                <w:szCs w:val="15"/>
              </w:rPr>
            </w:pPr>
            <w:r>
              <w:rPr>
                <w:sz w:val="15"/>
                <w:szCs w:val="15"/>
              </w:rPr>
              <w:t>65.096</w:t>
            </w:r>
          </w:p>
        </w:tc>
      </w:tr>
      <w:tr w14:paraId="168B87B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7A9E54EE">
            <w:pPr>
              <w:adjustRightInd w:val="0"/>
              <w:snapToGrid w:val="0"/>
              <w:spacing w:line="264" w:lineRule="auto"/>
              <w:jc w:val="center"/>
              <w:rPr>
                <w:sz w:val="15"/>
                <w:szCs w:val="15"/>
              </w:rPr>
            </w:pPr>
            <w:r>
              <w:rPr>
                <w:sz w:val="15"/>
                <w:szCs w:val="15"/>
              </w:rPr>
              <w:t>12</w:t>
            </w:r>
          </w:p>
        </w:tc>
        <w:tc>
          <w:tcPr>
            <w:tcW w:w="1314" w:type="pct"/>
            <w:shd w:val="clear" w:color="auto" w:fill="auto"/>
            <w:noWrap/>
            <w:tcMar>
              <w:top w:w="13" w:type="dxa"/>
              <w:left w:w="13" w:type="dxa"/>
              <w:bottom w:w="0" w:type="dxa"/>
              <w:right w:w="13" w:type="dxa"/>
            </w:tcMar>
            <w:vAlign w:val="center"/>
          </w:tcPr>
          <w:p w14:paraId="1CF7FAF0">
            <w:pPr>
              <w:adjustRightInd w:val="0"/>
              <w:snapToGrid w:val="0"/>
              <w:spacing w:line="264" w:lineRule="auto"/>
              <w:jc w:val="center"/>
              <w:rPr>
                <w:sz w:val="15"/>
                <w:szCs w:val="15"/>
              </w:rPr>
            </w:pPr>
            <w:r>
              <w:rPr>
                <w:sz w:val="15"/>
                <w:szCs w:val="15"/>
              </w:rPr>
              <w:t>67.95279</w:t>
            </w:r>
          </w:p>
        </w:tc>
        <w:tc>
          <w:tcPr>
            <w:tcW w:w="1282" w:type="pct"/>
            <w:shd w:val="clear" w:color="auto" w:fill="auto"/>
            <w:noWrap/>
            <w:tcMar>
              <w:top w:w="13" w:type="dxa"/>
              <w:left w:w="13" w:type="dxa"/>
              <w:bottom w:w="0" w:type="dxa"/>
              <w:right w:w="13" w:type="dxa"/>
            </w:tcMar>
            <w:vAlign w:val="center"/>
          </w:tcPr>
          <w:p w14:paraId="09999471">
            <w:pPr>
              <w:adjustRightInd w:val="0"/>
              <w:snapToGrid w:val="0"/>
              <w:spacing w:line="264" w:lineRule="auto"/>
              <w:jc w:val="center"/>
              <w:rPr>
                <w:sz w:val="15"/>
                <w:szCs w:val="15"/>
              </w:rPr>
            </w:pPr>
            <w:r>
              <w:rPr>
                <w:sz w:val="15"/>
                <w:szCs w:val="15"/>
              </w:rPr>
              <w:t>439.842</w:t>
            </w:r>
          </w:p>
        </w:tc>
        <w:tc>
          <w:tcPr>
            <w:tcW w:w="1272" w:type="pct"/>
            <w:shd w:val="clear" w:color="auto" w:fill="auto"/>
            <w:noWrap/>
            <w:tcMar>
              <w:top w:w="13" w:type="dxa"/>
              <w:left w:w="13" w:type="dxa"/>
              <w:bottom w:w="0" w:type="dxa"/>
              <w:right w:w="13" w:type="dxa"/>
            </w:tcMar>
            <w:vAlign w:val="center"/>
          </w:tcPr>
          <w:p w14:paraId="70A470E4">
            <w:pPr>
              <w:adjustRightInd w:val="0"/>
              <w:snapToGrid w:val="0"/>
              <w:spacing w:line="264" w:lineRule="auto"/>
              <w:jc w:val="center"/>
              <w:rPr>
                <w:sz w:val="15"/>
                <w:szCs w:val="15"/>
              </w:rPr>
            </w:pPr>
            <w:r>
              <w:rPr>
                <w:sz w:val="15"/>
                <w:szCs w:val="15"/>
              </w:rPr>
              <w:t>67.907</w:t>
            </w:r>
          </w:p>
        </w:tc>
      </w:tr>
      <w:tr w14:paraId="5DAB7B7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1CA75450">
            <w:pPr>
              <w:adjustRightInd w:val="0"/>
              <w:snapToGrid w:val="0"/>
              <w:spacing w:line="264" w:lineRule="auto"/>
              <w:jc w:val="center"/>
              <w:rPr>
                <w:sz w:val="15"/>
                <w:szCs w:val="15"/>
              </w:rPr>
            </w:pPr>
            <w:r>
              <w:rPr>
                <w:sz w:val="15"/>
                <w:szCs w:val="15"/>
              </w:rPr>
              <w:t>13</w:t>
            </w:r>
          </w:p>
        </w:tc>
        <w:tc>
          <w:tcPr>
            <w:tcW w:w="1314" w:type="pct"/>
            <w:shd w:val="clear" w:color="auto" w:fill="auto"/>
            <w:noWrap/>
            <w:tcMar>
              <w:top w:w="13" w:type="dxa"/>
              <w:left w:w="13" w:type="dxa"/>
              <w:bottom w:w="0" w:type="dxa"/>
              <w:right w:w="13" w:type="dxa"/>
            </w:tcMar>
            <w:vAlign w:val="center"/>
          </w:tcPr>
          <w:p w14:paraId="6CFCE540">
            <w:pPr>
              <w:adjustRightInd w:val="0"/>
              <w:snapToGrid w:val="0"/>
              <w:spacing w:line="264" w:lineRule="auto"/>
              <w:jc w:val="center"/>
              <w:rPr>
                <w:sz w:val="15"/>
                <w:szCs w:val="15"/>
              </w:rPr>
            </w:pPr>
            <w:r>
              <w:rPr>
                <w:sz w:val="15"/>
                <w:szCs w:val="15"/>
              </w:rPr>
              <w:t>69.09871</w:t>
            </w:r>
          </w:p>
        </w:tc>
        <w:tc>
          <w:tcPr>
            <w:tcW w:w="1282" w:type="pct"/>
            <w:shd w:val="clear" w:color="auto" w:fill="auto"/>
            <w:noWrap/>
            <w:tcMar>
              <w:top w:w="13" w:type="dxa"/>
              <w:left w:w="13" w:type="dxa"/>
              <w:bottom w:w="0" w:type="dxa"/>
              <w:right w:w="13" w:type="dxa"/>
            </w:tcMar>
            <w:vAlign w:val="center"/>
          </w:tcPr>
          <w:p w14:paraId="670EE7B3">
            <w:pPr>
              <w:adjustRightInd w:val="0"/>
              <w:snapToGrid w:val="0"/>
              <w:spacing w:line="264" w:lineRule="auto"/>
              <w:jc w:val="center"/>
              <w:rPr>
                <w:sz w:val="15"/>
                <w:szCs w:val="15"/>
              </w:rPr>
            </w:pPr>
            <w:r>
              <w:rPr>
                <w:sz w:val="15"/>
                <w:szCs w:val="15"/>
              </w:rPr>
              <w:t>507.749</w:t>
            </w:r>
          </w:p>
        </w:tc>
        <w:tc>
          <w:tcPr>
            <w:tcW w:w="1272" w:type="pct"/>
            <w:shd w:val="clear" w:color="auto" w:fill="auto"/>
            <w:noWrap/>
            <w:tcMar>
              <w:top w:w="13" w:type="dxa"/>
              <w:left w:w="13" w:type="dxa"/>
              <w:bottom w:w="0" w:type="dxa"/>
              <w:right w:w="13" w:type="dxa"/>
            </w:tcMar>
            <w:vAlign w:val="center"/>
          </w:tcPr>
          <w:p w14:paraId="5F6B06CA">
            <w:pPr>
              <w:adjustRightInd w:val="0"/>
              <w:snapToGrid w:val="0"/>
              <w:spacing w:line="264" w:lineRule="auto"/>
              <w:jc w:val="center"/>
              <w:rPr>
                <w:sz w:val="15"/>
                <w:szCs w:val="15"/>
              </w:rPr>
            </w:pPr>
            <w:r>
              <w:rPr>
                <w:sz w:val="15"/>
                <w:szCs w:val="15"/>
              </w:rPr>
              <w:t>70.496</w:t>
            </w:r>
          </w:p>
        </w:tc>
      </w:tr>
      <w:tr w14:paraId="3D3B3A3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7495FABD">
            <w:pPr>
              <w:adjustRightInd w:val="0"/>
              <w:snapToGrid w:val="0"/>
              <w:spacing w:line="264" w:lineRule="auto"/>
              <w:jc w:val="center"/>
              <w:rPr>
                <w:sz w:val="15"/>
                <w:szCs w:val="15"/>
              </w:rPr>
            </w:pPr>
            <w:r>
              <w:rPr>
                <w:sz w:val="15"/>
                <w:szCs w:val="15"/>
              </w:rPr>
              <w:t>14</w:t>
            </w:r>
          </w:p>
        </w:tc>
        <w:tc>
          <w:tcPr>
            <w:tcW w:w="1314" w:type="pct"/>
            <w:shd w:val="clear" w:color="auto" w:fill="auto"/>
            <w:noWrap/>
            <w:tcMar>
              <w:top w:w="13" w:type="dxa"/>
              <w:left w:w="13" w:type="dxa"/>
              <w:bottom w:w="0" w:type="dxa"/>
              <w:right w:w="13" w:type="dxa"/>
            </w:tcMar>
            <w:vAlign w:val="center"/>
          </w:tcPr>
          <w:p w14:paraId="228D8589">
            <w:pPr>
              <w:adjustRightInd w:val="0"/>
              <w:snapToGrid w:val="0"/>
              <w:spacing w:line="264" w:lineRule="auto"/>
              <w:jc w:val="center"/>
              <w:rPr>
                <w:sz w:val="15"/>
                <w:szCs w:val="15"/>
              </w:rPr>
            </w:pPr>
            <w:r>
              <w:rPr>
                <w:sz w:val="15"/>
                <w:szCs w:val="15"/>
              </w:rPr>
              <w:t>70.07274</w:t>
            </w:r>
          </w:p>
        </w:tc>
        <w:tc>
          <w:tcPr>
            <w:tcW w:w="1282" w:type="pct"/>
            <w:shd w:val="clear" w:color="auto" w:fill="auto"/>
            <w:noWrap/>
            <w:tcMar>
              <w:top w:w="13" w:type="dxa"/>
              <w:left w:w="13" w:type="dxa"/>
              <w:bottom w:w="0" w:type="dxa"/>
              <w:right w:w="13" w:type="dxa"/>
            </w:tcMar>
            <w:vAlign w:val="center"/>
          </w:tcPr>
          <w:p w14:paraId="2BD2052D">
            <w:pPr>
              <w:adjustRightInd w:val="0"/>
              <w:snapToGrid w:val="0"/>
              <w:spacing w:line="264" w:lineRule="auto"/>
              <w:jc w:val="center"/>
              <w:rPr>
                <w:sz w:val="15"/>
                <w:szCs w:val="15"/>
              </w:rPr>
            </w:pPr>
            <w:r>
              <w:rPr>
                <w:sz w:val="15"/>
                <w:szCs w:val="15"/>
              </w:rPr>
              <w:t>578.245</w:t>
            </w:r>
          </w:p>
        </w:tc>
        <w:tc>
          <w:tcPr>
            <w:tcW w:w="1272" w:type="pct"/>
            <w:shd w:val="clear" w:color="auto" w:fill="auto"/>
            <w:noWrap/>
            <w:tcMar>
              <w:top w:w="13" w:type="dxa"/>
              <w:left w:w="13" w:type="dxa"/>
              <w:bottom w:w="0" w:type="dxa"/>
              <w:right w:w="13" w:type="dxa"/>
            </w:tcMar>
            <w:vAlign w:val="center"/>
          </w:tcPr>
          <w:p w14:paraId="64800A5B">
            <w:pPr>
              <w:adjustRightInd w:val="0"/>
              <w:snapToGrid w:val="0"/>
              <w:spacing w:line="264" w:lineRule="auto"/>
              <w:jc w:val="center"/>
              <w:rPr>
                <w:sz w:val="15"/>
                <w:szCs w:val="15"/>
              </w:rPr>
            </w:pPr>
            <w:r>
              <w:rPr>
                <w:sz w:val="15"/>
                <w:szCs w:val="15"/>
              </w:rPr>
              <w:t>72.887</w:t>
            </w:r>
          </w:p>
        </w:tc>
      </w:tr>
      <w:tr w14:paraId="132B14F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132" w:type="pct"/>
            <w:shd w:val="clear" w:color="auto" w:fill="auto"/>
            <w:noWrap/>
            <w:tcMar>
              <w:top w:w="13" w:type="dxa"/>
              <w:left w:w="13" w:type="dxa"/>
              <w:bottom w:w="0" w:type="dxa"/>
              <w:right w:w="13" w:type="dxa"/>
            </w:tcMar>
            <w:vAlign w:val="center"/>
          </w:tcPr>
          <w:p w14:paraId="2CAEB800">
            <w:pPr>
              <w:adjustRightInd w:val="0"/>
              <w:snapToGrid w:val="0"/>
              <w:spacing w:line="264" w:lineRule="auto"/>
              <w:jc w:val="center"/>
              <w:rPr>
                <w:sz w:val="15"/>
                <w:szCs w:val="15"/>
              </w:rPr>
            </w:pPr>
            <w:r>
              <w:rPr>
                <w:sz w:val="15"/>
                <w:szCs w:val="15"/>
              </w:rPr>
              <w:t>15</w:t>
            </w:r>
          </w:p>
        </w:tc>
        <w:tc>
          <w:tcPr>
            <w:tcW w:w="1314" w:type="pct"/>
            <w:shd w:val="clear" w:color="auto" w:fill="auto"/>
            <w:noWrap/>
            <w:tcMar>
              <w:top w:w="13" w:type="dxa"/>
              <w:left w:w="13" w:type="dxa"/>
              <w:bottom w:w="0" w:type="dxa"/>
              <w:right w:w="13" w:type="dxa"/>
            </w:tcMar>
            <w:vAlign w:val="center"/>
          </w:tcPr>
          <w:p w14:paraId="0C161C70">
            <w:pPr>
              <w:adjustRightInd w:val="0"/>
              <w:snapToGrid w:val="0"/>
              <w:spacing w:line="264" w:lineRule="auto"/>
              <w:jc w:val="center"/>
              <w:rPr>
                <w:sz w:val="15"/>
                <w:szCs w:val="15"/>
              </w:rPr>
            </w:pPr>
            <w:r>
              <w:rPr>
                <w:sz w:val="15"/>
                <w:szCs w:val="15"/>
              </w:rPr>
              <w:t>70.98947</w:t>
            </w:r>
          </w:p>
        </w:tc>
        <w:tc>
          <w:tcPr>
            <w:tcW w:w="1282" w:type="pct"/>
            <w:shd w:val="clear" w:color="auto" w:fill="auto"/>
            <w:noWrap/>
            <w:tcMar>
              <w:top w:w="13" w:type="dxa"/>
              <w:left w:w="13" w:type="dxa"/>
              <w:bottom w:w="0" w:type="dxa"/>
              <w:right w:w="13" w:type="dxa"/>
            </w:tcMar>
            <w:vAlign w:val="center"/>
          </w:tcPr>
          <w:p w14:paraId="5F897E02">
            <w:pPr>
              <w:adjustRightInd w:val="0"/>
              <w:snapToGrid w:val="0"/>
              <w:spacing w:line="264" w:lineRule="auto"/>
              <w:jc w:val="center"/>
              <w:rPr>
                <w:sz w:val="15"/>
                <w:szCs w:val="15"/>
              </w:rPr>
            </w:pPr>
            <w:r>
              <w:rPr>
                <w:sz w:val="15"/>
                <w:szCs w:val="15"/>
              </w:rPr>
              <w:t>651.132</w:t>
            </w:r>
          </w:p>
        </w:tc>
        <w:tc>
          <w:tcPr>
            <w:tcW w:w="1272" w:type="pct"/>
            <w:shd w:val="clear" w:color="auto" w:fill="auto"/>
            <w:noWrap/>
            <w:tcMar>
              <w:top w:w="13" w:type="dxa"/>
              <w:left w:w="13" w:type="dxa"/>
              <w:bottom w:w="0" w:type="dxa"/>
              <w:right w:w="13" w:type="dxa"/>
            </w:tcMar>
            <w:vAlign w:val="center"/>
          </w:tcPr>
          <w:p w14:paraId="2ED2584A">
            <w:pPr>
              <w:adjustRightInd w:val="0"/>
              <w:snapToGrid w:val="0"/>
              <w:spacing w:line="264" w:lineRule="auto"/>
              <w:jc w:val="center"/>
              <w:rPr>
                <w:sz w:val="15"/>
                <w:szCs w:val="15"/>
              </w:rPr>
            </w:pPr>
            <w:r>
              <w:rPr>
                <w:sz w:val="15"/>
                <w:szCs w:val="15"/>
              </w:rPr>
              <w:t>75.104</w:t>
            </w:r>
          </w:p>
        </w:tc>
      </w:tr>
    </w:tbl>
    <w:p w14:paraId="438E8976">
      <w:pPr>
        <w:adjustRightInd w:val="0"/>
        <w:snapToGrid w:val="0"/>
        <w:spacing w:line="288" w:lineRule="auto"/>
        <w:jc w:val="center"/>
        <w:textAlignment w:val="center"/>
        <w:rPr>
          <w:rFonts w:ascii="宋体" w:hAnsi="宋体"/>
          <w:sz w:val="20"/>
          <w:szCs w:val="20"/>
        </w:rPr>
      </w:pPr>
    </w:p>
    <w:p w14:paraId="21E2FB73">
      <w:pPr>
        <w:adjustRightInd w:val="0"/>
        <w:snapToGrid w:val="0"/>
        <w:spacing w:line="288" w:lineRule="auto"/>
        <w:jc w:val="center"/>
        <w:textAlignment w:val="center"/>
        <w:rPr>
          <w:rFonts w:ascii="宋体" w:hAnsi="宋体"/>
          <w:sz w:val="20"/>
          <w:szCs w:val="20"/>
        </w:rPr>
      </w:pPr>
      <w:r>
        <w:rPr>
          <w:rFonts w:ascii="宋体" w:hAnsi="宋体"/>
          <w:sz w:val="20"/>
          <w:szCs w:val="20"/>
        </w:rPr>
        <w:object>
          <v:shape id="_x0000_i1164" o:spt="75" type="#_x0000_t75" style="height:190.1pt;width:186.6pt;" o:ole="t" filled="f" o:preferrelative="t" stroked="f" coordsize="21600,21600">
            <v:path/>
            <v:fill on="f" focussize="0,0"/>
            <v:stroke on="f" joinstyle="miter"/>
            <v:imagedata r:id="rId300" o:title=""/>
            <o:lock v:ext="edit" aspectratio="t"/>
            <w10:wrap type="none"/>
            <w10:anchorlock/>
          </v:shape>
          <o:OLEObject Type="Embed" ProgID="Grapher.Document" ShapeID="_x0000_i1164" DrawAspect="Content" ObjectID="_1468075868" r:id="rId299">
            <o:LockedField>false</o:LockedField>
          </o:OLEObject>
        </w:object>
      </w:r>
    </w:p>
    <w:p w14:paraId="1FFAE06C">
      <w:pPr>
        <w:adjustRightInd w:val="0"/>
        <w:snapToGrid w:val="0"/>
        <w:spacing w:before="120" w:beforeLines="50" w:after="120" w:afterLines="50" w:line="288" w:lineRule="auto"/>
        <w:jc w:val="center"/>
        <w:textAlignment w:val="center"/>
        <w:rPr>
          <w:rFonts w:ascii="宋体" w:hAnsi="宋体"/>
          <w:b/>
          <w:sz w:val="15"/>
          <w:szCs w:val="15"/>
        </w:rPr>
      </w:pPr>
      <w:r>
        <w:rPr>
          <w:rFonts w:ascii="宋体" w:hAnsi="宋体"/>
          <w:b/>
          <w:sz w:val="15"/>
          <w:szCs w:val="15"/>
        </w:rPr>
        <w:t>图3.3.8-7  土压力强度分布</w:t>
      </w:r>
    </w:p>
    <w:p w14:paraId="50444AE0">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图中虚线为朗肯土压力计算结果，实线为采用上述方法计算（简称new方法）的结果。由图可知，分析得到的有限土体产生的主动土压力计算值比朗肯土压力计算结果要小，采用常规的朗肯土压力计算方法偏于安全。但上述分析计算方法较为烦琐，不便于规程采用。编制组对上述两种方法</w:t>
      </w:r>
      <w:bookmarkStart w:id="740" w:name="_GoBack"/>
      <w:bookmarkEnd w:id="740"/>
      <w:r>
        <w:rPr>
          <w:rFonts w:hint="eastAsia" w:ascii="宋体" w:hAnsi="宋体"/>
          <w:sz w:val="20"/>
          <w:szCs w:val="20"/>
        </w:rPr>
        <w:t>以</w:t>
      </w:r>
      <w:r>
        <w:rPr>
          <w:rFonts w:hAnsi="宋体"/>
          <w:sz w:val="20"/>
          <w:szCs w:val="20"/>
        </w:rPr>
        <w:t>及文献</w:t>
      </w:r>
      <w:r>
        <w:rPr>
          <w:sz w:val="20"/>
          <w:szCs w:val="20"/>
        </w:rPr>
        <w:t>[1]、[2]</w:t>
      </w:r>
      <w:r>
        <w:rPr>
          <w:rFonts w:hAnsi="宋体"/>
          <w:sz w:val="20"/>
          <w:szCs w:val="20"/>
        </w:rPr>
        <w:t>方法进行分析计算，经对比分析，本规程决定采用文献</w:t>
      </w:r>
      <w:r>
        <w:rPr>
          <w:sz w:val="20"/>
          <w:szCs w:val="20"/>
        </w:rPr>
        <w:t>[1]</w:t>
      </w:r>
      <w:r>
        <w:rPr>
          <w:rFonts w:hAnsi="宋体"/>
          <w:sz w:val="20"/>
          <w:szCs w:val="20"/>
        </w:rPr>
        <w:t>建议的简化方法。其中文献</w:t>
      </w:r>
      <w:r>
        <w:rPr>
          <w:sz w:val="20"/>
          <w:szCs w:val="20"/>
        </w:rPr>
        <w:t>[1]</w:t>
      </w:r>
      <w:r>
        <w:rPr>
          <w:rFonts w:hAnsi="宋体"/>
          <w:sz w:val="20"/>
          <w:szCs w:val="20"/>
        </w:rPr>
        <w:t>方法在对</w:t>
      </w:r>
      <w:r>
        <w:rPr>
          <w:i/>
          <w:sz w:val="20"/>
          <w:szCs w:val="20"/>
        </w:rPr>
        <w:t>θ</w:t>
      </w:r>
      <w:r>
        <w:rPr>
          <w:rFonts w:hAnsi="宋体"/>
          <w:sz w:val="20"/>
          <w:szCs w:val="20"/>
        </w:rPr>
        <w:t>求导（公式（</w:t>
      </w:r>
      <w:r>
        <w:rPr>
          <w:sz w:val="20"/>
          <w:szCs w:val="20"/>
        </w:rPr>
        <w:t>5</w:t>
      </w:r>
      <w:r>
        <w:rPr>
          <w:rFonts w:hAnsi="宋体"/>
          <w:sz w:val="20"/>
          <w:szCs w:val="20"/>
        </w:rPr>
        <w:t>））中，</w:t>
      </w:r>
      <w:r>
        <w:rPr>
          <w:rFonts w:hint="eastAsia" w:ascii="宋体" w:hAnsi="宋体"/>
          <w:sz w:val="20"/>
          <w:szCs w:val="20"/>
        </w:rPr>
        <w:t>忽略了对</w:t>
      </w:r>
      <w:r>
        <w:rPr>
          <w:sz w:val="20"/>
          <w:szCs w:val="20"/>
        </w:rPr>
        <w:t>tan</w:t>
      </w:r>
      <w:r>
        <w:rPr>
          <w:i/>
          <w:sz w:val="20"/>
          <w:szCs w:val="20"/>
        </w:rPr>
        <w:t>θ</w:t>
      </w:r>
      <w:r>
        <w:rPr>
          <w:rFonts w:hint="eastAsia" w:ascii="宋体" w:hAnsi="宋体"/>
          <w:sz w:val="20"/>
          <w:szCs w:val="20"/>
        </w:rPr>
        <w:t>求导，从而得到公式（</w:t>
      </w:r>
      <w:r>
        <w:rPr>
          <w:sz w:val="20"/>
          <w:szCs w:val="20"/>
        </w:rPr>
        <w:t>3.3.8-1</w:t>
      </w:r>
      <w:r>
        <w:rPr>
          <w:rFonts w:hint="eastAsia" w:ascii="宋体" w:hAnsi="宋体"/>
          <w:sz w:val="20"/>
          <w:szCs w:val="20"/>
        </w:rPr>
        <w:t>）、（</w:t>
      </w:r>
      <w:r>
        <w:rPr>
          <w:sz w:val="20"/>
          <w:szCs w:val="20"/>
        </w:rPr>
        <w:t>3.3.8-2</w:t>
      </w:r>
      <w:r>
        <w:rPr>
          <w:rFonts w:hint="eastAsia" w:ascii="宋体" w:hAnsi="宋体"/>
          <w:sz w:val="20"/>
          <w:szCs w:val="20"/>
        </w:rPr>
        <w:t>）（有误差）。</w:t>
      </w:r>
    </w:p>
    <w:p w14:paraId="57BFF150">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各种计算方法对比：</w:t>
      </w:r>
    </w:p>
    <w:p w14:paraId="09B9C310">
      <w:pPr>
        <w:autoSpaceDE w:val="0"/>
        <w:autoSpaceDN w:val="0"/>
        <w:adjustRightInd w:val="0"/>
        <w:snapToGrid w:val="0"/>
        <w:spacing w:line="288" w:lineRule="auto"/>
        <w:ind w:firstLine="400" w:firstLineChars="200"/>
        <w:textAlignment w:val="center"/>
        <w:rPr>
          <w:sz w:val="20"/>
          <w:szCs w:val="20"/>
        </w:rPr>
      </w:pPr>
      <w:r>
        <w:rPr>
          <w:rFonts w:hint="eastAsia" w:ascii="宋体" w:hAnsi="宋体"/>
          <w:sz w:val="20"/>
          <w:szCs w:val="20"/>
        </w:rPr>
        <w:t>计</w:t>
      </w:r>
      <w:r>
        <w:rPr>
          <w:rFonts w:hAnsi="宋体"/>
          <w:sz w:val="20"/>
          <w:szCs w:val="20"/>
        </w:rPr>
        <w:t>算</w:t>
      </w:r>
      <w:r>
        <w:rPr>
          <w:sz w:val="20"/>
          <w:szCs w:val="20"/>
        </w:rPr>
        <w:t>1</w:t>
      </w:r>
    </w:p>
    <w:p w14:paraId="60A6E8B5">
      <w:pPr>
        <w:autoSpaceDE w:val="0"/>
        <w:autoSpaceDN w:val="0"/>
        <w:adjustRightInd w:val="0"/>
        <w:snapToGrid w:val="0"/>
        <w:spacing w:line="288" w:lineRule="auto"/>
        <w:ind w:firstLine="400" w:firstLineChars="200"/>
        <w:textAlignment w:val="center"/>
        <w:rPr>
          <w:rFonts w:ascii="宋体" w:hAnsi="宋体"/>
          <w:sz w:val="20"/>
          <w:szCs w:val="20"/>
        </w:rPr>
      </w:pPr>
      <w:r>
        <w:rPr>
          <w:rFonts w:hAnsi="宋体"/>
          <w:sz w:val="20"/>
          <w:szCs w:val="20"/>
        </w:rPr>
        <w:t>土重度</w:t>
      </w:r>
      <w:r>
        <w:rPr>
          <w:sz w:val="20"/>
          <w:szCs w:val="20"/>
        </w:rPr>
        <w:drawing>
          <wp:inline distT="0" distB="0" distL="0" distR="0">
            <wp:extent cx="120015" cy="16700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a:xfrm>
                      <a:off x="0" y="0"/>
                      <a:ext cx="120015" cy="167005"/>
                    </a:xfrm>
                    <a:prstGeom prst="rect">
                      <a:avLst/>
                    </a:prstGeom>
                    <a:noFill/>
                    <a:ln>
                      <a:noFill/>
                    </a:ln>
                  </pic:spPr>
                </pic:pic>
              </a:graphicData>
            </a:graphic>
          </wp:inline>
        </w:drawing>
      </w:r>
      <w:r>
        <w:rPr>
          <w:rFonts w:hAnsi="宋体"/>
          <w:sz w:val="20"/>
          <w:szCs w:val="20"/>
        </w:rPr>
        <w:t>＝</w:t>
      </w:r>
      <w:r>
        <w:rPr>
          <w:sz w:val="20"/>
          <w:szCs w:val="20"/>
        </w:rPr>
        <w:t>20kN/m</w:t>
      </w:r>
      <w:r>
        <w:rPr>
          <w:sz w:val="20"/>
          <w:szCs w:val="20"/>
          <w:vertAlign w:val="superscript"/>
        </w:rPr>
        <w:t>3</w:t>
      </w:r>
      <w:r>
        <w:rPr>
          <w:rFonts w:hAnsi="宋体"/>
          <w:sz w:val="20"/>
          <w:szCs w:val="20"/>
        </w:rPr>
        <w:t>、土的粘聚力</w:t>
      </w:r>
      <w:r>
        <w:rPr>
          <w:i/>
          <w:sz w:val="20"/>
          <w:szCs w:val="20"/>
        </w:rPr>
        <w:t>C</w:t>
      </w:r>
      <w:r>
        <w:rPr>
          <w:rFonts w:hAnsi="宋体"/>
          <w:sz w:val="20"/>
          <w:szCs w:val="20"/>
        </w:rPr>
        <w:t>＝</w:t>
      </w:r>
      <w:r>
        <w:rPr>
          <w:sz w:val="20"/>
          <w:szCs w:val="20"/>
        </w:rPr>
        <w:t>20kPa</w:t>
      </w:r>
      <w:r>
        <w:rPr>
          <w:rFonts w:hAnsi="宋体"/>
          <w:sz w:val="20"/>
          <w:szCs w:val="20"/>
        </w:rPr>
        <w:t>、内摩擦角</w:t>
      </w:r>
      <w:r>
        <w:rPr>
          <w:sz w:val="20"/>
          <w:szCs w:val="20"/>
        </w:rPr>
        <w:object>
          <v:shape id="_x0000_i1165" o:spt="75" type="#_x0000_t75" style="height:14.4pt;width:10.95pt;" o:ole="t" filled="f" o:preferrelative="t" stroked="f" coordsize="21600,21600">
            <v:path/>
            <v:fill on="f" focussize="0,0"/>
            <v:stroke on="f" joinstyle="miter"/>
            <v:imagedata r:id="rId303" o:title=""/>
            <o:lock v:ext="edit" aspectratio="t"/>
            <w10:wrap type="none"/>
            <w10:anchorlock/>
          </v:shape>
          <o:OLEObject Type="Embed" ProgID="Equation.3" ShapeID="_x0000_i1165" DrawAspect="Content" ObjectID="_1468075869" r:id="rId302">
            <o:LockedField>false</o:LockedField>
          </o:OLEObject>
        </w:object>
      </w:r>
      <w:r>
        <w:rPr>
          <w:sz w:val="20"/>
          <w:szCs w:val="20"/>
        </w:rPr>
        <w:t>=20°</w:t>
      </w:r>
      <w:r>
        <w:rPr>
          <w:rFonts w:hAnsi="宋体"/>
          <w:sz w:val="20"/>
          <w:szCs w:val="20"/>
        </w:rPr>
        <w:t>；计算深度</w:t>
      </w:r>
      <w:r>
        <w:rPr>
          <w:i/>
          <w:sz w:val="20"/>
          <w:szCs w:val="20"/>
        </w:rPr>
        <w:t>H</w:t>
      </w:r>
      <w:r>
        <w:rPr>
          <w:sz w:val="20"/>
          <w:szCs w:val="20"/>
        </w:rPr>
        <w:t>=15m</w:t>
      </w:r>
      <w:r>
        <w:rPr>
          <w:rFonts w:hAnsi="宋体"/>
          <w:sz w:val="20"/>
          <w:szCs w:val="20"/>
        </w:rPr>
        <w:t>；</w:t>
      </w:r>
      <w:r>
        <w:rPr>
          <w:rFonts w:hint="eastAsia" w:ascii="宋体" w:hAnsi="宋体"/>
          <w:sz w:val="20"/>
          <w:szCs w:val="20"/>
        </w:rPr>
        <w:t xml:space="preserve"> </w:t>
      </w:r>
    </w:p>
    <w:p w14:paraId="7C5F1E17">
      <w:pPr>
        <w:autoSpaceDE w:val="0"/>
        <w:autoSpaceDN w:val="0"/>
        <w:adjustRightInd w:val="0"/>
        <w:snapToGrid w:val="0"/>
        <w:spacing w:line="288" w:lineRule="auto"/>
        <w:textAlignment w:val="center"/>
        <w:rPr>
          <w:rFonts w:ascii="宋体" w:hAnsi="宋体"/>
          <w:sz w:val="20"/>
          <w:szCs w:val="20"/>
        </w:rPr>
      </w:pPr>
      <w:r>
        <w:rPr>
          <w:rFonts w:ascii="宋体" w:hAnsi="宋体"/>
        </w:rPr>
        <w:drawing>
          <wp:inline distT="0" distB="0" distL="0" distR="0">
            <wp:extent cx="3743960" cy="2015490"/>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14:paraId="028521A5">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=0.1</w:t>
      </w:r>
      <w:r>
        <w:rPr>
          <w:i/>
          <w:sz w:val="20"/>
          <w:szCs w:val="20"/>
        </w:rPr>
        <w:t>H</w:t>
      </w:r>
    </w:p>
    <w:p w14:paraId="596585ED">
      <w:pPr>
        <w:autoSpaceDE w:val="0"/>
        <w:autoSpaceDN w:val="0"/>
        <w:adjustRightInd w:val="0"/>
        <w:snapToGrid w:val="0"/>
        <w:spacing w:line="288" w:lineRule="auto"/>
        <w:textAlignment w:val="center"/>
        <w:rPr>
          <w:rFonts w:ascii="宋体" w:hAnsi="宋体"/>
          <w:sz w:val="20"/>
          <w:szCs w:val="20"/>
        </w:rPr>
      </w:pPr>
      <w:r>
        <w:rPr>
          <w:rFonts w:ascii="宋体" w:hAnsi="宋体"/>
        </w:rPr>
        <w:drawing>
          <wp:inline distT="0" distB="0" distL="0" distR="0">
            <wp:extent cx="3743960" cy="2015490"/>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14:paraId="0075EF1F">
      <w:pPr>
        <w:autoSpaceDE w:val="0"/>
        <w:autoSpaceDN w:val="0"/>
        <w:adjustRightInd w:val="0"/>
        <w:snapToGrid w:val="0"/>
        <w:spacing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0.2</w:t>
      </w:r>
      <w:r>
        <w:rPr>
          <w:i/>
          <w:sz w:val="20"/>
          <w:szCs w:val="20"/>
        </w:rPr>
        <w:t>H</w:t>
      </w:r>
    </w:p>
    <w:p w14:paraId="3B1125DB">
      <w:pPr>
        <w:autoSpaceDE w:val="0"/>
        <w:autoSpaceDN w:val="0"/>
        <w:adjustRightInd w:val="0"/>
        <w:snapToGrid w:val="0"/>
        <w:spacing w:line="288" w:lineRule="auto"/>
        <w:textAlignment w:val="center"/>
        <w:rPr>
          <w:rFonts w:ascii="宋体" w:hAnsi="宋体"/>
          <w:sz w:val="20"/>
          <w:szCs w:val="20"/>
        </w:rPr>
      </w:pPr>
      <w:r>
        <w:rPr>
          <w:rFonts w:ascii="宋体" w:hAnsi="宋体"/>
        </w:rPr>
        <w:drawing>
          <wp:inline distT="0" distB="0" distL="0" distR="0">
            <wp:extent cx="3743960" cy="201549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14:paraId="7D40D676">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3</w:t>
      </w:r>
      <w:r>
        <w:rPr>
          <w:i/>
          <w:sz w:val="20"/>
          <w:szCs w:val="20"/>
        </w:rPr>
        <w:t>H</w:t>
      </w:r>
    </w:p>
    <w:p w14:paraId="1E1049E5">
      <w:pPr>
        <w:autoSpaceDE w:val="0"/>
        <w:autoSpaceDN w:val="0"/>
        <w:adjustRightInd w:val="0"/>
        <w:snapToGrid w:val="0"/>
        <w:spacing w:line="288" w:lineRule="auto"/>
        <w:textAlignment w:val="center"/>
        <w:rPr>
          <w:rFonts w:ascii="宋体" w:hAnsi="宋体"/>
          <w:sz w:val="20"/>
          <w:szCs w:val="20"/>
        </w:rPr>
      </w:pPr>
      <w:r>
        <w:rPr>
          <w:rFonts w:ascii="宋体" w:hAnsi="宋体"/>
        </w:rPr>
        <w:drawing>
          <wp:inline distT="0" distB="0" distL="0" distR="0">
            <wp:extent cx="3743960" cy="2015490"/>
            <wp:effectExtent l="0" t="0" r="0" b="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14:paraId="68889371">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4</w:t>
      </w:r>
      <w:r>
        <w:rPr>
          <w:i/>
          <w:sz w:val="20"/>
          <w:szCs w:val="20"/>
        </w:rPr>
        <w:t>H</w:t>
      </w:r>
    </w:p>
    <w:p w14:paraId="6F6FAB4C">
      <w:pPr>
        <w:autoSpaceDE w:val="0"/>
        <w:autoSpaceDN w:val="0"/>
        <w:adjustRightInd w:val="0"/>
        <w:snapToGrid w:val="0"/>
        <w:spacing w:line="288" w:lineRule="auto"/>
        <w:jc w:val="center"/>
        <w:textAlignment w:val="center"/>
        <w:rPr>
          <w:rFonts w:ascii="宋体" w:hAnsi="宋体"/>
          <w:sz w:val="20"/>
          <w:szCs w:val="20"/>
        </w:rPr>
      </w:pPr>
    </w:p>
    <w:p w14:paraId="1F661760">
      <w:pPr>
        <w:autoSpaceDE w:val="0"/>
        <w:autoSpaceDN w:val="0"/>
        <w:adjustRightInd w:val="0"/>
        <w:snapToGrid w:val="0"/>
        <w:spacing w:line="288" w:lineRule="auto"/>
        <w:jc w:val="center"/>
        <w:textAlignment w:val="center"/>
        <w:rPr>
          <w:rFonts w:ascii="宋体" w:hAnsi="宋体"/>
          <w:sz w:val="20"/>
          <w:szCs w:val="20"/>
        </w:rPr>
      </w:pPr>
    </w:p>
    <w:p w14:paraId="6849D745">
      <w:pPr>
        <w:autoSpaceDE w:val="0"/>
        <w:autoSpaceDN w:val="0"/>
        <w:adjustRightInd w:val="0"/>
        <w:snapToGrid w:val="0"/>
        <w:spacing w:line="288" w:lineRule="auto"/>
        <w:textAlignment w:val="center"/>
        <w:rPr>
          <w:rFonts w:ascii="宋体" w:hAnsi="宋体"/>
          <w:sz w:val="20"/>
          <w:szCs w:val="20"/>
        </w:rPr>
      </w:pPr>
      <w:r>
        <w:rPr>
          <w:rFonts w:ascii="宋体" w:hAnsi="宋体"/>
        </w:rPr>
        <w:drawing>
          <wp:inline distT="0" distB="0" distL="0" distR="0">
            <wp:extent cx="3743960" cy="201549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p w14:paraId="3A889569">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5</w:t>
      </w:r>
      <w:r>
        <w:rPr>
          <w:i/>
          <w:sz w:val="20"/>
          <w:szCs w:val="20"/>
        </w:rPr>
        <w:t>H</w:t>
      </w:r>
    </w:p>
    <w:p w14:paraId="76439850">
      <w:pPr>
        <w:autoSpaceDE w:val="0"/>
        <w:autoSpaceDN w:val="0"/>
        <w:adjustRightInd w:val="0"/>
        <w:snapToGrid w:val="0"/>
        <w:spacing w:line="288" w:lineRule="auto"/>
        <w:textAlignment w:val="center"/>
        <w:rPr>
          <w:rFonts w:ascii="宋体" w:hAnsi="宋体"/>
          <w:sz w:val="20"/>
          <w:szCs w:val="20"/>
        </w:rPr>
      </w:pPr>
      <w:r>
        <w:rPr>
          <w:rFonts w:ascii="宋体" w:hAnsi="宋体"/>
        </w:rPr>
        <w:drawing>
          <wp:inline distT="0" distB="0" distL="0" distR="0">
            <wp:extent cx="3743960" cy="201549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14:paraId="6241FC1F">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6</w:t>
      </w:r>
      <w:r>
        <w:rPr>
          <w:i/>
          <w:sz w:val="20"/>
          <w:szCs w:val="20"/>
        </w:rPr>
        <w:t>H</w:t>
      </w:r>
    </w:p>
    <w:p w14:paraId="6D09A055">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有限土体宽度继续增加，</w:t>
      </w:r>
      <w:r>
        <w:rPr>
          <w:sz w:val="20"/>
          <w:szCs w:val="20"/>
        </w:rPr>
        <w:t>new</w:t>
      </w:r>
      <w:r>
        <w:rPr>
          <w:rFonts w:hint="eastAsia" w:ascii="宋体" w:hAnsi="宋体"/>
          <w:sz w:val="20"/>
          <w:szCs w:val="20"/>
        </w:rPr>
        <w:t>方法、面积比、宽度比三种方法土压力强度已经与朗肯土压力相同。</w:t>
      </w:r>
    </w:p>
    <w:p w14:paraId="1FC0F06B">
      <w:pPr>
        <w:autoSpaceDE w:val="0"/>
        <w:autoSpaceDN w:val="0"/>
        <w:adjustRightInd w:val="0"/>
        <w:snapToGrid w:val="0"/>
        <w:spacing w:line="288" w:lineRule="auto"/>
        <w:textAlignment w:val="center"/>
        <w:rPr>
          <w:rFonts w:ascii="宋体" w:hAnsi="宋体"/>
          <w:sz w:val="20"/>
          <w:szCs w:val="20"/>
        </w:rPr>
      </w:pPr>
      <w:r>
        <w:rPr>
          <w:rFonts w:ascii="宋体" w:hAnsi="宋体"/>
        </w:rPr>
        <w:drawing>
          <wp:inline distT="0" distB="0" distL="0" distR="0">
            <wp:extent cx="3727450" cy="2016125"/>
            <wp:effectExtent l="19050" t="0" r="25400" b="317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14:paraId="66718DF3">
      <w:pPr>
        <w:widowControl/>
        <w:spacing w:before="360" w:beforeLines="150"/>
        <w:jc w:val="left"/>
        <w:rPr>
          <w:rFonts w:ascii="宋体" w:hAnsi="宋体"/>
          <w:sz w:val="20"/>
          <w:szCs w:val="20"/>
        </w:rPr>
      </w:pPr>
      <w:r>
        <w:rPr>
          <w:rFonts w:hint="eastAsia" w:ascii="宋体" w:hAnsi="宋体"/>
          <w:sz w:val="20"/>
          <w:szCs w:val="20"/>
        </w:rPr>
        <w:t>计算2</w:t>
      </w:r>
    </w:p>
    <w:p w14:paraId="31FAA185">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土重度</w:t>
      </w:r>
      <w:r>
        <w:rPr>
          <w:rFonts w:ascii="宋体" w:hAnsi="宋体"/>
          <w:sz w:val="20"/>
          <w:szCs w:val="20"/>
        </w:rPr>
        <w:drawing>
          <wp:inline distT="0" distB="0" distL="0" distR="0">
            <wp:extent cx="120015" cy="1670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a:xfrm>
                      <a:off x="0" y="0"/>
                      <a:ext cx="120015" cy="167005"/>
                    </a:xfrm>
                    <a:prstGeom prst="rect">
                      <a:avLst/>
                    </a:prstGeom>
                    <a:noFill/>
                    <a:ln>
                      <a:noFill/>
                    </a:ln>
                  </pic:spPr>
                </pic:pic>
              </a:graphicData>
            </a:graphic>
          </wp:inline>
        </w:drawing>
      </w:r>
      <w:r>
        <w:rPr>
          <w:rFonts w:hint="eastAsia" w:ascii="宋体" w:hAnsi="宋体"/>
          <w:sz w:val="20"/>
          <w:szCs w:val="20"/>
        </w:rPr>
        <w:t>＝</w:t>
      </w:r>
      <w:r>
        <w:rPr>
          <w:sz w:val="20"/>
          <w:szCs w:val="20"/>
        </w:rPr>
        <w:t>20kN/m</w:t>
      </w:r>
      <w:r>
        <w:rPr>
          <w:sz w:val="20"/>
          <w:szCs w:val="20"/>
          <w:vertAlign w:val="superscript"/>
        </w:rPr>
        <w:t>3</w:t>
      </w:r>
      <w:r>
        <w:rPr>
          <w:rFonts w:hAnsi="宋体"/>
          <w:sz w:val="20"/>
          <w:szCs w:val="20"/>
        </w:rPr>
        <w:t>、土的粘聚力</w:t>
      </w:r>
      <w:r>
        <w:rPr>
          <w:i/>
          <w:sz w:val="20"/>
          <w:szCs w:val="20"/>
        </w:rPr>
        <w:t>C</w:t>
      </w:r>
      <w:r>
        <w:rPr>
          <w:rFonts w:hAnsi="宋体"/>
          <w:sz w:val="20"/>
          <w:szCs w:val="20"/>
        </w:rPr>
        <w:t>＝</w:t>
      </w:r>
      <w:r>
        <w:rPr>
          <w:sz w:val="20"/>
          <w:szCs w:val="20"/>
        </w:rPr>
        <w:t>0kPa</w:t>
      </w:r>
      <w:r>
        <w:rPr>
          <w:rFonts w:hAnsi="宋体"/>
          <w:sz w:val="20"/>
          <w:szCs w:val="20"/>
        </w:rPr>
        <w:t>、内摩擦角</w:t>
      </w:r>
      <w:r>
        <w:rPr>
          <w:sz w:val="20"/>
          <w:szCs w:val="20"/>
        </w:rPr>
        <w:object>
          <v:shape id="_x0000_i1166" o:spt="75" type="#_x0000_t75" style="height:14.4pt;width:10.95pt;" o:ole="t" filled="f" o:preferrelative="t" stroked="f" coordsize="21600,21600">
            <v:path/>
            <v:fill on="f" focussize="0,0"/>
            <v:stroke on="f" joinstyle="miter"/>
            <v:imagedata r:id="rId303" o:title=""/>
            <o:lock v:ext="edit" aspectratio="t"/>
            <w10:wrap type="none"/>
            <w10:anchorlock/>
          </v:shape>
          <o:OLEObject Type="Embed" ProgID="Equation.3" ShapeID="_x0000_i1166" DrawAspect="Content" ObjectID="_1468075870" r:id="rId311">
            <o:LockedField>false</o:LockedField>
          </o:OLEObject>
        </w:object>
      </w:r>
      <w:r>
        <w:rPr>
          <w:sz w:val="20"/>
          <w:szCs w:val="20"/>
        </w:rPr>
        <w:t>=30°</w:t>
      </w:r>
      <w:r>
        <w:rPr>
          <w:rFonts w:hAnsi="宋体"/>
          <w:sz w:val="20"/>
          <w:szCs w:val="20"/>
        </w:rPr>
        <w:t>；计算深度</w:t>
      </w:r>
      <w:r>
        <w:rPr>
          <w:i/>
          <w:sz w:val="20"/>
          <w:szCs w:val="20"/>
        </w:rPr>
        <w:t>H</w:t>
      </w:r>
      <w:r>
        <w:rPr>
          <w:sz w:val="20"/>
          <w:szCs w:val="20"/>
        </w:rPr>
        <w:t>=15m</w:t>
      </w:r>
      <w:r>
        <w:rPr>
          <w:rFonts w:hAnsi="宋体"/>
          <w:sz w:val="20"/>
          <w:szCs w:val="20"/>
        </w:rPr>
        <w:t>；</w:t>
      </w:r>
      <w:r>
        <w:rPr>
          <w:rFonts w:hint="eastAsia" w:ascii="宋体" w:hAnsi="宋体"/>
          <w:sz w:val="20"/>
          <w:szCs w:val="20"/>
        </w:rPr>
        <w:t xml:space="preserve"> </w:t>
      </w:r>
    </w:p>
    <w:p w14:paraId="22AB59E0">
      <w:pPr>
        <w:autoSpaceDE w:val="0"/>
        <w:autoSpaceDN w:val="0"/>
        <w:adjustRightInd w:val="0"/>
        <w:snapToGrid w:val="0"/>
        <w:spacing w:line="288" w:lineRule="auto"/>
        <w:jc w:val="left"/>
        <w:textAlignment w:val="center"/>
        <w:rPr>
          <w:rFonts w:ascii="宋体" w:hAnsi="宋体"/>
          <w:sz w:val="20"/>
          <w:szCs w:val="20"/>
        </w:rPr>
      </w:pPr>
      <w:r>
        <w:rPr>
          <w:rFonts w:ascii="宋体" w:hAnsi="宋体"/>
          <w:sz w:val="20"/>
          <w:szCs w:val="20"/>
        </w:rPr>
        <w:drawing>
          <wp:inline distT="0" distB="0" distL="0" distR="0">
            <wp:extent cx="3714750" cy="2012950"/>
            <wp:effectExtent l="19050" t="0" r="19050" b="63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14:paraId="79FE6286">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1</w:t>
      </w:r>
      <w:r>
        <w:rPr>
          <w:i/>
          <w:sz w:val="20"/>
          <w:szCs w:val="20"/>
        </w:rPr>
        <w:t>H</w:t>
      </w:r>
    </w:p>
    <w:p w14:paraId="4BF0F245">
      <w:pPr>
        <w:autoSpaceDE w:val="0"/>
        <w:autoSpaceDN w:val="0"/>
        <w:adjustRightInd w:val="0"/>
        <w:snapToGrid w:val="0"/>
        <w:spacing w:line="288" w:lineRule="auto"/>
        <w:ind w:firstLine="400" w:firstLineChars="200"/>
        <w:textAlignment w:val="center"/>
        <w:rPr>
          <w:rFonts w:ascii="宋体" w:hAnsi="宋体"/>
          <w:sz w:val="20"/>
          <w:szCs w:val="20"/>
        </w:rPr>
      </w:pPr>
    </w:p>
    <w:p w14:paraId="53905068">
      <w:pPr>
        <w:autoSpaceDE w:val="0"/>
        <w:autoSpaceDN w:val="0"/>
        <w:adjustRightInd w:val="0"/>
        <w:snapToGrid w:val="0"/>
        <w:spacing w:line="288" w:lineRule="auto"/>
        <w:jc w:val="left"/>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14:paraId="7A4D6FB8">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2</w:t>
      </w:r>
      <w:r>
        <w:rPr>
          <w:i/>
          <w:sz w:val="20"/>
          <w:szCs w:val="20"/>
        </w:rPr>
        <w:t>H</w:t>
      </w:r>
    </w:p>
    <w:p w14:paraId="60E73207">
      <w:pPr>
        <w:autoSpaceDE w:val="0"/>
        <w:autoSpaceDN w:val="0"/>
        <w:adjustRightInd w:val="0"/>
        <w:snapToGrid w:val="0"/>
        <w:spacing w:line="288" w:lineRule="auto"/>
        <w:jc w:val="left"/>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14:paraId="6F392848">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3</w:t>
      </w:r>
      <w:r>
        <w:rPr>
          <w:i/>
          <w:sz w:val="20"/>
          <w:szCs w:val="20"/>
        </w:rPr>
        <w:t>H</w:t>
      </w:r>
    </w:p>
    <w:p w14:paraId="2BEB7EE4">
      <w:pPr>
        <w:autoSpaceDE w:val="0"/>
        <w:autoSpaceDN w:val="0"/>
        <w:adjustRightInd w:val="0"/>
        <w:snapToGrid w:val="0"/>
        <w:spacing w:line="288" w:lineRule="auto"/>
        <w:ind w:firstLine="400" w:firstLineChars="200"/>
        <w:textAlignment w:val="center"/>
        <w:rPr>
          <w:rFonts w:ascii="宋体" w:hAnsi="宋体"/>
          <w:sz w:val="20"/>
          <w:szCs w:val="20"/>
        </w:rPr>
      </w:pPr>
    </w:p>
    <w:p w14:paraId="0D2542B9">
      <w:pPr>
        <w:autoSpaceDE w:val="0"/>
        <w:autoSpaceDN w:val="0"/>
        <w:adjustRightInd w:val="0"/>
        <w:snapToGrid w:val="0"/>
        <w:spacing w:line="288" w:lineRule="auto"/>
        <w:ind w:firstLine="400" w:firstLineChars="200"/>
        <w:textAlignment w:val="center"/>
        <w:rPr>
          <w:rFonts w:ascii="宋体" w:hAnsi="宋体"/>
          <w:sz w:val="20"/>
          <w:szCs w:val="20"/>
        </w:rPr>
      </w:pPr>
    </w:p>
    <w:p w14:paraId="78238DAB">
      <w:pPr>
        <w:autoSpaceDE w:val="0"/>
        <w:autoSpaceDN w:val="0"/>
        <w:adjustRightInd w:val="0"/>
        <w:snapToGrid w:val="0"/>
        <w:spacing w:line="288" w:lineRule="auto"/>
        <w:jc w:val="left"/>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14:paraId="4951BE2A">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4</w:t>
      </w:r>
      <w:r>
        <w:rPr>
          <w:i/>
          <w:sz w:val="20"/>
          <w:szCs w:val="20"/>
        </w:rPr>
        <w:t>H</w:t>
      </w:r>
    </w:p>
    <w:p w14:paraId="671B24B0">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14:paraId="0399B702">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5</w:t>
      </w:r>
      <w:r>
        <w:rPr>
          <w:i/>
          <w:sz w:val="20"/>
          <w:szCs w:val="20"/>
        </w:rPr>
        <w:t>H</w:t>
      </w:r>
    </w:p>
    <w:p w14:paraId="0DE081F4">
      <w:pPr>
        <w:autoSpaceDE w:val="0"/>
        <w:autoSpaceDN w:val="0"/>
        <w:adjustRightInd w:val="0"/>
        <w:snapToGrid w:val="0"/>
        <w:spacing w:line="288" w:lineRule="auto"/>
        <w:ind w:firstLine="400" w:firstLineChars="200"/>
        <w:textAlignment w:val="center"/>
        <w:rPr>
          <w:rFonts w:ascii="宋体" w:hAnsi="宋体"/>
          <w:sz w:val="20"/>
          <w:szCs w:val="20"/>
        </w:rPr>
      </w:pPr>
    </w:p>
    <w:p w14:paraId="7292DEE8">
      <w:pPr>
        <w:autoSpaceDE w:val="0"/>
        <w:autoSpaceDN w:val="0"/>
        <w:adjustRightInd w:val="0"/>
        <w:snapToGrid w:val="0"/>
        <w:spacing w:line="288" w:lineRule="auto"/>
        <w:ind w:firstLine="400" w:firstLineChars="200"/>
        <w:textAlignment w:val="center"/>
        <w:rPr>
          <w:rFonts w:ascii="宋体" w:hAnsi="宋体"/>
          <w:sz w:val="20"/>
          <w:szCs w:val="20"/>
        </w:rPr>
      </w:pPr>
      <w:r>
        <w:rPr>
          <w:rFonts w:hint="eastAsia" w:ascii="宋体" w:hAnsi="宋体"/>
          <w:sz w:val="20"/>
          <w:szCs w:val="20"/>
        </w:rPr>
        <w:t>有限土体宽度继续增加，</w:t>
      </w:r>
      <w:r>
        <w:rPr>
          <w:sz w:val="20"/>
          <w:szCs w:val="20"/>
        </w:rPr>
        <w:t>new</w:t>
      </w:r>
      <w:r>
        <w:rPr>
          <w:rFonts w:hint="eastAsia" w:ascii="宋体" w:hAnsi="宋体"/>
          <w:sz w:val="20"/>
          <w:szCs w:val="20"/>
        </w:rPr>
        <w:t>方法、面积比、宽度比三种方法土压力强度已经与朗肯土压力相同。</w:t>
      </w:r>
    </w:p>
    <w:p w14:paraId="1F9DDAA0">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14:paraId="7852903F">
      <w:pPr>
        <w:autoSpaceDE w:val="0"/>
        <w:autoSpaceDN w:val="0"/>
        <w:adjustRightInd w:val="0"/>
        <w:snapToGrid w:val="0"/>
        <w:spacing w:before="360" w:beforeLines="150" w:line="288" w:lineRule="auto"/>
        <w:textAlignment w:val="center"/>
        <w:rPr>
          <w:rFonts w:ascii="宋体" w:hAnsi="宋体"/>
          <w:sz w:val="20"/>
          <w:szCs w:val="20"/>
        </w:rPr>
      </w:pPr>
      <w:r>
        <w:rPr>
          <w:rFonts w:hint="eastAsia" w:ascii="宋体" w:hAnsi="宋体"/>
          <w:sz w:val="20"/>
          <w:szCs w:val="20"/>
        </w:rPr>
        <w:t>计算</w:t>
      </w:r>
      <w:r>
        <w:rPr>
          <w:sz w:val="20"/>
          <w:szCs w:val="20"/>
        </w:rPr>
        <w:t>3</w:t>
      </w:r>
    </w:p>
    <w:p w14:paraId="4970623B">
      <w:pPr>
        <w:autoSpaceDE w:val="0"/>
        <w:autoSpaceDN w:val="0"/>
        <w:adjustRightInd w:val="0"/>
        <w:snapToGrid w:val="0"/>
        <w:spacing w:line="288" w:lineRule="auto"/>
        <w:ind w:firstLine="400" w:firstLineChars="200"/>
        <w:textAlignment w:val="center"/>
        <w:rPr>
          <w:sz w:val="20"/>
          <w:szCs w:val="20"/>
        </w:rPr>
      </w:pPr>
      <w:r>
        <w:rPr>
          <w:rFonts w:hAnsi="宋体"/>
          <w:sz w:val="20"/>
          <w:szCs w:val="20"/>
        </w:rPr>
        <w:t>土重度</w:t>
      </w:r>
      <w:r>
        <w:rPr>
          <w:sz w:val="20"/>
          <w:szCs w:val="20"/>
        </w:rPr>
        <w:drawing>
          <wp:inline distT="0" distB="0" distL="0" distR="0">
            <wp:extent cx="120015" cy="1670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a:xfrm>
                      <a:off x="0" y="0"/>
                      <a:ext cx="120015" cy="167005"/>
                    </a:xfrm>
                    <a:prstGeom prst="rect">
                      <a:avLst/>
                    </a:prstGeom>
                    <a:noFill/>
                    <a:ln>
                      <a:noFill/>
                    </a:ln>
                  </pic:spPr>
                </pic:pic>
              </a:graphicData>
            </a:graphic>
          </wp:inline>
        </w:drawing>
      </w:r>
      <w:r>
        <w:rPr>
          <w:rFonts w:hAnsi="宋体"/>
          <w:sz w:val="20"/>
          <w:szCs w:val="20"/>
        </w:rPr>
        <w:t>＝</w:t>
      </w:r>
      <w:r>
        <w:rPr>
          <w:sz w:val="20"/>
          <w:szCs w:val="20"/>
        </w:rPr>
        <w:t>20kN/m</w:t>
      </w:r>
      <w:r>
        <w:rPr>
          <w:sz w:val="20"/>
          <w:szCs w:val="20"/>
          <w:vertAlign w:val="superscript"/>
        </w:rPr>
        <w:t>3</w:t>
      </w:r>
      <w:r>
        <w:rPr>
          <w:rFonts w:hAnsi="宋体"/>
          <w:sz w:val="20"/>
          <w:szCs w:val="20"/>
        </w:rPr>
        <w:t>、土的粘聚力</w:t>
      </w:r>
      <w:r>
        <w:rPr>
          <w:i/>
          <w:sz w:val="20"/>
          <w:szCs w:val="20"/>
        </w:rPr>
        <w:t>C</w:t>
      </w:r>
      <w:r>
        <w:rPr>
          <w:rFonts w:hAnsi="宋体"/>
          <w:sz w:val="20"/>
          <w:szCs w:val="20"/>
        </w:rPr>
        <w:t>＝</w:t>
      </w:r>
      <w:r>
        <w:rPr>
          <w:sz w:val="20"/>
          <w:szCs w:val="20"/>
        </w:rPr>
        <w:t>30kPa</w:t>
      </w:r>
      <w:r>
        <w:rPr>
          <w:rFonts w:hAnsi="宋体"/>
          <w:sz w:val="20"/>
          <w:szCs w:val="20"/>
        </w:rPr>
        <w:t>、内摩擦角</w:t>
      </w:r>
      <w:r>
        <w:rPr>
          <w:sz w:val="20"/>
          <w:szCs w:val="20"/>
        </w:rPr>
        <w:object>
          <v:shape id="_x0000_i1167" o:spt="75" type="#_x0000_t75" style="height:14.4pt;width:10.95pt;" o:ole="t" filled="f" o:preferrelative="t" stroked="f" coordsize="21600,21600">
            <v:path/>
            <v:fill on="f" focussize="0,0"/>
            <v:stroke on="f" joinstyle="miter"/>
            <v:imagedata r:id="rId303" o:title=""/>
            <o:lock v:ext="edit" aspectratio="t"/>
            <w10:wrap type="none"/>
            <w10:anchorlock/>
          </v:shape>
          <o:OLEObject Type="Embed" ProgID="Equation.3" ShapeID="_x0000_i1167" DrawAspect="Content" ObjectID="_1468075871" r:id="rId318">
            <o:LockedField>false</o:LockedField>
          </o:OLEObject>
        </w:object>
      </w:r>
      <w:r>
        <w:rPr>
          <w:sz w:val="20"/>
          <w:szCs w:val="20"/>
        </w:rPr>
        <w:t>=10°</w:t>
      </w:r>
      <w:r>
        <w:rPr>
          <w:rFonts w:hAnsi="宋体"/>
          <w:sz w:val="20"/>
          <w:szCs w:val="20"/>
        </w:rPr>
        <w:t>；计算深度</w:t>
      </w:r>
      <w:r>
        <w:rPr>
          <w:i/>
          <w:sz w:val="20"/>
          <w:szCs w:val="20"/>
        </w:rPr>
        <w:t>H</w:t>
      </w:r>
      <w:r>
        <w:rPr>
          <w:sz w:val="20"/>
          <w:szCs w:val="20"/>
        </w:rPr>
        <w:t>=15m</w:t>
      </w:r>
      <w:r>
        <w:rPr>
          <w:rFonts w:hAnsi="宋体"/>
          <w:sz w:val="20"/>
          <w:szCs w:val="20"/>
        </w:rPr>
        <w:t>；</w:t>
      </w:r>
      <w:r>
        <w:rPr>
          <w:sz w:val="20"/>
          <w:szCs w:val="20"/>
        </w:rPr>
        <w:t xml:space="preserve"> </w:t>
      </w:r>
    </w:p>
    <w:p w14:paraId="2BCD996C">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14:paraId="126AB1D6">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1</w:t>
      </w:r>
      <w:r>
        <w:rPr>
          <w:i/>
          <w:sz w:val="20"/>
          <w:szCs w:val="20"/>
        </w:rPr>
        <w:t>H</w:t>
      </w:r>
    </w:p>
    <w:p w14:paraId="0424FA90">
      <w:pPr>
        <w:autoSpaceDE w:val="0"/>
        <w:autoSpaceDN w:val="0"/>
        <w:adjustRightInd w:val="0"/>
        <w:snapToGrid w:val="0"/>
        <w:spacing w:line="288" w:lineRule="auto"/>
        <w:ind w:firstLine="400" w:firstLineChars="200"/>
        <w:textAlignment w:val="center"/>
        <w:rPr>
          <w:rFonts w:ascii="宋体" w:hAnsi="宋体"/>
          <w:sz w:val="20"/>
          <w:szCs w:val="20"/>
        </w:rPr>
      </w:pPr>
    </w:p>
    <w:p w14:paraId="45978E1F">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14:paraId="2F644DCC">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2</w:t>
      </w:r>
      <w:r>
        <w:rPr>
          <w:i/>
          <w:sz w:val="20"/>
          <w:szCs w:val="20"/>
        </w:rPr>
        <w:t>H</w:t>
      </w:r>
    </w:p>
    <w:p w14:paraId="6A3883A7">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14:paraId="68FEE1F2">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3</w:t>
      </w:r>
      <w:r>
        <w:rPr>
          <w:i/>
          <w:sz w:val="20"/>
          <w:szCs w:val="20"/>
        </w:rPr>
        <w:t>H</w:t>
      </w:r>
    </w:p>
    <w:p w14:paraId="65151BB1">
      <w:pPr>
        <w:autoSpaceDE w:val="0"/>
        <w:autoSpaceDN w:val="0"/>
        <w:adjustRightInd w:val="0"/>
        <w:snapToGrid w:val="0"/>
        <w:spacing w:line="288" w:lineRule="auto"/>
        <w:ind w:firstLine="400" w:firstLineChars="200"/>
        <w:textAlignment w:val="center"/>
        <w:rPr>
          <w:rFonts w:ascii="宋体" w:hAnsi="宋体"/>
          <w:sz w:val="20"/>
          <w:szCs w:val="20"/>
        </w:rPr>
      </w:pPr>
    </w:p>
    <w:p w14:paraId="63C45B50">
      <w:pPr>
        <w:autoSpaceDE w:val="0"/>
        <w:autoSpaceDN w:val="0"/>
        <w:adjustRightInd w:val="0"/>
        <w:snapToGrid w:val="0"/>
        <w:spacing w:line="288" w:lineRule="auto"/>
        <w:ind w:firstLine="400" w:firstLineChars="200"/>
        <w:textAlignment w:val="center"/>
        <w:rPr>
          <w:rFonts w:ascii="宋体" w:hAnsi="宋体"/>
          <w:sz w:val="20"/>
          <w:szCs w:val="20"/>
        </w:rPr>
      </w:pPr>
    </w:p>
    <w:p w14:paraId="657E68EA">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14:paraId="528418BF">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4</w:t>
      </w:r>
      <w:r>
        <w:rPr>
          <w:i/>
          <w:sz w:val="20"/>
          <w:szCs w:val="20"/>
        </w:rPr>
        <w:t>H</w:t>
      </w:r>
    </w:p>
    <w:p w14:paraId="3AFAE920">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14:paraId="0A79DBBD">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5</w:t>
      </w:r>
      <w:r>
        <w:rPr>
          <w:i/>
          <w:sz w:val="20"/>
          <w:szCs w:val="20"/>
        </w:rPr>
        <w:t>H</w:t>
      </w:r>
    </w:p>
    <w:p w14:paraId="7AF94380">
      <w:pPr>
        <w:autoSpaceDE w:val="0"/>
        <w:autoSpaceDN w:val="0"/>
        <w:adjustRightInd w:val="0"/>
        <w:snapToGrid w:val="0"/>
        <w:spacing w:line="288" w:lineRule="auto"/>
        <w:ind w:firstLine="400" w:firstLineChars="200"/>
        <w:textAlignment w:val="center"/>
        <w:rPr>
          <w:rFonts w:ascii="宋体" w:hAnsi="宋体"/>
          <w:sz w:val="20"/>
          <w:szCs w:val="20"/>
        </w:rPr>
      </w:pPr>
    </w:p>
    <w:p w14:paraId="1548154F">
      <w:pPr>
        <w:autoSpaceDE w:val="0"/>
        <w:autoSpaceDN w:val="0"/>
        <w:adjustRightInd w:val="0"/>
        <w:snapToGrid w:val="0"/>
        <w:spacing w:line="288" w:lineRule="auto"/>
        <w:ind w:firstLine="400" w:firstLineChars="200"/>
        <w:textAlignment w:val="center"/>
        <w:rPr>
          <w:rFonts w:ascii="宋体" w:hAnsi="宋体"/>
          <w:sz w:val="20"/>
          <w:szCs w:val="20"/>
        </w:rPr>
      </w:pPr>
    </w:p>
    <w:p w14:paraId="41054446">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14:paraId="3D2458D6">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6</w:t>
      </w:r>
      <w:r>
        <w:rPr>
          <w:i/>
          <w:sz w:val="20"/>
          <w:szCs w:val="20"/>
        </w:rPr>
        <w:t>H</w:t>
      </w:r>
    </w:p>
    <w:p w14:paraId="228101B3">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14:paraId="38706090">
      <w:pPr>
        <w:autoSpaceDE w:val="0"/>
        <w:autoSpaceDN w:val="0"/>
        <w:adjustRightInd w:val="0"/>
        <w:snapToGrid w:val="0"/>
        <w:spacing w:before="120" w:beforeLines="50" w:after="120" w:afterLines="50" w:line="288" w:lineRule="auto"/>
        <w:ind w:firstLine="400" w:firstLineChars="200"/>
        <w:textAlignment w:val="center"/>
        <w:rPr>
          <w:rFonts w:ascii="宋体" w:hAnsi="宋体"/>
          <w:sz w:val="20"/>
          <w:szCs w:val="20"/>
        </w:rPr>
      </w:pPr>
      <w:r>
        <w:rPr>
          <w:rFonts w:hint="eastAsia" w:ascii="宋体" w:hAnsi="宋体"/>
          <w:sz w:val="20"/>
          <w:szCs w:val="20"/>
        </w:rPr>
        <w:t>有限土体宽度</w:t>
      </w:r>
      <w:r>
        <w:rPr>
          <w:i/>
          <w:sz w:val="20"/>
          <w:szCs w:val="20"/>
        </w:rPr>
        <w:t>b</w:t>
      </w:r>
      <w:r>
        <w:rPr>
          <w:sz w:val="20"/>
          <w:szCs w:val="20"/>
        </w:rPr>
        <w:t>=0.</w:t>
      </w:r>
      <w:r>
        <w:rPr>
          <w:rFonts w:hint="eastAsia"/>
          <w:sz w:val="20"/>
          <w:szCs w:val="20"/>
        </w:rPr>
        <w:t>7</w:t>
      </w:r>
      <w:r>
        <w:rPr>
          <w:i/>
          <w:sz w:val="20"/>
          <w:szCs w:val="20"/>
        </w:rPr>
        <w:t>H</w:t>
      </w:r>
    </w:p>
    <w:p w14:paraId="51529EF5">
      <w:pPr>
        <w:adjustRightInd w:val="0"/>
        <w:snapToGrid w:val="0"/>
        <w:spacing w:line="288" w:lineRule="auto"/>
        <w:ind w:firstLine="400" w:firstLineChars="200"/>
        <w:rPr>
          <w:rFonts w:ascii="宋体" w:hAnsi="宋体"/>
          <w:sz w:val="20"/>
          <w:szCs w:val="20"/>
        </w:rPr>
      </w:pPr>
    </w:p>
    <w:p w14:paraId="1CC2177D">
      <w:pPr>
        <w:adjustRightInd w:val="0"/>
        <w:snapToGrid w:val="0"/>
        <w:spacing w:line="288" w:lineRule="auto"/>
        <w:ind w:firstLine="400" w:firstLineChars="200"/>
        <w:rPr>
          <w:rFonts w:ascii="宋体" w:hAnsi="宋体"/>
          <w:sz w:val="20"/>
          <w:szCs w:val="20"/>
        </w:rPr>
      </w:pPr>
      <w:r>
        <w:rPr>
          <w:rFonts w:hint="eastAsia" w:ascii="宋体" w:hAnsi="宋体"/>
          <w:sz w:val="20"/>
          <w:szCs w:val="20"/>
        </w:rPr>
        <w:t>有限土体宽度继续增加，</w:t>
      </w:r>
      <w:r>
        <w:rPr>
          <w:sz w:val="20"/>
          <w:szCs w:val="20"/>
        </w:rPr>
        <w:t>new</w:t>
      </w:r>
      <w:r>
        <w:rPr>
          <w:rFonts w:hint="eastAsia" w:ascii="宋体" w:hAnsi="宋体"/>
          <w:sz w:val="20"/>
          <w:szCs w:val="20"/>
        </w:rPr>
        <w:t>方法、面积比、宽度比三种方法土压力强度已经与朗肯土压力相同。</w:t>
      </w:r>
    </w:p>
    <w:p w14:paraId="479E8713">
      <w:pPr>
        <w:autoSpaceDE w:val="0"/>
        <w:autoSpaceDN w:val="0"/>
        <w:adjustRightInd w:val="0"/>
        <w:snapToGrid w:val="0"/>
        <w:spacing w:line="288" w:lineRule="auto"/>
        <w:textAlignment w:val="center"/>
        <w:rPr>
          <w:rFonts w:ascii="宋体" w:hAnsi="宋体"/>
          <w:sz w:val="20"/>
          <w:szCs w:val="20"/>
        </w:rPr>
      </w:pPr>
      <w:r>
        <w:rPr>
          <w:rFonts w:ascii="宋体" w:hAnsi="宋体"/>
          <w:sz w:val="20"/>
          <w:szCs w:val="20"/>
        </w:rPr>
        <w:drawing>
          <wp:inline distT="0" distB="0" distL="0" distR="0">
            <wp:extent cx="3743960" cy="201549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14:paraId="7F909E2C">
      <w:pPr>
        <w:autoSpaceDE w:val="0"/>
        <w:autoSpaceDN w:val="0"/>
        <w:adjustRightInd w:val="0"/>
        <w:snapToGrid w:val="0"/>
        <w:spacing w:line="288" w:lineRule="auto"/>
        <w:ind w:left="720" w:leftChars="200" w:hanging="300" w:hangingChars="200"/>
        <w:textAlignment w:val="center"/>
        <w:rPr>
          <w:rFonts w:ascii="宋体" w:hAnsi="宋体"/>
          <w:sz w:val="15"/>
          <w:szCs w:val="15"/>
        </w:rPr>
      </w:pPr>
      <w:r>
        <w:rPr>
          <w:rFonts w:hint="eastAsia" w:ascii="宋体" w:hAnsi="宋体"/>
          <w:sz w:val="15"/>
          <w:szCs w:val="15"/>
        </w:rPr>
        <w:t>注：朗肯方法即为朗肯土压力方法；[1]方法即为文献[1]方法；new方法即为理论推导方法；面积比方法即取面积比为折减系数的方法；宽度比方法即为取折减系数为有限土体宽度B与</w:t>
      </w:r>
      <w:r>
        <w:rPr>
          <w:rFonts w:ascii="宋体" w:hAnsi="宋体"/>
          <w:sz w:val="15"/>
          <w:szCs w:val="15"/>
        </w:rPr>
        <w:object>
          <v:shape id="_x0000_i1168" o:spt="75" type="#_x0000_t75" style="height:11.5pt;width:61.05pt;" o:ole="t" filled="f" o:preferrelative="t" stroked="f" coordsize="21600,21600">
            <v:path/>
            <v:fill on="f" focussize="0,0"/>
            <v:stroke on="f" joinstyle="miter"/>
            <v:imagedata r:id="rId328" o:title=""/>
            <o:lock v:ext="edit" aspectratio="t"/>
            <w10:wrap type="none"/>
            <w10:anchorlock/>
          </v:shape>
          <o:OLEObject Type="Embed" ProgID="Equation.DSMT4" ShapeID="_x0000_i1168" DrawAspect="Content" ObjectID="_1468075872" r:id="rId327">
            <o:LockedField>false</o:LockedField>
          </o:OLEObject>
        </w:object>
      </w:r>
      <w:r>
        <w:rPr>
          <w:rFonts w:hint="eastAsia" w:ascii="宋体" w:hAnsi="宋体"/>
          <w:sz w:val="15"/>
          <w:szCs w:val="15"/>
        </w:rPr>
        <w:t>比值的方法。</w:t>
      </w:r>
    </w:p>
    <w:p w14:paraId="4252093C">
      <w:pPr>
        <w:autoSpaceDE w:val="0"/>
        <w:autoSpaceDN w:val="0"/>
        <w:adjustRightInd w:val="0"/>
        <w:snapToGrid w:val="0"/>
        <w:spacing w:line="288" w:lineRule="auto"/>
        <w:ind w:firstLine="675" w:firstLineChars="450"/>
        <w:rPr>
          <w:rFonts w:ascii="宋体" w:hAnsi="宋体" w:cs="宋体"/>
          <w:sz w:val="15"/>
          <w:szCs w:val="15"/>
          <w:lang w:val="zh-CN"/>
        </w:rPr>
      </w:pPr>
      <w:r>
        <w:rPr>
          <w:rFonts w:ascii="宋体" w:hAnsi="宋体" w:cs="宋体"/>
          <w:sz w:val="15"/>
          <w:szCs w:val="15"/>
          <w:lang w:val="zh-CN"/>
        </w:rPr>
        <w:t xml:space="preserve">[1] </w:t>
      </w:r>
      <w:r>
        <w:rPr>
          <w:rFonts w:hint="eastAsia" w:ascii="宋体" w:hAnsi="宋体" w:cs="宋体"/>
          <w:sz w:val="15"/>
          <w:szCs w:val="15"/>
          <w:lang w:val="zh-CN"/>
        </w:rPr>
        <w:t>高印立.有限土体土压力的计算探讨</w:t>
      </w:r>
      <w:r>
        <w:rPr>
          <w:rFonts w:ascii="宋体" w:hAnsi="宋体" w:cs="宋体"/>
          <w:sz w:val="15"/>
          <w:szCs w:val="15"/>
          <w:lang w:val="zh-CN"/>
        </w:rPr>
        <w:t>[J]</w:t>
      </w:r>
      <w:r>
        <w:rPr>
          <w:rFonts w:hint="eastAsia" w:ascii="宋体" w:hAnsi="宋体" w:cs="宋体"/>
          <w:sz w:val="15"/>
          <w:szCs w:val="15"/>
          <w:lang w:val="zh-CN"/>
        </w:rPr>
        <w:t>．建筑科学,</w:t>
      </w:r>
      <w:r>
        <w:rPr>
          <w:rFonts w:ascii="宋体" w:hAnsi="宋体" w:cs="宋体"/>
          <w:sz w:val="15"/>
          <w:szCs w:val="15"/>
          <w:lang w:val="zh-CN"/>
        </w:rPr>
        <w:t>2000</w:t>
      </w:r>
      <w:r>
        <w:rPr>
          <w:rFonts w:hint="eastAsia" w:ascii="宋体" w:hAnsi="宋体" w:cs="宋体"/>
          <w:sz w:val="15"/>
          <w:szCs w:val="15"/>
          <w:lang w:val="zh-CN"/>
        </w:rPr>
        <w:t>,</w:t>
      </w:r>
      <w:r>
        <w:rPr>
          <w:rFonts w:ascii="宋体" w:hAnsi="宋体" w:cs="宋体"/>
          <w:sz w:val="15"/>
          <w:szCs w:val="15"/>
          <w:lang w:val="zh-CN"/>
        </w:rPr>
        <w:t>16（5）</w:t>
      </w:r>
      <w:r>
        <w:rPr>
          <w:rFonts w:hint="eastAsia" w:ascii="宋体" w:hAnsi="宋体" w:cs="宋体"/>
          <w:sz w:val="15"/>
          <w:szCs w:val="15"/>
          <w:lang w:val="zh-CN"/>
        </w:rPr>
        <w:t>:53～56</w:t>
      </w:r>
    </w:p>
    <w:p w14:paraId="4A5D3954">
      <w:pPr>
        <w:adjustRightInd w:val="0"/>
        <w:snapToGrid w:val="0"/>
        <w:spacing w:line="288" w:lineRule="auto"/>
        <w:ind w:left="714" w:leftChars="320" w:hanging="42" w:hangingChars="28"/>
        <w:jc w:val="left"/>
        <w:rPr>
          <w:rFonts w:ascii="宋体" w:hAnsi="宋体" w:cs="宋体"/>
          <w:spacing w:val="-2"/>
          <w:sz w:val="15"/>
          <w:szCs w:val="15"/>
          <w:lang w:val="zh-CN"/>
        </w:rPr>
      </w:pPr>
      <w:r>
        <w:rPr>
          <w:rFonts w:hint="eastAsia" w:ascii="宋体" w:hAnsi="宋体" w:cs="宋体"/>
          <w:sz w:val="15"/>
          <w:szCs w:val="15"/>
        </w:rPr>
        <w:t xml:space="preserve">[2] </w:t>
      </w:r>
      <w:r>
        <w:rPr>
          <w:rFonts w:hint="eastAsia" w:ascii="宋体" w:hAnsi="宋体" w:cs="宋体"/>
          <w:spacing w:val="-2"/>
          <w:sz w:val="15"/>
          <w:szCs w:val="15"/>
          <w:lang w:val="zh-CN"/>
        </w:rPr>
        <w:t>何颐华等．双排护坡柱试验与计算的研究[J]．建筑结构学报．1996,17</w:t>
      </w:r>
      <w:r>
        <w:rPr>
          <w:rFonts w:ascii="宋体" w:hAnsi="宋体" w:cs="宋体"/>
          <w:spacing w:val="-2"/>
          <w:sz w:val="15"/>
          <w:szCs w:val="15"/>
          <w:lang w:val="zh-CN"/>
        </w:rPr>
        <w:t>（</w:t>
      </w:r>
      <w:r>
        <w:rPr>
          <w:rFonts w:hint="eastAsia" w:ascii="宋体" w:hAnsi="宋体" w:cs="宋体"/>
          <w:spacing w:val="-2"/>
          <w:sz w:val="15"/>
          <w:szCs w:val="15"/>
          <w:lang w:val="zh-CN"/>
        </w:rPr>
        <w:t>2）:</w:t>
      </w:r>
    </w:p>
    <w:p w14:paraId="4159C9E3">
      <w:pPr>
        <w:adjustRightInd w:val="0"/>
        <w:snapToGrid w:val="0"/>
        <w:spacing w:line="288" w:lineRule="auto"/>
        <w:ind w:left="714" w:leftChars="340" w:firstLine="225" w:firstLineChars="150"/>
        <w:jc w:val="left"/>
        <w:rPr>
          <w:rFonts w:ascii="宋体" w:hAnsi="宋体" w:cs="宋体"/>
          <w:sz w:val="15"/>
          <w:szCs w:val="15"/>
          <w:lang w:val="zh-CN"/>
        </w:rPr>
      </w:pPr>
      <w:r>
        <w:rPr>
          <w:rFonts w:ascii="宋体" w:hAnsi="宋体" w:cs="宋体"/>
          <w:sz w:val="15"/>
          <w:szCs w:val="15"/>
          <w:lang w:val="zh-CN"/>
        </w:rPr>
        <w:t xml:space="preserve"> </w:t>
      </w:r>
      <w:r>
        <w:rPr>
          <w:rFonts w:hint="eastAsia" w:ascii="宋体" w:hAnsi="宋体" w:cs="宋体"/>
          <w:sz w:val="15"/>
          <w:szCs w:val="15"/>
          <w:lang w:val="zh-CN"/>
        </w:rPr>
        <w:t>58～66</w:t>
      </w:r>
    </w:p>
    <w:p w14:paraId="555D2724">
      <w:pPr>
        <w:adjustRightInd w:val="0"/>
        <w:snapToGrid w:val="0"/>
        <w:spacing w:line="288" w:lineRule="auto"/>
        <w:rPr>
          <w:rFonts w:ascii="宋体" w:hAnsi="宋体"/>
          <w:sz w:val="20"/>
          <w:szCs w:val="20"/>
        </w:rPr>
      </w:pPr>
      <w:r>
        <w:rPr>
          <w:rFonts w:eastAsia="黑体"/>
          <w:b/>
          <w:bCs/>
          <w:kern w:val="0"/>
          <w:sz w:val="20"/>
          <w:szCs w:val="20"/>
        </w:rPr>
        <w:t>3.3.9</w:t>
      </w:r>
      <w:r>
        <w:rPr>
          <w:rFonts w:hint="eastAsia" w:eastAsia="黑体"/>
          <w:b/>
          <w:bCs/>
          <w:kern w:val="0"/>
          <w:sz w:val="20"/>
          <w:szCs w:val="20"/>
        </w:rPr>
        <w:t xml:space="preserve">  </w:t>
      </w:r>
      <w:r>
        <w:rPr>
          <w:rFonts w:hint="eastAsia" w:ascii="宋体" w:hAnsi="宋体"/>
          <w:sz w:val="20"/>
          <w:szCs w:val="20"/>
        </w:rPr>
        <w:t>本条主要针对北京地区经常选用基坑上部采用放坡或土钉墙、下部采用排桩或地下连续墙的组合支护形式，在实际设计中往往不考虑桩</w:t>
      </w:r>
      <w:r>
        <w:rPr>
          <w:rFonts w:ascii="宋体" w:hAnsi="宋体"/>
          <w:sz w:val="20"/>
          <w:szCs w:val="20"/>
        </w:rPr>
        <w:t>（</w:t>
      </w:r>
      <w:r>
        <w:rPr>
          <w:rFonts w:hint="eastAsia" w:ascii="宋体" w:hAnsi="宋体"/>
          <w:sz w:val="20"/>
          <w:szCs w:val="20"/>
        </w:rPr>
        <w:t>墙</w:t>
      </w:r>
      <w:r>
        <w:rPr>
          <w:rFonts w:ascii="宋体" w:hAnsi="宋体"/>
          <w:sz w:val="20"/>
          <w:szCs w:val="20"/>
        </w:rPr>
        <w:t>）</w:t>
      </w:r>
      <w:r>
        <w:rPr>
          <w:rFonts w:hint="eastAsia" w:ascii="宋体" w:hAnsi="宋体"/>
          <w:sz w:val="20"/>
          <w:szCs w:val="20"/>
        </w:rPr>
        <w:t>顶部以上土体与桩</w:t>
      </w:r>
      <w:r>
        <w:rPr>
          <w:rFonts w:ascii="宋体" w:hAnsi="宋体"/>
          <w:sz w:val="20"/>
          <w:szCs w:val="20"/>
        </w:rPr>
        <w:t>（</w:t>
      </w:r>
      <w:r>
        <w:rPr>
          <w:rFonts w:hint="eastAsia" w:ascii="宋体" w:hAnsi="宋体"/>
          <w:sz w:val="20"/>
          <w:szCs w:val="20"/>
        </w:rPr>
        <w:t>墙</w:t>
      </w:r>
      <w:r>
        <w:rPr>
          <w:rFonts w:ascii="宋体" w:hAnsi="宋体"/>
          <w:sz w:val="20"/>
          <w:szCs w:val="20"/>
        </w:rPr>
        <w:t>）</w:t>
      </w:r>
      <w:r>
        <w:rPr>
          <w:rFonts w:hint="eastAsia" w:ascii="宋体" w:hAnsi="宋体"/>
          <w:sz w:val="20"/>
          <w:szCs w:val="20"/>
        </w:rPr>
        <w:t>支护结构间的相互影响而导致计算中低估上部土体对桩</w:t>
      </w:r>
      <w:r>
        <w:rPr>
          <w:rFonts w:ascii="宋体" w:hAnsi="宋体"/>
          <w:sz w:val="20"/>
          <w:szCs w:val="20"/>
        </w:rPr>
        <w:t>（</w:t>
      </w:r>
      <w:r>
        <w:rPr>
          <w:rFonts w:hint="eastAsia" w:ascii="宋体" w:hAnsi="宋体"/>
          <w:sz w:val="20"/>
          <w:szCs w:val="20"/>
        </w:rPr>
        <w:t>墙</w:t>
      </w:r>
      <w:r>
        <w:rPr>
          <w:rFonts w:ascii="宋体" w:hAnsi="宋体"/>
          <w:sz w:val="20"/>
          <w:szCs w:val="20"/>
        </w:rPr>
        <w:t>）</w:t>
      </w:r>
      <w:r>
        <w:rPr>
          <w:rFonts w:hint="eastAsia" w:ascii="宋体" w:hAnsi="宋体"/>
          <w:sz w:val="20"/>
          <w:szCs w:val="20"/>
        </w:rPr>
        <w:t>支护结构的作用效应、使计算结果偏于不安全。如将土钉墙部分的土层重力按作用在桩墙顶面的分布</w:t>
      </w:r>
      <w:r>
        <w:rPr>
          <w:rFonts w:hAnsi="宋体"/>
          <w:sz w:val="20"/>
          <w:szCs w:val="20"/>
        </w:rPr>
        <w:t>荷载考虑并按朗肯土压力方法计算作用在桩墙上的水平荷载（</w:t>
      </w:r>
      <w:r>
        <w:rPr>
          <w:rFonts w:hint="eastAsia" w:hAnsi="宋体"/>
          <w:sz w:val="20"/>
          <w:szCs w:val="20"/>
        </w:rPr>
        <w:t>第</w:t>
      </w:r>
      <w:r>
        <w:rPr>
          <w:sz w:val="20"/>
          <w:szCs w:val="20"/>
        </w:rPr>
        <w:t>3.3.9</w:t>
      </w:r>
      <w:r>
        <w:rPr>
          <w:rFonts w:hAnsi="宋体"/>
          <w:sz w:val="20"/>
          <w:szCs w:val="20"/>
        </w:rPr>
        <w:t>条</w:t>
      </w:r>
      <w:r>
        <w:rPr>
          <w:rFonts w:hint="eastAsia" w:hAnsi="宋体"/>
          <w:sz w:val="20"/>
          <w:szCs w:val="20"/>
        </w:rPr>
        <w:t>第</w:t>
      </w:r>
      <w:r>
        <w:rPr>
          <w:sz w:val="20"/>
          <w:szCs w:val="20"/>
        </w:rPr>
        <w:t>1</w:t>
      </w:r>
      <w:r>
        <w:rPr>
          <w:rFonts w:hAnsi="宋体"/>
          <w:sz w:val="20"/>
          <w:szCs w:val="20"/>
        </w:rPr>
        <w:t>款的方法），实际上是将桩墙顶部以上的土压力人为的略去（见下图</w:t>
      </w:r>
      <w:r>
        <w:rPr>
          <w:sz w:val="20"/>
          <w:szCs w:val="20"/>
        </w:rPr>
        <w:t>3.3.9</w:t>
      </w:r>
      <w:r>
        <w:rPr>
          <w:rFonts w:hAnsi="宋体"/>
          <w:sz w:val="20"/>
          <w:szCs w:val="20"/>
        </w:rPr>
        <w:t>）。通过不同基坑深度的实例试算，当上部土钉墙支护高度</w:t>
      </w:r>
      <w:r>
        <w:rPr>
          <w:i/>
          <w:sz w:val="20"/>
          <w:szCs w:val="20"/>
        </w:rPr>
        <w:t>h</w:t>
      </w:r>
      <w:r>
        <w:rPr>
          <w:sz w:val="20"/>
          <w:szCs w:val="20"/>
          <w:vertAlign w:val="subscript"/>
        </w:rPr>
        <w:t>1</w:t>
      </w:r>
      <w:r>
        <w:rPr>
          <w:rFonts w:hAnsi="宋体"/>
          <w:sz w:val="20"/>
          <w:szCs w:val="20"/>
        </w:rPr>
        <w:t>等于</w:t>
      </w:r>
      <w:r>
        <w:rPr>
          <w:sz w:val="20"/>
          <w:szCs w:val="20"/>
        </w:rPr>
        <w:t>0.5</w:t>
      </w:r>
      <w:r>
        <w:rPr>
          <w:i/>
          <w:sz w:val="20"/>
          <w:szCs w:val="20"/>
        </w:rPr>
        <w:t>h</w:t>
      </w:r>
      <w:r>
        <w:rPr>
          <w:rFonts w:hAnsi="宋体"/>
          <w:sz w:val="20"/>
          <w:szCs w:val="20"/>
        </w:rPr>
        <w:t>时（坡度</w:t>
      </w:r>
      <w:r>
        <w:rPr>
          <w:sz w:val="20"/>
          <w:szCs w:val="20"/>
        </w:rPr>
        <w:t>1</w:t>
      </w:r>
      <w:r>
        <w:rPr>
          <w:rFonts w:hint="eastAsia" w:ascii="宋体" w:hAnsi="宋体"/>
          <w:sz w:val="20"/>
          <w:szCs w:val="20"/>
        </w:rPr>
        <w:t>:</w:t>
      </w:r>
      <w:r>
        <w:rPr>
          <w:sz w:val="20"/>
          <w:szCs w:val="20"/>
        </w:rPr>
        <w:t>0.2</w:t>
      </w:r>
      <w:r>
        <w:rPr>
          <w:rFonts w:hAnsi="宋体"/>
          <w:sz w:val="20"/>
          <w:szCs w:val="20"/>
        </w:rPr>
        <w:t>左右），</w:t>
      </w:r>
      <w:r>
        <w:rPr>
          <w:rFonts w:hint="eastAsia" w:hAnsi="宋体"/>
          <w:sz w:val="20"/>
          <w:szCs w:val="20"/>
        </w:rPr>
        <w:t>第</w:t>
      </w:r>
      <w:r>
        <w:rPr>
          <w:sz w:val="20"/>
          <w:szCs w:val="20"/>
        </w:rPr>
        <w:t>3.3.9</w:t>
      </w:r>
      <w:r>
        <w:rPr>
          <w:rFonts w:hAnsi="宋体"/>
          <w:sz w:val="20"/>
          <w:szCs w:val="20"/>
        </w:rPr>
        <w:t>条</w:t>
      </w:r>
      <w:r>
        <w:rPr>
          <w:rFonts w:hint="eastAsia" w:hAnsi="宋体"/>
          <w:sz w:val="20"/>
          <w:szCs w:val="20"/>
        </w:rPr>
        <w:t>第</w:t>
      </w:r>
      <w:r>
        <w:rPr>
          <w:sz w:val="20"/>
          <w:szCs w:val="20"/>
        </w:rPr>
        <w:t>2</w:t>
      </w:r>
      <w:r>
        <w:rPr>
          <w:rFonts w:hAnsi="宋体"/>
          <w:sz w:val="20"/>
          <w:szCs w:val="20"/>
        </w:rPr>
        <w:t>款的计算结果与</w:t>
      </w:r>
      <w:r>
        <w:rPr>
          <w:sz w:val="20"/>
          <w:szCs w:val="20"/>
        </w:rPr>
        <w:t>3.3.9</w:t>
      </w:r>
      <w:r>
        <w:rPr>
          <w:rFonts w:hAnsi="宋体"/>
          <w:sz w:val="20"/>
          <w:szCs w:val="20"/>
        </w:rPr>
        <w:t>条</w:t>
      </w:r>
      <w:r>
        <w:rPr>
          <w:sz w:val="20"/>
          <w:szCs w:val="20"/>
        </w:rPr>
        <w:t>1</w:t>
      </w:r>
      <w:r>
        <w:rPr>
          <w:rFonts w:hAnsi="宋体"/>
          <w:sz w:val="20"/>
          <w:szCs w:val="20"/>
        </w:rPr>
        <w:t>款相比，土压力大</w:t>
      </w:r>
      <w:r>
        <w:rPr>
          <w:sz w:val="20"/>
          <w:szCs w:val="20"/>
        </w:rPr>
        <w:t>5</w:t>
      </w:r>
      <w:r>
        <w:rPr>
          <w:rFonts w:hAnsi="宋体"/>
          <w:sz w:val="20"/>
          <w:szCs w:val="20"/>
        </w:rPr>
        <w:t>％～</w:t>
      </w:r>
      <w:r>
        <w:rPr>
          <w:sz w:val="20"/>
          <w:szCs w:val="20"/>
        </w:rPr>
        <w:t>15</w:t>
      </w:r>
      <w:r>
        <w:rPr>
          <w:rFonts w:hAnsi="宋体"/>
          <w:sz w:val="20"/>
          <w:szCs w:val="20"/>
        </w:rPr>
        <w:t>％，最大弯矩大</w:t>
      </w:r>
      <w:r>
        <w:rPr>
          <w:sz w:val="20"/>
          <w:szCs w:val="20"/>
        </w:rPr>
        <w:t>5</w:t>
      </w:r>
      <w:r>
        <w:rPr>
          <w:rFonts w:hAnsi="宋体"/>
          <w:sz w:val="20"/>
          <w:szCs w:val="20"/>
        </w:rPr>
        <w:t>％～</w:t>
      </w:r>
      <w:r>
        <w:rPr>
          <w:sz w:val="20"/>
          <w:szCs w:val="20"/>
        </w:rPr>
        <w:t>20</w:t>
      </w:r>
      <w:r>
        <w:rPr>
          <w:rFonts w:hAnsi="宋体"/>
          <w:sz w:val="20"/>
          <w:szCs w:val="20"/>
        </w:rPr>
        <w:t>％，第一排锚杆（锚杆设置在桩顶）拉力大</w:t>
      </w:r>
      <w:r>
        <w:rPr>
          <w:sz w:val="20"/>
          <w:szCs w:val="20"/>
        </w:rPr>
        <w:t>20</w:t>
      </w:r>
      <w:r>
        <w:rPr>
          <w:rFonts w:hAnsi="宋体"/>
          <w:sz w:val="20"/>
          <w:szCs w:val="20"/>
        </w:rPr>
        <w:t>％～</w:t>
      </w:r>
      <w:r>
        <w:rPr>
          <w:sz w:val="20"/>
          <w:szCs w:val="20"/>
        </w:rPr>
        <w:t>60</w:t>
      </w:r>
      <w:r>
        <w:rPr>
          <w:rFonts w:hAnsi="宋体"/>
          <w:sz w:val="20"/>
          <w:szCs w:val="20"/>
        </w:rPr>
        <w:t>％。安全储备随放坡或土钉墙支护高度（</w:t>
      </w:r>
      <w:r>
        <w:rPr>
          <w:i/>
          <w:sz w:val="20"/>
          <w:szCs w:val="20"/>
        </w:rPr>
        <w:t>h</w:t>
      </w:r>
      <w:r>
        <w:rPr>
          <w:sz w:val="20"/>
          <w:szCs w:val="20"/>
          <w:vertAlign w:val="subscript"/>
        </w:rPr>
        <w:t>1</w:t>
      </w:r>
      <w:r>
        <w:rPr>
          <w:rFonts w:hAnsi="宋体"/>
          <w:sz w:val="20"/>
          <w:szCs w:val="20"/>
        </w:rPr>
        <w:t>）与基坑总深度的比值的增大而降低，特别当放坡或土钉墙支护的高度（</w:t>
      </w:r>
      <w:r>
        <w:rPr>
          <w:i/>
          <w:sz w:val="20"/>
          <w:szCs w:val="20"/>
        </w:rPr>
        <w:t>h</w:t>
      </w:r>
      <w:r>
        <w:rPr>
          <w:sz w:val="20"/>
          <w:szCs w:val="20"/>
          <w:vertAlign w:val="subscript"/>
        </w:rPr>
        <w:t>1</w:t>
      </w:r>
      <w:r>
        <w:rPr>
          <w:rFonts w:hAnsi="宋体"/>
          <w:sz w:val="20"/>
          <w:szCs w:val="20"/>
        </w:rPr>
        <w:t>）大于基坑总深度的</w:t>
      </w:r>
      <w:r>
        <w:rPr>
          <w:sz w:val="20"/>
          <w:szCs w:val="20"/>
        </w:rPr>
        <w:t>1/2</w:t>
      </w:r>
      <w:r>
        <w:rPr>
          <w:rFonts w:hAnsi="宋体"/>
          <w:sz w:val="20"/>
          <w:szCs w:val="20"/>
        </w:rPr>
        <w:t>时，其降低幅度明显。因此，本条强调当放坡或土钉墙支护的高度（</w:t>
      </w:r>
      <w:r>
        <w:rPr>
          <w:i/>
          <w:sz w:val="20"/>
          <w:szCs w:val="20"/>
        </w:rPr>
        <w:t>h</w:t>
      </w:r>
      <w:r>
        <w:rPr>
          <w:sz w:val="20"/>
          <w:szCs w:val="20"/>
          <w:vertAlign w:val="subscript"/>
        </w:rPr>
        <w:t>1</w:t>
      </w:r>
      <w:r>
        <w:rPr>
          <w:rFonts w:hAnsi="宋体"/>
          <w:sz w:val="20"/>
          <w:szCs w:val="20"/>
        </w:rPr>
        <w:t>）</w:t>
      </w:r>
      <w:r>
        <w:rPr>
          <w:rFonts w:hint="eastAsia" w:ascii="宋体" w:hAnsi="宋体"/>
          <w:sz w:val="20"/>
          <w:szCs w:val="20"/>
        </w:rPr>
        <w:t>大于基坑总深</w:t>
      </w:r>
      <w:r>
        <w:rPr>
          <w:rFonts w:hAnsi="宋体"/>
          <w:sz w:val="20"/>
          <w:szCs w:val="20"/>
        </w:rPr>
        <w:t>度的</w:t>
      </w:r>
      <w:r>
        <w:rPr>
          <w:sz w:val="20"/>
          <w:szCs w:val="20"/>
        </w:rPr>
        <w:t>1/2</w:t>
      </w:r>
      <w:r>
        <w:rPr>
          <w:rFonts w:hAnsi="宋体"/>
          <w:sz w:val="20"/>
          <w:szCs w:val="20"/>
        </w:rPr>
        <w:t>时，应考虑桩（墙）顶部以上土体与桩（墙）支护结构间的相互影响并按</w:t>
      </w:r>
      <w:r>
        <w:rPr>
          <w:rFonts w:hint="eastAsia" w:hAnsi="宋体"/>
          <w:sz w:val="20"/>
          <w:szCs w:val="20"/>
        </w:rPr>
        <w:t>本</w:t>
      </w:r>
      <w:r>
        <w:rPr>
          <w:rFonts w:hAnsi="宋体"/>
          <w:sz w:val="20"/>
          <w:szCs w:val="20"/>
        </w:rPr>
        <w:t>规程</w:t>
      </w:r>
      <w:r>
        <w:rPr>
          <w:rFonts w:hint="eastAsia" w:hAnsi="宋体"/>
          <w:sz w:val="20"/>
          <w:szCs w:val="20"/>
        </w:rPr>
        <w:t>第</w:t>
      </w:r>
      <w:r>
        <w:rPr>
          <w:sz w:val="20"/>
          <w:szCs w:val="20"/>
        </w:rPr>
        <w:t>3.3.9</w:t>
      </w:r>
      <w:r>
        <w:rPr>
          <w:rFonts w:hAnsi="宋体"/>
          <w:sz w:val="20"/>
          <w:szCs w:val="20"/>
        </w:rPr>
        <w:t>条</w:t>
      </w:r>
      <w:r>
        <w:rPr>
          <w:rFonts w:hint="eastAsia" w:hAnsi="宋体"/>
          <w:sz w:val="20"/>
          <w:szCs w:val="20"/>
        </w:rPr>
        <w:t>第</w:t>
      </w:r>
      <w:r>
        <w:rPr>
          <w:sz w:val="20"/>
          <w:szCs w:val="20"/>
        </w:rPr>
        <w:t>2</w:t>
      </w:r>
      <w:r>
        <w:rPr>
          <w:rFonts w:hint="eastAsia" w:ascii="宋体" w:hAnsi="宋体"/>
          <w:sz w:val="20"/>
          <w:szCs w:val="20"/>
        </w:rPr>
        <w:t>款的简化方法计算，同时应严格控制桩（墙）顶部的水平位移。</w:t>
      </w:r>
    </w:p>
    <w:p w14:paraId="6445C4E0">
      <w:pPr>
        <w:adjustRightInd w:val="0"/>
        <w:snapToGrid w:val="0"/>
        <w:spacing w:line="288" w:lineRule="auto"/>
        <w:jc w:val="center"/>
        <w:rPr>
          <w:rFonts w:ascii="宋体" w:hAnsi="宋体"/>
          <w:sz w:val="20"/>
          <w:szCs w:val="20"/>
        </w:rPr>
      </w:pPr>
      <w:r>
        <w:rPr>
          <w:rFonts w:ascii="宋体" w:hAnsi="宋体"/>
          <w:sz w:val="20"/>
          <w:szCs w:val="20"/>
        </w:rPr>
        <w:drawing>
          <wp:inline distT="0" distB="0" distL="0" distR="0">
            <wp:extent cx="3672205" cy="175958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9">
                      <a:extLst>
                        <a:ext uri="{28A0092B-C50C-407E-A947-70E740481C1C}">
                          <a14:useLocalDpi xmlns:a14="http://schemas.microsoft.com/office/drawing/2010/main" val="0"/>
                        </a:ext>
                      </a:extLst>
                    </a:blip>
                    <a:stretch>
                      <a:fillRect/>
                    </a:stretch>
                  </pic:blipFill>
                  <pic:spPr>
                    <a:xfrm>
                      <a:off x="0" y="0"/>
                      <a:ext cx="3693336" cy="1769476"/>
                    </a:xfrm>
                    <a:prstGeom prst="rect">
                      <a:avLst/>
                    </a:prstGeom>
                  </pic:spPr>
                </pic:pic>
              </a:graphicData>
            </a:graphic>
          </wp:inline>
        </w:drawing>
      </w:r>
    </w:p>
    <w:p w14:paraId="34E27446">
      <w:pPr>
        <w:adjustRightInd w:val="0"/>
        <w:snapToGrid w:val="0"/>
        <w:spacing w:before="120" w:beforeLines="50" w:after="120" w:afterLines="50"/>
        <w:jc w:val="center"/>
        <w:rPr>
          <w:rFonts w:hAnsi="宋体"/>
          <w:b/>
          <w:sz w:val="18"/>
          <w:szCs w:val="18"/>
        </w:rPr>
      </w:pPr>
      <w:r>
        <w:rPr>
          <w:rFonts w:hAnsi="宋体"/>
          <w:b/>
          <w:sz w:val="18"/>
          <w:szCs w:val="18"/>
        </w:rPr>
        <w:t>图</w:t>
      </w:r>
      <w:r>
        <w:rPr>
          <w:b/>
          <w:sz w:val="18"/>
          <w:szCs w:val="18"/>
        </w:rPr>
        <w:t xml:space="preserve">3.3.9  </w:t>
      </w:r>
      <w:r>
        <w:rPr>
          <w:rFonts w:hAnsi="宋体"/>
          <w:b/>
          <w:sz w:val="18"/>
          <w:szCs w:val="18"/>
        </w:rPr>
        <w:t>基坑上部采用土钉墙下部采用排桩或地下连续墙时的</w:t>
      </w:r>
    </w:p>
    <w:p w14:paraId="2A271C93">
      <w:pPr>
        <w:adjustRightInd w:val="0"/>
        <w:snapToGrid w:val="0"/>
        <w:spacing w:before="120" w:beforeLines="50" w:after="120" w:afterLines="50"/>
        <w:jc w:val="center"/>
        <w:rPr>
          <w:b/>
          <w:sz w:val="18"/>
          <w:szCs w:val="18"/>
        </w:rPr>
      </w:pPr>
      <w:r>
        <w:rPr>
          <w:rFonts w:hAnsi="宋体"/>
          <w:b/>
          <w:sz w:val="18"/>
          <w:szCs w:val="18"/>
        </w:rPr>
        <w:t>土压力计算问题</w:t>
      </w:r>
    </w:p>
    <w:p w14:paraId="47797104">
      <w:pPr>
        <w:widowControl/>
        <w:jc w:val="left"/>
        <w:rPr>
          <w:rFonts w:eastAsia="黑体"/>
          <w:sz w:val="18"/>
          <w:szCs w:val="18"/>
        </w:rPr>
      </w:pPr>
      <w:r>
        <w:rPr>
          <w:rFonts w:eastAsia="黑体"/>
          <w:sz w:val="18"/>
          <w:szCs w:val="18"/>
        </w:rPr>
        <w:br w:type="page"/>
      </w:r>
    </w:p>
    <w:p w14:paraId="350DAC3D">
      <w:pPr>
        <w:pStyle w:val="5"/>
        <w:keepNext w:val="0"/>
        <w:keepLines w:val="0"/>
        <w:adjustRightInd w:val="0"/>
        <w:snapToGrid w:val="0"/>
        <w:spacing w:before="120" w:beforeLines="50" w:after="240" w:afterLines="100" w:line="288" w:lineRule="auto"/>
        <w:jc w:val="center"/>
        <w:rPr>
          <w:rFonts w:ascii="Times New Roman" w:hAnsi="Times New Roman"/>
          <w:sz w:val="26"/>
          <w:szCs w:val="26"/>
        </w:rPr>
      </w:pPr>
      <w:bookmarkStart w:id="253" w:name="_Toc131517238"/>
      <w:bookmarkStart w:id="254" w:name="_Toc139613794"/>
      <w:bookmarkStart w:id="255" w:name="_Toc131060587"/>
      <w:bookmarkStart w:id="256" w:name="_Toc131517242"/>
      <w:r>
        <w:rPr>
          <w:rFonts w:ascii="Times New Roman" w:hAnsi="Times New Roman"/>
          <w:sz w:val="26"/>
          <w:szCs w:val="26"/>
        </w:rPr>
        <w:t xml:space="preserve">4  </w:t>
      </w:r>
      <w:r>
        <w:rPr>
          <w:rFonts w:ascii="Times New Roman" w:hAnsi="Times New Roman"/>
          <w:b w:val="0"/>
          <w:bCs w:val="0"/>
          <w:sz w:val="26"/>
          <w:szCs w:val="26"/>
        </w:rPr>
        <w:t>勘察</w:t>
      </w:r>
      <w:r>
        <w:rPr>
          <w:rFonts w:hint="eastAsia" w:ascii="Times New Roman" w:hAnsi="Times New Roman"/>
          <w:b w:val="0"/>
          <w:bCs w:val="0"/>
          <w:sz w:val="26"/>
          <w:szCs w:val="26"/>
        </w:rPr>
        <w:t>与周边环境调查</w:t>
      </w:r>
      <w:bookmarkEnd w:id="253"/>
      <w:bookmarkEnd w:id="254"/>
    </w:p>
    <w:p w14:paraId="33CAD8D4">
      <w:pPr>
        <w:pStyle w:val="7"/>
        <w:keepNext w:val="0"/>
        <w:keepLines w:val="0"/>
        <w:adjustRightInd w:val="0"/>
        <w:snapToGrid w:val="0"/>
        <w:spacing w:before="240" w:beforeLines="100" w:after="240" w:afterLines="100" w:line="288" w:lineRule="auto"/>
        <w:jc w:val="center"/>
        <w:rPr>
          <w:rFonts w:eastAsia="黑体"/>
          <w:sz w:val="20"/>
          <w:szCs w:val="20"/>
        </w:rPr>
      </w:pPr>
      <w:bookmarkStart w:id="257" w:name="_Toc131060584"/>
      <w:bookmarkStart w:id="258" w:name="_Toc131517239"/>
      <w:bookmarkStart w:id="259" w:name="_Toc139613795"/>
      <w:r>
        <w:rPr>
          <w:rFonts w:eastAsia="黑体"/>
          <w:sz w:val="20"/>
          <w:szCs w:val="20"/>
        </w:rPr>
        <w:t xml:space="preserve">4.1 </w:t>
      </w:r>
      <w:r>
        <w:rPr>
          <w:rFonts w:hint="eastAsia" w:eastAsia="黑体"/>
          <w:b w:val="0"/>
          <w:bCs w:val="0"/>
          <w:sz w:val="20"/>
          <w:szCs w:val="20"/>
        </w:rPr>
        <w:t>一般规定</w:t>
      </w:r>
      <w:bookmarkEnd w:id="257"/>
      <w:bookmarkEnd w:id="258"/>
      <w:bookmarkEnd w:id="259"/>
      <w:r>
        <w:rPr>
          <w:rFonts w:hint="eastAsia" w:eastAsia="黑体"/>
          <w:sz w:val="20"/>
          <w:szCs w:val="20"/>
        </w:rPr>
        <w:t xml:space="preserve"> </w:t>
      </w:r>
    </w:p>
    <w:p w14:paraId="6A4EB5D4">
      <w:pPr>
        <w:adjustRightInd w:val="0"/>
        <w:snapToGrid w:val="0"/>
        <w:spacing w:line="288" w:lineRule="auto"/>
        <w:rPr>
          <w:rFonts w:ascii="宋体" w:hAnsi="宋体"/>
          <w:bCs/>
          <w:sz w:val="20"/>
          <w:szCs w:val="20"/>
        </w:rPr>
      </w:pPr>
      <w:r>
        <w:rPr>
          <w:rFonts w:eastAsia="黑体"/>
          <w:b/>
          <w:bCs/>
          <w:kern w:val="0"/>
          <w:sz w:val="20"/>
          <w:szCs w:val="20"/>
        </w:rPr>
        <w:t>4.1.1</w:t>
      </w:r>
      <w:r>
        <w:rPr>
          <w:rFonts w:hint="eastAsia" w:eastAsia="黑体"/>
          <w:b/>
          <w:bCs/>
          <w:kern w:val="0"/>
          <w:sz w:val="20"/>
          <w:szCs w:val="20"/>
        </w:rPr>
        <w:t xml:space="preserve">  </w:t>
      </w:r>
      <w:r>
        <w:rPr>
          <w:rFonts w:hint="eastAsia" w:ascii="宋体" w:hAnsi="宋体"/>
          <w:bCs/>
          <w:sz w:val="20"/>
          <w:szCs w:val="20"/>
        </w:rPr>
        <w:t>目前，岩土工程勘察的任务委托书一般由主体设计单位提供，设计人更重视主体结构设计需满足的要求，容易忽视对基坑工程设计的要求。但基坑工程设计是主体工程施工措施的重要部分，因此在岩土工程勘察过程中，除满足主体结构设计的需要外，在勘察的各个阶段均应考虑基坑工程设计的需要。</w:t>
      </w:r>
    </w:p>
    <w:p w14:paraId="6D6A9EAF">
      <w:pPr>
        <w:adjustRightInd w:val="0"/>
        <w:snapToGrid w:val="0"/>
        <w:spacing w:line="288" w:lineRule="auto"/>
        <w:rPr>
          <w:rFonts w:ascii="宋体" w:hAnsi="宋体"/>
          <w:sz w:val="20"/>
          <w:szCs w:val="20"/>
        </w:rPr>
      </w:pPr>
      <w:r>
        <w:rPr>
          <w:rFonts w:eastAsia="黑体"/>
          <w:b/>
          <w:bCs/>
          <w:kern w:val="0"/>
          <w:sz w:val="20"/>
          <w:szCs w:val="20"/>
        </w:rPr>
        <w:t>4.1.2</w:t>
      </w:r>
      <w:r>
        <w:rPr>
          <w:b/>
          <w:bCs/>
          <w:sz w:val="20"/>
          <w:szCs w:val="20"/>
        </w:rPr>
        <w:t xml:space="preserve"> </w:t>
      </w:r>
      <w:r>
        <w:rPr>
          <w:rFonts w:hint="eastAsia" w:ascii="宋体" w:hAnsi="宋体"/>
          <w:sz w:val="20"/>
          <w:szCs w:val="20"/>
        </w:rPr>
        <w:t xml:space="preserve"> 根据主体结构的初勘阶段成果可对基坑支护提出支护方案建议，因此，本条对初勘不作专门规定而只要求根据初勘成果提出基坑支护的初步方案。</w:t>
      </w:r>
    </w:p>
    <w:p w14:paraId="0A5C145A">
      <w:pPr>
        <w:adjustRightInd w:val="0"/>
        <w:snapToGrid w:val="0"/>
        <w:spacing w:line="288" w:lineRule="auto"/>
        <w:rPr>
          <w:rFonts w:ascii="宋体" w:hAnsi="宋体"/>
          <w:sz w:val="20"/>
          <w:szCs w:val="20"/>
        </w:rPr>
      </w:pPr>
      <w:r>
        <w:rPr>
          <w:rFonts w:eastAsia="黑体"/>
          <w:b/>
          <w:bCs/>
          <w:kern w:val="0"/>
          <w:sz w:val="20"/>
          <w:szCs w:val="20"/>
        </w:rPr>
        <w:t>4.1.3</w:t>
      </w:r>
      <w:r>
        <w:rPr>
          <w:rFonts w:hint="eastAsia" w:ascii="宋体" w:hAnsi="宋体"/>
          <w:bCs/>
          <w:sz w:val="20"/>
          <w:szCs w:val="20"/>
        </w:rPr>
        <w:t xml:space="preserve">  </w:t>
      </w:r>
      <w:r>
        <w:rPr>
          <w:rFonts w:hint="eastAsia" w:ascii="宋体" w:hAnsi="宋体"/>
          <w:sz w:val="20"/>
          <w:szCs w:val="20"/>
        </w:rPr>
        <w:t>在详勘阶段所测取的地质资料是支护结构设计的基本依据。因为主体结构详勘的目的主要是为主体结构设计提供依据，目前部分工程的详勘报告可能不能有效地满足基坑支护设计的基本要求，出现这种情况时应针对基坑工程设计进行专门勘察或补充勘察，确保最终的勘察成果满足基坑工程的设计需要。</w:t>
      </w:r>
    </w:p>
    <w:p w14:paraId="463E60C2">
      <w:pPr>
        <w:pStyle w:val="2"/>
        <w:ind w:left="0" w:leftChars="0" w:firstLine="0" w:firstLineChars="0"/>
        <w:rPr>
          <w:rFonts w:ascii="宋体" w:hAnsi="宋体"/>
          <w:sz w:val="20"/>
          <w:szCs w:val="20"/>
        </w:rPr>
      </w:pPr>
      <w:r>
        <w:rPr>
          <w:rFonts w:hint="eastAsia" w:eastAsia="黑体"/>
          <w:b/>
          <w:bCs/>
          <w:kern w:val="0"/>
          <w:sz w:val="20"/>
          <w:szCs w:val="20"/>
        </w:rPr>
        <w:t>4.1.</w:t>
      </w:r>
      <w:r>
        <w:rPr>
          <w:rFonts w:eastAsia="黑体"/>
          <w:b/>
          <w:bCs/>
          <w:kern w:val="0"/>
          <w:sz w:val="20"/>
          <w:szCs w:val="20"/>
        </w:rPr>
        <w:t>4</w:t>
      </w:r>
      <w:r>
        <w:t xml:space="preserve">  </w:t>
      </w:r>
      <w:r>
        <w:rPr>
          <w:rFonts w:hint="eastAsia" w:ascii="宋体" w:hAnsi="宋体"/>
          <w:sz w:val="20"/>
          <w:szCs w:val="20"/>
        </w:rPr>
        <w:t>如果岩土工程勘察所做的工作比较全面，获取的水文地质资料已满足要求，则可不必作专门的水文地质勘察。但由于水文地质条件是基坑工程地下水控制的关键条件，因此如果已有的岩土工程勘察资料不能满足地下水控制的设计或施工要求时，应开展专门的水文地质勘察工作。</w:t>
      </w:r>
    </w:p>
    <w:p w14:paraId="6383AE6A">
      <w:pPr>
        <w:pStyle w:val="2"/>
        <w:ind w:left="0" w:leftChars="0" w:firstLine="0" w:firstLineChars="0"/>
        <w:rPr>
          <w:rFonts w:ascii="宋体" w:hAnsi="宋体"/>
          <w:sz w:val="20"/>
          <w:szCs w:val="20"/>
        </w:rPr>
      </w:pPr>
      <w:r>
        <w:rPr>
          <w:rFonts w:hint="eastAsia" w:eastAsia="黑体"/>
          <w:b/>
          <w:bCs/>
          <w:kern w:val="0"/>
          <w:sz w:val="20"/>
          <w:szCs w:val="20"/>
        </w:rPr>
        <w:t>4.1.5</w:t>
      </w:r>
      <w:r>
        <w:t xml:space="preserve">  </w:t>
      </w:r>
      <w:r>
        <w:rPr>
          <w:rFonts w:hint="eastAsia" w:ascii="宋体" w:hAnsi="宋体"/>
          <w:sz w:val="20"/>
          <w:szCs w:val="20"/>
        </w:rPr>
        <w:t>近年来，北京市针对地下水实施开源节流的系列政策，在开源方面，南水北调进京、再生水利用等水资源得到有效实施，同时根据北京城市总体规划（2016年-2035年），北京实行最严格的水资源管理制度，加强水源恢复与保护，压采和保护地下水，加大地下水回灌量。随着上述水资源政策的有效实施，北京市地下水资源得到长期涵养，近几年北京市地下水水位已出现明显趋势性回升，因此如果基坑工程开工时间和勘察时间距离较久时，场地地下水位有可能发生了显著变化。因此本条规定此时要对地下水水位进行复核。</w:t>
      </w:r>
    </w:p>
    <w:p w14:paraId="3045A123">
      <w:pPr>
        <w:adjustRightInd w:val="0"/>
        <w:snapToGrid w:val="0"/>
        <w:spacing w:line="288" w:lineRule="auto"/>
        <w:rPr>
          <w:rFonts w:ascii="宋体" w:hAnsi="宋体"/>
          <w:sz w:val="20"/>
          <w:szCs w:val="20"/>
        </w:rPr>
      </w:pPr>
      <w:r>
        <w:rPr>
          <w:rFonts w:hint="eastAsia" w:eastAsia="黑体"/>
          <w:b/>
          <w:bCs/>
          <w:kern w:val="0"/>
          <w:sz w:val="20"/>
          <w:szCs w:val="20"/>
        </w:rPr>
        <w:t>4.1.6</w:t>
      </w:r>
      <w:r>
        <w:rPr>
          <w:rFonts w:eastAsia="黑体"/>
          <w:b/>
          <w:bCs/>
          <w:kern w:val="0"/>
          <w:sz w:val="20"/>
          <w:szCs w:val="20"/>
        </w:rPr>
        <w:t xml:space="preserve"> </w:t>
      </w:r>
      <w:r>
        <w:rPr>
          <w:rFonts w:hint="eastAsia" w:ascii="宋体" w:hAnsi="宋体"/>
          <w:sz w:val="20"/>
          <w:szCs w:val="20"/>
        </w:rPr>
        <w:t xml:space="preserve"> 基坑周边的环境条件是基坑工程的勘察、设计、施工所需考虑的重要因素，这对于北京建成区尤其重要。由于环境调查不充分，引起的基坑工程与周围环境之间的相互影响案例很多，造成建设投资加大，有的甚至造成重大事故甚至人员伤亡。因此针对环境调查提出了明确要求。从目前实际做法来看，环境调查的工作贯穿于基坑工程的各个阶段，各阶段工作的重点不同、深度不同，因此，本条明确基坑工程的环境调查可在勘察、设计、施工各阶段结合各阶段的工作目标开展。当环境条件复杂、保护要求高时，由于工作量大、要求高，因此一般应委托单位开展专项环境调查。另外，实际工作中，也经常委托单位开展专门的地下管线调查工作，这也可以看作是环境调查工作的一部分。</w:t>
      </w:r>
    </w:p>
    <w:p w14:paraId="4DC9444E">
      <w:pPr>
        <w:pStyle w:val="7"/>
        <w:keepNext w:val="0"/>
        <w:keepLines w:val="0"/>
        <w:adjustRightInd w:val="0"/>
        <w:snapToGrid w:val="0"/>
        <w:spacing w:before="240" w:beforeLines="100" w:after="240" w:afterLines="100" w:line="288" w:lineRule="auto"/>
        <w:jc w:val="center"/>
      </w:pPr>
      <w:bookmarkStart w:id="260" w:name="_Toc139613796"/>
      <w:r>
        <w:rPr>
          <w:rFonts w:eastAsia="黑体"/>
          <w:sz w:val="20"/>
          <w:szCs w:val="20"/>
        </w:rPr>
        <w:t xml:space="preserve">4.2 </w:t>
      </w:r>
      <w:r>
        <w:rPr>
          <w:rFonts w:hint="eastAsia" w:eastAsia="黑体"/>
          <w:b w:val="0"/>
          <w:bCs w:val="0"/>
          <w:sz w:val="20"/>
          <w:szCs w:val="20"/>
        </w:rPr>
        <w:t>勘察</w:t>
      </w:r>
      <w:bookmarkEnd w:id="260"/>
    </w:p>
    <w:p w14:paraId="60C2AC59">
      <w:pPr>
        <w:adjustRightInd w:val="0"/>
        <w:snapToGrid w:val="0"/>
        <w:spacing w:line="288" w:lineRule="auto"/>
        <w:rPr>
          <w:rFonts w:ascii="宋体" w:hAnsi="宋体"/>
          <w:sz w:val="20"/>
          <w:szCs w:val="20"/>
        </w:rPr>
      </w:pPr>
      <w:r>
        <w:rPr>
          <w:rFonts w:eastAsia="黑体"/>
          <w:b/>
          <w:bCs/>
          <w:kern w:val="0"/>
          <w:sz w:val="20"/>
          <w:szCs w:val="20"/>
        </w:rPr>
        <w:t>4.2.1</w:t>
      </w:r>
      <w:r>
        <w:rPr>
          <w:b/>
          <w:bCs/>
          <w:sz w:val="20"/>
          <w:szCs w:val="20"/>
        </w:rPr>
        <w:t xml:space="preserve"> </w:t>
      </w:r>
      <w:r>
        <w:rPr>
          <w:rFonts w:hint="eastAsia" w:ascii="宋体" w:hAnsi="宋体"/>
          <w:bCs/>
          <w:sz w:val="20"/>
          <w:szCs w:val="20"/>
        </w:rPr>
        <w:t xml:space="preserve"> </w:t>
      </w:r>
      <w:r>
        <w:rPr>
          <w:rFonts w:hint="eastAsia" w:ascii="宋体" w:hAnsi="宋体"/>
          <w:sz w:val="20"/>
          <w:szCs w:val="20"/>
        </w:rPr>
        <w:t>基坑工程的详细勘察，目前大多数是沿建筑物外轮廓布置勘探工作，使基坑的设计和施工依据资料不充分。基坑工程设计与施工对岩土勘察的要求有别于主体建筑的勘察要求，勘察重点部位是基坑外对支护结构和周边环境有影响的范围，故本条规定了要求扩大勘察范围的情况，且规定外扩范围可达到基坑深度的</w:t>
      </w:r>
      <w:r>
        <w:rPr>
          <w:sz w:val="20"/>
          <w:szCs w:val="20"/>
        </w:rPr>
        <w:t>1</w:t>
      </w:r>
      <w:r>
        <w:rPr>
          <w:rFonts w:hint="eastAsia" w:ascii="宋体" w:hAnsi="宋体"/>
          <w:sz w:val="20"/>
          <w:szCs w:val="20"/>
        </w:rPr>
        <w:t>倍</w:t>
      </w:r>
      <w:r>
        <w:rPr>
          <w:rFonts w:hint="eastAsia"/>
          <w:sz w:val="20"/>
          <w:szCs w:val="20"/>
        </w:rPr>
        <w:t>～</w:t>
      </w:r>
      <w:r>
        <w:rPr>
          <w:sz w:val="20"/>
          <w:szCs w:val="20"/>
        </w:rPr>
        <w:t>2</w:t>
      </w:r>
      <w:r>
        <w:rPr>
          <w:rFonts w:hint="eastAsia" w:ascii="宋体" w:hAnsi="宋体"/>
          <w:sz w:val="20"/>
          <w:szCs w:val="20"/>
        </w:rPr>
        <w:t>倍。本条及以下各条中“场地和地基的复杂程度”引用的是《岩土工程勘察规范</w:t>
      </w:r>
      <w:r>
        <w:rPr>
          <w:rFonts w:ascii="宋体" w:hAnsi="宋体"/>
          <w:sz w:val="20"/>
          <w:szCs w:val="20"/>
        </w:rPr>
        <w:t>》</w:t>
      </w:r>
      <w:r>
        <w:rPr>
          <w:rFonts w:hint="eastAsia" w:ascii="宋体" w:hAnsi="宋体"/>
          <w:sz w:val="20"/>
          <w:szCs w:val="20"/>
        </w:rPr>
        <w:t>（GB 50021</w:t>
      </w:r>
      <w:r>
        <w:rPr>
          <w:rFonts w:ascii="宋体" w:hAnsi="宋体"/>
          <w:sz w:val="20"/>
          <w:szCs w:val="20"/>
        </w:rPr>
        <w:t>）</w:t>
      </w:r>
      <w:r>
        <w:rPr>
          <w:rFonts w:hint="eastAsia" w:ascii="宋体" w:hAnsi="宋体"/>
          <w:sz w:val="20"/>
          <w:szCs w:val="20"/>
        </w:rPr>
        <w:t>中所给出的“场地复杂程度”</w:t>
      </w:r>
      <w:r>
        <w:rPr>
          <w:rFonts w:ascii="宋体" w:hAnsi="宋体"/>
          <w:sz w:val="20"/>
          <w:szCs w:val="20"/>
        </w:rPr>
        <w:t>、“</w:t>
      </w:r>
      <w:r>
        <w:rPr>
          <w:rFonts w:hint="eastAsia" w:ascii="宋体" w:hAnsi="宋体"/>
          <w:sz w:val="20"/>
          <w:szCs w:val="20"/>
        </w:rPr>
        <w:t>地基复杂程度</w:t>
      </w:r>
      <w:r>
        <w:rPr>
          <w:rFonts w:ascii="宋体" w:hAnsi="宋体"/>
          <w:sz w:val="20"/>
          <w:szCs w:val="20"/>
        </w:rPr>
        <w:t>”</w:t>
      </w:r>
      <w:r>
        <w:rPr>
          <w:rFonts w:hint="eastAsia" w:ascii="宋体" w:hAnsi="宋体"/>
          <w:sz w:val="20"/>
          <w:szCs w:val="20"/>
        </w:rPr>
        <w:t>的概念。</w:t>
      </w:r>
    </w:p>
    <w:p w14:paraId="14145250">
      <w:pPr>
        <w:adjustRightInd w:val="0"/>
        <w:snapToGrid w:val="0"/>
        <w:spacing w:line="288" w:lineRule="auto"/>
        <w:rPr>
          <w:rFonts w:ascii="宋体" w:hAnsi="宋体"/>
          <w:sz w:val="20"/>
          <w:szCs w:val="20"/>
        </w:rPr>
      </w:pPr>
      <w:r>
        <w:rPr>
          <w:rFonts w:eastAsia="黑体"/>
          <w:b/>
          <w:bCs/>
          <w:kern w:val="0"/>
          <w:sz w:val="20"/>
          <w:szCs w:val="20"/>
        </w:rPr>
        <w:t>4.2.2</w:t>
      </w:r>
      <w:r>
        <w:rPr>
          <w:b/>
          <w:bCs/>
          <w:sz w:val="20"/>
          <w:szCs w:val="20"/>
        </w:rPr>
        <w:t xml:space="preserve"> </w:t>
      </w:r>
      <w:r>
        <w:rPr>
          <w:rFonts w:hint="eastAsia" w:ascii="宋体" w:hAnsi="宋体"/>
          <w:bCs/>
          <w:sz w:val="20"/>
          <w:szCs w:val="20"/>
        </w:rPr>
        <w:t xml:space="preserve"> </w:t>
      </w:r>
      <w:r>
        <w:rPr>
          <w:rFonts w:hint="eastAsia" w:ascii="宋体" w:hAnsi="宋体"/>
          <w:sz w:val="20"/>
          <w:szCs w:val="20"/>
        </w:rPr>
        <w:t>基坑支护结构设计重点考虑基坑边线及周边</w:t>
      </w:r>
      <w:r>
        <w:rPr>
          <w:sz w:val="20"/>
          <w:szCs w:val="20"/>
        </w:rPr>
        <w:t>1</w:t>
      </w:r>
      <w:r>
        <w:rPr>
          <w:rFonts w:hint="eastAsia"/>
          <w:sz w:val="20"/>
          <w:szCs w:val="20"/>
        </w:rPr>
        <w:t>倍～</w:t>
      </w:r>
      <w:r>
        <w:rPr>
          <w:sz w:val="20"/>
          <w:szCs w:val="20"/>
        </w:rPr>
        <w:t>2</w:t>
      </w:r>
      <w:r>
        <w:rPr>
          <w:rFonts w:hint="eastAsia" w:ascii="宋体" w:hAnsi="宋体"/>
          <w:sz w:val="20"/>
          <w:szCs w:val="20"/>
        </w:rPr>
        <w:t>倍基坑深度范围内的地层条件，应重点查明。在北京地区，除应注意岩土层的水平变化外，还应重点查明表层填土的变化。由于北京地区有悠久的历史建设活动，人工堆积层的范围变化和厚度变化可能非常大，而人工堆积层的空间分布及其工程特性对支护结构的稳定性影响显著，所以应特别关注。</w:t>
      </w:r>
    </w:p>
    <w:p w14:paraId="35B34F7D">
      <w:pPr>
        <w:adjustRightInd w:val="0"/>
        <w:snapToGrid w:val="0"/>
        <w:spacing w:line="288" w:lineRule="auto"/>
        <w:rPr>
          <w:rFonts w:ascii="宋体" w:hAnsi="宋体"/>
          <w:sz w:val="20"/>
          <w:szCs w:val="20"/>
        </w:rPr>
      </w:pPr>
      <w:r>
        <w:rPr>
          <w:rFonts w:eastAsia="黑体"/>
          <w:b/>
          <w:bCs/>
          <w:kern w:val="0"/>
          <w:sz w:val="20"/>
          <w:szCs w:val="20"/>
        </w:rPr>
        <w:t>4.2.3</w:t>
      </w:r>
      <w:r>
        <w:rPr>
          <w:rFonts w:hint="eastAsia" w:ascii="宋体" w:hAnsi="宋体"/>
          <w:bCs/>
          <w:sz w:val="20"/>
          <w:szCs w:val="20"/>
        </w:rPr>
        <w:t xml:space="preserve">  </w:t>
      </w:r>
      <w:r>
        <w:rPr>
          <w:rFonts w:hint="eastAsia" w:ascii="宋体" w:hAnsi="宋体"/>
          <w:sz w:val="20"/>
          <w:szCs w:val="20"/>
        </w:rPr>
        <w:t>北京地区一般高层建筑的勘察多数可以满足基坑支护设计的勘探深度要求。但当遇有地下室埋深较大的建筑或纯地下建筑物时，勘察的钻探深度有可能不能有效满足支护设计的要求，所以本规程提出勘探深度的要求。</w:t>
      </w:r>
    </w:p>
    <w:p w14:paraId="59E85DF4">
      <w:pPr>
        <w:adjustRightInd w:val="0"/>
        <w:snapToGrid w:val="0"/>
        <w:spacing w:line="288" w:lineRule="auto"/>
        <w:rPr>
          <w:rFonts w:ascii="宋体" w:hAnsi="宋体"/>
          <w:sz w:val="20"/>
          <w:szCs w:val="20"/>
        </w:rPr>
      </w:pPr>
      <w:r>
        <w:rPr>
          <w:rFonts w:eastAsia="黑体"/>
          <w:b/>
          <w:bCs/>
          <w:kern w:val="0"/>
          <w:sz w:val="20"/>
          <w:szCs w:val="20"/>
        </w:rPr>
        <w:t>4.2.5</w:t>
      </w:r>
      <w:r>
        <w:rPr>
          <w:b/>
          <w:bCs/>
          <w:sz w:val="20"/>
          <w:szCs w:val="20"/>
        </w:rPr>
        <w:t xml:space="preserve"> </w:t>
      </w:r>
      <w:r>
        <w:rPr>
          <w:rFonts w:hint="eastAsia" w:ascii="宋体" w:hAnsi="宋体"/>
          <w:bCs/>
          <w:sz w:val="20"/>
          <w:szCs w:val="20"/>
        </w:rPr>
        <w:t xml:space="preserve"> </w:t>
      </w:r>
      <w:r>
        <w:rPr>
          <w:rFonts w:hint="eastAsia" w:ascii="宋体" w:hAnsi="宋体"/>
          <w:sz w:val="20"/>
          <w:szCs w:val="20"/>
        </w:rPr>
        <w:t>基坑工程设计计算时，计算指标、计算方法、安全度是配套的，故土的抗剪强度试验方法应慎重选取。三轴试验受力明确，又可控制排水条件，但取样和试验难度较大，因此不排除有经验地区作直剪试验。由于在设计计算时，有的用总应力法，有的用有效应力法，所以试验的排水条件应与计算方法一致。当设计者采用有效应力计算时，可作三轴不排水剪并测量孔隙水压力。</w:t>
      </w:r>
    </w:p>
    <w:p w14:paraId="673DCA1A">
      <w:pPr>
        <w:adjustRightInd w:val="0"/>
        <w:snapToGrid w:val="0"/>
        <w:spacing w:line="288" w:lineRule="auto"/>
        <w:rPr>
          <w:rFonts w:ascii="宋体" w:hAnsi="宋体"/>
          <w:sz w:val="20"/>
          <w:szCs w:val="20"/>
        </w:rPr>
      </w:pPr>
      <w:r>
        <w:rPr>
          <w:rFonts w:eastAsia="黑体"/>
          <w:b/>
          <w:bCs/>
          <w:kern w:val="0"/>
          <w:sz w:val="20"/>
          <w:szCs w:val="20"/>
        </w:rPr>
        <w:t>4.2.6</w:t>
      </w:r>
      <w:r>
        <w:rPr>
          <w:rFonts w:ascii="宋体" w:hAnsi="宋体"/>
          <w:bCs/>
          <w:sz w:val="20"/>
          <w:szCs w:val="20"/>
        </w:rPr>
        <w:t xml:space="preserve">  </w:t>
      </w:r>
      <w:r>
        <w:rPr>
          <w:rFonts w:hint="eastAsia" w:ascii="宋体" w:hAnsi="宋体"/>
          <w:sz w:val="20"/>
          <w:szCs w:val="20"/>
        </w:rPr>
        <w:t>对地下水作用的正确认识分析及其相关问题的妥当处理是支护结构设计成功的重要的基本条件，也是支护结构侧向荷载计算的重要指标，因此，应认真查明地下水的性质和特性，并对地下水可能影响周边环境的潜在问题提出相应的治理措施建议，作为设计参考。</w:t>
      </w:r>
    </w:p>
    <w:p w14:paraId="3A32538D">
      <w:pPr>
        <w:adjustRightInd w:val="0"/>
        <w:snapToGrid w:val="0"/>
        <w:spacing w:line="288" w:lineRule="auto"/>
      </w:pPr>
      <w:r>
        <w:rPr>
          <w:b/>
          <w:bCs/>
          <w:kern w:val="0"/>
          <w:sz w:val="20"/>
          <w:szCs w:val="20"/>
        </w:rPr>
        <w:t>4.2.8</w:t>
      </w:r>
      <w:r>
        <w:rPr>
          <w:rFonts w:ascii="宋体" w:hAnsi="宋体"/>
          <w:bCs/>
          <w:sz w:val="20"/>
          <w:szCs w:val="20"/>
        </w:rPr>
        <w:t xml:space="preserve"> </w:t>
      </w:r>
      <w:r>
        <w:rPr>
          <w:rFonts w:hint="eastAsia" w:ascii="宋体" w:hAnsi="宋体"/>
          <w:bCs/>
          <w:sz w:val="20"/>
          <w:szCs w:val="20"/>
        </w:rPr>
        <w:t xml:space="preserve"> </w:t>
      </w:r>
      <w:r>
        <w:rPr>
          <w:rFonts w:hint="eastAsia" w:ascii="宋体" w:hAnsi="宋体"/>
          <w:sz w:val="20"/>
          <w:szCs w:val="20"/>
        </w:rPr>
        <w:t>在获得岩土及周边环境有关资料的基础上，基坑工程勘察报告应提供支护结构的设计、施工、监测及信息施工的有关建议，作为设计、施工参考。</w:t>
      </w:r>
    </w:p>
    <w:p w14:paraId="78216047">
      <w:pPr>
        <w:pStyle w:val="7"/>
        <w:keepNext w:val="0"/>
        <w:keepLines w:val="0"/>
        <w:adjustRightInd w:val="0"/>
        <w:snapToGrid w:val="0"/>
        <w:spacing w:before="240" w:beforeLines="100" w:after="240" w:afterLines="100" w:line="288" w:lineRule="auto"/>
        <w:jc w:val="center"/>
        <w:rPr>
          <w:rFonts w:eastAsia="黑体"/>
          <w:sz w:val="20"/>
          <w:szCs w:val="20"/>
        </w:rPr>
      </w:pPr>
      <w:bookmarkStart w:id="261" w:name="_Toc131517241"/>
      <w:bookmarkStart w:id="262" w:name="_Toc131060586"/>
      <w:bookmarkStart w:id="263" w:name="_Toc139613797"/>
      <w:r>
        <w:rPr>
          <w:rFonts w:eastAsia="黑体"/>
          <w:sz w:val="20"/>
          <w:szCs w:val="20"/>
        </w:rPr>
        <w:t xml:space="preserve">4.3 </w:t>
      </w:r>
      <w:r>
        <w:rPr>
          <w:rFonts w:hint="eastAsia" w:eastAsia="黑体"/>
          <w:b w:val="0"/>
          <w:bCs w:val="0"/>
          <w:sz w:val="20"/>
          <w:szCs w:val="20"/>
        </w:rPr>
        <w:t>周边环境调查</w:t>
      </w:r>
      <w:bookmarkEnd w:id="261"/>
      <w:bookmarkEnd w:id="262"/>
      <w:bookmarkEnd w:id="263"/>
    </w:p>
    <w:p w14:paraId="72193A2F">
      <w:pPr>
        <w:pStyle w:val="2"/>
        <w:ind w:left="0" w:leftChars="0" w:firstLine="0" w:firstLineChars="0"/>
      </w:pPr>
      <w:r>
        <w:rPr>
          <w:rFonts w:hint="eastAsia" w:eastAsia="黑体"/>
          <w:b/>
          <w:bCs/>
          <w:kern w:val="0"/>
          <w:sz w:val="20"/>
          <w:szCs w:val="20"/>
        </w:rPr>
        <w:t>4.3.1</w:t>
      </w:r>
      <w:r>
        <w:rPr>
          <w:rFonts w:eastAsia="黑体"/>
          <w:b/>
          <w:bCs/>
          <w:kern w:val="0"/>
          <w:sz w:val="20"/>
          <w:szCs w:val="20"/>
        </w:rPr>
        <w:t xml:space="preserve"> </w:t>
      </w:r>
      <w:r>
        <w:rPr>
          <w:rFonts w:hint="eastAsia"/>
        </w:rPr>
        <w:t xml:space="preserve"> </w:t>
      </w:r>
      <w:r>
        <w:rPr>
          <w:rFonts w:hint="eastAsia"/>
          <w:sz w:val="20"/>
          <w:szCs w:val="22"/>
        </w:rPr>
        <w:t>周边环境调查的范围要考虑基坑工程的应力场、</w:t>
      </w:r>
      <w:r>
        <w:rPr>
          <w:sz w:val="20"/>
          <w:szCs w:val="22"/>
        </w:rPr>
        <w:t>位移场</w:t>
      </w:r>
      <w:r>
        <w:rPr>
          <w:rFonts w:hint="eastAsia"/>
          <w:sz w:val="20"/>
          <w:szCs w:val="22"/>
        </w:rPr>
        <w:t>、</w:t>
      </w:r>
      <w:r>
        <w:rPr>
          <w:sz w:val="20"/>
          <w:szCs w:val="22"/>
        </w:rPr>
        <w:t>渗流场</w:t>
      </w:r>
      <w:r>
        <w:rPr>
          <w:rFonts w:hint="eastAsia"/>
          <w:sz w:val="20"/>
          <w:szCs w:val="22"/>
        </w:rPr>
        <w:t>的综合影响范围。对于保护要求较高的环境因素（</w:t>
      </w:r>
      <w:r>
        <w:rPr>
          <w:sz w:val="20"/>
          <w:szCs w:val="22"/>
        </w:rPr>
        <w:t>如</w:t>
      </w:r>
      <w:r>
        <w:rPr>
          <w:rFonts w:hint="eastAsia"/>
          <w:sz w:val="20"/>
          <w:szCs w:val="22"/>
        </w:rPr>
        <w:t>城市轨道交通工程、高速公路、</w:t>
      </w:r>
      <w:r>
        <w:rPr>
          <w:sz w:val="20"/>
          <w:szCs w:val="22"/>
        </w:rPr>
        <w:t>文物</w:t>
      </w:r>
      <w:r>
        <w:rPr>
          <w:rFonts w:hint="eastAsia"/>
          <w:sz w:val="20"/>
          <w:szCs w:val="22"/>
        </w:rPr>
        <w:t>保护建筑等），在确定周边环境调查范围时，</w:t>
      </w:r>
      <w:r>
        <w:rPr>
          <w:sz w:val="20"/>
          <w:szCs w:val="22"/>
        </w:rPr>
        <w:t>往往</w:t>
      </w:r>
      <w:r>
        <w:rPr>
          <w:rFonts w:hint="eastAsia"/>
          <w:sz w:val="20"/>
          <w:szCs w:val="22"/>
        </w:rPr>
        <w:t>还需要满足相关法规或产权单位的保护要求。例如，</w:t>
      </w:r>
      <w:r>
        <w:rPr>
          <w:sz w:val="20"/>
          <w:szCs w:val="22"/>
        </w:rPr>
        <w:t>北京</w:t>
      </w:r>
      <w:r>
        <w:rPr>
          <w:rFonts w:hint="eastAsia"/>
          <w:sz w:val="20"/>
          <w:szCs w:val="22"/>
        </w:rPr>
        <w:t>地区</w:t>
      </w:r>
      <w:r>
        <w:rPr>
          <w:sz w:val="20"/>
          <w:szCs w:val="22"/>
        </w:rPr>
        <w:t>轨道</w:t>
      </w:r>
      <w:r>
        <w:rPr>
          <w:rFonts w:hint="eastAsia"/>
          <w:sz w:val="20"/>
          <w:szCs w:val="22"/>
        </w:rPr>
        <w:t>交通工程的保护区一般按照50</w:t>
      </w:r>
      <w:r>
        <w:rPr>
          <w:sz w:val="20"/>
          <w:szCs w:val="22"/>
        </w:rPr>
        <w:t>m</w:t>
      </w:r>
      <w:r>
        <w:rPr>
          <w:rFonts w:hint="eastAsia"/>
          <w:sz w:val="20"/>
          <w:szCs w:val="22"/>
        </w:rPr>
        <w:t>范围划定。</w:t>
      </w:r>
    </w:p>
    <w:p w14:paraId="7AF0D5DC">
      <w:pPr>
        <w:pStyle w:val="2"/>
        <w:ind w:left="0" w:leftChars="0" w:firstLine="0" w:firstLineChars="0"/>
      </w:pPr>
      <w:r>
        <w:rPr>
          <w:rFonts w:eastAsia="黑体"/>
          <w:b/>
          <w:bCs/>
          <w:kern w:val="0"/>
          <w:sz w:val="20"/>
          <w:szCs w:val="20"/>
        </w:rPr>
        <w:t>4.3.2</w:t>
      </w:r>
      <w:r>
        <w:t xml:space="preserve">  </w:t>
      </w:r>
      <w:r>
        <w:rPr>
          <w:rFonts w:hint="eastAsia"/>
          <w:sz w:val="20"/>
          <w:szCs w:val="22"/>
        </w:rPr>
        <w:t>一般情况下，特别是周边环境条件比较简单时，</w:t>
      </w:r>
      <w:r>
        <w:rPr>
          <w:sz w:val="20"/>
          <w:szCs w:val="22"/>
        </w:rPr>
        <w:t>环境</w:t>
      </w:r>
      <w:r>
        <w:rPr>
          <w:rFonts w:hint="eastAsia"/>
          <w:sz w:val="20"/>
          <w:szCs w:val="22"/>
        </w:rPr>
        <w:t>调查工作都是在勘察、</w:t>
      </w:r>
      <w:r>
        <w:rPr>
          <w:sz w:val="20"/>
          <w:szCs w:val="22"/>
        </w:rPr>
        <w:t>设计</w:t>
      </w:r>
      <w:r>
        <w:rPr>
          <w:rFonts w:hint="eastAsia"/>
          <w:sz w:val="20"/>
          <w:szCs w:val="22"/>
        </w:rPr>
        <w:t>或施工阶段开展的，具体开展的环境调查内容和范围也都是为了满足本阶段工作的需要，不宜一刀切地作出规定。</w:t>
      </w:r>
    </w:p>
    <w:p w14:paraId="5DC25078">
      <w:pPr>
        <w:adjustRightInd w:val="0"/>
        <w:snapToGrid w:val="0"/>
        <w:spacing w:line="288" w:lineRule="auto"/>
        <w:rPr>
          <w:rFonts w:ascii="宋体" w:hAnsi="宋体"/>
          <w:sz w:val="20"/>
          <w:szCs w:val="20"/>
        </w:rPr>
      </w:pPr>
      <w:r>
        <w:rPr>
          <w:rFonts w:eastAsia="黑体"/>
          <w:b/>
          <w:bCs/>
          <w:kern w:val="0"/>
          <w:sz w:val="20"/>
          <w:szCs w:val="20"/>
        </w:rPr>
        <w:t xml:space="preserve">4.3.3 </w:t>
      </w:r>
      <w:r>
        <w:t xml:space="preserve"> </w:t>
      </w:r>
      <w:r>
        <w:rPr>
          <w:rFonts w:hint="eastAsia" w:ascii="宋体" w:hAnsi="宋体"/>
          <w:sz w:val="20"/>
          <w:szCs w:val="20"/>
        </w:rPr>
        <w:t>当环境条件复杂、</w:t>
      </w:r>
      <w:r>
        <w:rPr>
          <w:rFonts w:ascii="宋体" w:hAnsi="宋体"/>
          <w:sz w:val="20"/>
          <w:szCs w:val="20"/>
        </w:rPr>
        <w:t>保护</w:t>
      </w:r>
      <w:r>
        <w:rPr>
          <w:rFonts w:hint="eastAsia" w:ascii="宋体" w:hAnsi="宋体"/>
          <w:sz w:val="20"/>
          <w:szCs w:val="20"/>
        </w:rPr>
        <w:t>要求高时（例如对于轨道交通工程建设</w:t>
      </w:r>
      <w:r>
        <w:rPr>
          <w:rFonts w:ascii="宋体" w:hAnsi="宋体"/>
          <w:sz w:val="20"/>
          <w:szCs w:val="20"/>
        </w:rPr>
        <w:t>）</w:t>
      </w:r>
      <w:r>
        <w:rPr>
          <w:rFonts w:hint="eastAsia" w:ascii="宋体" w:hAnsi="宋体"/>
          <w:sz w:val="20"/>
          <w:szCs w:val="20"/>
        </w:rPr>
        <w:t>，应委托开展专项环境调查。本条列出了一般环境调查所可能涉及的内容。专项环境调查也可分阶段开展，</w:t>
      </w:r>
      <w:r>
        <w:rPr>
          <w:rFonts w:ascii="宋体" w:hAnsi="宋体"/>
          <w:sz w:val="20"/>
          <w:szCs w:val="20"/>
        </w:rPr>
        <w:t>逐步</w:t>
      </w:r>
      <w:r>
        <w:rPr>
          <w:rFonts w:hint="eastAsia" w:ascii="宋体" w:hAnsi="宋体"/>
          <w:sz w:val="20"/>
          <w:szCs w:val="20"/>
        </w:rPr>
        <w:t>深化和细化，</w:t>
      </w:r>
      <w:r>
        <w:rPr>
          <w:rFonts w:ascii="宋体" w:hAnsi="宋体"/>
          <w:sz w:val="20"/>
          <w:szCs w:val="20"/>
        </w:rPr>
        <w:t>以</w:t>
      </w:r>
      <w:r>
        <w:rPr>
          <w:rFonts w:hint="eastAsia" w:ascii="宋体" w:hAnsi="宋体"/>
          <w:sz w:val="20"/>
          <w:szCs w:val="20"/>
        </w:rPr>
        <w:t>服务基坑工程的不同阶段。</w:t>
      </w:r>
    </w:p>
    <w:p w14:paraId="4EE0D50B">
      <w:pPr>
        <w:pStyle w:val="2"/>
      </w:pPr>
    </w:p>
    <w:p w14:paraId="5EA4DB59">
      <w:pPr>
        <w:rPr>
          <w:sz w:val="26"/>
          <w:szCs w:val="26"/>
        </w:rPr>
      </w:pPr>
      <w:r>
        <w:rPr>
          <w:sz w:val="26"/>
          <w:szCs w:val="26"/>
        </w:rPr>
        <w:br w:type="page"/>
      </w:r>
    </w:p>
    <w:bookmarkEnd w:id="255"/>
    <w:bookmarkEnd w:id="256"/>
    <w:p w14:paraId="551F6BD8">
      <w:pPr>
        <w:pStyle w:val="5"/>
        <w:keepNext w:val="0"/>
        <w:keepLines w:val="0"/>
        <w:adjustRightInd w:val="0"/>
        <w:snapToGrid w:val="0"/>
        <w:spacing w:before="120" w:beforeLines="50" w:after="240" w:afterLines="100" w:line="288" w:lineRule="auto"/>
        <w:jc w:val="center"/>
        <w:rPr>
          <w:rFonts w:ascii="宋体" w:hAnsi="宋体"/>
          <w:b w:val="0"/>
          <w:sz w:val="20"/>
          <w:szCs w:val="20"/>
        </w:rPr>
      </w:pPr>
      <w:bookmarkStart w:id="264" w:name="_Toc427573487"/>
      <w:bookmarkStart w:id="265" w:name="_Toc415730049"/>
      <w:bookmarkStart w:id="266" w:name="_Toc437878886"/>
      <w:bookmarkStart w:id="267" w:name="_Toc432233017"/>
      <w:bookmarkStart w:id="268" w:name="_Toc417372426"/>
      <w:bookmarkStart w:id="269" w:name="_Toc444180190"/>
      <w:bookmarkStart w:id="270" w:name="_Toc468104768"/>
      <w:bookmarkStart w:id="271" w:name="_Toc413756085"/>
      <w:bookmarkStart w:id="272" w:name="_Toc139613798"/>
      <w:bookmarkStart w:id="273" w:name="_Toc467515866"/>
      <w:bookmarkStart w:id="274" w:name="_Toc466902409"/>
      <w:bookmarkStart w:id="275" w:name="_Toc131517260"/>
      <w:bookmarkStart w:id="276" w:name="_Toc131060605"/>
      <w:bookmarkStart w:id="277" w:name="_Toc427573473"/>
      <w:bookmarkStart w:id="278" w:name="_Toc413756071"/>
      <w:bookmarkStart w:id="279" w:name="_Toc415730035"/>
      <w:bookmarkStart w:id="280" w:name="_Toc466902394"/>
      <w:bookmarkStart w:id="281" w:name="_Toc432233002"/>
      <w:bookmarkStart w:id="282" w:name="_Toc468104753"/>
      <w:bookmarkStart w:id="283" w:name="_Toc417372412"/>
      <w:bookmarkStart w:id="284" w:name="_Toc428777609"/>
      <w:bookmarkStart w:id="285" w:name="_Toc444180175"/>
      <w:bookmarkStart w:id="286" w:name="_Toc437878871"/>
      <w:bookmarkStart w:id="287" w:name="_Toc131060590"/>
      <w:bookmarkStart w:id="288" w:name="_Toc131517245"/>
      <w:bookmarkStart w:id="289" w:name="_Toc467515851"/>
      <w:r>
        <w:rPr>
          <w:rFonts w:ascii="Times New Roman" w:hAnsi="Times New Roman"/>
          <w:b w:val="0"/>
          <w:sz w:val="26"/>
          <w:szCs w:val="26"/>
        </w:rPr>
        <w:t>5  地下水控制</w:t>
      </w:r>
      <w:bookmarkEnd w:id="264"/>
      <w:bookmarkEnd w:id="265"/>
      <w:bookmarkEnd w:id="266"/>
      <w:bookmarkEnd w:id="267"/>
      <w:bookmarkEnd w:id="268"/>
      <w:bookmarkEnd w:id="269"/>
      <w:bookmarkEnd w:id="270"/>
      <w:bookmarkEnd w:id="271"/>
      <w:bookmarkEnd w:id="272"/>
      <w:bookmarkEnd w:id="273"/>
      <w:bookmarkEnd w:id="274"/>
      <w:bookmarkEnd w:id="275"/>
      <w:bookmarkEnd w:id="276"/>
      <w:bookmarkStart w:id="290" w:name="_Toc466902410"/>
      <w:bookmarkStart w:id="291" w:name="_Toc437878887"/>
      <w:bookmarkStart w:id="292" w:name="_Toc413756086"/>
      <w:bookmarkStart w:id="293" w:name="_Toc417372427"/>
      <w:bookmarkStart w:id="294" w:name="_Toc444180191"/>
      <w:bookmarkStart w:id="295" w:name="_Toc432233018"/>
      <w:bookmarkStart w:id="296" w:name="_Toc415730050"/>
      <w:bookmarkStart w:id="297" w:name="_Toc468104769"/>
      <w:bookmarkStart w:id="298" w:name="_Toc467515867"/>
      <w:bookmarkStart w:id="299" w:name="_Toc427573488"/>
    </w:p>
    <w:p w14:paraId="77B205FA">
      <w:pPr>
        <w:pStyle w:val="7"/>
        <w:keepNext w:val="0"/>
        <w:keepLines w:val="0"/>
        <w:adjustRightInd w:val="0"/>
        <w:snapToGrid w:val="0"/>
        <w:spacing w:before="240" w:beforeLines="100" w:after="240" w:afterLines="100" w:line="288" w:lineRule="auto"/>
        <w:jc w:val="center"/>
        <w:rPr>
          <w:rFonts w:eastAsia="黑体"/>
          <w:b w:val="0"/>
          <w:sz w:val="20"/>
          <w:szCs w:val="20"/>
        </w:rPr>
      </w:pPr>
      <w:bookmarkStart w:id="300" w:name="_Toc131517261"/>
      <w:bookmarkStart w:id="301" w:name="_Toc131060606"/>
      <w:bookmarkStart w:id="302" w:name="_Toc139613799"/>
      <w:r>
        <w:rPr>
          <w:rFonts w:eastAsia="黑体"/>
          <w:sz w:val="20"/>
          <w:szCs w:val="20"/>
        </w:rPr>
        <w:t>5.1</w:t>
      </w:r>
      <w:r>
        <w:rPr>
          <w:rFonts w:eastAsia="黑体"/>
          <w:b w:val="0"/>
          <w:sz w:val="20"/>
          <w:szCs w:val="20"/>
        </w:rPr>
        <w:t xml:space="preserve">  一般规定</w:t>
      </w:r>
      <w:bookmarkEnd w:id="290"/>
      <w:bookmarkEnd w:id="291"/>
      <w:bookmarkEnd w:id="292"/>
      <w:bookmarkEnd w:id="293"/>
      <w:bookmarkEnd w:id="294"/>
      <w:bookmarkEnd w:id="295"/>
      <w:bookmarkEnd w:id="296"/>
      <w:bookmarkEnd w:id="297"/>
      <w:bookmarkEnd w:id="298"/>
      <w:bookmarkEnd w:id="299"/>
      <w:bookmarkEnd w:id="300"/>
      <w:bookmarkEnd w:id="301"/>
      <w:bookmarkEnd w:id="302"/>
    </w:p>
    <w:p w14:paraId="6D5BC960">
      <w:pPr>
        <w:adjustRightInd w:val="0"/>
        <w:snapToGrid w:val="0"/>
        <w:spacing w:line="288" w:lineRule="auto"/>
        <w:rPr>
          <w:rFonts w:ascii="宋体" w:hAnsi="宋体"/>
          <w:bCs/>
          <w:sz w:val="20"/>
          <w:szCs w:val="20"/>
        </w:rPr>
      </w:pPr>
      <w:r>
        <w:rPr>
          <w:rFonts w:eastAsia="黑体"/>
          <w:b/>
          <w:bCs/>
          <w:kern w:val="0"/>
          <w:sz w:val="20"/>
          <w:szCs w:val="20"/>
        </w:rPr>
        <w:t>5.1.1</w:t>
      </w:r>
      <w:r>
        <w:rPr>
          <w:rFonts w:hint="eastAsia" w:eastAsia="黑体"/>
          <w:b/>
          <w:bCs/>
          <w:sz w:val="20"/>
          <w:szCs w:val="20"/>
        </w:rPr>
        <w:t>～</w:t>
      </w:r>
      <w:r>
        <w:rPr>
          <w:rFonts w:eastAsia="黑体"/>
          <w:b/>
          <w:bCs/>
          <w:kern w:val="0"/>
          <w:sz w:val="20"/>
          <w:szCs w:val="20"/>
        </w:rPr>
        <w:t>5.1.2</w:t>
      </w:r>
      <w:r>
        <w:rPr>
          <w:rFonts w:hint="eastAsia" w:ascii="宋体" w:hAnsi="宋体"/>
          <w:sz w:val="20"/>
          <w:szCs w:val="20"/>
        </w:rPr>
        <w:t xml:space="preserve">  </w:t>
      </w:r>
      <w:r>
        <w:rPr>
          <w:rFonts w:hint="eastAsia" w:ascii="宋体" w:hAnsi="宋体"/>
          <w:bCs/>
          <w:sz w:val="20"/>
          <w:szCs w:val="20"/>
        </w:rPr>
        <w:t>本规程中的地下水控制是指在最大限度地保护地下水资源和基坑周边环境的前提下，为保证支护结构施工、基坑挖土、地下室施工安全所采取的控制基坑内外地下水位的方法。合理确定地下水控制的方案是保证工程质量，加快工程进度，取得良好社会和经济效益的关键。根据北京市地下水赋存状态和地下水资源形势，本规程中强调地下水控制方案要重视社会责任，最大限度减少抽取地下水量，避免地下水环境质量恶化。</w:t>
      </w:r>
    </w:p>
    <w:p w14:paraId="115F4C5E">
      <w:pPr>
        <w:adjustRightInd w:val="0"/>
        <w:snapToGrid w:val="0"/>
        <w:spacing w:line="288" w:lineRule="auto"/>
        <w:ind w:firstLine="400" w:firstLineChars="200"/>
        <w:rPr>
          <w:bCs/>
          <w:sz w:val="20"/>
          <w:szCs w:val="20"/>
        </w:rPr>
      </w:pPr>
      <w:r>
        <w:rPr>
          <w:rFonts w:hint="eastAsia" w:ascii="宋体" w:hAnsi="宋体"/>
          <w:bCs/>
          <w:sz w:val="20"/>
          <w:szCs w:val="20"/>
        </w:rPr>
        <w:t>表</w:t>
      </w:r>
      <w:r>
        <w:rPr>
          <w:bCs/>
          <w:sz w:val="20"/>
          <w:szCs w:val="20"/>
        </w:rPr>
        <w:t>5.1.2</w:t>
      </w:r>
      <w:r>
        <w:rPr>
          <w:rFonts w:hAnsi="宋体"/>
          <w:bCs/>
          <w:sz w:val="20"/>
          <w:szCs w:val="20"/>
        </w:rPr>
        <w:t>列出了北京市基坑工程中经常采用的四种地下水控制方法及其适用范围。为满足基坑工程和保护地下水资源和周边环境的需要，往往需要多种方法的组合使用。地下水控制方法的选用应注意以下几个方面：</w:t>
      </w:r>
    </w:p>
    <w:p w14:paraId="7798BE29">
      <w:pPr>
        <w:adjustRightInd w:val="0"/>
        <w:snapToGrid w:val="0"/>
        <w:spacing w:line="288" w:lineRule="auto"/>
        <w:ind w:firstLine="400" w:firstLineChars="200"/>
        <w:rPr>
          <w:bCs/>
          <w:sz w:val="20"/>
          <w:szCs w:val="20"/>
        </w:rPr>
      </w:pPr>
      <w:r>
        <w:rPr>
          <w:rFonts w:hAnsi="宋体"/>
          <w:bCs/>
          <w:sz w:val="20"/>
          <w:szCs w:val="20"/>
        </w:rPr>
        <w:t>（</w:t>
      </w:r>
      <w:r>
        <w:rPr>
          <w:bCs/>
          <w:sz w:val="20"/>
          <w:szCs w:val="20"/>
        </w:rPr>
        <w:t>1</w:t>
      </w:r>
      <w:r>
        <w:rPr>
          <w:rFonts w:hAnsi="宋体"/>
          <w:bCs/>
          <w:sz w:val="20"/>
          <w:szCs w:val="20"/>
        </w:rPr>
        <w:t>）含水层埋藏条件及其水位；</w:t>
      </w:r>
    </w:p>
    <w:p w14:paraId="261E8E16">
      <w:pPr>
        <w:adjustRightInd w:val="0"/>
        <w:snapToGrid w:val="0"/>
        <w:spacing w:line="288" w:lineRule="auto"/>
        <w:ind w:firstLine="400" w:firstLineChars="200"/>
        <w:rPr>
          <w:bCs/>
          <w:sz w:val="20"/>
          <w:szCs w:val="20"/>
        </w:rPr>
      </w:pPr>
      <w:r>
        <w:rPr>
          <w:rFonts w:hAnsi="宋体"/>
          <w:bCs/>
          <w:sz w:val="20"/>
          <w:szCs w:val="20"/>
        </w:rPr>
        <w:t>（</w:t>
      </w:r>
      <w:r>
        <w:rPr>
          <w:bCs/>
          <w:sz w:val="20"/>
          <w:szCs w:val="20"/>
        </w:rPr>
        <w:t>2</w:t>
      </w:r>
      <w:r>
        <w:rPr>
          <w:rFonts w:hAnsi="宋体"/>
          <w:bCs/>
          <w:sz w:val="20"/>
          <w:szCs w:val="20"/>
        </w:rPr>
        <w:t>）各含水层的水质对地下水控制方法的限制；</w:t>
      </w:r>
    </w:p>
    <w:p w14:paraId="7C53C055">
      <w:pPr>
        <w:adjustRightInd w:val="0"/>
        <w:snapToGrid w:val="0"/>
        <w:spacing w:line="288" w:lineRule="auto"/>
        <w:ind w:firstLine="400" w:firstLineChars="200"/>
        <w:rPr>
          <w:bCs/>
          <w:sz w:val="20"/>
          <w:szCs w:val="20"/>
        </w:rPr>
      </w:pPr>
      <w:r>
        <w:rPr>
          <w:rFonts w:hAnsi="宋体"/>
          <w:bCs/>
          <w:sz w:val="20"/>
          <w:szCs w:val="20"/>
        </w:rPr>
        <w:t>（</w:t>
      </w:r>
      <w:r>
        <w:rPr>
          <w:bCs/>
          <w:sz w:val="20"/>
          <w:szCs w:val="20"/>
        </w:rPr>
        <w:t>3</w:t>
      </w:r>
      <w:r>
        <w:rPr>
          <w:rFonts w:hAnsi="宋体"/>
          <w:bCs/>
          <w:sz w:val="20"/>
          <w:szCs w:val="20"/>
        </w:rPr>
        <w:t>）含水层的渗透性及其对基坑支护和开挖的作用；</w:t>
      </w:r>
    </w:p>
    <w:p w14:paraId="0A984601">
      <w:pPr>
        <w:adjustRightInd w:val="0"/>
        <w:snapToGrid w:val="0"/>
        <w:spacing w:line="288" w:lineRule="auto"/>
        <w:ind w:firstLine="400" w:firstLineChars="200"/>
        <w:rPr>
          <w:bCs/>
          <w:sz w:val="20"/>
          <w:szCs w:val="20"/>
        </w:rPr>
      </w:pPr>
      <w:r>
        <w:rPr>
          <w:rFonts w:hAnsi="宋体"/>
          <w:bCs/>
          <w:sz w:val="20"/>
          <w:szCs w:val="20"/>
        </w:rPr>
        <w:t>（</w:t>
      </w:r>
      <w:r>
        <w:rPr>
          <w:bCs/>
          <w:sz w:val="20"/>
          <w:szCs w:val="20"/>
        </w:rPr>
        <w:t>4</w:t>
      </w:r>
      <w:r>
        <w:rPr>
          <w:rFonts w:hAnsi="宋体"/>
          <w:bCs/>
          <w:sz w:val="20"/>
          <w:szCs w:val="20"/>
        </w:rPr>
        <w:t>）场地周边地下水开采情况及其停抽后对本工程的影响；</w:t>
      </w:r>
    </w:p>
    <w:p w14:paraId="61513B3E">
      <w:pPr>
        <w:adjustRightInd w:val="0"/>
        <w:snapToGrid w:val="0"/>
        <w:spacing w:line="288" w:lineRule="auto"/>
        <w:ind w:firstLine="400" w:firstLineChars="200"/>
        <w:rPr>
          <w:rFonts w:ascii="宋体" w:hAnsi="宋体"/>
          <w:bCs/>
          <w:sz w:val="20"/>
          <w:szCs w:val="20"/>
        </w:rPr>
      </w:pPr>
      <w:r>
        <w:rPr>
          <w:rFonts w:hAnsi="宋体"/>
          <w:bCs/>
          <w:sz w:val="20"/>
          <w:szCs w:val="20"/>
        </w:rPr>
        <w:t>（</w:t>
      </w:r>
      <w:r>
        <w:rPr>
          <w:bCs/>
          <w:sz w:val="20"/>
          <w:szCs w:val="20"/>
        </w:rPr>
        <w:t>5</w:t>
      </w:r>
      <w:r>
        <w:rPr>
          <w:rFonts w:hAnsi="宋体"/>
          <w:bCs/>
          <w:sz w:val="20"/>
          <w:szCs w:val="20"/>
        </w:rPr>
        <w:t>）场地周</w:t>
      </w:r>
      <w:r>
        <w:rPr>
          <w:rFonts w:hint="eastAsia" w:ascii="宋体" w:hAnsi="宋体"/>
          <w:bCs/>
          <w:sz w:val="20"/>
          <w:szCs w:val="20"/>
        </w:rPr>
        <w:t>边环境的限制要求；</w:t>
      </w:r>
    </w:p>
    <w:p w14:paraId="459323B3">
      <w:pPr>
        <w:adjustRightInd w:val="0"/>
        <w:snapToGrid w:val="0"/>
        <w:spacing w:line="288" w:lineRule="auto"/>
        <w:ind w:firstLine="400" w:firstLineChars="200"/>
        <w:rPr>
          <w:rFonts w:ascii="宋体" w:hAnsi="宋体"/>
          <w:bCs/>
          <w:sz w:val="20"/>
          <w:szCs w:val="20"/>
        </w:rPr>
      </w:pPr>
      <w:r>
        <w:rPr>
          <w:rFonts w:hint="eastAsia" w:ascii="宋体" w:hAnsi="宋体"/>
          <w:bCs/>
          <w:sz w:val="20"/>
          <w:szCs w:val="20"/>
        </w:rPr>
        <w:t>（6）政策法规的规定。</w:t>
      </w:r>
    </w:p>
    <w:p w14:paraId="60FCEC5D">
      <w:pPr>
        <w:adjustRightInd w:val="0"/>
        <w:snapToGrid w:val="0"/>
        <w:spacing w:line="288" w:lineRule="auto"/>
        <w:rPr>
          <w:rFonts w:ascii="宋体" w:hAnsi="宋体"/>
          <w:sz w:val="20"/>
          <w:szCs w:val="20"/>
        </w:rPr>
      </w:pPr>
      <w:r>
        <w:rPr>
          <w:rFonts w:eastAsia="黑体"/>
          <w:b/>
          <w:bCs/>
          <w:kern w:val="0"/>
          <w:sz w:val="20"/>
          <w:szCs w:val="20"/>
        </w:rPr>
        <w:t>5.1.</w:t>
      </w:r>
      <w:r>
        <w:rPr>
          <w:rFonts w:hint="eastAsia" w:eastAsia="黑体"/>
          <w:b/>
          <w:bCs/>
          <w:kern w:val="0"/>
          <w:sz w:val="20"/>
          <w:szCs w:val="20"/>
        </w:rPr>
        <w:t xml:space="preserve">3  </w:t>
      </w:r>
      <w:r>
        <w:rPr>
          <w:rFonts w:hint="eastAsia" w:ascii="宋体" w:hAnsi="宋体"/>
          <w:sz w:val="20"/>
          <w:szCs w:val="20"/>
        </w:rPr>
        <w:t>依据北京地区施工经验，地下水控制方法可分为三类，即：帷幕截水方法、降水方法和帷幕截水与降水结合方法。由于水资源日益短缺，北京市实施了最严格的水资源保护政策。建设行业是水资源消耗大户，必须改变观念，在基坑或地下工程设计施工中应自觉选用先进成熟的绿色施工技术，做到不抽取地下水或少抽取地下水，因此，本条规定在选择地下水控制方法时，应优先选择帷幕隔水方法。现行北京市地方标准《城市建设工程地下水控制技术规范》</w:t>
      </w:r>
      <w:r>
        <w:rPr>
          <w:sz w:val="20"/>
          <w:szCs w:val="20"/>
        </w:rPr>
        <w:t>DB11/1115</w:t>
      </w:r>
      <w:r>
        <w:rPr>
          <w:rFonts w:hint="eastAsia" w:ascii="宋体" w:hAnsi="宋体"/>
          <w:sz w:val="20"/>
          <w:szCs w:val="20"/>
        </w:rPr>
        <w:t>提出了帷幕截水方法、降水方法和帷幕截水与降水结合方法的选择条件，对各种地下水控制方法做出了明确的规定。</w:t>
      </w:r>
    </w:p>
    <w:p w14:paraId="20D68BC7">
      <w:pPr>
        <w:adjustRightInd w:val="0"/>
        <w:snapToGrid w:val="0"/>
        <w:spacing w:line="288" w:lineRule="auto"/>
        <w:ind w:firstLine="400" w:firstLineChars="200"/>
        <w:rPr>
          <w:rFonts w:ascii="宋体" w:hAnsi="宋体"/>
          <w:sz w:val="20"/>
          <w:szCs w:val="20"/>
        </w:rPr>
      </w:pPr>
      <w:r>
        <w:rPr>
          <w:rFonts w:hint="eastAsia" w:ascii="宋体" w:hAnsi="宋体"/>
          <w:sz w:val="20"/>
          <w:szCs w:val="20"/>
        </w:rPr>
        <w:t>明排应用较为普遍，通常用作辅助措施，当作为独立的地下水控制方法使用时，应当防止流水流砂现象的发生。回灌、渗井一般情况下作为辅助措施，不宜作为独立的地下水控制方法选用。回灌在北京地区地下水控制工程实践中较少使用，主要受限于场地条件和水质条件。渗井具有将上层水引入下层含水层的作用，由于上层水受污染程度通常都大于下层水，为控制地下水污染，渗井的使用应受到严格限制。</w:t>
      </w:r>
    </w:p>
    <w:p w14:paraId="56DA04D5">
      <w:pPr>
        <w:pStyle w:val="2"/>
        <w:ind w:left="0" w:leftChars="0" w:firstLine="0" w:firstLineChars="0"/>
      </w:pPr>
      <w:r>
        <w:rPr>
          <w:rFonts w:eastAsia="黑体"/>
          <w:b/>
          <w:bCs/>
          <w:kern w:val="0"/>
          <w:sz w:val="20"/>
          <w:szCs w:val="20"/>
        </w:rPr>
        <w:t xml:space="preserve">5.1.5 </w:t>
      </w:r>
      <w:r>
        <w:rPr>
          <w:rFonts w:hint="eastAsia" w:eastAsia="黑体"/>
          <w:b/>
          <w:bCs/>
          <w:kern w:val="0"/>
          <w:sz w:val="20"/>
          <w:szCs w:val="20"/>
        </w:rPr>
        <w:t xml:space="preserve"> </w:t>
      </w:r>
      <w:r>
        <w:rPr>
          <w:rFonts w:hint="eastAsia" w:ascii="宋体" w:hAnsi="宋体"/>
          <w:sz w:val="20"/>
          <w:szCs w:val="20"/>
        </w:rPr>
        <w:t>南水北调水进京后，通过地下水压采和地下水补给降低地下水的开采量，使北京市平原区地下水位持续回升。尤其是地下水补给影响区域内，地下水位升高幅度较大，造成许多在建工程基坑积水或淹没，影响了基坑工程安全和基础工程正常施工。在这种情况下，原有的地下水控制工程措施已经不能满足要求，需要对地下水控制方案进行再设计。本条要求在重新进行地下水控制方案设计时，应对场地地下水位变化及其趋势进行重新评估，尤其是要预测建设期内地下水位可能升高的程度或影响的方式。</w:t>
      </w:r>
    </w:p>
    <w:p w14:paraId="05F0B956">
      <w:pPr>
        <w:adjustRightInd w:val="0"/>
        <w:snapToGrid w:val="0"/>
        <w:spacing w:line="288" w:lineRule="auto"/>
        <w:rPr>
          <w:rFonts w:ascii="宋体" w:hAnsi="宋体"/>
          <w:sz w:val="20"/>
          <w:szCs w:val="20"/>
        </w:rPr>
      </w:pPr>
      <w:r>
        <w:rPr>
          <w:rFonts w:eastAsia="黑体"/>
          <w:b/>
          <w:bCs/>
          <w:kern w:val="0"/>
          <w:sz w:val="20"/>
          <w:szCs w:val="20"/>
        </w:rPr>
        <w:t>5.1.7</w:t>
      </w:r>
      <w:r>
        <w:rPr>
          <w:rFonts w:hint="eastAsia" w:eastAsia="黑体"/>
          <w:b/>
          <w:bCs/>
          <w:kern w:val="0"/>
          <w:sz w:val="20"/>
          <w:szCs w:val="20"/>
        </w:rPr>
        <w:t xml:space="preserve">  </w:t>
      </w:r>
      <w:r>
        <w:rPr>
          <w:rFonts w:hint="eastAsia" w:ascii="宋体" w:hAnsi="宋体"/>
          <w:sz w:val="20"/>
          <w:szCs w:val="20"/>
        </w:rPr>
        <w:t>在基坑周围环境复杂时，地下水控制方案的确定应充分论证和预测地下水位降低对环境的影响和变化，防止发生因地下水的改变而引起的地面下沉、道路开裂、管线错位、建筑物偏斜、损坏等危害。如存在上述危害的可能性，宜采用截水或回灌的方法，以使基坑外地下水位不产生大的变化。</w:t>
      </w:r>
    </w:p>
    <w:p w14:paraId="0D3A9A06">
      <w:pPr>
        <w:adjustRightInd w:val="0"/>
        <w:snapToGrid w:val="0"/>
        <w:spacing w:line="288" w:lineRule="auto"/>
        <w:ind w:firstLine="400" w:firstLineChars="200"/>
        <w:rPr>
          <w:rFonts w:ascii="宋体" w:hAnsi="宋体"/>
          <w:sz w:val="20"/>
          <w:szCs w:val="20"/>
        </w:rPr>
      </w:pPr>
      <w:r>
        <w:rPr>
          <w:rFonts w:hint="eastAsia" w:ascii="宋体" w:hAnsi="宋体"/>
          <w:sz w:val="20"/>
          <w:szCs w:val="20"/>
        </w:rPr>
        <w:t>基于北京市的具体情况，如降低地下水位可能抽取大量的地下水资源，并且地层组合条件和场地条件可满足截水或回灌措施的要求，宜采用截水或回灌方法。当采用回灌方法时，需要考虑各层水混合后对地下水环境的影响，并不得将上层水导入下层水引起下层水水环境的恶化。</w:t>
      </w:r>
    </w:p>
    <w:p w14:paraId="07BD2115">
      <w:pPr>
        <w:adjustRightInd w:val="0"/>
        <w:snapToGrid w:val="0"/>
        <w:spacing w:line="288" w:lineRule="auto"/>
        <w:rPr>
          <w:rFonts w:ascii="宋体" w:hAnsi="宋体"/>
          <w:sz w:val="20"/>
          <w:szCs w:val="20"/>
        </w:rPr>
      </w:pPr>
      <w:r>
        <w:rPr>
          <w:rFonts w:eastAsia="黑体"/>
          <w:b/>
          <w:bCs/>
          <w:kern w:val="0"/>
          <w:sz w:val="20"/>
          <w:szCs w:val="20"/>
        </w:rPr>
        <w:t>5.1.8</w:t>
      </w:r>
      <w:r>
        <w:rPr>
          <w:rFonts w:hint="eastAsia" w:eastAsia="黑体"/>
          <w:b/>
          <w:bCs/>
          <w:kern w:val="0"/>
          <w:sz w:val="20"/>
          <w:szCs w:val="20"/>
        </w:rPr>
        <w:t xml:space="preserve">  </w:t>
      </w:r>
      <w:r>
        <w:rPr>
          <w:rFonts w:hint="eastAsia" w:ascii="宋体" w:hAnsi="宋体"/>
          <w:sz w:val="20"/>
          <w:szCs w:val="20"/>
        </w:rPr>
        <w:t>在基坑底部土体抗承压水突涌稳定性计算中，承压水水位对计算结果影响很大。北京地区承压水水位受周边工程施工降水影响较大，设计计算时，承压水头除了考虑实测的现状水位外，尚应调查周边工程情况，预判工程施工期间承压水位变化，确保工程安全。</w:t>
      </w:r>
    </w:p>
    <w:p w14:paraId="7036E06F">
      <w:pPr>
        <w:adjustRightInd w:val="0"/>
        <w:snapToGrid w:val="0"/>
        <w:spacing w:line="288" w:lineRule="auto"/>
        <w:ind w:firstLine="400" w:firstLineChars="200"/>
        <w:rPr>
          <w:rFonts w:ascii="宋体" w:hAnsi="宋体"/>
          <w:sz w:val="20"/>
          <w:szCs w:val="20"/>
        </w:rPr>
      </w:pPr>
      <w:r>
        <w:rPr>
          <w:rFonts w:hint="eastAsia" w:ascii="宋体" w:hAnsi="宋体"/>
          <w:sz w:val="20"/>
          <w:szCs w:val="20"/>
        </w:rPr>
        <w:t>当基坑底部土体抗承压水突涌稳定性不能满足要求时，可加深截水帷幕穿透承压水层进入其下隔水层或设置减压井降低承压水水头。降低承压水水头值应满足基坑底部土体抗承压水突涌稳定性要求。</w:t>
      </w:r>
    </w:p>
    <w:p w14:paraId="4EABC181">
      <w:pPr>
        <w:adjustRightInd w:val="0"/>
        <w:snapToGrid w:val="0"/>
        <w:spacing w:line="288" w:lineRule="auto"/>
        <w:ind w:firstLine="400" w:firstLineChars="200"/>
        <w:rPr>
          <w:rFonts w:ascii="宋体" w:hAnsi="宋体"/>
          <w:sz w:val="20"/>
          <w:szCs w:val="20"/>
        </w:rPr>
      </w:pPr>
      <w:r>
        <w:rPr>
          <w:rFonts w:hint="eastAsia" w:ascii="宋体" w:hAnsi="宋体"/>
          <w:sz w:val="20"/>
          <w:szCs w:val="20"/>
        </w:rPr>
        <w:t>减压井深度、数量与布置应按承压水水头压力降低值、承压含水层与隔水层相对关系与水文地质参数计算，根据环境要求结合类似工程经验和抽水试验综合确定。</w:t>
      </w:r>
    </w:p>
    <w:p w14:paraId="2BA56230">
      <w:pPr>
        <w:adjustRightInd w:val="0"/>
        <w:snapToGrid w:val="0"/>
        <w:spacing w:line="288" w:lineRule="auto"/>
        <w:ind w:firstLine="400" w:firstLineChars="200"/>
        <w:rPr>
          <w:rFonts w:ascii="宋体" w:hAnsi="宋体"/>
          <w:sz w:val="20"/>
          <w:szCs w:val="20"/>
        </w:rPr>
      </w:pPr>
      <w:r>
        <w:rPr>
          <w:rFonts w:hint="eastAsia" w:ascii="宋体" w:hAnsi="宋体"/>
          <w:sz w:val="20"/>
          <w:szCs w:val="20"/>
        </w:rPr>
        <w:t>当截水帷幕插入承压含水层中深度较大时，宜采用承压水坑内减压方案。坑内减压井滤水器应位于承压含水层内且底端不宜大于截水帷幕深度，采用有控制的自流方式减压。当截水帷幕未插入承压含水层中或插入承压含水层中深度较小，可采用承压水坑外减压方案。坑外减压井滤水器底端宜大于截水帷幕深度。</w:t>
      </w:r>
    </w:p>
    <w:p w14:paraId="0C2D69C5">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303" w:name="_Toc432233019"/>
      <w:bookmarkStart w:id="304" w:name="_Toc467515868"/>
      <w:bookmarkStart w:id="305" w:name="_Toc437878888"/>
      <w:bookmarkStart w:id="306" w:name="_Toc139613800"/>
      <w:bookmarkStart w:id="307" w:name="_Toc131517262"/>
      <w:bookmarkStart w:id="308" w:name="_Toc131060607"/>
      <w:bookmarkStart w:id="309" w:name="_Toc466902411"/>
      <w:bookmarkStart w:id="310" w:name="_Toc444180192"/>
      <w:bookmarkStart w:id="311" w:name="_Toc468104770"/>
      <w:bookmarkStart w:id="312" w:name="_Toc415730052"/>
      <w:bookmarkStart w:id="313" w:name="_Toc427573490"/>
      <w:bookmarkStart w:id="314" w:name="_Toc417372429"/>
      <w:bookmarkStart w:id="315" w:name="_Toc413756088"/>
      <w:r>
        <w:rPr>
          <w:rFonts w:eastAsia="黑体"/>
          <w:sz w:val="20"/>
          <w:szCs w:val="20"/>
        </w:rPr>
        <w:t>5.</w:t>
      </w:r>
      <w:r>
        <w:rPr>
          <w:rFonts w:hint="eastAsia" w:eastAsia="黑体"/>
          <w:sz w:val="20"/>
          <w:szCs w:val="20"/>
        </w:rPr>
        <w:t>2</w:t>
      </w:r>
      <w:r>
        <w:rPr>
          <w:rFonts w:eastAsia="黑体"/>
          <w:sz w:val="20"/>
          <w:szCs w:val="20"/>
        </w:rPr>
        <w:t xml:space="preserve">  </w:t>
      </w:r>
      <w:r>
        <w:rPr>
          <w:rFonts w:hint="eastAsia" w:ascii="黑体" w:hAnsi="黑体" w:eastAsia="黑体"/>
          <w:b w:val="0"/>
          <w:sz w:val="20"/>
          <w:szCs w:val="20"/>
        </w:rPr>
        <w:t>截    水</w:t>
      </w:r>
      <w:bookmarkEnd w:id="303"/>
      <w:bookmarkEnd w:id="304"/>
      <w:bookmarkEnd w:id="305"/>
      <w:bookmarkEnd w:id="306"/>
      <w:bookmarkEnd w:id="307"/>
      <w:bookmarkEnd w:id="308"/>
      <w:bookmarkEnd w:id="309"/>
      <w:bookmarkEnd w:id="310"/>
      <w:bookmarkEnd w:id="311"/>
    </w:p>
    <w:p w14:paraId="2D4E46D3">
      <w:pPr>
        <w:adjustRightInd w:val="0"/>
        <w:snapToGrid w:val="0"/>
        <w:spacing w:line="288" w:lineRule="auto"/>
        <w:rPr>
          <w:rFonts w:ascii="宋体" w:hAnsi="宋体"/>
          <w:sz w:val="20"/>
          <w:szCs w:val="20"/>
        </w:rPr>
      </w:pPr>
      <w:r>
        <w:rPr>
          <w:rFonts w:eastAsia="黑体"/>
          <w:b/>
          <w:bCs/>
          <w:kern w:val="0"/>
          <w:sz w:val="20"/>
          <w:szCs w:val="20"/>
        </w:rPr>
        <w:t>5.2.1</w:t>
      </w:r>
      <w:r>
        <w:rPr>
          <w:rFonts w:hint="eastAsia" w:eastAsia="黑体"/>
          <w:b/>
          <w:bCs/>
          <w:sz w:val="20"/>
          <w:szCs w:val="20"/>
        </w:rPr>
        <w:t>～</w:t>
      </w:r>
      <w:r>
        <w:rPr>
          <w:rFonts w:eastAsia="黑体"/>
          <w:b/>
          <w:bCs/>
          <w:kern w:val="0"/>
          <w:sz w:val="20"/>
          <w:szCs w:val="20"/>
        </w:rPr>
        <w:t>5.2.5</w:t>
      </w:r>
      <w:r>
        <w:rPr>
          <w:rFonts w:hint="eastAsia" w:ascii="宋体" w:hAnsi="宋体"/>
          <w:bCs/>
          <w:sz w:val="20"/>
          <w:szCs w:val="20"/>
        </w:rPr>
        <w:t xml:space="preserve"> </w:t>
      </w:r>
      <w:r>
        <w:rPr>
          <w:rFonts w:hint="eastAsia" w:ascii="宋体" w:hAnsi="宋体"/>
          <w:sz w:val="20"/>
          <w:szCs w:val="20"/>
        </w:rPr>
        <w:t xml:space="preserve"> 竖向截水帷幕的形式两种：一种是插入隔水层，形成封闭截水帷幕，另一种是含水层相对较厚，帷幕悬吊在透水层中，形成悬挂式截水帷幕。前者须进行基底渗流稳定、隆起验算，必要时可加深竖向截水帷幕深度或采用基坑内设降压井保证施工安全。后者需要考虑绕过帷幕涌入基坑的水量，评价基坑内降水井数量和布置及其可能造成的周边环境问题，必要时进行封底或采用其它方法。</w:t>
      </w:r>
    </w:p>
    <w:p w14:paraId="5747A579">
      <w:pPr>
        <w:pStyle w:val="2"/>
        <w:ind w:left="0" w:leftChars="0" w:firstLine="400"/>
        <w:rPr>
          <w:rFonts w:ascii="宋体" w:hAnsi="宋体"/>
          <w:sz w:val="20"/>
          <w:szCs w:val="20"/>
        </w:rPr>
      </w:pPr>
      <w:r>
        <w:rPr>
          <w:rFonts w:ascii="宋体" w:hAnsi="宋体"/>
          <w:sz w:val="20"/>
          <w:szCs w:val="20"/>
        </w:rPr>
        <w:t>对于悬挂式</w:t>
      </w:r>
      <w:r>
        <w:rPr>
          <w:rFonts w:hint="eastAsia" w:ascii="宋体" w:hAnsi="宋体"/>
          <w:sz w:val="20"/>
          <w:szCs w:val="20"/>
        </w:rPr>
        <w:t>截水</w:t>
      </w:r>
      <w:r>
        <w:rPr>
          <w:rFonts w:ascii="宋体" w:hAnsi="宋体"/>
          <w:sz w:val="20"/>
          <w:szCs w:val="20"/>
        </w:rPr>
        <w:t>帷幕</w:t>
      </w:r>
      <w:r>
        <w:rPr>
          <w:rFonts w:hint="eastAsia" w:ascii="宋体" w:hAnsi="宋体"/>
          <w:sz w:val="20"/>
          <w:szCs w:val="20"/>
        </w:rPr>
        <w:t>，</w:t>
      </w:r>
      <w:r>
        <w:rPr>
          <w:rFonts w:ascii="宋体" w:hAnsi="宋体"/>
          <w:sz w:val="20"/>
          <w:szCs w:val="20"/>
        </w:rPr>
        <w:t>有几点需要进一步说明</w:t>
      </w:r>
      <w:r>
        <w:rPr>
          <w:rFonts w:hint="eastAsia" w:ascii="宋体" w:hAnsi="宋体"/>
          <w:sz w:val="20"/>
          <w:szCs w:val="20"/>
        </w:rPr>
        <w:t>：</w:t>
      </w:r>
    </w:p>
    <w:p w14:paraId="5185AB61">
      <w:pPr>
        <w:adjustRightInd w:val="0"/>
        <w:snapToGrid w:val="0"/>
        <w:spacing w:line="288" w:lineRule="auto"/>
        <w:rPr>
          <w:sz w:val="20"/>
          <w:szCs w:val="20"/>
        </w:rPr>
      </w:pPr>
      <w:r>
        <w:rPr>
          <w:b/>
          <w:bCs/>
          <w:sz w:val="20"/>
          <w:szCs w:val="20"/>
        </w:rPr>
        <w:t xml:space="preserve">1 </w:t>
      </w:r>
      <w:r>
        <w:rPr>
          <w:sz w:val="20"/>
          <w:szCs w:val="20"/>
        </w:rPr>
        <w:t>悬挂式截水帷幕插入槽底以下的深度应按现有理论和方法进行渗流稳定分析和基坑抗隆起分析，以保证基坑不会出现流砂破坏和基坑的隆起破坏。</w:t>
      </w:r>
    </w:p>
    <w:p w14:paraId="3894FC46">
      <w:pPr>
        <w:adjustRightInd w:val="0"/>
        <w:snapToGrid w:val="0"/>
        <w:spacing w:line="288" w:lineRule="auto"/>
        <w:rPr>
          <w:sz w:val="20"/>
          <w:szCs w:val="20"/>
        </w:rPr>
      </w:pPr>
      <w:r>
        <w:rPr>
          <w:b/>
          <w:bCs/>
          <w:sz w:val="20"/>
          <w:szCs w:val="20"/>
        </w:rPr>
        <w:t xml:space="preserve">2 </w:t>
      </w:r>
      <w:r>
        <w:rPr>
          <w:sz w:val="20"/>
          <w:szCs w:val="20"/>
        </w:rPr>
        <w:t>在保证基坑不会出现流砂破坏和基坑的隆起破坏的前提下，显然帷幕插入槽底以下的深度越大，通过绕流发生的基坑涌水量越小，帷幕外的水位降低也越小，对环境的影响也越小，但造价也大幅度提高。因此帷幕的最优插入深度应该是满足基坑涌水量控制目标，帷幕外的水位降低控制目标两个条件下的最小值时，造价相对最低。</w:t>
      </w:r>
    </w:p>
    <w:p w14:paraId="39A3FCA3">
      <w:pPr>
        <w:adjustRightInd w:val="0"/>
        <w:snapToGrid w:val="0"/>
        <w:spacing w:line="288" w:lineRule="auto"/>
        <w:rPr>
          <w:rFonts w:eastAsia="黑体"/>
          <w:sz w:val="20"/>
          <w:szCs w:val="20"/>
        </w:rPr>
      </w:pPr>
      <w:r>
        <w:rPr>
          <w:rFonts w:eastAsia="黑体"/>
          <w:b/>
          <w:bCs/>
          <w:kern w:val="0"/>
          <w:sz w:val="20"/>
          <w:szCs w:val="20"/>
        </w:rPr>
        <w:t>5.2.6</w:t>
      </w:r>
      <w:r>
        <w:rPr>
          <w:rFonts w:hint="eastAsia" w:ascii="宋体" w:hAnsi="宋体"/>
          <w:sz w:val="20"/>
          <w:szCs w:val="20"/>
        </w:rPr>
        <w:t xml:space="preserve">  截水帷幕选型目前北京地区采用的有：</w:t>
      </w:r>
      <w:r>
        <w:rPr>
          <w:rFonts w:ascii="宋体" w:hAnsi="宋体"/>
          <w:sz w:val="20"/>
          <w:szCs w:val="20"/>
        </w:rPr>
        <w:t>地下连续墙</w:t>
      </w:r>
      <w:r>
        <w:rPr>
          <w:rFonts w:hint="eastAsia" w:ascii="宋体" w:hAnsi="宋体"/>
          <w:sz w:val="20"/>
          <w:szCs w:val="20"/>
        </w:rPr>
        <w:t>、</w:t>
      </w:r>
      <w:r>
        <w:rPr>
          <w:rFonts w:ascii="宋体" w:hAnsi="宋体"/>
          <w:sz w:val="20"/>
          <w:szCs w:val="20"/>
        </w:rPr>
        <w:t>搅拌桩、旋喷桩、旋喷搅拌桩、</w:t>
      </w:r>
      <w:r>
        <w:rPr>
          <w:rFonts w:hint="eastAsia" w:ascii="宋体" w:hAnsi="宋体"/>
          <w:sz w:val="20"/>
          <w:szCs w:val="20"/>
        </w:rPr>
        <w:t>冲击旋喷桩、</w:t>
      </w:r>
      <w:r>
        <w:rPr>
          <w:rFonts w:ascii="宋体" w:hAnsi="宋体"/>
          <w:sz w:val="20"/>
          <w:szCs w:val="20"/>
        </w:rPr>
        <w:t>咬合桩、注浆</w:t>
      </w:r>
      <w:r>
        <w:rPr>
          <w:rFonts w:hint="eastAsia" w:ascii="宋体" w:hAnsi="宋体"/>
          <w:sz w:val="20"/>
          <w:szCs w:val="20"/>
        </w:rPr>
        <w:t>法</w:t>
      </w:r>
      <w:r>
        <w:rPr>
          <w:rFonts w:ascii="宋体" w:hAnsi="宋体"/>
          <w:sz w:val="20"/>
          <w:szCs w:val="20"/>
        </w:rPr>
        <w:t>等</w:t>
      </w:r>
      <w:r>
        <w:rPr>
          <w:rFonts w:hint="eastAsia" w:ascii="宋体" w:hAnsi="宋体"/>
          <w:sz w:val="20"/>
          <w:szCs w:val="20"/>
        </w:rPr>
        <w:t>形成的桩式</w:t>
      </w:r>
      <w:r>
        <w:rPr>
          <w:rFonts w:ascii="宋体" w:hAnsi="宋体"/>
          <w:sz w:val="20"/>
          <w:szCs w:val="20"/>
        </w:rPr>
        <w:t>帷幕。</w:t>
      </w:r>
      <w:r>
        <w:rPr>
          <w:rFonts w:hint="eastAsia" w:ascii="宋体" w:hAnsi="宋体"/>
          <w:sz w:val="20"/>
          <w:szCs w:val="20"/>
        </w:rPr>
        <w:t>如采用</w:t>
      </w:r>
      <w:r>
        <w:rPr>
          <w:rFonts w:ascii="宋体" w:hAnsi="宋体"/>
          <w:sz w:val="20"/>
          <w:szCs w:val="20"/>
        </w:rPr>
        <w:t>搅拌桩</w:t>
      </w:r>
      <w:r>
        <w:rPr>
          <w:rFonts w:hint="eastAsia" w:ascii="宋体" w:hAnsi="宋体"/>
          <w:sz w:val="20"/>
          <w:szCs w:val="20"/>
        </w:rPr>
        <w:t>、</w:t>
      </w:r>
      <w:r>
        <w:rPr>
          <w:rFonts w:ascii="宋体" w:hAnsi="宋体"/>
          <w:sz w:val="20"/>
          <w:szCs w:val="20"/>
        </w:rPr>
        <w:t>旋喷桩、旋喷搅拌桩、咬合桩</w:t>
      </w:r>
      <w:r>
        <w:rPr>
          <w:rFonts w:hint="eastAsia" w:ascii="宋体" w:hAnsi="宋体"/>
          <w:sz w:val="20"/>
          <w:szCs w:val="20"/>
        </w:rPr>
        <w:t>建议先施工水泥土桩，后施工钢筋混凝土支护桩，这样可以克服先支护桩施工过程中形成的“大肚子</w:t>
      </w:r>
      <w:r>
        <w:rPr>
          <w:rFonts w:ascii="宋体" w:hAnsi="宋体"/>
          <w:sz w:val="20"/>
          <w:szCs w:val="20"/>
        </w:rPr>
        <w:t>”</w:t>
      </w:r>
      <w:r>
        <w:rPr>
          <w:rFonts w:hint="eastAsia" w:ascii="宋体" w:hAnsi="宋体"/>
          <w:sz w:val="20"/>
          <w:szCs w:val="20"/>
        </w:rPr>
        <w:t>和“大脑袋”的影响。</w:t>
      </w:r>
      <w:bookmarkStart w:id="316" w:name="_Toc432233020"/>
      <w:bookmarkStart w:id="317" w:name="_Toc437878889"/>
      <w:bookmarkStart w:id="318" w:name="_Toc466902412"/>
      <w:bookmarkStart w:id="319" w:name="_Toc467515869"/>
      <w:bookmarkStart w:id="320" w:name="_Toc444180193"/>
      <w:bookmarkStart w:id="321" w:name="_Toc468104771"/>
    </w:p>
    <w:p w14:paraId="493FA659">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322" w:name="_Toc139613801"/>
      <w:bookmarkStart w:id="323" w:name="_Toc131517263"/>
      <w:bookmarkStart w:id="324" w:name="_Toc131060608"/>
      <w:r>
        <w:rPr>
          <w:rFonts w:eastAsia="黑体"/>
          <w:sz w:val="20"/>
          <w:szCs w:val="20"/>
        </w:rPr>
        <w:t xml:space="preserve">5.3 </w:t>
      </w:r>
      <w:r>
        <w:rPr>
          <w:rFonts w:ascii="黑体" w:hAnsi="黑体" w:eastAsia="黑体"/>
          <w:sz w:val="20"/>
          <w:szCs w:val="20"/>
        </w:rPr>
        <w:t xml:space="preserve"> </w:t>
      </w:r>
      <w:r>
        <w:rPr>
          <w:rFonts w:hint="eastAsia" w:ascii="黑体" w:hAnsi="黑体" w:eastAsia="黑体"/>
          <w:b w:val="0"/>
          <w:sz w:val="20"/>
          <w:szCs w:val="20"/>
        </w:rPr>
        <w:t>降    水</w:t>
      </w:r>
      <w:bookmarkEnd w:id="312"/>
      <w:bookmarkEnd w:id="313"/>
      <w:bookmarkEnd w:id="314"/>
      <w:bookmarkEnd w:id="315"/>
      <w:bookmarkEnd w:id="316"/>
      <w:bookmarkEnd w:id="317"/>
      <w:bookmarkEnd w:id="318"/>
      <w:bookmarkEnd w:id="319"/>
      <w:bookmarkEnd w:id="320"/>
      <w:bookmarkEnd w:id="321"/>
      <w:bookmarkEnd w:id="322"/>
      <w:bookmarkEnd w:id="323"/>
      <w:bookmarkEnd w:id="324"/>
    </w:p>
    <w:p w14:paraId="2445347C">
      <w:pPr>
        <w:adjustRightInd w:val="0"/>
        <w:snapToGrid w:val="0"/>
        <w:spacing w:line="288" w:lineRule="auto"/>
        <w:rPr>
          <w:sz w:val="20"/>
          <w:szCs w:val="20"/>
        </w:rPr>
      </w:pPr>
      <w:r>
        <w:rPr>
          <w:rFonts w:eastAsia="黑体"/>
          <w:b/>
          <w:bCs/>
          <w:kern w:val="0"/>
          <w:sz w:val="20"/>
          <w:szCs w:val="20"/>
        </w:rPr>
        <w:t>5.3.1</w:t>
      </w:r>
      <w:r>
        <w:rPr>
          <w:rFonts w:hint="eastAsia" w:eastAsia="黑体"/>
          <w:b/>
          <w:bCs/>
          <w:kern w:val="0"/>
          <w:sz w:val="20"/>
          <w:szCs w:val="20"/>
        </w:rPr>
        <w:t xml:space="preserve">  </w:t>
      </w:r>
      <w:r>
        <w:rPr>
          <w:rFonts w:hint="eastAsia" w:ascii="宋体" w:hAnsi="宋体"/>
          <w:sz w:val="20"/>
          <w:szCs w:val="20"/>
        </w:rPr>
        <w:t>本条规</w:t>
      </w:r>
      <w:r>
        <w:rPr>
          <w:sz w:val="20"/>
          <w:szCs w:val="20"/>
        </w:rPr>
        <w:t>定了降水井的布置原则。降水井间距宜根据地区经验确定。无地区经验时，可按照下文选取。</w:t>
      </w:r>
    </w:p>
    <w:p w14:paraId="3F0536C5">
      <w:pPr>
        <w:adjustRightInd w:val="0"/>
        <w:snapToGrid w:val="0"/>
        <w:spacing w:line="288" w:lineRule="auto"/>
        <w:ind w:firstLine="428" w:firstLineChars="213"/>
        <w:rPr>
          <w:sz w:val="20"/>
          <w:szCs w:val="20"/>
        </w:rPr>
      </w:pPr>
      <w:r>
        <w:rPr>
          <w:b/>
          <w:sz w:val="20"/>
          <w:szCs w:val="20"/>
        </w:rPr>
        <w:t>1</w:t>
      </w:r>
      <w:r>
        <w:rPr>
          <w:sz w:val="20"/>
          <w:szCs w:val="20"/>
        </w:rPr>
        <w:t xml:space="preserve"> 真空井点间距可取0.8m～2.0m，亦可按本规程5.3.4条确定；</w:t>
      </w:r>
    </w:p>
    <w:p w14:paraId="441487BB">
      <w:pPr>
        <w:adjustRightInd w:val="0"/>
        <w:snapToGrid w:val="0"/>
        <w:spacing w:line="288" w:lineRule="auto"/>
        <w:ind w:firstLine="428" w:firstLineChars="213"/>
        <w:rPr>
          <w:sz w:val="20"/>
          <w:szCs w:val="20"/>
        </w:rPr>
      </w:pPr>
      <w:r>
        <w:rPr>
          <w:b/>
          <w:sz w:val="20"/>
          <w:szCs w:val="20"/>
        </w:rPr>
        <w:t>2</w:t>
      </w:r>
      <w:r>
        <w:rPr>
          <w:sz w:val="20"/>
          <w:szCs w:val="20"/>
        </w:rPr>
        <w:t xml:space="preserve"> 喷射井点间距可取1.5m～3.0m，亦可按本规程5.3.4条确定；</w:t>
      </w:r>
    </w:p>
    <w:p w14:paraId="420AFE24">
      <w:pPr>
        <w:adjustRightInd w:val="0"/>
        <w:snapToGrid w:val="0"/>
        <w:spacing w:line="288" w:lineRule="auto"/>
        <w:ind w:firstLine="428" w:firstLineChars="213"/>
        <w:rPr>
          <w:sz w:val="20"/>
          <w:szCs w:val="20"/>
        </w:rPr>
      </w:pPr>
      <w:r>
        <w:rPr>
          <w:b/>
          <w:sz w:val="20"/>
          <w:szCs w:val="20"/>
        </w:rPr>
        <w:t>3</w:t>
      </w:r>
      <w:r>
        <w:rPr>
          <w:sz w:val="20"/>
          <w:szCs w:val="20"/>
        </w:rPr>
        <w:t xml:space="preserve"> 管井井间距应根据水文地质参数按本规程5.3.4条确定；</w:t>
      </w:r>
    </w:p>
    <w:p w14:paraId="3F146B5F">
      <w:pPr>
        <w:adjustRightInd w:val="0"/>
        <w:snapToGrid w:val="0"/>
        <w:spacing w:line="288" w:lineRule="auto"/>
        <w:ind w:firstLine="428" w:firstLineChars="213"/>
        <w:rPr>
          <w:sz w:val="20"/>
          <w:szCs w:val="20"/>
        </w:rPr>
      </w:pPr>
      <w:r>
        <w:rPr>
          <w:b/>
          <w:sz w:val="20"/>
          <w:szCs w:val="20"/>
        </w:rPr>
        <w:t>4</w:t>
      </w:r>
      <w:r>
        <w:rPr>
          <w:sz w:val="20"/>
          <w:szCs w:val="20"/>
        </w:rPr>
        <w:t xml:space="preserve"> 真空管井间距应根据地层渗透性等水文地质参数确定，可取8.0m～10.0m；</w:t>
      </w:r>
    </w:p>
    <w:p w14:paraId="350F9947">
      <w:pPr>
        <w:adjustRightInd w:val="0"/>
        <w:snapToGrid w:val="0"/>
        <w:spacing w:line="288" w:lineRule="auto"/>
        <w:ind w:firstLine="428" w:firstLineChars="213"/>
        <w:rPr>
          <w:sz w:val="20"/>
          <w:szCs w:val="20"/>
        </w:rPr>
      </w:pPr>
      <w:r>
        <w:rPr>
          <w:b/>
          <w:sz w:val="20"/>
          <w:szCs w:val="20"/>
        </w:rPr>
        <w:t>5</w:t>
      </w:r>
      <w:r>
        <w:rPr>
          <w:sz w:val="20"/>
          <w:szCs w:val="20"/>
        </w:rPr>
        <w:t xml:space="preserve"> 潜埋井点宜布置在排降残存水方便、对结构施工影响小且便于封底的部位；井点应布置在不影响后续工序施工的位置。</w:t>
      </w:r>
    </w:p>
    <w:p w14:paraId="26C74F51">
      <w:pPr>
        <w:adjustRightInd w:val="0"/>
        <w:snapToGrid w:val="0"/>
        <w:spacing w:line="288" w:lineRule="auto"/>
        <w:ind w:firstLine="428" w:firstLineChars="213"/>
        <w:rPr>
          <w:sz w:val="20"/>
          <w:szCs w:val="20"/>
        </w:rPr>
      </w:pPr>
      <w:r>
        <w:rPr>
          <w:b/>
          <w:sz w:val="20"/>
          <w:szCs w:val="20"/>
        </w:rPr>
        <w:t>6</w:t>
      </w:r>
      <w:r>
        <w:rPr>
          <w:sz w:val="20"/>
          <w:szCs w:val="20"/>
        </w:rPr>
        <w:t xml:space="preserve"> 渗井井间距可根据现场试验确定；</w:t>
      </w:r>
    </w:p>
    <w:p w14:paraId="5E1DA8B6">
      <w:pPr>
        <w:adjustRightInd w:val="0"/>
        <w:snapToGrid w:val="0"/>
        <w:spacing w:line="288" w:lineRule="auto"/>
        <w:ind w:firstLine="428" w:firstLineChars="213"/>
        <w:rPr>
          <w:sz w:val="20"/>
          <w:szCs w:val="20"/>
        </w:rPr>
      </w:pPr>
      <w:r>
        <w:rPr>
          <w:b/>
          <w:sz w:val="20"/>
          <w:szCs w:val="20"/>
        </w:rPr>
        <w:t>7</w:t>
      </w:r>
      <w:r>
        <w:rPr>
          <w:sz w:val="20"/>
          <w:szCs w:val="20"/>
        </w:rPr>
        <w:t xml:space="preserve"> 辐射井的布置，应使其辐射管最大限度的控制基坑降水范围，可根据含水层的厚度和层数设置单层或多层辐射管，辐射管的长度宜为20m～70m，最下层辐射管距井底应大于1.0m。</w:t>
      </w:r>
    </w:p>
    <w:p w14:paraId="136AC626">
      <w:pPr>
        <w:adjustRightInd w:val="0"/>
        <w:snapToGrid w:val="0"/>
        <w:spacing w:line="288" w:lineRule="auto"/>
        <w:ind w:firstLine="400" w:firstLineChars="200"/>
        <w:rPr>
          <w:sz w:val="20"/>
          <w:szCs w:val="20"/>
        </w:rPr>
      </w:pPr>
      <w:r>
        <w:rPr>
          <w:sz w:val="20"/>
          <w:szCs w:val="20"/>
        </w:rPr>
        <w:t>对于真空管井降水工艺主要是针对细颗粒交互地层，能够有效解决饱和黏性土、粉土，以及砂层含水底板界面残余水的疏干问题。通过使管井周围地层内形成真空场，使得含水层中水流向井的水力坡度增大，也使得弱含水层中更多的饱和水和毛细水被释放出来。</w:t>
      </w:r>
    </w:p>
    <w:p w14:paraId="72FD5738">
      <w:pPr>
        <w:adjustRightInd w:val="0"/>
        <w:snapToGrid w:val="0"/>
        <w:spacing w:line="288" w:lineRule="auto"/>
        <w:rPr>
          <w:sz w:val="20"/>
          <w:szCs w:val="20"/>
        </w:rPr>
      </w:pPr>
      <w:r>
        <w:rPr>
          <w:sz w:val="20"/>
          <w:szCs w:val="20"/>
        </w:rPr>
        <w:t>对于辐射井的布置，由于目前在理论上还没有解决辐射井相互干扰的水位计算问题，因此只能通过试验或相同条件下的成功经验来确定辐射井辐射管的具体分布和数量，使之控制基坑范围内的有效水位降深达到降水技术要求。而对于多层含水层或条件复杂的地区，当辐射井不能单独完成降水工作，由于成本较高，应慎重选择辐射井降水方法。</w:t>
      </w:r>
    </w:p>
    <w:p w14:paraId="4B7069F1">
      <w:pPr>
        <w:adjustRightInd w:val="0"/>
        <w:snapToGrid w:val="0"/>
        <w:spacing w:line="288" w:lineRule="auto"/>
        <w:rPr>
          <w:rFonts w:ascii="宋体" w:hAnsi="宋体"/>
          <w:sz w:val="20"/>
          <w:szCs w:val="20"/>
        </w:rPr>
      </w:pPr>
      <w:r>
        <w:rPr>
          <w:rFonts w:eastAsia="黑体"/>
          <w:b/>
          <w:bCs/>
          <w:kern w:val="0"/>
          <w:sz w:val="20"/>
          <w:szCs w:val="20"/>
        </w:rPr>
        <w:t xml:space="preserve">5.3.3  </w:t>
      </w:r>
      <w:r>
        <w:rPr>
          <w:sz w:val="20"/>
          <w:szCs w:val="20"/>
        </w:rPr>
        <w:t>本条规定了线形基坑和圆形基坑的降水井数量计算方法。考虑到井管堵塞或抽气会影响排水效果，在计算出的井数基础上加10%。表5.3.3是一般情况下基坑总涌水量常用的典型计算公式。基坑涌水量计算是依据不同的水文地质条件、降水区形状、面积、支护设计对降水的要求进行的，列出的公式并不能满足所有工程的需要。实际的含水层分布远非这样理想，为此按照上述公式计算时应根据工程场地的实际水文地质条件对地层进行合理概化。如相邻地层渗透系数不同时，可概化成一层含水层，其渗透系数</w:t>
      </w:r>
      <w:r>
        <w:rPr>
          <w:rFonts w:hint="eastAsia" w:ascii="宋体" w:hAnsi="宋体"/>
          <w:sz w:val="20"/>
          <w:szCs w:val="20"/>
        </w:rPr>
        <w:t>可按各含水层厚度加权平均取值。实际工程中可以根据需要参照有关的水文地质、工程地质手册和教材，选择符合水文地质条件的计算公式。对于复杂工程或水文地质条件复杂但明确时，鼓励采用数值法进行设计。</w:t>
      </w:r>
    </w:p>
    <w:p w14:paraId="4ADE6D84">
      <w:pPr>
        <w:adjustRightInd w:val="0"/>
        <w:snapToGrid w:val="0"/>
        <w:spacing w:line="288" w:lineRule="auto"/>
        <w:rPr>
          <w:rFonts w:ascii="宋体" w:hAnsi="宋体"/>
          <w:sz w:val="20"/>
          <w:szCs w:val="20"/>
        </w:rPr>
      </w:pPr>
      <w:r>
        <w:rPr>
          <w:rFonts w:eastAsia="黑体"/>
          <w:b/>
          <w:bCs/>
          <w:kern w:val="0"/>
          <w:sz w:val="20"/>
          <w:szCs w:val="20"/>
        </w:rPr>
        <w:t>5.3.</w:t>
      </w:r>
      <w:r>
        <w:rPr>
          <w:rFonts w:hint="eastAsia" w:eastAsia="黑体"/>
          <w:b/>
          <w:bCs/>
          <w:kern w:val="0"/>
          <w:sz w:val="20"/>
          <w:szCs w:val="20"/>
        </w:rPr>
        <w:t xml:space="preserve">4  </w:t>
      </w:r>
      <w:r>
        <w:rPr>
          <w:rFonts w:hint="eastAsia" w:ascii="宋体" w:hAnsi="宋体"/>
          <w:sz w:val="20"/>
          <w:szCs w:val="20"/>
        </w:rPr>
        <w:t>单井出水量取决于所在地区的水文地质条件、过滤器的结构、成井工艺和抽水设备能力。本条根据经验和理论规定了降水单井的出水能力。对于辐射井的出水能力计算，从实际的情况看，所列公式并不能完全满足工程精度要求，在实际工程中可根据经验或试验修正辐射井的出水量。</w:t>
      </w:r>
    </w:p>
    <w:p w14:paraId="07C65708">
      <w:pPr>
        <w:adjustRightInd w:val="0"/>
        <w:snapToGrid w:val="0"/>
        <w:spacing w:line="288" w:lineRule="auto"/>
        <w:ind w:firstLine="400" w:firstLineChars="200"/>
        <w:rPr>
          <w:rFonts w:ascii="宋体" w:hAnsi="宋体"/>
          <w:sz w:val="20"/>
          <w:szCs w:val="20"/>
        </w:rPr>
      </w:pPr>
      <w:r>
        <w:rPr>
          <w:rFonts w:hint="eastAsia" w:ascii="宋体" w:hAnsi="宋体"/>
          <w:sz w:val="20"/>
          <w:szCs w:val="20"/>
        </w:rPr>
        <w:t xml:space="preserve">需要注意的是，在降水设计预测计算中，设计分配每个降水井的出水量不应大于降水井的出水能力。在群井抽水情况下，随着地下水位的下降和井群的相互干扰，基坑总涌水量会逐渐减少，各单井的出水量也将不断降低，当各单井出水能力满足不了总涌水量的要求时，基坑范围内的地下水位将不再降低，如基坑内地下水位降低程度不能满足工程施工要求，需要重新确定单井出水量，即小于单井出水能力。 </w:t>
      </w:r>
    </w:p>
    <w:p w14:paraId="6A4E53A3">
      <w:pPr>
        <w:adjustRightInd w:val="0"/>
        <w:snapToGrid w:val="0"/>
        <w:spacing w:line="288" w:lineRule="auto"/>
        <w:rPr>
          <w:rFonts w:ascii="宋体" w:hAnsi="宋体"/>
          <w:sz w:val="20"/>
          <w:szCs w:val="20"/>
        </w:rPr>
      </w:pPr>
      <w:r>
        <w:rPr>
          <w:rFonts w:eastAsia="黑体"/>
          <w:b/>
          <w:bCs/>
          <w:kern w:val="0"/>
          <w:sz w:val="20"/>
          <w:szCs w:val="20"/>
        </w:rPr>
        <w:t>5.3.</w:t>
      </w:r>
      <w:r>
        <w:rPr>
          <w:rFonts w:hint="eastAsia" w:eastAsia="黑体"/>
          <w:b/>
          <w:bCs/>
          <w:kern w:val="0"/>
          <w:sz w:val="20"/>
          <w:szCs w:val="20"/>
        </w:rPr>
        <w:t xml:space="preserve">6  </w:t>
      </w:r>
      <w:r>
        <w:rPr>
          <w:rFonts w:hint="eastAsia" w:ascii="宋体" w:hAnsi="宋体"/>
          <w:sz w:val="20"/>
          <w:szCs w:val="20"/>
        </w:rPr>
        <w:t>当检验干扰井群的单井流量满足基坑涌水量的要求后，降水井的数量和间距就能确定。为了确保基础施工在干燥的基坑中进行，应进一步对由于干扰井群的抽水疏干后所降低基坑地下水位进行验算。</w:t>
      </w:r>
    </w:p>
    <w:p w14:paraId="2EAD891A">
      <w:pPr>
        <w:adjustRightInd w:val="0"/>
        <w:snapToGrid w:val="0"/>
        <w:spacing w:line="288" w:lineRule="auto"/>
        <w:ind w:firstLine="400" w:firstLineChars="200"/>
        <w:rPr>
          <w:rFonts w:ascii="宋体" w:hAnsi="宋体"/>
          <w:sz w:val="20"/>
          <w:szCs w:val="20"/>
        </w:rPr>
      </w:pPr>
      <w:r>
        <w:rPr>
          <w:rFonts w:hint="eastAsia" w:ascii="宋体" w:hAnsi="宋体"/>
          <w:sz w:val="20"/>
          <w:szCs w:val="20"/>
        </w:rPr>
        <w:t>基坑中心及关键部位的水位下降值的验算，是降水设计的核心，它决定了整个降水方案是否成立，这也涉及降水井的结构和布局的变更等一系列优化过程，也是一个试算过程。</w:t>
      </w:r>
    </w:p>
    <w:p w14:paraId="35270CF4">
      <w:pPr>
        <w:adjustRightInd w:val="0"/>
        <w:snapToGrid w:val="0"/>
        <w:spacing w:line="288" w:lineRule="auto"/>
        <w:ind w:firstLine="400" w:firstLineChars="200"/>
        <w:rPr>
          <w:rFonts w:ascii="宋体" w:hAnsi="宋体"/>
          <w:sz w:val="20"/>
          <w:szCs w:val="20"/>
        </w:rPr>
      </w:pPr>
      <w:r>
        <w:rPr>
          <w:rFonts w:hint="eastAsia" w:ascii="宋体" w:hAnsi="宋体"/>
          <w:sz w:val="20"/>
          <w:szCs w:val="20"/>
        </w:rPr>
        <w:t>对于水文地质条件复杂或基坑形状复杂的工程，采用解析方法计算有时达不到要求，而用数值法计算可更好的模拟基坑内外的降水深度，这对降水方案设计优化很有意义。</w:t>
      </w:r>
    </w:p>
    <w:p w14:paraId="270675BD">
      <w:pPr>
        <w:adjustRightInd w:val="0"/>
        <w:snapToGrid w:val="0"/>
        <w:spacing w:line="288" w:lineRule="auto"/>
        <w:ind w:firstLine="400" w:firstLineChars="200"/>
        <w:rPr>
          <w:rFonts w:ascii="宋体" w:hAnsi="宋体"/>
          <w:sz w:val="20"/>
          <w:szCs w:val="20"/>
        </w:rPr>
      </w:pPr>
      <w:r>
        <w:rPr>
          <w:rFonts w:hint="eastAsia" w:ascii="宋体" w:hAnsi="宋体"/>
          <w:sz w:val="20"/>
          <w:szCs w:val="20"/>
        </w:rPr>
        <w:t>除此之外，也可以采用专门的水文地质勘察如群井抽水试验或降水工程施工前试验性群井降水，在现场实测出基坑范围内总降水量和各个降水井水位降深的关系，以及地下水位下降与时间的关系，利用这些关系拟合出相关曲线，以推测各种布井条件下基坑水位下降值，以便选择出最佳的降水方案。此种方法是最直接也有效的方法，对水文地质结构比较复杂的基坑降水计算尤为合适。</w:t>
      </w:r>
    </w:p>
    <w:p w14:paraId="3D2377CB">
      <w:pPr>
        <w:adjustRightInd w:val="0"/>
        <w:snapToGrid w:val="0"/>
        <w:spacing w:line="288" w:lineRule="auto"/>
        <w:rPr>
          <w:rFonts w:ascii="宋体" w:hAnsi="宋体"/>
          <w:sz w:val="20"/>
          <w:szCs w:val="20"/>
        </w:rPr>
      </w:pPr>
      <w:r>
        <w:rPr>
          <w:rFonts w:eastAsia="黑体"/>
          <w:b/>
          <w:bCs/>
          <w:kern w:val="0"/>
          <w:sz w:val="20"/>
          <w:szCs w:val="20"/>
        </w:rPr>
        <w:t>5.3.</w:t>
      </w:r>
      <w:r>
        <w:rPr>
          <w:rFonts w:hint="eastAsia" w:eastAsia="黑体"/>
          <w:b/>
          <w:bCs/>
          <w:kern w:val="0"/>
          <w:sz w:val="20"/>
          <w:szCs w:val="20"/>
        </w:rPr>
        <w:t xml:space="preserve">7  </w:t>
      </w:r>
      <w:r>
        <w:rPr>
          <w:rFonts w:hint="eastAsia" w:ascii="宋体" w:hAnsi="宋体"/>
          <w:sz w:val="20"/>
          <w:szCs w:val="20"/>
        </w:rPr>
        <w:t>在降水设计中采用井点或辐射井技术的水位预测目前还是不准确的。井点降水中，由于井点数量很多，井点间距较小，一方面计算工作量很大，另一方面每个井点的出水量很难控制，用管井理论计算结果与实际情况差异很大，一般情况下，目前普遍采用的井点间距和单井出水能力已远大于基坑来水量，因此当总出水量大于基坑来水量一倍以上时，可以不用预测地下水位降低程度。</w:t>
      </w:r>
    </w:p>
    <w:p w14:paraId="36FB6E1D">
      <w:pPr>
        <w:adjustRightInd w:val="0"/>
        <w:snapToGrid w:val="0"/>
        <w:spacing w:line="288" w:lineRule="auto"/>
        <w:ind w:firstLine="400" w:firstLineChars="200"/>
        <w:rPr>
          <w:rFonts w:ascii="宋体" w:hAnsi="宋体"/>
          <w:sz w:val="20"/>
          <w:szCs w:val="20"/>
        </w:rPr>
      </w:pPr>
      <w:r>
        <w:rPr>
          <w:rFonts w:hint="eastAsia" w:ascii="宋体" w:hAnsi="宋体"/>
          <w:sz w:val="20"/>
          <w:szCs w:val="20"/>
        </w:rPr>
        <w:t>辐射井降水的水位预测，尤其是两个以上辐射井同时干扰抽水情况下的水位预测计算，目前还没有合适的计算公式，因此，只能以辐射井的集水管的分布范围及其抽水能力来控制，即辐射井应是降水区的各降水含水层出水量一倍以上，一般情况下可以达到降水深度要求。</w:t>
      </w:r>
    </w:p>
    <w:p w14:paraId="539EBA49">
      <w:pPr>
        <w:adjustRightInd w:val="0"/>
        <w:snapToGrid w:val="0"/>
        <w:spacing w:line="288" w:lineRule="auto"/>
        <w:rPr>
          <w:rFonts w:ascii="宋体" w:hAnsi="宋体"/>
          <w:sz w:val="20"/>
          <w:szCs w:val="20"/>
        </w:rPr>
      </w:pPr>
      <w:r>
        <w:rPr>
          <w:rFonts w:eastAsia="黑体"/>
          <w:b/>
          <w:bCs/>
          <w:kern w:val="0"/>
          <w:sz w:val="20"/>
          <w:szCs w:val="20"/>
        </w:rPr>
        <w:t>5.3.</w:t>
      </w:r>
      <w:r>
        <w:rPr>
          <w:rFonts w:hint="eastAsia" w:eastAsia="黑体"/>
          <w:b/>
          <w:bCs/>
          <w:kern w:val="0"/>
          <w:sz w:val="20"/>
          <w:szCs w:val="20"/>
        </w:rPr>
        <w:t>9</w:t>
      </w:r>
      <w:r>
        <w:rPr>
          <w:rFonts w:hint="eastAsia" w:ascii="宋体" w:hAnsi="宋体"/>
          <w:sz w:val="20"/>
          <w:szCs w:val="20"/>
        </w:rPr>
        <w:t xml:space="preserve">  采用渗井降水的工程，主要通过引渗井将上层水引渗至基坑底部以下强导水层中消纳，达到降水的目的。一般情况下，采用渗井方法要符合三个条件：上部含水层的渗透性要低于下部含水层；基坑出水量要小于下部含水层水位上升至基底以下</w:t>
      </w:r>
      <w:r>
        <w:rPr>
          <w:sz w:val="20"/>
          <w:szCs w:val="20"/>
        </w:rPr>
        <w:t>0.5m</w:t>
      </w:r>
      <w:r>
        <w:rPr>
          <w:rFonts w:hint="eastAsia" w:ascii="宋体" w:hAnsi="宋体"/>
          <w:sz w:val="20"/>
          <w:szCs w:val="20"/>
        </w:rPr>
        <w:t>时可消纳的水量；下部含水层水位应远低于基坑底面。采用渗井降水需要考虑三方面的问题：</w:t>
      </w:r>
    </w:p>
    <w:p w14:paraId="462EDDDD">
      <w:pPr>
        <w:adjustRightInd w:val="0"/>
        <w:snapToGrid w:val="0"/>
        <w:spacing w:line="288" w:lineRule="auto"/>
        <w:ind w:firstLine="400" w:firstLineChars="200"/>
        <w:rPr>
          <w:rFonts w:ascii="宋体" w:hAnsi="宋体"/>
          <w:sz w:val="20"/>
          <w:szCs w:val="20"/>
        </w:rPr>
      </w:pPr>
      <w:r>
        <w:rPr>
          <w:rFonts w:hint="eastAsia" w:ascii="宋体" w:hAnsi="宋体"/>
          <w:sz w:val="20"/>
          <w:szCs w:val="20"/>
        </w:rPr>
        <w:t>一是需要多少渗井才能满足将上层水全部导入下部强含水层，下部强含水层能否快速消纳。需要注意的是渗井的出水能力与成井质量关系很大，现实中常会出现渗井出水能力不足造成上层水水位降不下去的情况。</w:t>
      </w:r>
    </w:p>
    <w:p w14:paraId="748F8C37">
      <w:pPr>
        <w:adjustRightInd w:val="0"/>
        <w:snapToGrid w:val="0"/>
        <w:spacing w:line="288" w:lineRule="auto"/>
        <w:ind w:firstLine="400" w:firstLineChars="200"/>
        <w:rPr>
          <w:rFonts w:ascii="宋体" w:hAnsi="宋体"/>
          <w:sz w:val="20"/>
          <w:szCs w:val="20"/>
        </w:rPr>
      </w:pPr>
      <w:r>
        <w:rPr>
          <w:rFonts w:hint="eastAsia" w:ascii="宋体" w:hAnsi="宋体"/>
          <w:sz w:val="20"/>
          <w:szCs w:val="20"/>
        </w:rPr>
        <w:t>二是在接纳上层水的下部强含水层水位将上升，抬升的水位如果在基坑底面以上，不能满足降水技术要求，可以采用抽渗结合的方法。水位变化预测可以用达西公式和裘布依公式等计算。</w:t>
      </w:r>
    </w:p>
    <w:p w14:paraId="4DE057E3">
      <w:pPr>
        <w:adjustRightInd w:val="0"/>
        <w:snapToGrid w:val="0"/>
        <w:spacing w:line="288" w:lineRule="auto"/>
        <w:ind w:firstLine="400" w:firstLineChars="200"/>
        <w:rPr>
          <w:rFonts w:ascii="宋体" w:hAnsi="宋体"/>
          <w:sz w:val="20"/>
          <w:szCs w:val="20"/>
        </w:rPr>
      </w:pPr>
      <w:r>
        <w:rPr>
          <w:rFonts w:hint="eastAsia" w:ascii="宋体" w:hAnsi="宋体"/>
          <w:sz w:val="20"/>
          <w:szCs w:val="20"/>
        </w:rPr>
        <w:t>三是北京市的上层水水质一般较差，采用渗井把上层水导入下层水会造成下层水水质恶化，因此，采用渗井方法应以不恶化下层水水环境为前提。目前降水工作完成后的封井，有时也不能有效封堵地下水之间通过渗井过滤层的联系，会造成长时间的影响。</w:t>
      </w:r>
    </w:p>
    <w:p w14:paraId="7D9C3AB4">
      <w:pPr>
        <w:adjustRightInd w:val="0"/>
        <w:snapToGrid w:val="0"/>
        <w:spacing w:line="288" w:lineRule="auto"/>
        <w:rPr>
          <w:rFonts w:ascii="宋体" w:hAnsi="宋体"/>
          <w:sz w:val="20"/>
          <w:szCs w:val="20"/>
        </w:rPr>
      </w:pPr>
      <w:r>
        <w:rPr>
          <w:rFonts w:eastAsia="黑体"/>
          <w:b/>
          <w:bCs/>
          <w:kern w:val="0"/>
          <w:sz w:val="20"/>
          <w:szCs w:val="20"/>
        </w:rPr>
        <w:t>5.3.1</w:t>
      </w:r>
      <w:r>
        <w:rPr>
          <w:rFonts w:hint="eastAsia" w:eastAsia="黑体"/>
          <w:b/>
          <w:bCs/>
          <w:kern w:val="0"/>
          <w:sz w:val="20"/>
          <w:szCs w:val="20"/>
        </w:rPr>
        <w:t>0</w:t>
      </w:r>
      <w:r>
        <w:rPr>
          <w:rFonts w:hint="eastAsia" w:ascii="宋体" w:hAnsi="宋体"/>
          <w:sz w:val="20"/>
          <w:szCs w:val="20"/>
        </w:rPr>
        <w:t xml:space="preserve">  随着城市建设越来越密集，施工降水引起的地面沉降对临近建（构）筑物及各类管线等的影响越来越不能忽视，如何评价这种影响成为施工降水设计重要的内容。目前比较常用的方法是</w:t>
      </w:r>
      <w:r>
        <w:rPr>
          <w:rFonts w:ascii="宋体" w:hAnsi="宋体"/>
          <w:sz w:val="20"/>
          <w:szCs w:val="20"/>
        </w:rPr>
        <w:t>采用线性变形体计算模型，用分层总和法计算</w:t>
      </w:r>
      <w:r>
        <w:rPr>
          <w:rFonts w:hint="eastAsia" w:ascii="宋体" w:hAnsi="宋体"/>
          <w:sz w:val="20"/>
          <w:szCs w:val="20"/>
        </w:rPr>
        <w:t>地面沉降量。采用</w:t>
      </w:r>
      <w:r>
        <w:rPr>
          <w:rFonts w:ascii="宋体" w:hAnsi="宋体"/>
          <w:sz w:val="20"/>
          <w:szCs w:val="20"/>
        </w:rPr>
        <w:t>分层总和法计算</w:t>
      </w:r>
      <w:r>
        <w:rPr>
          <w:rFonts w:hint="eastAsia" w:ascii="宋体" w:hAnsi="宋体"/>
          <w:sz w:val="20"/>
          <w:szCs w:val="20"/>
        </w:rPr>
        <w:t>评价地面沉降应先计算基坑及其周边地下水位降低值，并确定基坑及周边的孔隙水压力变化，然后通过确定有效应力增量计算地面沉降增量。由于分层总和法的</w:t>
      </w:r>
      <w:r>
        <w:rPr>
          <w:rFonts w:ascii="宋体" w:hAnsi="宋体"/>
          <w:sz w:val="20"/>
          <w:szCs w:val="20"/>
        </w:rPr>
        <w:t>理论假定条件遵循虎克定律，应力-应变呈直线关系，土体任何一点都不能产生塑性变形等等，与土体的实际应力-应变状态不相一致</w:t>
      </w:r>
      <w:r>
        <w:rPr>
          <w:rFonts w:hint="eastAsia" w:ascii="宋体" w:hAnsi="宋体"/>
          <w:sz w:val="20"/>
          <w:szCs w:val="20"/>
        </w:rPr>
        <w:t>，同时</w:t>
      </w:r>
      <w:r>
        <w:rPr>
          <w:rFonts w:ascii="宋体" w:hAnsi="宋体"/>
          <w:sz w:val="20"/>
          <w:szCs w:val="20"/>
        </w:rPr>
        <w:t>公式中采用的计算参数系室内有侧限固结试验测得的</w:t>
      </w:r>
      <w:r>
        <w:rPr>
          <w:rFonts w:hint="eastAsia" w:ascii="宋体" w:hAnsi="宋体"/>
          <w:sz w:val="20"/>
          <w:szCs w:val="20"/>
        </w:rPr>
        <w:t>压</w:t>
      </w:r>
      <w:r>
        <w:rPr>
          <w:rFonts w:ascii="宋体" w:hAnsi="宋体"/>
          <w:sz w:val="20"/>
          <w:szCs w:val="20"/>
        </w:rPr>
        <w:t>缩模量，试验条件与基础底面压缩层不同深度处的实际侧限条件不同</w:t>
      </w:r>
      <w:r>
        <w:rPr>
          <w:rFonts w:hint="eastAsia" w:ascii="宋体" w:hAnsi="宋体"/>
          <w:sz w:val="20"/>
          <w:szCs w:val="20"/>
        </w:rPr>
        <w:t>等，因此计算值与实际值有一定出入，考虑到工程的安全性，采用分层总和法计算结果偏于安全，本规程中规定，可以用分层总和法计算结果评价地面沉降的影响。</w:t>
      </w:r>
    </w:p>
    <w:p w14:paraId="3B6CF1BC">
      <w:pPr>
        <w:adjustRightInd w:val="0"/>
        <w:snapToGrid w:val="0"/>
        <w:spacing w:line="288" w:lineRule="auto"/>
        <w:ind w:firstLine="400" w:firstLineChars="200"/>
        <w:rPr>
          <w:rFonts w:ascii="宋体" w:hAnsi="宋体" w:cs="宋体"/>
          <w:sz w:val="20"/>
          <w:szCs w:val="20"/>
        </w:rPr>
      </w:pPr>
      <w:r>
        <w:rPr>
          <w:rFonts w:hint="eastAsia" w:ascii="宋体" w:hAnsi="宋体" w:cs="宋体"/>
          <w:sz w:val="20"/>
          <w:szCs w:val="20"/>
        </w:rPr>
        <w:t>另外真空管井降水工艺不仅应考虑含水层水体的疏干引起的附加有效应力的增加导致的地面沉降，而且还应注意由于管井周围地层真空场的存在而引起</w:t>
      </w:r>
      <w:r>
        <w:rPr>
          <w:rFonts w:hint="eastAsia" w:ascii="宋体" w:hAnsi="宋体"/>
          <w:sz w:val="20"/>
          <w:szCs w:val="20"/>
        </w:rPr>
        <w:t>附加有效应力的增加而产生</w:t>
      </w:r>
      <w:r>
        <w:rPr>
          <w:rFonts w:hint="eastAsia" w:ascii="宋体" w:hAnsi="宋体" w:cs="宋体"/>
          <w:sz w:val="20"/>
          <w:szCs w:val="20"/>
        </w:rPr>
        <w:t>的地面附加沉降。由于该方面工程实测统计资料不足，只能在今后积累大量工程经验研究后补充完善。</w:t>
      </w:r>
    </w:p>
    <w:p w14:paraId="6F0A3BAC">
      <w:pPr>
        <w:adjustRightInd w:val="0"/>
        <w:snapToGrid w:val="0"/>
        <w:spacing w:line="288" w:lineRule="auto"/>
        <w:rPr>
          <w:rFonts w:eastAsia="黑体"/>
          <w:sz w:val="20"/>
          <w:szCs w:val="20"/>
        </w:rPr>
      </w:pPr>
      <w:r>
        <w:rPr>
          <w:rFonts w:eastAsia="黑体"/>
          <w:b/>
          <w:bCs/>
          <w:kern w:val="0"/>
          <w:sz w:val="20"/>
          <w:szCs w:val="20"/>
        </w:rPr>
        <w:t>5.3.</w:t>
      </w:r>
      <w:r>
        <w:rPr>
          <w:rFonts w:hint="eastAsia" w:eastAsia="黑体"/>
          <w:b/>
          <w:bCs/>
          <w:kern w:val="0"/>
          <w:sz w:val="20"/>
          <w:szCs w:val="20"/>
        </w:rPr>
        <w:t>1</w:t>
      </w:r>
      <w:r>
        <w:rPr>
          <w:rFonts w:eastAsia="黑体"/>
          <w:b/>
          <w:bCs/>
          <w:kern w:val="0"/>
          <w:sz w:val="20"/>
          <w:szCs w:val="20"/>
        </w:rPr>
        <w:t>8</w:t>
      </w:r>
      <w:r>
        <w:rPr>
          <w:rFonts w:hint="eastAsia" w:ascii="宋体" w:hAnsi="宋体"/>
          <w:sz w:val="20"/>
          <w:szCs w:val="20"/>
        </w:rPr>
        <w:t xml:space="preserve">  由于降水井和供水井不同，降水井是短期行为，供水井是长期使用，只要降水井在降水期间不会产生不良地质现象和降水设备正常运转就行，因此，降水井在抽水初期和运行后的含砂量远小于供水井的含砂量。由于辐射井的辐射管反滤层的形成和基坑开挖后土层的减薄容易造成不良地质现象，因此，对辐射井抽水半小时和运行时的含砂量要求比管井要求严格。</w:t>
      </w:r>
      <w:bookmarkStart w:id="325" w:name="_Toc466902413"/>
      <w:bookmarkStart w:id="326" w:name="_Toc432233021"/>
      <w:bookmarkStart w:id="327" w:name="_Toc444180194"/>
      <w:bookmarkStart w:id="328" w:name="_Toc468104772"/>
      <w:bookmarkStart w:id="329" w:name="_Toc437878890"/>
      <w:bookmarkStart w:id="330" w:name="_Toc467515870"/>
    </w:p>
    <w:p w14:paraId="081580C1">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331" w:name="_Toc139613802"/>
      <w:bookmarkStart w:id="332" w:name="_Toc131060609"/>
      <w:bookmarkStart w:id="333" w:name="_Toc131517264"/>
      <w:r>
        <w:rPr>
          <w:rFonts w:eastAsia="黑体"/>
          <w:sz w:val="20"/>
          <w:szCs w:val="20"/>
        </w:rPr>
        <w:t>5.</w:t>
      </w:r>
      <w:r>
        <w:rPr>
          <w:rFonts w:hint="eastAsia" w:eastAsia="黑体"/>
          <w:sz w:val="20"/>
          <w:szCs w:val="20"/>
        </w:rPr>
        <w:t>4</w:t>
      </w:r>
      <w:r>
        <w:rPr>
          <w:rFonts w:eastAsia="黑体"/>
          <w:sz w:val="20"/>
          <w:szCs w:val="20"/>
        </w:rPr>
        <w:t xml:space="preserve">  </w:t>
      </w:r>
      <w:r>
        <w:rPr>
          <w:rFonts w:hint="eastAsia" w:ascii="黑体" w:hAnsi="黑体" w:eastAsia="黑体"/>
          <w:b w:val="0"/>
          <w:sz w:val="20"/>
          <w:szCs w:val="20"/>
        </w:rPr>
        <w:t>集水明排</w:t>
      </w:r>
      <w:bookmarkEnd w:id="325"/>
      <w:bookmarkEnd w:id="326"/>
      <w:bookmarkEnd w:id="327"/>
      <w:bookmarkEnd w:id="328"/>
      <w:bookmarkEnd w:id="329"/>
      <w:bookmarkEnd w:id="330"/>
      <w:bookmarkEnd w:id="331"/>
      <w:bookmarkEnd w:id="332"/>
      <w:bookmarkEnd w:id="333"/>
    </w:p>
    <w:p w14:paraId="2F687D42">
      <w:pPr>
        <w:adjustRightInd w:val="0"/>
        <w:snapToGrid w:val="0"/>
        <w:spacing w:line="288" w:lineRule="auto"/>
        <w:rPr>
          <w:rFonts w:ascii="宋体" w:hAnsi="宋体"/>
          <w:bCs/>
          <w:sz w:val="20"/>
          <w:szCs w:val="20"/>
        </w:rPr>
      </w:pPr>
      <w:r>
        <w:rPr>
          <w:rFonts w:eastAsia="黑体"/>
          <w:b/>
          <w:bCs/>
          <w:kern w:val="0"/>
          <w:sz w:val="20"/>
          <w:szCs w:val="20"/>
        </w:rPr>
        <w:t>5.4.</w:t>
      </w:r>
      <w:r>
        <w:rPr>
          <w:rFonts w:hint="eastAsia" w:eastAsia="黑体"/>
          <w:b/>
          <w:bCs/>
          <w:kern w:val="0"/>
          <w:sz w:val="20"/>
          <w:szCs w:val="20"/>
        </w:rPr>
        <w:t>1～</w:t>
      </w:r>
      <w:r>
        <w:rPr>
          <w:rFonts w:eastAsia="黑体"/>
          <w:b/>
          <w:bCs/>
          <w:kern w:val="0"/>
          <w:sz w:val="20"/>
          <w:szCs w:val="20"/>
        </w:rPr>
        <w:t>5.4.</w:t>
      </w:r>
      <w:r>
        <w:rPr>
          <w:rFonts w:hint="eastAsia" w:eastAsia="黑体"/>
          <w:b/>
          <w:bCs/>
          <w:kern w:val="0"/>
          <w:sz w:val="20"/>
          <w:szCs w:val="20"/>
        </w:rPr>
        <w:t xml:space="preserve">5 </w:t>
      </w:r>
      <w:r>
        <w:rPr>
          <w:rFonts w:eastAsia="黑体"/>
          <w:b/>
          <w:bCs/>
          <w:kern w:val="0"/>
          <w:sz w:val="20"/>
          <w:szCs w:val="20"/>
        </w:rPr>
        <w:t xml:space="preserve"> </w:t>
      </w:r>
      <w:r>
        <w:rPr>
          <w:rFonts w:hint="eastAsia" w:ascii="宋体" w:hAnsi="宋体"/>
          <w:bCs/>
          <w:sz w:val="20"/>
          <w:szCs w:val="20"/>
        </w:rPr>
        <w:t>集水明排是在基坑内设置排水沟和集水井，用抽水设备将基坑中积水从集水井抽出，达到疏干基坑内积水的目的。排水设备的选择应依据设计排水量确定。集水明排可单独采用，亦可与其它方法结合使用。当含水层底板位于基坑底面以上或基坑地面接近含水层底板时，降水方法可能存在疏不干问题，需要集水明排。当实际工程中出现采用集水明排补救降水方法出现的疏不干问题，预留的肥槽满足不了技术要求的情况时，排水沟和集水井的设置要验算对边坡支护结构稳定性的影响。</w:t>
      </w:r>
    </w:p>
    <w:p w14:paraId="1FCFE848">
      <w:pPr>
        <w:adjustRightInd w:val="0"/>
        <w:snapToGrid w:val="0"/>
        <w:spacing w:line="288" w:lineRule="auto"/>
        <w:ind w:firstLine="400" w:firstLineChars="200"/>
        <w:rPr>
          <w:rFonts w:eastAsia="黑体"/>
          <w:sz w:val="20"/>
          <w:szCs w:val="20"/>
        </w:rPr>
      </w:pPr>
      <w:r>
        <w:rPr>
          <w:rFonts w:hint="eastAsia" w:ascii="宋体" w:hAnsi="宋体"/>
          <w:bCs/>
          <w:sz w:val="20"/>
          <w:szCs w:val="20"/>
        </w:rPr>
        <w:t>集水明排需要注意避免出现流砂、管涌、边坡塌陷、地面沉降等问题。</w:t>
      </w:r>
      <w:bookmarkStart w:id="334" w:name="_Toc437878891"/>
      <w:bookmarkStart w:id="335" w:name="_Toc415730054"/>
      <w:bookmarkStart w:id="336" w:name="_Toc427573492"/>
      <w:bookmarkStart w:id="337" w:name="_Toc432233022"/>
      <w:bookmarkStart w:id="338" w:name="_Toc468104773"/>
      <w:bookmarkStart w:id="339" w:name="_Toc444180195"/>
      <w:bookmarkStart w:id="340" w:name="_Toc466902414"/>
      <w:bookmarkStart w:id="341" w:name="_Toc413756090"/>
      <w:bookmarkStart w:id="342" w:name="_Toc417372431"/>
      <w:bookmarkStart w:id="343" w:name="_Toc467515871"/>
    </w:p>
    <w:p w14:paraId="07D3FECE">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344" w:name="_Toc131517265"/>
      <w:bookmarkStart w:id="345" w:name="_Toc139613803"/>
      <w:bookmarkStart w:id="346" w:name="_Toc131060610"/>
      <w:r>
        <w:rPr>
          <w:rFonts w:eastAsia="黑体"/>
          <w:sz w:val="20"/>
          <w:szCs w:val="20"/>
        </w:rPr>
        <w:t xml:space="preserve">5.5  </w:t>
      </w:r>
      <w:r>
        <w:rPr>
          <w:rFonts w:hint="eastAsia" w:ascii="黑体" w:hAnsi="黑体" w:eastAsia="黑体"/>
          <w:b w:val="0"/>
          <w:sz w:val="20"/>
          <w:szCs w:val="20"/>
        </w:rPr>
        <w:t>回    灌</w:t>
      </w:r>
      <w:bookmarkEnd w:id="334"/>
      <w:bookmarkEnd w:id="335"/>
      <w:bookmarkEnd w:id="336"/>
      <w:bookmarkEnd w:id="337"/>
      <w:bookmarkEnd w:id="338"/>
      <w:bookmarkEnd w:id="339"/>
      <w:bookmarkEnd w:id="340"/>
      <w:bookmarkEnd w:id="341"/>
      <w:bookmarkEnd w:id="342"/>
      <w:bookmarkEnd w:id="343"/>
      <w:bookmarkEnd w:id="344"/>
      <w:bookmarkEnd w:id="345"/>
      <w:bookmarkEnd w:id="346"/>
    </w:p>
    <w:p w14:paraId="3B894D86">
      <w:pPr>
        <w:adjustRightInd w:val="0"/>
        <w:snapToGrid w:val="0"/>
        <w:spacing w:line="288" w:lineRule="auto"/>
        <w:rPr>
          <w:rFonts w:ascii="宋体" w:hAnsi="宋体"/>
          <w:sz w:val="20"/>
          <w:szCs w:val="20"/>
        </w:rPr>
      </w:pPr>
      <w:r>
        <w:rPr>
          <w:rFonts w:eastAsia="黑体"/>
          <w:b/>
          <w:bCs/>
          <w:kern w:val="0"/>
          <w:sz w:val="20"/>
          <w:szCs w:val="20"/>
        </w:rPr>
        <w:t>5.5.1</w:t>
      </w:r>
      <w:r>
        <w:rPr>
          <w:rFonts w:hint="eastAsia" w:eastAsia="黑体"/>
          <w:b/>
          <w:bCs/>
          <w:kern w:val="0"/>
          <w:sz w:val="20"/>
          <w:szCs w:val="20"/>
        </w:rPr>
        <w:t xml:space="preserve">  </w:t>
      </w:r>
      <w:r>
        <w:rPr>
          <w:rFonts w:hint="eastAsia" w:ascii="宋体" w:hAnsi="宋体"/>
          <w:sz w:val="20"/>
          <w:szCs w:val="20"/>
        </w:rPr>
        <w:t>基坑开挖或降水后不可避免地要造成周围地下水位的下降，从而使该地段的地面沉降和地下构筑物因不均匀沉降而受到不同程度的损伤。为减少这类影响，可对保护区内采取回灌措施。如果建筑物离基坑远，且为均匀透水层，中间无隔水层时，则可采用最简单、最经济的回灌沟的方法，如果建筑物离基坑近，且为弱透水层或有隔水层时，则必须用回灌井或回灌砂井。如果从保护地下水资源角度考虑时，可以用回灌方法把抽取的地下水回灌至同层或异层中，异层回灌需考虑各层水水质的差异和影响。</w:t>
      </w:r>
    </w:p>
    <w:p w14:paraId="6A64FCB6">
      <w:pPr>
        <w:adjustRightInd w:val="0"/>
        <w:snapToGrid w:val="0"/>
        <w:spacing w:line="288" w:lineRule="auto"/>
        <w:rPr>
          <w:rFonts w:ascii="宋体" w:hAnsi="宋体"/>
          <w:sz w:val="20"/>
          <w:szCs w:val="20"/>
        </w:rPr>
      </w:pPr>
      <w:r>
        <w:rPr>
          <w:rFonts w:eastAsia="黑体"/>
          <w:b/>
          <w:bCs/>
          <w:kern w:val="0"/>
          <w:sz w:val="20"/>
          <w:szCs w:val="20"/>
        </w:rPr>
        <w:t>5.5.</w:t>
      </w:r>
      <w:r>
        <w:rPr>
          <w:rFonts w:hint="eastAsia" w:eastAsia="黑体"/>
          <w:b/>
          <w:bCs/>
          <w:kern w:val="0"/>
          <w:sz w:val="20"/>
          <w:szCs w:val="20"/>
        </w:rPr>
        <w:t xml:space="preserve">2  </w:t>
      </w:r>
      <w:r>
        <w:rPr>
          <w:rFonts w:hint="eastAsia" w:ascii="宋体" w:hAnsi="宋体"/>
          <w:sz w:val="20"/>
          <w:szCs w:val="20"/>
        </w:rPr>
        <w:t>回灌井与降水井之间应根据同层回灌或异层回灌分别确定。对于同层回灌，当回灌井与抽水井距离过小时，水流彼此干扰大，透水通道易贯通，将加大抽水负担，也有可能使降水效果大大降低，基于保护周边环境时，对被保护物处地下水位也很难保持在原始状态。条文中确定的同层回灌的回灌井与降水井的距离不宜小于</w:t>
      </w:r>
      <w:r>
        <w:rPr>
          <w:sz w:val="20"/>
          <w:szCs w:val="20"/>
        </w:rPr>
        <w:t>6m</w:t>
      </w:r>
      <w:r>
        <w:rPr>
          <w:rFonts w:hint="eastAsia" w:ascii="宋体" w:hAnsi="宋体"/>
          <w:sz w:val="20"/>
          <w:szCs w:val="20"/>
        </w:rPr>
        <w:t>，在北京是一个偏小的距离，对于细颗粒砂土含水层或许可行，对于粗颗粒如碎石土含水层则距离太小。回灌井与降水井的距离应根据含水层的透水性、厚度等，通过计算确定，一方面最大限度减少抽水井抽取的水量，另一方面确保被保护物的安全。许多情况下，受场地条件和被保护建（构）筑物位置限制，回灌井与抽水井的距离达不到相互干扰很小的程度。出现这种情况时，本条文提出了可以采用截水帷幕的方式取代降水和回灌的方法，这是以保护周边环境安全为前提。如果因水文地质条件所限，落地式截水帷幕技术不可行或经济不合理，则可以采用悬挂式帷幕，再配合回灌方式保护周边环境安全。</w:t>
      </w:r>
    </w:p>
    <w:p w14:paraId="59217E6B">
      <w:pPr>
        <w:adjustRightInd w:val="0"/>
        <w:snapToGrid w:val="0"/>
        <w:spacing w:line="288" w:lineRule="auto"/>
        <w:rPr>
          <w:rFonts w:ascii="宋体" w:hAnsi="宋体"/>
          <w:sz w:val="20"/>
          <w:szCs w:val="20"/>
        </w:rPr>
      </w:pPr>
      <w:r>
        <w:rPr>
          <w:rFonts w:eastAsia="黑体"/>
          <w:b/>
          <w:bCs/>
          <w:kern w:val="0"/>
          <w:sz w:val="20"/>
          <w:szCs w:val="20"/>
        </w:rPr>
        <w:t>5.5.3</w:t>
      </w:r>
      <w:r>
        <w:rPr>
          <w:rFonts w:hint="eastAsia" w:eastAsia="黑体"/>
          <w:b/>
          <w:bCs/>
          <w:kern w:val="0"/>
          <w:sz w:val="20"/>
          <w:szCs w:val="20"/>
        </w:rPr>
        <w:t xml:space="preserve">  </w:t>
      </w:r>
      <w:r>
        <w:rPr>
          <w:rFonts w:hint="eastAsia" w:ascii="宋体" w:hAnsi="宋体"/>
          <w:sz w:val="20"/>
          <w:szCs w:val="20"/>
        </w:rPr>
        <w:t>从保护已有建筑物、构筑物和地下管线设置回灌井，主要是确保在被保护物周围地下水位没有大的变化，这就要求合理设置回灌井的位置和井的间距，使基坑降水的影响范围不超过回灌井井排的范围。一般而言，回灌井平面布置主要根据降水井和被保护物的位置确定，回灌井的数量应根据抽水井数量、降低地下水位影响范围和程度、回灌井的效用等综合确定。</w:t>
      </w:r>
    </w:p>
    <w:p w14:paraId="286AC278">
      <w:pPr>
        <w:adjustRightInd w:val="0"/>
        <w:snapToGrid w:val="0"/>
        <w:spacing w:line="288" w:lineRule="auto"/>
        <w:rPr>
          <w:rFonts w:ascii="宋体" w:hAnsi="宋体"/>
          <w:sz w:val="20"/>
          <w:szCs w:val="20"/>
        </w:rPr>
      </w:pPr>
      <w:r>
        <w:rPr>
          <w:rFonts w:eastAsia="黑体"/>
          <w:b/>
          <w:bCs/>
          <w:kern w:val="0"/>
          <w:sz w:val="20"/>
          <w:szCs w:val="20"/>
        </w:rPr>
        <w:t>5.5.</w:t>
      </w:r>
      <w:r>
        <w:rPr>
          <w:rFonts w:hint="eastAsia" w:eastAsia="黑体"/>
          <w:b/>
          <w:bCs/>
          <w:kern w:val="0"/>
          <w:sz w:val="20"/>
          <w:szCs w:val="20"/>
        </w:rPr>
        <w:t xml:space="preserve">6  </w:t>
      </w:r>
      <w:r>
        <w:rPr>
          <w:rFonts w:hint="eastAsia" w:ascii="宋体" w:hAnsi="宋体"/>
          <w:sz w:val="20"/>
          <w:szCs w:val="20"/>
        </w:rPr>
        <w:t>为保护已有建（构）筑物和地下管线进行的回灌，在回灌井的附近应设置水位观测孔。为保护地下水资源进行的回灌，回灌井应定期进行回扬。</w:t>
      </w:r>
    </w:p>
    <w:p w14:paraId="367C3495">
      <w:pPr>
        <w:adjustRightInd w:val="0"/>
        <w:snapToGrid w:val="0"/>
        <w:spacing w:line="288" w:lineRule="auto"/>
        <w:ind w:firstLine="800" w:firstLineChars="400"/>
        <w:rPr>
          <w:rFonts w:ascii="宋体" w:hAnsi="宋体"/>
          <w:sz w:val="20"/>
          <w:szCs w:val="20"/>
        </w:rPr>
      </w:pPr>
      <w:r>
        <w:rPr>
          <w:rFonts w:hint="eastAsia" w:ascii="宋体" w:hAnsi="宋体"/>
          <w:sz w:val="20"/>
          <w:szCs w:val="20"/>
        </w:rPr>
        <w:t>为保护已有建筑物、构筑物和地下管线进行的回灌，回灌水量应根据实际的地下水位的变化及时调节，既要防止回灌水量过大而渗入基坑影响施工，又要防止回灌水量过小，使地下水位失控影响周边环境安全，因此，要求在回灌井影响范围内设置一定数量的观测孔。定时进行观测和分析，并根据周边环境保护要求，及时调整回灌水量。</w:t>
      </w:r>
      <w:bookmarkStart w:id="347" w:name="_Toc413756091"/>
      <w:bookmarkStart w:id="348" w:name="_Toc417372432"/>
      <w:bookmarkStart w:id="349" w:name="_Toc466902415"/>
      <w:bookmarkStart w:id="350" w:name="_Toc432233023"/>
      <w:bookmarkStart w:id="351" w:name="_Toc468104774"/>
      <w:bookmarkStart w:id="352" w:name="_Toc437878892"/>
      <w:bookmarkStart w:id="353" w:name="_Toc467515872"/>
      <w:bookmarkStart w:id="354" w:name="_Toc427573493"/>
      <w:bookmarkStart w:id="355" w:name="_Toc415730055"/>
      <w:bookmarkStart w:id="356" w:name="_Toc444180196"/>
    </w:p>
    <w:p w14:paraId="2E485A57">
      <w:pPr>
        <w:pStyle w:val="2"/>
        <w:ind w:left="0" w:leftChars="0" w:firstLine="0" w:firstLineChars="0"/>
        <w:rPr>
          <w:rFonts w:ascii="宋体" w:hAnsi="宋体"/>
          <w:sz w:val="20"/>
          <w:szCs w:val="20"/>
        </w:rPr>
      </w:pPr>
      <w:r>
        <w:rPr>
          <w:rFonts w:eastAsia="黑体"/>
          <w:b/>
          <w:bCs/>
          <w:kern w:val="0"/>
          <w:sz w:val="20"/>
          <w:szCs w:val="20"/>
        </w:rPr>
        <w:t>5.5.7</w:t>
      </w:r>
      <w:r>
        <w:rPr>
          <w:rFonts w:hint="eastAsia" w:eastAsia="黑体"/>
          <w:b/>
          <w:bCs/>
          <w:kern w:val="0"/>
          <w:sz w:val="20"/>
          <w:szCs w:val="20"/>
        </w:rPr>
        <w:t xml:space="preserve">  </w:t>
      </w:r>
      <w:r>
        <w:rPr>
          <w:rFonts w:hint="eastAsia" w:ascii="宋体" w:hAnsi="宋体"/>
          <w:sz w:val="20"/>
          <w:szCs w:val="20"/>
        </w:rPr>
        <w:t>地下水回灌的影响范围与当地的水文地质条件密切相关，如果含水层的渗透性好，回灌的影响范围就可能很大，离回灌区不远的基坑降水就会受到影响。因此，本条要求评估地下水回灌对工程降水的影响。当回灌影响不大时，现有工程措施能够保证基坑工程或地下工程施工安全，可以不用采取其他工程措施；但当回灌影响较大时，现有工程降水措施不能满足基坑工程或地下工程施工安全，则需采取工程措施，如增加降水井或在回灌区与基坑之间增加截水帷幕等，以保证工程安全。</w:t>
      </w:r>
      <w:bookmarkEnd w:id="347"/>
      <w:bookmarkEnd w:id="348"/>
      <w:bookmarkEnd w:id="349"/>
      <w:bookmarkEnd w:id="350"/>
      <w:bookmarkEnd w:id="351"/>
      <w:bookmarkEnd w:id="352"/>
      <w:bookmarkEnd w:id="353"/>
      <w:bookmarkEnd w:id="354"/>
      <w:bookmarkEnd w:id="355"/>
      <w:bookmarkEnd w:id="356"/>
    </w:p>
    <w:p w14:paraId="76F8AEB9">
      <w:pPr>
        <w:pStyle w:val="2"/>
      </w:pPr>
      <w:r>
        <w:br w:type="page"/>
      </w:r>
    </w:p>
    <w:p w14:paraId="1E50BE2F">
      <w:pPr>
        <w:pStyle w:val="5"/>
        <w:keepNext w:val="0"/>
        <w:keepLines w:val="0"/>
        <w:adjustRightInd w:val="0"/>
        <w:snapToGrid w:val="0"/>
        <w:spacing w:before="120" w:beforeLines="50" w:after="120" w:afterLines="50" w:line="288" w:lineRule="auto"/>
        <w:jc w:val="center"/>
        <w:rPr>
          <w:rFonts w:ascii="宋体" w:hAnsi="宋体"/>
          <w:b w:val="0"/>
          <w:sz w:val="20"/>
          <w:szCs w:val="20"/>
        </w:rPr>
      </w:pPr>
      <w:bookmarkStart w:id="357" w:name="_Toc139613804"/>
      <w:r>
        <w:rPr>
          <w:rFonts w:ascii="Times New Roman" w:hAnsi="Times New Roman"/>
          <w:sz w:val="26"/>
          <w:szCs w:val="26"/>
        </w:rPr>
        <w:t>6</w:t>
      </w:r>
      <w:r>
        <w:rPr>
          <w:rFonts w:hint="eastAsia" w:ascii="黑体" w:hAnsi="黑体"/>
          <w:sz w:val="26"/>
          <w:szCs w:val="26"/>
        </w:rPr>
        <w:t xml:space="preserve"> </w:t>
      </w:r>
      <w:r>
        <w:rPr>
          <w:rFonts w:hint="eastAsia" w:ascii="黑体" w:hAnsi="黑体"/>
          <w:b w:val="0"/>
          <w:sz w:val="26"/>
          <w:szCs w:val="26"/>
        </w:rPr>
        <w:t xml:space="preserve"> 放    坡</w:t>
      </w:r>
      <w:bookmarkEnd w:id="357"/>
      <w:bookmarkStart w:id="358" w:name="_Toc432233000"/>
      <w:bookmarkStart w:id="359" w:name="_Toc437878869"/>
      <w:bookmarkStart w:id="360" w:name="_Toc444180173"/>
      <w:bookmarkStart w:id="361" w:name="_Toc468104751"/>
      <w:bookmarkStart w:id="362" w:name="_Toc413756068"/>
      <w:bookmarkStart w:id="363" w:name="_Toc427573471"/>
      <w:bookmarkStart w:id="364" w:name="_Toc466902392"/>
      <w:bookmarkStart w:id="365" w:name="_Toc428777607"/>
      <w:bookmarkStart w:id="366" w:name="_Toc415730033"/>
      <w:bookmarkStart w:id="367" w:name="_Toc467515849"/>
      <w:bookmarkStart w:id="368" w:name="_Toc417372410"/>
    </w:p>
    <w:p w14:paraId="14A3A06A">
      <w:pPr>
        <w:pStyle w:val="7"/>
        <w:keepNext w:val="0"/>
        <w:keepLines w:val="0"/>
        <w:adjustRightInd w:val="0"/>
        <w:snapToGrid w:val="0"/>
        <w:spacing w:before="240" w:beforeLines="100" w:after="240" w:afterLines="100" w:line="288" w:lineRule="auto"/>
        <w:jc w:val="center"/>
        <w:rPr>
          <w:rFonts w:ascii="黑体" w:hAnsi="黑体" w:eastAsia="黑体"/>
          <w:b w:val="0"/>
          <w:sz w:val="20"/>
          <w:szCs w:val="20"/>
        </w:rPr>
      </w:pPr>
      <w:bookmarkStart w:id="369" w:name="_Toc131517243"/>
      <w:bookmarkStart w:id="370" w:name="_Toc139613805"/>
      <w:bookmarkStart w:id="371" w:name="_Toc131060588"/>
      <w:r>
        <w:rPr>
          <w:rFonts w:eastAsia="黑体"/>
          <w:sz w:val="20"/>
          <w:szCs w:val="20"/>
        </w:rPr>
        <w:t>6.1</w:t>
      </w:r>
      <w:r>
        <w:rPr>
          <w:rFonts w:ascii="黑体" w:hAnsi="黑体" w:eastAsia="黑体"/>
          <w:b w:val="0"/>
          <w:sz w:val="20"/>
          <w:szCs w:val="20"/>
        </w:rPr>
        <w:t xml:space="preserve">  </w:t>
      </w:r>
      <w:r>
        <w:rPr>
          <w:rFonts w:hint="eastAsia" w:ascii="黑体" w:hAnsi="黑体" w:eastAsia="黑体"/>
          <w:b w:val="0"/>
          <w:sz w:val="20"/>
          <w:szCs w:val="20"/>
        </w:rPr>
        <w:t>放坡设计</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D4DCEAD">
      <w:pPr>
        <w:adjustRightInd w:val="0"/>
        <w:snapToGrid w:val="0"/>
        <w:spacing w:line="288" w:lineRule="auto"/>
        <w:rPr>
          <w:rFonts w:ascii="宋体" w:hAnsi="宋体"/>
          <w:sz w:val="20"/>
          <w:szCs w:val="20"/>
        </w:rPr>
      </w:pPr>
      <w:r>
        <w:rPr>
          <w:b/>
          <w:bCs/>
        </w:rPr>
        <w:t>6.1.1</w:t>
      </w:r>
      <w:r>
        <w:rPr>
          <w:rFonts w:hint="eastAsia"/>
          <w:b/>
          <w:bCs/>
        </w:rPr>
        <w:t xml:space="preserve">  </w:t>
      </w:r>
      <w:r>
        <w:rPr>
          <w:rFonts w:hint="eastAsia" w:ascii="宋体" w:hAnsi="宋体"/>
          <w:sz w:val="20"/>
          <w:szCs w:val="20"/>
        </w:rPr>
        <w:t>本条强调放坡的适用条件，重要的是土体本身应具有一定自稳能力，又不受地下水影响，同时周边环境条件允许时，方可采用放坡。</w:t>
      </w:r>
    </w:p>
    <w:p w14:paraId="2AE50BF3">
      <w:pPr>
        <w:adjustRightInd w:val="0"/>
        <w:snapToGrid w:val="0"/>
        <w:spacing w:line="288" w:lineRule="auto"/>
        <w:rPr>
          <w:rFonts w:ascii="宋体" w:hAnsi="宋体"/>
          <w:sz w:val="20"/>
          <w:szCs w:val="20"/>
        </w:rPr>
      </w:pPr>
      <w:r>
        <w:rPr>
          <w:b/>
          <w:bCs/>
        </w:rPr>
        <w:t>6.1.</w:t>
      </w:r>
      <w:r>
        <w:rPr>
          <w:rFonts w:hint="eastAsia"/>
          <w:b/>
          <w:bCs/>
        </w:rPr>
        <w:t xml:space="preserve">3  </w:t>
      </w:r>
      <w:r>
        <w:rPr>
          <w:rFonts w:hint="eastAsia" w:ascii="宋体" w:hAnsi="宋体"/>
          <w:sz w:val="20"/>
          <w:szCs w:val="20"/>
        </w:rPr>
        <w:t>确定放坡坡度时，应综合考虑其安全性、经济性和可行性，不同土层，不同坡高决定坡度的取值。下表仅供参考，最终应通过整体稳定性验算确定。</w:t>
      </w:r>
    </w:p>
    <w:p w14:paraId="5393121A">
      <w:pPr>
        <w:adjustRightInd w:val="0"/>
        <w:snapToGrid w:val="0"/>
        <w:spacing w:line="288" w:lineRule="auto"/>
        <w:jc w:val="center"/>
        <w:textAlignment w:val="center"/>
        <w:rPr>
          <w:rFonts w:ascii="宋体" w:hAnsi="宋体"/>
          <w:b/>
          <w:sz w:val="18"/>
          <w:szCs w:val="18"/>
        </w:rPr>
      </w:pPr>
      <w:r>
        <w:rPr>
          <w:rFonts w:hint="eastAsia" w:ascii="宋体" w:hAnsi="宋体"/>
          <w:b/>
          <w:sz w:val="18"/>
          <w:szCs w:val="18"/>
        </w:rPr>
        <w:t>表</w:t>
      </w:r>
      <w:r>
        <w:rPr>
          <w:b/>
          <w:sz w:val="18"/>
          <w:szCs w:val="18"/>
        </w:rPr>
        <w:t>6.1.</w:t>
      </w:r>
      <w:r>
        <w:rPr>
          <w:rFonts w:hint="eastAsia"/>
          <w:b/>
          <w:sz w:val="18"/>
          <w:szCs w:val="18"/>
        </w:rPr>
        <w:t>3</w:t>
      </w:r>
      <w:r>
        <w:rPr>
          <w:b/>
          <w:sz w:val="18"/>
          <w:szCs w:val="18"/>
        </w:rPr>
        <w:t>-1</w:t>
      </w:r>
      <w:r>
        <w:rPr>
          <w:rFonts w:hint="eastAsia" w:ascii="宋体" w:hAnsi="宋体"/>
          <w:b/>
          <w:sz w:val="18"/>
          <w:szCs w:val="18"/>
        </w:rPr>
        <w:t xml:space="preserve">  土质边坡放坡坡度允许值</w:t>
      </w:r>
    </w:p>
    <w:tbl>
      <w:tblPr>
        <w:tblStyle w:val="34"/>
        <w:tblW w:w="584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45" w:type="dxa"/>
          <w:left w:w="28" w:type="dxa"/>
          <w:bottom w:w="45" w:type="dxa"/>
          <w:right w:w="28" w:type="dxa"/>
        </w:tblCellMar>
      </w:tblPr>
      <w:tblGrid>
        <w:gridCol w:w="1131"/>
        <w:gridCol w:w="1634"/>
        <w:gridCol w:w="1657"/>
        <w:gridCol w:w="1418"/>
      </w:tblGrid>
      <w:tr w14:paraId="44D2816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28" w:type="dxa"/>
            <w:vMerge w:val="restart"/>
            <w:vAlign w:val="center"/>
          </w:tcPr>
          <w:p w14:paraId="6D4BC01D">
            <w:pPr>
              <w:adjustRightInd w:val="0"/>
              <w:snapToGrid w:val="0"/>
              <w:spacing w:line="264" w:lineRule="auto"/>
              <w:jc w:val="center"/>
              <w:rPr>
                <w:sz w:val="15"/>
                <w:szCs w:val="15"/>
              </w:rPr>
            </w:pPr>
            <w:r>
              <w:rPr>
                <w:rFonts w:hAnsi="宋体"/>
                <w:sz w:val="15"/>
                <w:szCs w:val="15"/>
              </w:rPr>
              <w:t>土的类别</w:t>
            </w:r>
          </w:p>
        </w:tc>
        <w:tc>
          <w:tcPr>
            <w:tcW w:w="2532" w:type="dxa"/>
            <w:vMerge w:val="restart"/>
            <w:vAlign w:val="center"/>
          </w:tcPr>
          <w:p w14:paraId="6AA53FDD">
            <w:pPr>
              <w:adjustRightInd w:val="0"/>
              <w:snapToGrid w:val="0"/>
              <w:spacing w:line="264" w:lineRule="auto"/>
              <w:jc w:val="center"/>
              <w:rPr>
                <w:sz w:val="15"/>
                <w:szCs w:val="15"/>
              </w:rPr>
            </w:pPr>
            <w:r>
              <w:rPr>
                <w:rFonts w:hAnsi="宋体"/>
                <w:sz w:val="15"/>
                <w:szCs w:val="15"/>
              </w:rPr>
              <w:t>密实度或状态</w:t>
            </w:r>
          </w:p>
        </w:tc>
        <w:tc>
          <w:tcPr>
            <w:tcW w:w="4262" w:type="dxa"/>
            <w:gridSpan w:val="2"/>
            <w:vAlign w:val="center"/>
          </w:tcPr>
          <w:p w14:paraId="61A7E588">
            <w:pPr>
              <w:adjustRightInd w:val="0"/>
              <w:snapToGrid w:val="0"/>
              <w:spacing w:line="264" w:lineRule="auto"/>
              <w:jc w:val="center"/>
              <w:rPr>
                <w:sz w:val="15"/>
                <w:szCs w:val="15"/>
              </w:rPr>
            </w:pPr>
            <w:r>
              <w:rPr>
                <w:rFonts w:hAnsi="宋体"/>
                <w:sz w:val="15"/>
                <w:szCs w:val="15"/>
              </w:rPr>
              <w:t>坡度容许值（高宽比）</w:t>
            </w:r>
          </w:p>
        </w:tc>
      </w:tr>
      <w:tr w14:paraId="27DB5FC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28" w:type="dxa"/>
            <w:vMerge w:val="continue"/>
            <w:vAlign w:val="center"/>
          </w:tcPr>
          <w:p w14:paraId="41194586">
            <w:pPr>
              <w:adjustRightInd w:val="0"/>
              <w:snapToGrid w:val="0"/>
              <w:spacing w:line="264" w:lineRule="auto"/>
              <w:jc w:val="center"/>
              <w:rPr>
                <w:sz w:val="15"/>
                <w:szCs w:val="15"/>
              </w:rPr>
            </w:pPr>
          </w:p>
        </w:tc>
        <w:tc>
          <w:tcPr>
            <w:tcW w:w="2532" w:type="dxa"/>
            <w:vMerge w:val="continue"/>
            <w:vAlign w:val="center"/>
          </w:tcPr>
          <w:p w14:paraId="4C3DE208">
            <w:pPr>
              <w:adjustRightInd w:val="0"/>
              <w:snapToGrid w:val="0"/>
              <w:spacing w:line="264" w:lineRule="auto"/>
              <w:jc w:val="center"/>
              <w:rPr>
                <w:sz w:val="15"/>
                <w:szCs w:val="15"/>
              </w:rPr>
            </w:pPr>
          </w:p>
        </w:tc>
        <w:tc>
          <w:tcPr>
            <w:tcW w:w="2328" w:type="dxa"/>
            <w:vAlign w:val="center"/>
          </w:tcPr>
          <w:p w14:paraId="23D26493">
            <w:pPr>
              <w:adjustRightInd w:val="0"/>
              <w:snapToGrid w:val="0"/>
              <w:spacing w:line="264" w:lineRule="auto"/>
              <w:jc w:val="center"/>
              <w:rPr>
                <w:sz w:val="15"/>
                <w:szCs w:val="15"/>
              </w:rPr>
            </w:pPr>
            <w:r>
              <w:rPr>
                <w:rFonts w:hAnsi="宋体"/>
                <w:sz w:val="15"/>
                <w:szCs w:val="15"/>
              </w:rPr>
              <w:t>坡高在</w:t>
            </w:r>
            <w:r>
              <w:rPr>
                <w:sz w:val="15"/>
                <w:szCs w:val="15"/>
              </w:rPr>
              <w:t>5m</w:t>
            </w:r>
            <w:r>
              <w:rPr>
                <w:rFonts w:hAnsi="宋体"/>
                <w:sz w:val="15"/>
                <w:szCs w:val="15"/>
              </w:rPr>
              <w:t>以内</w:t>
            </w:r>
          </w:p>
        </w:tc>
        <w:tc>
          <w:tcPr>
            <w:tcW w:w="1934" w:type="dxa"/>
            <w:vAlign w:val="center"/>
          </w:tcPr>
          <w:p w14:paraId="37271AB5">
            <w:pPr>
              <w:adjustRightInd w:val="0"/>
              <w:snapToGrid w:val="0"/>
              <w:spacing w:line="264" w:lineRule="auto"/>
              <w:jc w:val="center"/>
              <w:rPr>
                <w:sz w:val="15"/>
                <w:szCs w:val="15"/>
              </w:rPr>
            </w:pPr>
            <w:r>
              <w:rPr>
                <w:rFonts w:hAnsi="宋体"/>
                <w:sz w:val="15"/>
                <w:szCs w:val="15"/>
              </w:rPr>
              <w:t>坡高</w:t>
            </w:r>
            <w:r>
              <w:rPr>
                <w:sz w:val="15"/>
                <w:szCs w:val="15"/>
              </w:rPr>
              <w:t>5</w:t>
            </w:r>
            <w:r>
              <w:rPr>
                <w:rFonts w:hint="eastAsia"/>
                <w:sz w:val="15"/>
                <w:szCs w:val="15"/>
              </w:rPr>
              <w:t>m</w:t>
            </w:r>
            <w:r>
              <w:rPr>
                <w:rFonts w:hAnsi="宋体"/>
                <w:sz w:val="15"/>
                <w:szCs w:val="15"/>
              </w:rPr>
              <w:t>～</w:t>
            </w:r>
            <w:r>
              <w:rPr>
                <w:sz w:val="15"/>
                <w:szCs w:val="15"/>
              </w:rPr>
              <w:t>10m</w:t>
            </w:r>
          </w:p>
        </w:tc>
      </w:tr>
      <w:tr w14:paraId="5236795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28" w:type="dxa"/>
            <w:vAlign w:val="center"/>
          </w:tcPr>
          <w:p w14:paraId="5FC17864">
            <w:pPr>
              <w:adjustRightInd w:val="0"/>
              <w:snapToGrid w:val="0"/>
              <w:spacing w:line="264" w:lineRule="auto"/>
              <w:jc w:val="center"/>
              <w:rPr>
                <w:sz w:val="15"/>
                <w:szCs w:val="15"/>
              </w:rPr>
            </w:pPr>
            <w:r>
              <w:rPr>
                <w:rFonts w:hAnsi="宋体"/>
                <w:sz w:val="15"/>
                <w:szCs w:val="15"/>
              </w:rPr>
              <w:t>碎石土</w:t>
            </w:r>
          </w:p>
        </w:tc>
        <w:tc>
          <w:tcPr>
            <w:tcW w:w="2532" w:type="dxa"/>
            <w:vAlign w:val="center"/>
          </w:tcPr>
          <w:p w14:paraId="26BC2231">
            <w:pPr>
              <w:adjustRightInd w:val="0"/>
              <w:snapToGrid w:val="0"/>
              <w:spacing w:line="264" w:lineRule="auto"/>
              <w:jc w:val="center"/>
              <w:rPr>
                <w:sz w:val="15"/>
                <w:szCs w:val="15"/>
              </w:rPr>
            </w:pPr>
            <w:r>
              <w:rPr>
                <w:rFonts w:hAnsi="宋体"/>
                <w:sz w:val="15"/>
                <w:szCs w:val="15"/>
              </w:rPr>
              <w:t>密实</w:t>
            </w:r>
          </w:p>
          <w:p w14:paraId="2427D9C6">
            <w:pPr>
              <w:adjustRightInd w:val="0"/>
              <w:snapToGrid w:val="0"/>
              <w:spacing w:line="264" w:lineRule="auto"/>
              <w:jc w:val="center"/>
              <w:rPr>
                <w:sz w:val="15"/>
                <w:szCs w:val="15"/>
              </w:rPr>
            </w:pPr>
            <w:r>
              <w:rPr>
                <w:rFonts w:hAnsi="宋体"/>
                <w:sz w:val="15"/>
                <w:szCs w:val="15"/>
              </w:rPr>
              <w:t>中密</w:t>
            </w:r>
          </w:p>
          <w:p w14:paraId="0FBBAB14">
            <w:pPr>
              <w:adjustRightInd w:val="0"/>
              <w:snapToGrid w:val="0"/>
              <w:spacing w:line="264" w:lineRule="auto"/>
              <w:jc w:val="center"/>
              <w:rPr>
                <w:sz w:val="15"/>
                <w:szCs w:val="15"/>
              </w:rPr>
            </w:pPr>
            <w:r>
              <w:rPr>
                <w:rFonts w:hAnsi="宋体"/>
                <w:sz w:val="15"/>
                <w:szCs w:val="15"/>
              </w:rPr>
              <w:t>稍密</w:t>
            </w:r>
          </w:p>
        </w:tc>
        <w:tc>
          <w:tcPr>
            <w:tcW w:w="2328" w:type="dxa"/>
            <w:vAlign w:val="center"/>
          </w:tcPr>
          <w:p w14:paraId="71C65551">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0.35</w:t>
            </w:r>
            <w:r>
              <w:rPr>
                <w:rFonts w:hAnsi="宋体"/>
                <w:sz w:val="15"/>
                <w:szCs w:val="15"/>
              </w:rPr>
              <w:t>～</w:t>
            </w:r>
            <w:r>
              <w:rPr>
                <w:sz w:val="15"/>
                <w:szCs w:val="15"/>
              </w:rPr>
              <w:t>1</w:t>
            </w:r>
            <w:r>
              <w:rPr>
                <w:rFonts w:hint="eastAsia" w:ascii="宋体" w:hAnsi="宋体"/>
                <w:sz w:val="15"/>
                <w:szCs w:val="15"/>
              </w:rPr>
              <w:t>:</w:t>
            </w:r>
            <w:r>
              <w:rPr>
                <w:sz w:val="15"/>
                <w:szCs w:val="15"/>
              </w:rPr>
              <w:t>0.75</w:t>
            </w:r>
          </w:p>
          <w:p w14:paraId="463E9F00">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0.75</w:t>
            </w:r>
            <w:r>
              <w:rPr>
                <w:rFonts w:hAnsi="宋体"/>
                <w:sz w:val="15"/>
                <w:szCs w:val="15"/>
              </w:rPr>
              <w:t>～</w:t>
            </w:r>
            <w:r>
              <w:rPr>
                <w:sz w:val="15"/>
                <w:szCs w:val="15"/>
              </w:rPr>
              <w:t>1</w:t>
            </w:r>
            <w:r>
              <w:rPr>
                <w:rFonts w:hint="eastAsia" w:ascii="宋体" w:hAnsi="宋体"/>
                <w:sz w:val="15"/>
                <w:szCs w:val="15"/>
              </w:rPr>
              <w:t>:</w:t>
            </w:r>
            <w:r>
              <w:rPr>
                <w:sz w:val="15"/>
                <w:szCs w:val="15"/>
              </w:rPr>
              <w:t>1.00</w:t>
            </w:r>
          </w:p>
        </w:tc>
        <w:tc>
          <w:tcPr>
            <w:tcW w:w="1934" w:type="dxa"/>
            <w:vAlign w:val="center"/>
          </w:tcPr>
          <w:p w14:paraId="10A2D4FE">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0.5</w:t>
            </w:r>
            <w:r>
              <w:rPr>
                <w:rFonts w:hint="eastAsia"/>
                <w:sz w:val="15"/>
                <w:szCs w:val="15"/>
              </w:rPr>
              <w:t>0</w:t>
            </w:r>
            <w:r>
              <w:rPr>
                <w:rFonts w:hAnsi="宋体"/>
                <w:sz w:val="15"/>
                <w:szCs w:val="15"/>
              </w:rPr>
              <w:t>～</w:t>
            </w:r>
            <w:r>
              <w:rPr>
                <w:sz w:val="15"/>
                <w:szCs w:val="15"/>
              </w:rPr>
              <w:t>1</w:t>
            </w:r>
            <w:r>
              <w:rPr>
                <w:rFonts w:hint="eastAsia" w:ascii="宋体" w:hAnsi="宋体"/>
                <w:sz w:val="15"/>
                <w:szCs w:val="15"/>
              </w:rPr>
              <w:t>:</w:t>
            </w:r>
            <w:r>
              <w:rPr>
                <w:sz w:val="15"/>
                <w:szCs w:val="15"/>
              </w:rPr>
              <w:t>0.75</w:t>
            </w:r>
          </w:p>
          <w:p w14:paraId="7EAE3F6A">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0.75</w:t>
            </w:r>
            <w:r>
              <w:rPr>
                <w:rFonts w:hAnsi="宋体"/>
                <w:sz w:val="15"/>
                <w:szCs w:val="15"/>
              </w:rPr>
              <w:t>～</w:t>
            </w:r>
            <w:r>
              <w:rPr>
                <w:sz w:val="15"/>
                <w:szCs w:val="15"/>
              </w:rPr>
              <w:t>1</w:t>
            </w:r>
            <w:r>
              <w:rPr>
                <w:rFonts w:hint="eastAsia" w:ascii="宋体" w:hAnsi="宋体"/>
                <w:sz w:val="15"/>
                <w:szCs w:val="15"/>
              </w:rPr>
              <w:t>:</w:t>
            </w:r>
            <w:r>
              <w:rPr>
                <w:sz w:val="15"/>
                <w:szCs w:val="15"/>
              </w:rPr>
              <w:t>1.00</w:t>
            </w:r>
          </w:p>
          <w:p w14:paraId="7810786D">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1.00</w:t>
            </w:r>
            <w:r>
              <w:rPr>
                <w:rFonts w:hAnsi="宋体"/>
                <w:sz w:val="15"/>
                <w:szCs w:val="15"/>
              </w:rPr>
              <w:t>～</w:t>
            </w:r>
            <w:r>
              <w:rPr>
                <w:sz w:val="15"/>
                <w:szCs w:val="15"/>
              </w:rPr>
              <w:t>1</w:t>
            </w:r>
            <w:r>
              <w:rPr>
                <w:rFonts w:hint="eastAsia" w:ascii="宋体" w:hAnsi="宋体"/>
                <w:sz w:val="15"/>
                <w:szCs w:val="15"/>
              </w:rPr>
              <w:t>:</w:t>
            </w:r>
            <w:r>
              <w:rPr>
                <w:sz w:val="15"/>
                <w:szCs w:val="15"/>
              </w:rPr>
              <w:t>1.25</w:t>
            </w:r>
          </w:p>
        </w:tc>
      </w:tr>
      <w:tr w14:paraId="1F2CE9E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28" w:type="dxa"/>
            <w:vAlign w:val="center"/>
          </w:tcPr>
          <w:p w14:paraId="25922527">
            <w:pPr>
              <w:adjustRightInd w:val="0"/>
              <w:snapToGrid w:val="0"/>
              <w:spacing w:line="264" w:lineRule="auto"/>
              <w:jc w:val="center"/>
              <w:rPr>
                <w:sz w:val="15"/>
                <w:szCs w:val="15"/>
              </w:rPr>
            </w:pPr>
            <w:r>
              <w:rPr>
                <w:rFonts w:hAnsi="宋体"/>
                <w:sz w:val="15"/>
                <w:szCs w:val="15"/>
              </w:rPr>
              <w:t>粉土</w:t>
            </w:r>
          </w:p>
        </w:tc>
        <w:tc>
          <w:tcPr>
            <w:tcW w:w="2532" w:type="dxa"/>
            <w:vAlign w:val="center"/>
          </w:tcPr>
          <w:p w14:paraId="023B3412">
            <w:pPr>
              <w:adjustRightInd w:val="0"/>
              <w:snapToGrid w:val="0"/>
              <w:spacing w:line="264" w:lineRule="auto"/>
              <w:jc w:val="center"/>
              <w:rPr>
                <w:sz w:val="15"/>
                <w:szCs w:val="15"/>
              </w:rPr>
            </w:pPr>
            <w:r>
              <w:rPr>
                <w:sz w:val="15"/>
                <w:szCs w:val="15"/>
              </w:rPr>
              <w:t>Sr</w:t>
            </w:r>
            <w:r>
              <w:rPr>
                <w:rFonts w:hint="eastAsia" w:ascii="宋体" w:hAnsi="宋体"/>
                <w:sz w:val="15"/>
                <w:szCs w:val="15"/>
              </w:rPr>
              <w:t>≤</w:t>
            </w:r>
            <w:r>
              <w:rPr>
                <w:sz w:val="15"/>
                <w:szCs w:val="15"/>
              </w:rPr>
              <w:t>0.5</w:t>
            </w:r>
          </w:p>
        </w:tc>
        <w:tc>
          <w:tcPr>
            <w:tcW w:w="2328" w:type="dxa"/>
            <w:vAlign w:val="center"/>
          </w:tcPr>
          <w:p w14:paraId="223FFB4D">
            <w:pPr>
              <w:adjustRightInd w:val="0"/>
              <w:snapToGrid w:val="0"/>
              <w:spacing w:line="264" w:lineRule="auto"/>
              <w:jc w:val="center"/>
              <w:rPr>
                <w:sz w:val="15"/>
                <w:szCs w:val="15"/>
              </w:rPr>
            </w:pPr>
            <w:r>
              <w:rPr>
                <w:sz w:val="15"/>
                <w:szCs w:val="15"/>
              </w:rPr>
              <w:t>1:1.00</w:t>
            </w:r>
            <w:r>
              <w:rPr>
                <w:rFonts w:hAnsi="宋体"/>
                <w:sz w:val="15"/>
                <w:szCs w:val="15"/>
              </w:rPr>
              <w:t>～</w:t>
            </w:r>
            <w:r>
              <w:rPr>
                <w:sz w:val="15"/>
                <w:szCs w:val="15"/>
              </w:rPr>
              <w:t>1:1.25</w:t>
            </w:r>
          </w:p>
        </w:tc>
        <w:tc>
          <w:tcPr>
            <w:tcW w:w="1934" w:type="dxa"/>
            <w:vAlign w:val="center"/>
          </w:tcPr>
          <w:p w14:paraId="096E5E9D">
            <w:pPr>
              <w:adjustRightInd w:val="0"/>
              <w:snapToGrid w:val="0"/>
              <w:spacing w:line="264" w:lineRule="auto"/>
              <w:jc w:val="center"/>
              <w:rPr>
                <w:sz w:val="15"/>
                <w:szCs w:val="15"/>
              </w:rPr>
            </w:pPr>
            <w:r>
              <w:rPr>
                <w:sz w:val="15"/>
                <w:szCs w:val="15"/>
              </w:rPr>
              <w:t>1:1.25</w:t>
            </w:r>
            <w:r>
              <w:rPr>
                <w:rFonts w:hAnsi="宋体"/>
                <w:sz w:val="15"/>
                <w:szCs w:val="15"/>
              </w:rPr>
              <w:t>～</w:t>
            </w:r>
            <w:r>
              <w:rPr>
                <w:sz w:val="15"/>
                <w:szCs w:val="15"/>
              </w:rPr>
              <w:t>1:1.50</w:t>
            </w:r>
          </w:p>
        </w:tc>
      </w:tr>
      <w:tr w14:paraId="01EE7580">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28" w:type="dxa"/>
            <w:vAlign w:val="center"/>
          </w:tcPr>
          <w:p w14:paraId="25DCCD14">
            <w:pPr>
              <w:adjustRightInd w:val="0"/>
              <w:snapToGrid w:val="0"/>
              <w:spacing w:line="264" w:lineRule="auto"/>
              <w:jc w:val="center"/>
              <w:rPr>
                <w:sz w:val="15"/>
                <w:szCs w:val="15"/>
              </w:rPr>
            </w:pPr>
            <w:r>
              <w:rPr>
                <w:rFonts w:hAnsi="宋体"/>
                <w:sz w:val="15"/>
                <w:szCs w:val="15"/>
              </w:rPr>
              <w:t>粉质黏土</w:t>
            </w:r>
          </w:p>
        </w:tc>
        <w:tc>
          <w:tcPr>
            <w:tcW w:w="2532" w:type="dxa"/>
            <w:vAlign w:val="center"/>
          </w:tcPr>
          <w:p w14:paraId="03A4FA3D">
            <w:pPr>
              <w:adjustRightInd w:val="0"/>
              <w:snapToGrid w:val="0"/>
              <w:spacing w:line="264" w:lineRule="auto"/>
              <w:jc w:val="center"/>
              <w:rPr>
                <w:sz w:val="15"/>
                <w:szCs w:val="15"/>
              </w:rPr>
            </w:pPr>
            <w:r>
              <w:rPr>
                <w:rFonts w:hAnsi="宋体"/>
                <w:sz w:val="15"/>
                <w:szCs w:val="15"/>
              </w:rPr>
              <w:t>坚硬</w:t>
            </w:r>
          </w:p>
          <w:p w14:paraId="7AE29412">
            <w:pPr>
              <w:adjustRightInd w:val="0"/>
              <w:snapToGrid w:val="0"/>
              <w:spacing w:line="264" w:lineRule="auto"/>
              <w:jc w:val="center"/>
              <w:rPr>
                <w:sz w:val="15"/>
                <w:szCs w:val="15"/>
              </w:rPr>
            </w:pPr>
            <w:r>
              <w:rPr>
                <w:rFonts w:hAnsi="宋体"/>
                <w:sz w:val="15"/>
                <w:szCs w:val="15"/>
              </w:rPr>
              <w:t>硬塑</w:t>
            </w:r>
          </w:p>
          <w:p w14:paraId="15EE4CCF">
            <w:pPr>
              <w:adjustRightInd w:val="0"/>
              <w:snapToGrid w:val="0"/>
              <w:spacing w:line="264" w:lineRule="auto"/>
              <w:jc w:val="center"/>
              <w:rPr>
                <w:sz w:val="15"/>
                <w:szCs w:val="15"/>
              </w:rPr>
            </w:pPr>
            <w:r>
              <w:rPr>
                <w:rFonts w:hAnsi="宋体"/>
                <w:sz w:val="15"/>
                <w:szCs w:val="15"/>
              </w:rPr>
              <w:t>可塑</w:t>
            </w:r>
          </w:p>
        </w:tc>
        <w:tc>
          <w:tcPr>
            <w:tcW w:w="2328" w:type="dxa"/>
            <w:vAlign w:val="center"/>
          </w:tcPr>
          <w:p w14:paraId="6D1E2267">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0.33</w:t>
            </w:r>
            <w:r>
              <w:rPr>
                <w:rFonts w:hAnsi="宋体"/>
                <w:sz w:val="15"/>
                <w:szCs w:val="15"/>
              </w:rPr>
              <w:t>～</w:t>
            </w:r>
            <w:r>
              <w:rPr>
                <w:sz w:val="15"/>
                <w:szCs w:val="15"/>
              </w:rPr>
              <w:t>1</w:t>
            </w:r>
            <w:r>
              <w:rPr>
                <w:rFonts w:hint="eastAsia" w:ascii="宋体" w:hAnsi="宋体"/>
                <w:sz w:val="15"/>
                <w:szCs w:val="15"/>
              </w:rPr>
              <w:t>:</w:t>
            </w:r>
            <w:r>
              <w:rPr>
                <w:sz w:val="15"/>
                <w:szCs w:val="15"/>
              </w:rPr>
              <w:t>0.50</w:t>
            </w:r>
          </w:p>
          <w:p w14:paraId="02A692B5">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1.00</w:t>
            </w:r>
            <w:r>
              <w:rPr>
                <w:rFonts w:hAnsi="宋体"/>
                <w:sz w:val="15"/>
                <w:szCs w:val="15"/>
              </w:rPr>
              <w:t>～</w:t>
            </w:r>
            <w:r>
              <w:rPr>
                <w:sz w:val="15"/>
                <w:szCs w:val="15"/>
              </w:rPr>
              <w:t>1</w:t>
            </w:r>
            <w:r>
              <w:rPr>
                <w:rFonts w:hint="eastAsia" w:ascii="宋体" w:hAnsi="宋体"/>
                <w:sz w:val="15"/>
                <w:szCs w:val="15"/>
              </w:rPr>
              <w:t>:</w:t>
            </w:r>
            <w:r>
              <w:rPr>
                <w:sz w:val="15"/>
                <w:szCs w:val="15"/>
              </w:rPr>
              <w:t>1.25</w:t>
            </w:r>
          </w:p>
          <w:p w14:paraId="01CC7A84">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1.25</w:t>
            </w:r>
            <w:r>
              <w:rPr>
                <w:rFonts w:hAnsi="宋体"/>
                <w:sz w:val="15"/>
                <w:szCs w:val="15"/>
              </w:rPr>
              <w:t>～</w:t>
            </w:r>
            <w:r>
              <w:rPr>
                <w:sz w:val="15"/>
                <w:szCs w:val="15"/>
              </w:rPr>
              <w:t>1</w:t>
            </w:r>
            <w:r>
              <w:rPr>
                <w:rFonts w:hint="eastAsia" w:ascii="宋体" w:hAnsi="宋体"/>
                <w:sz w:val="15"/>
                <w:szCs w:val="15"/>
              </w:rPr>
              <w:t>:</w:t>
            </w:r>
            <w:r>
              <w:rPr>
                <w:sz w:val="15"/>
                <w:szCs w:val="15"/>
              </w:rPr>
              <w:t>1.50</w:t>
            </w:r>
          </w:p>
        </w:tc>
        <w:tc>
          <w:tcPr>
            <w:tcW w:w="1934" w:type="dxa"/>
            <w:vAlign w:val="center"/>
          </w:tcPr>
          <w:p w14:paraId="7EFBADC6">
            <w:pPr>
              <w:adjustRightInd w:val="0"/>
              <w:snapToGrid w:val="0"/>
              <w:spacing w:line="264" w:lineRule="auto"/>
              <w:jc w:val="center"/>
              <w:rPr>
                <w:sz w:val="15"/>
                <w:szCs w:val="15"/>
              </w:rPr>
            </w:pPr>
            <w:r>
              <w:rPr>
                <w:rFonts w:hint="eastAsia"/>
                <w:sz w:val="15"/>
                <w:szCs w:val="15"/>
              </w:rPr>
              <w:t>－</w:t>
            </w:r>
          </w:p>
        </w:tc>
      </w:tr>
      <w:tr w14:paraId="032344A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28" w:type="dxa"/>
            <w:vAlign w:val="center"/>
          </w:tcPr>
          <w:p w14:paraId="43E61599">
            <w:pPr>
              <w:adjustRightInd w:val="0"/>
              <w:snapToGrid w:val="0"/>
              <w:spacing w:line="264" w:lineRule="auto"/>
              <w:jc w:val="center"/>
              <w:rPr>
                <w:sz w:val="15"/>
                <w:szCs w:val="15"/>
              </w:rPr>
            </w:pPr>
            <w:r>
              <w:rPr>
                <w:rFonts w:hAnsi="宋体"/>
                <w:sz w:val="15"/>
                <w:szCs w:val="15"/>
              </w:rPr>
              <w:t>黏性土</w:t>
            </w:r>
          </w:p>
        </w:tc>
        <w:tc>
          <w:tcPr>
            <w:tcW w:w="2532" w:type="dxa"/>
            <w:vAlign w:val="center"/>
          </w:tcPr>
          <w:p w14:paraId="5AA78A75">
            <w:pPr>
              <w:adjustRightInd w:val="0"/>
              <w:snapToGrid w:val="0"/>
              <w:spacing w:line="264" w:lineRule="auto"/>
              <w:jc w:val="center"/>
              <w:rPr>
                <w:sz w:val="15"/>
                <w:szCs w:val="15"/>
              </w:rPr>
            </w:pPr>
            <w:r>
              <w:rPr>
                <w:rFonts w:hAnsi="宋体"/>
                <w:sz w:val="15"/>
                <w:szCs w:val="15"/>
              </w:rPr>
              <w:t>坚硬</w:t>
            </w:r>
          </w:p>
          <w:p w14:paraId="556A99D4">
            <w:pPr>
              <w:adjustRightInd w:val="0"/>
              <w:snapToGrid w:val="0"/>
              <w:spacing w:line="264" w:lineRule="auto"/>
              <w:jc w:val="center"/>
              <w:rPr>
                <w:sz w:val="15"/>
                <w:szCs w:val="15"/>
              </w:rPr>
            </w:pPr>
            <w:r>
              <w:rPr>
                <w:rFonts w:hAnsi="宋体"/>
                <w:sz w:val="15"/>
                <w:szCs w:val="15"/>
              </w:rPr>
              <w:t>硬塑</w:t>
            </w:r>
          </w:p>
          <w:p w14:paraId="236059B8">
            <w:pPr>
              <w:adjustRightInd w:val="0"/>
              <w:snapToGrid w:val="0"/>
              <w:spacing w:line="264" w:lineRule="auto"/>
              <w:jc w:val="center"/>
              <w:rPr>
                <w:sz w:val="15"/>
                <w:szCs w:val="15"/>
              </w:rPr>
            </w:pPr>
            <w:r>
              <w:rPr>
                <w:rFonts w:hAnsi="宋体"/>
                <w:sz w:val="15"/>
                <w:szCs w:val="15"/>
              </w:rPr>
              <w:t>可塑</w:t>
            </w:r>
          </w:p>
        </w:tc>
        <w:tc>
          <w:tcPr>
            <w:tcW w:w="2328" w:type="dxa"/>
            <w:vAlign w:val="center"/>
          </w:tcPr>
          <w:p w14:paraId="4A4620AA">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0.75</w:t>
            </w:r>
            <w:r>
              <w:rPr>
                <w:rFonts w:hAnsi="宋体"/>
                <w:sz w:val="15"/>
                <w:szCs w:val="15"/>
              </w:rPr>
              <w:t>～</w:t>
            </w:r>
            <w:r>
              <w:rPr>
                <w:sz w:val="15"/>
                <w:szCs w:val="15"/>
              </w:rPr>
              <w:t>1</w:t>
            </w:r>
            <w:r>
              <w:rPr>
                <w:rFonts w:hint="eastAsia" w:ascii="宋体" w:hAnsi="宋体"/>
                <w:sz w:val="15"/>
                <w:szCs w:val="15"/>
              </w:rPr>
              <w:t>:</w:t>
            </w:r>
            <w:r>
              <w:rPr>
                <w:sz w:val="15"/>
                <w:szCs w:val="15"/>
              </w:rPr>
              <w:t>1.00</w:t>
            </w:r>
          </w:p>
          <w:p w14:paraId="4BAD48E0">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1.00</w:t>
            </w:r>
            <w:r>
              <w:rPr>
                <w:rFonts w:hAnsi="宋体"/>
                <w:sz w:val="15"/>
                <w:szCs w:val="15"/>
              </w:rPr>
              <w:t>～</w:t>
            </w:r>
            <w:r>
              <w:rPr>
                <w:sz w:val="15"/>
                <w:szCs w:val="15"/>
              </w:rPr>
              <w:t>1</w:t>
            </w:r>
            <w:r>
              <w:rPr>
                <w:rFonts w:hint="eastAsia" w:ascii="宋体" w:hAnsi="宋体"/>
                <w:sz w:val="15"/>
                <w:szCs w:val="15"/>
              </w:rPr>
              <w:t>:</w:t>
            </w:r>
            <w:r>
              <w:rPr>
                <w:sz w:val="15"/>
                <w:szCs w:val="15"/>
              </w:rPr>
              <w:t>1.25</w:t>
            </w:r>
          </w:p>
          <w:p w14:paraId="52470EA4">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0.85</w:t>
            </w:r>
            <w:r>
              <w:rPr>
                <w:rFonts w:hAnsi="宋体"/>
                <w:sz w:val="15"/>
                <w:szCs w:val="15"/>
              </w:rPr>
              <w:t>～</w:t>
            </w:r>
            <w:r>
              <w:rPr>
                <w:sz w:val="15"/>
                <w:szCs w:val="15"/>
              </w:rPr>
              <w:t>1</w:t>
            </w:r>
            <w:r>
              <w:rPr>
                <w:rFonts w:hint="eastAsia" w:ascii="宋体" w:hAnsi="宋体"/>
                <w:sz w:val="15"/>
                <w:szCs w:val="15"/>
              </w:rPr>
              <w:t>:</w:t>
            </w:r>
            <w:r>
              <w:rPr>
                <w:sz w:val="15"/>
                <w:szCs w:val="15"/>
              </w:rPr>
              <w:t>1.25</w:t>
            </w:r>
          </w:p>
        </w:tc>
        <w:tc>
          <w:tcPr>
            <w:tcW w:w="1934" w:type="dxa"/>
            <w:vAlign w:val="center"/>
          </w:tcPr>
          <w:p w14:paraId="44B43629">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1.00</w:t>
            </w:r>
            <w:r>
              <w:rPr>
                <w:rFonts w:hAnsi="宋体"/>
                <w:sz w:val="15"/>
                <w:szCs w:val="15"/>
              </w:rPr>
              <w:t>～</w:t>
            </w:r>
            <w:r>
              <w:rPr>
                <w:sz w:val="15"/>
                <w:szCs w:val="15"/>
              </w:rPr>
              <w:t>1</w:t>
            </w:r>
            <w:r>
              <w:rPr>
                <w:rFonts w:hint="eastAsia" w:ascii="宋体" w:hAnsi="宋体"/>
                <w:sz w:val="15"/>
                <w:szCs w:val="15"/>
              </w:rPr>
              <w:t>:</w:t>
            </w:r>
            <w:r>
              <w:rPr>
                <w:sz w:val="15"/>
                <w:szCs w:val="15"/>
              </w:rPr>
              <w:t>1.25</w:t>
            </w:r>
          </w:p>
          <w:p w14:paraId="6FB83AB3">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1.25</w:t>
            </w:r>
            <w:r>
              <w:rPr>
                <w:rFonts w:hAnsi="宋体"/>
                <w:sz w:val="15"/>
                <w:szCs w:val="15"/>
              </w:rPr>
              <w:t>～</w:t>
            </w:r>
            <w:r>
              <w:rPr>
                <w:sz w:val="15"/>
                <w:szCs w:val="15"/>
              </w:rPr>
              <w:t>1</w:t>
            </w:r>
            <w:r>
              <w:rPr>
                <w:rFonts w:hint="eastAsia" w:ascii="宋体" w:hAnsi="宋体"/>
                <w:sz w:val="15"/>
                <w:szCs w:val="15"/>
              </w:rPr>
              <w:t>:</w:t>
            </w:r>
            <w:r>
              <w:rPr>
                <w:sz w:val="15"/>
                <w:szCs w:val="15"/>
              </w:rPr>
              <w:t>1.50</w:t>
            </w:r>
          </w:p>
        </w:tc>
      </w:tr>
      <w:tr w14:paraId="2B1425E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28" w:type="dxa"/>
            <w:vAlign w:val="center"/>
          </w:tcPr>
          <w:p w14:paraId="70E46EB1">
            <w:pPr>
              <w:adjustRightInd w:val="0"/>
              <w:snapToGrid w:val="0"/>
              <w:spacing w:line="264" w:lineRule="auto"/>
              <w:jc w:val="center"/>
              <w:rPr>
                <w:sz w:val="15"/>
                <w:szCs w:val="15"/>
              </w:rPr>
            </w:pPr>
            <w:r>
              <w:rPr>
                <w:rFonts w:hAnsi="宋体"/>
                <w:sz w:val="15"/>
                <w:szCs w:val="15"/>
              </w:rPr>
              <w:t>杂填土</w:t>
            </w:r>
          </w:p>
        </w:tc>
        <w:tc>
          <w:tcPr>
            <w:tcW w:w="2532" w:type="dxa"/>
            <w:vAlign w:val="center"/>
          </w:tcPr>
          <w:p w14:paraId="150A0DD2">
            <w:pPr>
              <w:adjustRightInd w:val="0"/>
              <w:snapToGrid w:val="0"/>
              <w:spacing w:line="264" w:lineRule="auto"/>
              <w:jc w:val="center"/>
              <w:rPr>
                <w:sz w:val="15"/>
                <w:szCs w:val="15"/>
              </w:rPr>
            </w:pPr>
            <w:r>
              <w:rPr>
                <w:rFonts w:hAnsi="宋体"/>
                <w:sz w:val="15"/>
                <w:szCs w:val="15"/>
              </w:rPr>
              <w:t>中密或密实的建筑垃圾</w:t>
            </w:r>
          </w:p>
        </w:tc>
        <w:tc>
          <w:tcPr>
            <w:tcW w:w="2328" w:type="dxa"/>
            <w:vAlign w:val="center"/>
          </w:tcPr>
          <w:p w14:paraId="50CC26F0">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0.75</w:t>
            </w:r>
            <w:r>
              <w:rPr>
                <w:rFonts w:hAnsi="宋体"/>
                <w:sz w:val="15"/>
                <w:szCs w:val="15"/>
              </w:rPr>
              <w:t>～</w:t>
            </w:r>
            <w:r>
              <w:rPr>
                <w:sz w:val="15"/>
                <w:szCs w:val="15"/>
              </w:rPr>
              <w:t>1</w:t>
            </w:r>
            <w:r>
              <w:rPr>
                <w:rFonts w:hint="eastAsia" w:ascii="宋体" w:hAnsi="宋体"/>
                <w:sz w:val="15"/>
                <w:szCs w:val="15"/>
              </w:rPr>
              <w:t>:</w:t>
            </w:r>
            <w:r>
              <w:rPr>
                <w:sz w:val="15"/>
                <w:szCs w:val="15"/>
              </w:rPr>
              <w:t>1.00</w:t>
            </w:r>
          </w:p>
        </w:tc>
        <w:tc>
          <w:tcPr>
            <w:tcW w:w="1934" w:type="dxa"/>
            <w:vAlign w:val="center"/>
          </w:tcPr>
          <w:p w14:paraId="42D5B229">
            <w:pPr>
              <w:adjustRightInd w:val="0"/>
              <w:snapToGrid w:val="0"/>
              <w:spacing w:line="264" w:lineRule="auto"/>
              <w:jc w:val="center"/>
              <w:rPr>
                <w:sz w:val="15"/>
                <w:szCs w:val="15"/>
              </w:rPr>
            </w:pPr>
            <w:r>
              <w:rPr>
                <w:rFonts w:hint="eastAsia"/>
                <w:sz w:val="15"/>
                <w:szCs w:val="15"/>
              </w:rPr>
              <w:t>－</w:t>
            </w:r>
          </w:p>
        </w:tc>
      </w:tr>
      <w:tr w14:paraId="568E2E1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728" w:type="dxa"/>
            <w:vAlign w:val="center"/>
          </w:tcPr>
          <w:p w14:paraId="14B7238D">
            <w:pPr>
              <w:adjustRightInd w:val="0"/>
              <w:snapToGrid w:val="0"/>
              <w:spacing w:line="264" w:lineRule="auto"/>
              <w:jc w:val="center"/>
              <w:rPr>
                <w:sz w:val="15"/>
                <w:szCs w:val="15"/>
              </w:rPr>
            </w:pPr>
            <w:r>
              <w:rPr>
                <w:rFonts w:hAnsi="宋体"/>
                <w:sz w:val="15"/>
                <w:szCs w:val="15"/>
              </w:rPr>
              <w:t>砂土</w:t>
            </w:r>
          </w:p>
        </w:tc>
        <w:tc>
          <w:tcPr>
            <w:tcW w:w="2532" w:type="dxa"/>
            <w:vAlign w:val="center"/>
          </w:tcPr>
          <w:p w14:paraId="51ACDCF9">
            <w:pPr>
              <w:adjustRightInd w:val="0"/>
              <w:snapToGrid w:val="0"/>
              <w:spacing w:line="264" w:lineRule="auto"/>
              <w:jc w:val="center"/>
              <w:rPr>
                <w:sz w:val="15"/>
                <w:szCs w:val="15"/>
              </w:rPr>
            </w:pPr>
            <w:r>
              <w:rPr>
                <w:rFonts w:hint="eastAsia"/>
                <w:sz w:val="15"/>
                <w:szCs w:val="15"/>
              </w:rPr>
              <w:t>－</w:t>
            </w:r>
          </w:p>
        </w:tc>
        <w:tc>
          <w:tcPr>
            <w:tcW w:w="2328" w:type="dxa"/>
            <w:vAlign w:val="center"/>
          </w:tcPr>
          <w:p w14:paraId="70CE8307">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1.00</w:t>
            </w:r>
            <w:r>
              <w:rPr>
                <w:rFonts w:hAnsi="宋体"/>
                <w:sz w:val="15"/>
                <w:szCs w:val="15"/>
              </w:rPr>
              <w:t>（或自然休止角）</w:t>
            </w:r>
          </w:p>
        </w:tc>
        <w:tc>
          <w:tcPr>
            <w:tcW w:w="1934" w:type="dxa"/>
            <w:vAlign w:val="center"/>
          </w:tcPr>
          <w:p w14:paraId="003DE003">
            <w:pPr>
              <w:adjustRightInd w:val="0"/>
              <w:snapToGrid w:val="0"/>
              <w:spacing w:line="264" w:lineRule="auto"/>
              <w:jc w:val="center"/>
              <w:rPr>
                <w:sz w:val="15"/>
                <w:szCs w:val="15"/>
              </w:rPr>
            </w:pPr>
            <w:r>
              <w:rPr>
                <w:rFonts w:hint="eastAsia"/>
                <w:sz w:val="15"/>
                <w:szCs w:val="15"/>
              </w:rPr>
              <w:t>－</w:t>
            </w:r>
          </w:p>
        </w:tc>
      </w:tr>
    </w:tbl>
    <w:p w14:paraId="0A861251">
      <w:pPr>
        <w:adjustRightInd w:val="0"/>
        <w:snapToGrid w:val="0"/>
        <w:spacing w:before="120" w:beforeLines="50" w:line="288" w:lineRule="auto"/>
        <w:ind w:firstLine="361" w:firstLineChars="200"/>
        <w:jc w:val="center"/>
        <w:rPr>
          <w:rFonts w:ascii="宋体" w:hAnsi="宋体"/>
          <w:b/>
          <w:sz w:val="18"/>
          <w:szCs w:val="18"/>
        </w:rPr>
      </w:pPr>
      <w:r>
        <w:rPr>
          <w:rFonts w:hint="eastAsia" w:ascii="宋体" w:hAnsi="宋体"/>
          <w:b/>
          <w:sz w:val="18"/>
          <w:szCs w:val="18"/>
        </w:rPr>
        <w:t>表</w:t>
      </w:r>
      <w:r>
        <w:rPr>
          <w:b/>
          <w:sz w:val="18"/>
          <w:szCs w:val="18"/>
        </w:rPr>
        <w:t>6.1.</w:t>
      </w:r>
      <w:r>
        <w:rPr>
          <w:rFonts w:hint="eastAsia"/>
          <w:b/>
          <w:sz w:val="18"/>
          <w:szCs w:val="18"/>
        </w:rPr>
        <w:t>3</w:t>
      </w:r>
      <w:r>
        <w:rPr>
          <w:b/>
          <w:sz w:val="18"/>
          <w:szCs w:val="18"/>
        </w:rPr>
        <w:t>-</w:t>
      </w:r>
      <w:r>
        <w:rPr>
          <w:rFonts w:hint="eastAsia"/>
          <w:b/>
          <w:sz w:val="18"/>
          <w:szCs w:val="18"/>
        </w:rPr>
        <w:t xml:space="preserve">2  </w:t>
      </w:r>
      <w:r>
        <w:rPr>
          <w:rFonts w:hint="eastAsia" w:ascii="宋体" w:hAnsi="宋体"/>
          <w:b/>
          <w:sz w:val="18"/>
          <w:szCs w:val="18"/>
        </w:rPr>
        <w:t>岩石边坡放坡坡度允许值</w:t>
      </w:r>
    </w:p>
    <w:tbl>
      <w:tblPr>
        <w:tblStyle w:val="34"/>
        <w:tblW w:w="584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28" w:type="dxa"/>
          <w:left w:w="28" w:type="dxa"/>
          <w:bottom w:w="28" w:type="dxa"/>
          <w:right w:w="28" w:type="dxa"/>
        </w:tblCellMar>
      </w:tblPr>
      <w:tblGrid>
        <w:gridCol w:w="1371"/>
        <w:gridCol w:w="1371"/>
        <w:gridCol w:w="1549"/>
        <w:gridCol w:w="1549"/>
      </w:tblGrid>
      <w:tr w14:paraId="44E27E6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1371" w:type="dxa"/>
            <w:vMerge w:val="restart"/>
            <w:vAlign w:val="center"/>
          </w:tcPr>
          <w:p w14:paraId="12300759">
            <w:pPr>
              <w:adjustRightInd w:val="0"/>
              <w:snapToGrid w:val="0"/>
              <w:spacing w:line="264" w:lineRule="auto"/>
              <w:jc w:val="center"/>
              <w:rPr>
                <w:rFonts w:ascii="宋体" w:hAnsi="宋体"/>
                <w:sz w:val="15"/>
                <w:szCs w:val="15"/>
              </w:rPr>
            </w:pPr>
            <w:r>
              <w:rPr>
                <w:rFonts w:hint="eastAsia" w:ascii="宋体" w:hAnsi="宋体"/>
                <w:sz w:val="15"/>
                <w:szCs w:val="15"/>
              </w:rPr>
              <w:t>岩土类别</w:t>
            </w:r>
          </w:p>
        </w:tc>
        <w:tc>
          <w:tcPr>
            <w:tcW w:w="1371" w:type="dxa"/>
            <w:vMerge w:val="restart"/>
            <w:vAlign w:val="center"/>
          </w:tcPr>
          <w:p w14:paraId="0040BB2B">
            <w:pPr>
              <w:adjustRightInd w:val="0"/>
              <w:snapToGrid w:val="0"/>
              <w:spacing w:line="264" w:lineRule="auto"/>
              <w:jc w:val="center"/>
              <w:rPr>
                <w:sz w:val="15"/>
                <w:szCs w:val="15"/>
              </w:rPr>
            </w:pPr>
            <w:r>
              <w:rPr>
                <w:rFonts w:hAnsi="宋体"/>
                <w:sz w:val="15"/>
                <w:szCs w:val="15"/>
              </w:rPr>
              <w:t>风化程度</w:t>
            </w:r>
          </w:p>
        </w:tc>
        <w:tc>
          <w:tcPr>
            <w:tcW w:w="3098" w:type="dxa"/>
            <w:gridSpan w:val="2"/>
            <w:vAlign w:val="center"/>
          </w:tcPr>
          <w:p w14:paraId="266DB60A">
            <w:pPr>
              <w:adjustRightInd w:val="0"/>
              <w:snapToGrid w:val="0"/>
              <w:spacing w:line="264" w:lineRule="auto"/>
              <w:jc w:val="center"/>
              <w:rPr>
                <w:sz w:val="15"/>
                <w:szCs w:val="15"/>
              </w:rPr>
            </w:pPr>
            <w:r>
              <w:rPr>
                <w:rFonts w:hAnsi="宋体"/>
                <w:sz w:val="15"/>
                <w:szCs w:val="15"/>
              </w:rPr>
              <w:t>坡度容许值（高宽比）</w:t>
            </w:r>
          </w:p>
        </w:tc>
      </w:tr>
      <w:tr w14:paraId="7FD60CE7">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1371" w:type="dxa"/>
            <w:vMerge w:val="continue"/>
            <w:vAlign w:val="center"/>
          </w:tcPr>
          <w:p w14:paraId="4D4013A1">
            <w:pPr>
              <w:adjustRightInd w:val="0"/>
              <w:snapToGrid w:val="0"/>
              <w:spacing w:line="264" w:lineRule="auto"/>
              <w:jc w:val="center"/>
              <w:rPr>
                <w:rFonts w:ascii="宋体" w:hAnsi="宋体"/>
                <w:sz w:val="15"/>
                <w:szCs w:val="15"/>
              </w:rPr>
            </w:pPr>
          </w:p>
        </w:tc>
        <w:tc>
          <w:tcPr>
            <w:tcW w:w="1371" w:type="dxa"/>
            <w:vMerge w:val="continue"/>
            <w:vAlign w:val="center"/>
          </w:tcPr>
          <w:p w14:paraId="58860656">
            <w:pPr>
              <w:adjustRightInd w:val="0"/>
              <w:snapToGrid w:val="0"/>
              <w:spacing w:line="264" w:lineRule="auto"/>
              <w:jc w:val="center"/>
              <w:rPr>
                <w:sz w:val="15"/>
                <w:szCs w:val="15"/>
              </w:rPr>
            </w:pPr>
          </w:p>
        </w:tc>
        <w:tc>
          <w:tcPr>
            <w:tcW w:w="1549" w:type="dxa"/>
            <w:vAlign w:val="center"/>
          </w:tcPr>
          <w:p w14:paraId="0E0FDCC1">
            <w:pPr>
              <w:adjustRightInd w:val="0"/>
              <w:snapToGrid w:val="0"/>
              <w:spacing w:line="264" w:lineRule="auto"/>
              <w:jc w:val="center"/>
              <w:rPr>
                <w:sz w:val="15"/>
                <w:szCs w:val="15"/>
              </w:rPr>
            </w:pPr>
            <w:r>
              <w:rPr>
                <w:rFonts w:hAnsi="宋体"/>
                <w:sz w:val="15"/>
                <w:szCs w:val="15"/>
              </w:rPr>
              <w:t>坡高在</w:t>
            </w:r>
            <w:r>
              <w:rPr>
                <w:sz w:val="15"/>
                <w:szCs w:val="15"/>
              </w:rPr>
              <w:t>8m</w:t>
            </w:r>
            <w:r>
              <w:rPr>
                <w:rFonts w:hAnsi="宋体"/>
                <w:sz w:val="15"/>
                <w:szCs w:val="15"/>
              </w:rPr>
              <w:t>以内</w:t>
            </w:r>
          </w:p>
        </w:tc>
        <w:tc>
          <w:tcPr>
            <w:tcW w:w="1549" w:type="dxa"/>
            <w:vAlign w:val="center"/>
          </w:tcPr>
          <w:p w14:paraId="1FFC7C12">
            <w:pPr>
              <w:adjustRightInd w:val="0"/>
              <w:snapToGrid w:val="0"/>
              <w:spacing w:line="264" w:lineRule="auto"/>
              <w:jc w:val="center"/>
              <w:rPr>
                <w:sz w:val="15"/>
                <w:szCs w:val="15"/>
              </w:rPr>
            </w:pPr>
            <w:r>
              <w:rPr>
                <w:rFonts w:hAnsi="宋体"/>
                <w:sz w:val="15"/>
                <w:szCs w:val="15"/>
              </w:rPr>
              <w:t>坡高</w:t>
            </w:r>
            <w:r>
              <w:rPr>
                <w:sz w:val="15"/>
                <w:szCs w:val="15"/>
              </w:rPr>
              <w:t>8</w:t>
            </w:r>
            <w:r>
              <w:rPr>
                <w:rFonts w:hint="eastAsia"/>
                <w:sz w:val="15"/>
                <w:szCs w:val="15"/>
              </w:rPr>
              <w:t>m</w:t>
            </w:r>
            <w:r>
              <w:rPr>
                <w:rFonts w:hAnsi="宋体"/>
                <w:sz w:val="15"/>
                <w:szCs w:val="15"/>
              </w:rPr>
              <w:t>～</w:t>
            </w:r>
            <w:r>
              <w:rPr>
                <w:sz w:val="15"/>
                <w:szCs w:val="15"/>
              </w:rPr>
              <w:t>15m</w:t>
            </w:r>
          </w:p>
        </w:tc>
      </w:tr>
      <w:tr w14:paraId="789EFD37">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28" w:type="dxa"/>
            <w:left w:w="28" w:type="dxa"/>
            <w:bottom w:w="28" w:type="dxa"/>
            <w:right w:w="28" w:type="dxa"/>
          </w:tblCellMar>
        </w:tblPrEx>
        <w:trPr>
          <w:jc w:val="center"/>
        </w:trPr>
        <w:tc>
          <w:tcPr>
            <w:tcW w:w="1371" w:type="dxa"/>
            <w:vAlign w:val="center"/>
          </w:tcPr>
          <w:p w14:paraId="477061E2">
            <w:pPr>
              <w:adjustRightInd w:val="0"/>
              <w:snapToGrid w:val="0"/>
              <w:spacing w:line="264" w:lineRule="auto"/>
              <w:jc w:val="center"/>
              <w:rPr>
                <w:rFonts w:ascii="宋体" w:hAnsi="宋体"/>
                <w:sz w:val="15"/>
                <w:szCs w:val="15"/>
              </w:rPr>
            </w:pPr>
            <w:r>
              <w:rPr>
                <w:rFonts w:hint="eastAsia" w:ascii="宋体" w:hAnsi="宋体"/>
                <w:sz w:val="15"/>
                <w:szCs w:val="15"/>
              </w:rPr>
              <w:t>硬质岩石</w:t>
            </w:r>
          </w:p>
        </w:tc>
        <w:tc>
          <w:tcPr>
            <w:tcW w:w="1371" w:type="dxa"/>
            <w:vAlign w:val="center"/>
          </w:tcPr>
          <w:p w14:paraId="4BFC7159">
            <w:pPr>
              <w:adjustRightInd w:val="0"/>
              <w:snapToGrid w:val="0"/>
              <w:spacing w:line="264" w:lineRule="auto"/>
              <w:jc w:val="center"/>
              <w:rPr>
                <w:sz w:val="15"/>
                <w:szCs w:val="15"/>
              </w:rPr>
            </w:pPr>
            <w:r>
              <w:rPr>
                <w:sz w:val="15"/>
                <w:szCs w:val="15"/>
              </w:rPr>
              <w:t>微风化</w:t>
            </w:r>
          </w:p>
          <w:p w14:paraId="4DC611B6">
            <w:pPr>
              <w:adjustRightInd w:val="0"/>
              <w:snapToGrid w:val="0"/>
              <w:spacing w:line="264" w:lineRule="auto"/>
              <w:jc w:val="center"/>
              <w:rPr>
                <w:sz w:val="15"/>
                <w:szCs w:val="15"/>
              </w:rPr>
            </w:pPr>
            <w:r>
              <w:rPr>
                <w:sz w:val="15"/>
                <w:szCs w:val="15"/>
              </w:rPr>
              <w:t>中等风化</w:t>
            </w:r>
          </w:p>
          <w:p w14:paraId="33DC178E">
            <w:pPr>
              <w:adjustRightInd w:val="0"/>
              <w:snapToGrid w:val="0"/>
              <w:spacing w:line="264" w:lineRule="auto"/>
              <w:jc w:val="center"/>
              <w:rPr>
                <w:sz w:val="15"/>
                <w:szCs w:val="15"/>
              </w:rPr>
            </w:pPr>
            <w:r>
              <w:rPr>
                <w:sz w:val="15"/>
                <w:szCs w:val="15"/>
              </w:rPr>
              <w:t>强风化</w:t>
            </w:r>
          </w:p>
        </w:tc>
        <w:tc>
          <w:tcPr>
            <w:tcW w:w="1549" w:type="dxa"/>
            <w:vAlign w:val="center"/>
          </w:tcPr>
          <w:p w14:paraId="02417DBD">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0.10～1</w:t>
            </w:r>
            <w:r>
              <w:rPr>
                <w:rFonts w:hint="eastAsia" w:ascii="宋体" w:hAnsi="宋体"/>
                <w:sz w:val="15"/>
                <w:szCs w:val="15"/>
              </w:rPr>
              <w:t>:</w:t>
            </w:r>
            <w:r>
              <w:rPr>
                <w:sz w:val="15"/>
                <w:szCs w:val="15"/>
              </w:rPr>
              <w:t>0.20</w:t>
            </w:r>
          </w:p>
          <w:p w14:paraId="60CE9776">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0.20～1</w:t>
            </w:r>
            <w:r>
              <w:rPr>
                <w:rFonts w:hint="eastAsia" w:ascii="宋体" w:hAnsi="宋体"/>
                <w:sz w:val="15"/>
                <w:szCs w:val="15"/>
              </w:rPr>
              <w:t>:</w:t>
            </w:r>
            <w:r>
              <w:rPr>
                <w:sz w:val="15"/>
                <w:szCs w:val="15"/>
              </w:rPr>
              <w:t>0.35</w:t>
            </w:r>
          </w:p>
          <w:p w14:paraId="246A74A7">
            <w:pPr>
              <w:adjustRightInd w:val="0"/>
              <w:snapToGrid w:val="0"/>
              <w:spacing w:line="264" w:lineRule="auto"/>
              <w:jc w:val="center"/>
              <w:rPr>
                <w:sz w:val="15"/>
                <w:szCs w:val="15"/>
              </w:rPr>
            </w:pPr>
            <w:r>
              <w:rPr>
                <w:sz w:val="15"/>
                <w:szCs w:val="15"/>
              </w:rPr>
              <w:t>1:0.35～1:0.50</w:t>
            </w:r>
          </w:p>
        </w:tc>
        <w:tc>
          <w:tcPr>
            <w:tcW w:w="1549" w:type="dxa"/>
            <w:vAlign w:val="center"/>
          </w:tcPr>
          <w:p w14:paraId="66F659A5">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0.20～1</w:t>
            </w:r>
            <w:r>
              <w:rPr>
                <w:rFonts w:hint="eastAsia" w:ascii="宋体" w:hAnsi="宋体"/>
                <w:sz w:val="15"/>
                <w:szCs w:val="15"/>
              </w:rPr>
              <w:t>:</w:t>
            </w:r>
            <w:r>
              <w:rPr>
                <w:sz w:val="15"/>
                <w:szCs w:val="15"/>
              </w:rPr>
              <w:t>0</w:t>
            </w:r>
            <w:r>
              <w:rPr>
                <w:rFonts w:hint="eastAsia"/>
                <w:sz w:val="15"/>
                <w:szCs w:val="15"/>
              </w:rPr>
              <w:t>.</w:t>
            </w:r>
            <w:r>
              <w:rPr>
                <w:sz w:val="15"/>
                <w:szCs w:val="15"/>
              </w:rPr>
              <w:t>35</w:t>
            </w:r>
          </w:p>
          <w:p w14:paraId="2D86BA5F">
            <w:pPr>
              <w:adjustRightInd w:val="0"/>
              <w:snapToGrid w:val="0"/>
              <w:spacing w:line="264" w:lineRule="auto"/>
              <w:jc w:val="center"/>
              <w:rPr>
                <w:sz w:val="15"/>
                <w:szCs w:val="15"/>
              </w:rPr>
            </w:pPr>
            <w:r>
              <w:rPr>
                <w:sz w:val="15"/>
                <w:szCs w:val="15"/>
              </w:rPr>
              <w:t>1</w:t>
            </w:r>
            <w:r>
              <w:rPr>
                <w:rFonts w:hint="eastAsia" w:ascii="宋体" w:hAnsi="宋体"/>
                <w:sz w:val="15"/>
                <w:szCs w:val="15"/>
              </w:rPr>
              <w:t>:</w:t>
            </w:r>
            <w:r>
              <w:rPr>
                <w:sz w:val="15"/>
                <w:szCs w:val="15"/>
              </w:rPr>
              <w:t>0.35～1</w:t>
            </w:r>
            <w:r>
              <w:rPr>
                <w:rFonts w:hint="eastAsia" w:ascii="宋体" w:hAnsi="宋体"/>
                <w:sz w:val="15"/>
                <w:szCs w:val="15"/>
              </w:rPr>
              <w:t>:</w:t>
            </w:r>
            <w:r>
              <w:rPr>
                <w:sz w:val="15"/>
                <w:szCs w:val="15"/>
              </w:rPr>
              <w:t>0.50</w:t>
            </w:r>
          </w:p>
          <w:p w14:paraId="0FD03A98">
            <w:pPr>
              <w:adjustRightInd w:val="0"/>
              <w:snapToGrid w:val="0"/>
              <w:spacing w:line="264" w:lineRule="auto"/>
              <w:jc w:val="center"/>
              <w:rPr>
                <w:sz w:val="15"/>
                <w:szCs w:val="15"/>
              </w:rPr>
            </w:pPr>
            <w:r>
              <w:rPr>
                <w:sz w:val="15"/>
                <w:szCs w:val="15"/>
              </w:rPr>
              <w:t>1:0.50～1:0.75</w:t>
            </w:r>
          </w:p>
        </w:tc>
      </w:tr>
      <w:tr w14:paraId="24393DAF">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45" w:type="dxa"/>
            <w:left w:w="28" w:type="dxa"/>
            <w:bottom w:w="45" w:type="dxa"/>
            <w:right w:w="28" w:type="dxa"/>
          </w:tblCellMar>
        </w:tblPrEx>
        <w:trPr>
          <w:jc w:val="center"/>
        </w:trPr>
        <w:tc>
          <w:tcPr>
            <w:tcW w:w="1371" w:type="dxa"/>
            <w:vAlign w:val="center"/>
          </w:tcPr>
          <w:p w14:paraId="470E98BE">
            <w:pPr>
              <w:adjustRightInd w:val="0"/>
              <w:snapToGrid w:val="0"/>
              <w:spacing w:line="264" w:lineRule="auto"/>
              <w:jc w:val="center"/>
              <w:rPr>
                <w:rFonts w:ascii="宋体" w:hAnsi="宋体"/>
                <w:sz w:val="15"/>
                <w:szCs w:val="15"/>
              </w:rPr>
            </w:pPr>
            <w:r>
              <w:rPr>
                <w:rFonts w:hint="eastAsia" w:ascii="宋体" w:hAnsi="宋体"/>
                <w:sz w:val="15"/>
                <w:szCs w:val="15"/>
              </w:rPr>
              <w:t>软质岩石</w:t>
            </w:r>
          </w:p>
        </w:tc>
        <w:tc>
          <w:tcPr>
            <w:tcW w:w="1371" w:type="dxa"/>
            <w:vAlign w:val="center"/>
          </w:tcPr>
          <w:p w14:paraId="03F2971B">
            <w:pPr>
              <w:adjustRightInd w:val="0"/>
              <w:snapToGrid w:val="0"/>
              <w:spacing w:line="264" w:lineRule="auto"/>
              <w:jc w:val="center"/>
              <w:rPr>
                <w:sz w:val="15"/>
                <w:szCs w:val="15"/>
              </w:rPr>
            </w:pPr>
            <w:r>
              <w:rPr>
                <w:rFonts w:hAnsi="宋体"/>
                <w:sz w:val="15"/>
                <w:szCs w:val="15"/>
              </w:rPr>
              <w:t>微风化</w:t>
            </w:r>
          </w:p>
          <w:p w14:paraId="2FAB6B09">
            <w:pPr>
              <w:adjustRightInd w:val="0"/>
              <w:snapToGrid w:val="0"/>
              <w:spacing w:line="264" w:lineRule="auto"/>
              <w:jc w:val="center"/>
              <w:rPr>
                <w:sz w:val="15"/>
                <w:szCs w:val="15"/>
              </w:rPr>
            </w:pPr>
            <w:r>
              <w:rPr>
                <w:rFonts w:hAnsi="宋体"/>
                <w:sz w:val="15"/>
                <w:szCs w:val="15"/>
              </w:rPr>
              <w:t>中等风化</w:t>
            </w:r>
          </w:p>
          <w:p w14:paraId="1131D0EE">
            <w:pPr>
              <w:adjustRightInd w:val="0"/>
              <w:snapToGrid w:val="0"/>
              <w:spacing w:line="264" w:lineRule="auto"/>
              <w:jc w:val="center"/>
              <w:rPr>
                <w:sz w:val="15"/>
                <w:szCs w:val="15"/>
              </w:rPr>
            </w:pPr>
            <w:r>
              <w:rPr>
                <w:rFonts w:hAnsi="宋体"/>
                <w:sz w:val="15"/>
                <w:szCs w:val="15"/>
              </w:rPr>
              <w:t>强风化</w:t>
            </w:r>
          </w:p>
        </w:tc>
        <w:tc>
          <w:tcPr>
            <w:tcW w:w="1549" w:type="dxa"/>
            <w:vAlign w:val="center"/>
          </w:tcPr>
          <w:p w14:paraId="7FD095AD">
            <w:pPr>
              <w:adjustRightInd w:val="0"/>
              <w:snapToGrid w:val="0"/>
              <w:spacing w:line="264" w:lineRule="auto"/>
              <w:jc w:val="center"/>
              <w:rPr>
                <w:sz w:val="15"/>
                <w:szCs w:val="15"/>
              </w:rPr>
            </w:pPr>
            <w:r>
              <w:rPr>
                <w:sz w:val="15"/>
                <w:szCs w:val="15"/>
              </w:rPr>
              <w:t>1:0.35</w:t>
            </w:r>
            <w:r>
              <w:rPr>
                <w:rFonts w:hAnsi="宋体"/>
                <w:sz w:val="15"/>
                <w:szCs w:val="15"/>
              </w:rPr>
              <w:t>～</w:t>
            </w:r>
            <w:r>
              <w:rPr>
                <w:sz w:val="15"/>
                <w:szCs w:val="15"/>
              </w:rPr>
              <w:t>1:0.50</w:t>
            </w:r>
          </w:p>
          <w:p w14:paraId="4719522B">
            <w:pPr>
              <w:adjustRightInd w:val="0"/>
              <w:snapToGrid w:val="0"/>
              <w:spacing w:line="264" w:lineRule="auto"/>
              <w:jc w:val="center"/>
              <w:rPr>
                <w:sz w:val="15"/>
                <w:szCs w:val="15"/>
              </w:rPr>
            </w:pPr>
            <w:r>
              <w:rPr>
                <w:sz w:val="15"/>
                <w:szCs w:val="15"/>
              </w:rPr>
              <w:t>1:0.50</w:t>
            </w:r>
            <w:r>
              <w:rPr>
                <w:rFonts w:hAnsi="宋体"/>
                <w:sz w:val="15"/>
                <w:szCs w:val="15"/>
              </w:rPr>
              <w:t>～</w:t>
            </w:r>
            <w:r>
              <w:rPr>
                <w:sz w:val="15"/>
                <w:szCs w:val="15"/>
              </w:rPr>
              <w:t>1:0.75</w:t>
            </w:r>
          </w:p>
          <w:p w14:paraId="59C2F6C1">
            <w:pPr>
              <w:adjustRightInd w:val="0"/>
              <w:snapToGrid w:val="0"/>
              <w:spacing w:line="264" w:lineRule="auto"/>
              <w:jc w:val="center"/>
              <w:rPr>
                <w:sz w:val="15"/>
                <w:szCs w:val="15"/>
              </w:rPr>
            </w:pPr>
            <w:r>
              <w:rPr>
                <w:sz w:val="15"/>
                <w:szCs w:val="15"/>
              </w:rPr>
              <w:t>1:0.75</w:t>
            </w:r>
            <w:r>
              <w:rPr>
                <w:rFonts w:hAnsi="宋体"/>
                <w:sz w:val="15"/>
                <w:szCs w:val="15"/>
              </w:rPr>
              <w:t>～</w:t>
            </w:r>
            <w:r>
              <w:rPr>
                <w:sz w:val="15"/>
                <w:szCs w:val="15"/>
              </w:rPr>
              <w:t>1:1.00</w:t>
            </w:r>
          </w:p>
        </w:tc>
        <w:tc>
          <w:tcPr>
            <w:tcW w:w="1549" w:type="dxa"/>
            <w:vAlign w:val="center"/>
          </w:tcPr>
          <w:p w14:paraId="3243ECC5">
            <w:pPr>
              <w:adjustRightInd w:val="0"/>
              <w:snapToGrid w:val="0"/>
              <w:spacing w:line="264" w:lineRule="auto"/>
              <w:jc w:val="center"/>
              <w:rPr>
                <w:sz w:val="15"/>
                <w:szCs w:val="15"/>
              </w:rPr>
            </w:pPr>
            <w:r>
              <w:rPr>
                <w:sz w:val="15"/>
                <w:szCs w:val="15"/>
              </w:rPr>
              <w:t>1:0.50</w:t>
            </w:r>
            <w:r>
              <w:rPr>
                <w:rFonts w:hAnsi="宋体"/>
                <w:sz w:val="15"/>
                <w:szCs w:val="15"/>
              </w:rPr>
              <w:t>～</w:t>
            </w:r>
            <w:r>
              <w:rPr>
                <w:sz w:val="15"/>
                <w:szCs w:val="15"/>
              </w:rPr>
              <w:t>1:0.75</w:t>
            </w:r>
          </w:p>
          <w:p w14:paraId="68AE0CB6">
            <w:pPr>
              <w:adjustRightInd w:val="0"/>
              <w:snapToGrid w:val="0"/>
              <w:spacing w:line="264" w:lineRule="auto"/>
              <w:jc w:val="center"/>
              <w:rPr>
                <w:sz w:val="15"/>
                <w:szCs w:val="15"/>
              </w:rPr>
            </w:pPr>
            <w:r>
              <w:rPr>
                <w:sz w:val="15"/>
                <w:szCs w:val="15"/>
              </w:rPr>
              <w:t>1:0.75</w:t>
            </w:r>
            <w:r>
              <w:rPr>
                <w:rFonts w:hAnsi="宋体"/>
                <w:sz w:val="15"/>
                <w:szCs w:val="15"/>
              </w:rPr>
              <w:t>～</w:t>
            </w:r>
            <w:r>
              <w:rPr>
                <w:sz w:val="15"/>
                <w:szCs w:val="15"/>
              </w:rPr>
              <w:t>1:1.00</w:t>
            </w:r>
          </w:p>
          <w:p w14:paraId="3D9D3D70">
            <w:pPr>
              <w:adjustRightInd w:val="0"/>
              <w:snapToGrid w:val="0"/>
              <w:spacing w:line="264" w:lineRule="auto"/>
              <w:jc w:val="center"/>
              <w:rPr>
                <w:sz w:val="15"/>
                <w:szCs w:val="15"/>
              </w:rPr>
            </w:pPr>
            <w:r>
              <w:rPr>
                <w:sz w:val="15"/>
                <w:szCs w:val="15"/>
              </w:rPr>
              <w:t>1:1.00</w:t>
            </w:r>
            <w:r>
              <w:rPr>
                <w:rFonts w:hAnsi="宋体"/>
                <w:sz w:val="15"/>
                <w:szCs w:val="15"/>
              </w:rPr>
              <w:t>～</w:t>
            </w:r>
            <w:r>
              <w:rPr>
                <w:sz w:val="15"/>
                <w:szCs w:val="15"/>
              </w:rPr>
              <w:t>1:1.25</w:t>
            </w:r>
          </w:p>
        </w:tc>
      </w:tr>
    </w:tbl>
    <w:p w14:paraId="4FE455BA">
      <w:pPr>
        <w:adjustRightInd w:val="0"/>
        <w:snapToGrid w:val="0"/>
        <w:spacing w:line="288" w:lineRule="auto"/>
        <w:ind w:firstLine="400" w:firstLineChars="200"/>
        <w:rPr>
          <w:rFonts w:ascii="宋体" w:hAnsi="宋体"/>
          <w:sz w:val="20"/>
          <w:szCs w:val="20"/>
        </w:rPr>
      </w:pPr>
    </w:p>
    <w:p w14:paraId="1B091560">
      <w:pPr>
        <w:adjustRightInd w:val="0"/>
        <w:snapToGrid w:val="0"/>
        <w:spacing w:line="288" w:lineRule="auto"/>
        <w:ind w:firstLine="400" w:firstLineChars="200"/>
        <w:rPr>
          <w:rFonts w:ascii="宋体" w:hAnsi="宋体"/>
          <w:sz w:val="20"/>
          <w:szCs w:val="20"/>
        </w:rPr>
      </w:pPr>
      <w:r>
        <w:rPr>
          <w:rFonts w:hint="eastAsia" w:ascii="宋体" w:hAnsi="宋体"/>
          <w:sz w:val="20"/>
          <w:szCs w:val="20"/>
        </w:rPr>
        <w:t>垂直边坡对地下水、侧壁土质条件及开挖施工要求较高，无特殊要求尽量不采用垂直边坡。若采用垂直边坡时，首先应按下式估算侧壁土体自然稳定的最大临界深度</w:t>
      </w:r>
      <w:r>
        <w:rPr>
          <w:i/>
          <w:sz w:val="20"/>
          <w:szCs w:val="20"/>
        </w:rPr>
        <w:t>H</w:t>
      </w:r>
      <w:r>
        <w:rPr>
          <w:sz w:val="20"/>
          <w:szCs w:val="20"/>
          <w:vertAlign w:val="subscript"/>
        </w:rPr>
        <w:t>c</w:t>
      </w:r>
      <w:r>
        <w:rPr>
          <w:rFonts w:hint="eastAsia" w:ascii="宋体" w:hAnsi="宋体"/>
          <w:sz w:val="20"/>
          <w:szCs w:val="20"/>
        </w:rPr>
        <w:t>，以确定垂直边坡的高度。</w:t>
      </w:r>
    </w:p>
    <w:p w14:paraId="1D6773CE">
      <w:pPr>
        <w:adjustRightInd w:val="0"/>
        <w:snapToGrid w:val="0"/>
        <w:spacing w:line="288" w:lineRule="auto"/>
        <w:ind w:firstLine="400" w:firstLineChars="200"/>
        <w:jc w:val="right"/>
        <w:rPr>
          <w:rFonts w:ascii="宋体" w:hAnsi="宋体"/>
          <w:sz w:val="20"/>
          <w:szCs w:val="20"/>
        </w:rPr>
      </w:pPr>
      <w:r>
        <w:rPr>
          <w:rFonts w:ascii="宋体" w:hAnsi="宋体"/>
          <w:position w:val="-24"/>
          <w:sz w:val="20"/>
          <w:szCs w:val="20"/>
        </w:rPr>
        <w:object>
          <v:shape id="_x0000_i1169" o:spt="75" type="#_x0000_t75" style="height:27.05pt;width:42.05pt;" o:ole="t" filled="f" o:preferrelative="t" stroked="f" coordsize="21600,21600">
            <v:path/>
            <v:fill on="f" focussize="0,0"/>
            <v:stroke on="f" joinstyle="miter"/>
            <v:imagedata r:id="rId331" o:title=""/>
            <o:lock v:ext="edit" aspectratio="t"/>
            <w10:wrap type="none"/>
            <w10:anchorlock/>
          </v:shape>
          <o:OLEObject Type="Embed" ProgID="Equation.DSMT4" ShapeID="_x0000_i1169" DrawAspect="Content" ObjectID="_1468075873" r:id="rId330">
            <o:LockedField>false</o:LockedField>
          </o:OLEObject>
        </w:object>
      </w:r>
      <w:r>
        <w:rPr>
          <w:rFonts w:hint="eastAsia" w:ascii="宋体" w:hAnsi="宋体"/>
          <w:sz w:val="20"/>
          <w:szCs w:val="20"/>
        </w:rPr>
        <w:t>或</w:t>
      </w:r>
      <w:r>
        <w:rPr>
          <w:rFonts w:ascii="宋体" w:hAnsi="宋体"/>
          <w:position w:val="-20"/>
          <w:sz w:val="20"/>
          <w:szCs w:val="20"/>
        </w:rPr>
        <w:object>
          <v:shape id="_x0000_i1170" o:spt="75" type="#_x0000_t75" style="height:24.2pt;width:74.3pt;" o:ole="t" filled="f" o:preferrelative="t" stroked="f" coordsize="21600,21600">
            <v:path/>
            <v:fill on="f" focussize="0,0"/>
            <v:stroke on="f" joinstyle="miter"/>
            <v:imagedata r:id="rId333" o:title=""/>
            <o:lock v:ext="edit" aspectratio="t"/>
            <w10:wrap type="none"/>
            <w10:anchorlock/>
          </v:shape>
          <o:OLEObject Type="Embed" ProgID="Equation.DSMT4" ShapeID="_x0000_i1170" DrawAspect="Content" ObjectID="_1468075874" r:id="rId332">
            <o:LockedField>false</o:LockedField>
          </o:OLEObject>
        </w:object>
      </w:r>
      <w:r>
        <w:rPr>
          <w:rFonts w:ascii="宋体" w:hAnsi="宋体"/>
          <w:sz w:val="20"/>
          <w:szCs w:val="20"/>
        </w:rPr>
        <w:tab/>
      </w:r>
      <w:r>
        <w:rPr>
          <w:rFonts w:ascii="宋体" w:hAnsi="宋体"/>
          <w:sz w:val="20"/>
          <w:szCs w:val="20"/>
        </w:rPr>
        <w:tab/>
      </w:r>
      <w:r>
        <w:rPr>
          <w:rFonts w:ascii="宋体" w:hAnsi="宋体"/>
          <w:sz w:val="20"/>
          <w:szCs w:val="20"/>
        </w:rPr>
        <w:tab/>
      </w:r>
      <w:r>
        <w:rPr>
          <w:rFonts w:ascii="宋体" w:hAnsi="宋体"/>
          <w:sz w:val="20"/>
          <w:szCs w:val="20"/>
        </w:rPr>
        <w:tab/>
      </w:r>
      <w:r>
        <w:rPr>
          <w:rFonts w:hint="eastAsia" w:ascii="宋体" w:hAnsi="宋体"/>
          <w:sz w:val="20"/>
          <w:szCs w:val="20"/>
        </w:rPr>
        <w:t>（1）</w:t>
      </w:r>
    </w:p>
    <w:p w14:paraId="489115DE">
      <w:pPr>
        <w:adjustRightInd w:val="0"/>
        <w:snapToGrid w:val="0"/>
        <w:spacing w:line="288" w:lineRule="auto"/>
        <w:rPr>
          <w:sz w:val="20"/>
          <w:szCs w:val="20"/>
        </w:rPr>
      </w:pPr>
      <w:r>
        <w:rPr>
          <w:rFonts w:hAnsi="宋体"/>
          <w:sz w:val="20"/>
          <w:szCs w:val="20"/>
        </w:rPr>
        <w:t>式中，</w:t>
      </w:r>
      <w:r>
        <w:rPr>
          <w:i/>
          <w:sz w:val="20"/>
          <w:szCs w:val="20"/>
        </w:rPr>
        <w:t>c</w:t>
      </w:r>
      <w:r>
        <w:rPr>
          <w:rFonts w:hAnsi="宋体"/>
          <w:sz w:val="20"/>
          <w:szCs w:val="20"/>
        </w:rPr>
        <w:t>为土的内聚力标准值（</w:t>
      </w:r>
      <w:r>
        <w:rPr>
          <w:sz w:val="20"/>
          <w:szCs w:val="20"/>
        </w:rPr>
        <w:t>kPa</w:t>
      </w:r>
      <w:r>
        <w:rPr>
          <w:rFonts w:hAnsi="宋体"/>
          <w:sz w:val="20"/>
          <w:szCs w:val="20"/>
        </w:rPr>
        <w:t>），</w:t>
      </w:r>
      <w:r>
        <w:rPr>
          <w:i/>
          <w:sz w:val="20"/>
          <w:szCs w:val="20"/>
        </w:rPr>
        <w:t>γ</w:t>
      </w:r>
      <w:r>
        <w:rPr>
          <w:rFonts w:hAnsi="宋体"/>
          <w:sz w:val="20"/>
          <w:szCs w:val="20"/>
        </w:rPr>
        <w:t>为土的天然重度（</w:t>
      </w:r>
      <w:r>
        <w:rPr>
          <w:sz w:val="20"/>
          <w:szCs w:val="20"/>
        </w:rPr>
        <w:t>kN/m</w:t>
      </w:r>
      <w:r>
        <w:rPr>
          <w:sz w:val="20"/>
          <w:szCs w:val="20"/>
          <w:vertAlign w:val="superscript"/>
        </w:rPr>
        <w:t>3</w:t>
      </w:r>
      <w:r>
        <w:rPr>
          <w:rFonts w:hAnsi="宋体"/>
          <w:sz w:val="20"/>
          <w:szCs w:val="20"/>
        </w:rPr>
        <w:t>），</w:t>
      </w:r>
      <w:r>
        <w:rPr>
          <w:i/>
          <w:sz w:val="20"/>
          <w:szCs w:val="20"/>
        </w:rPr>
        <w:t>K</w:t>
      </w:r>
      <w:r>
        <w:rPr>
          <w:sz w:val="20"/>
          <w:szCs w:val="20"/>
        </w:rPr>
        <w:t>a</w:t>
      </w:r>
      <w:r>
        <w:rPr>
          <w:rFonts w:hAnsi="宋体"/>
          <w:sz w:val="20"/>
          <w:szCs w:val="20"/>
        </w:rPr>
        <w:t>为朗金主动土压力系数。应用上式时应注意：</w:t>
      </w:r>
    </w:p>
    <w:p w14:paraId="06FB8578">
      <w:pPr>
        <w:adjustRightInd w:val="0"/>
        <w:snapToGrid w:val="0"/>
        <w:spacing w:line="288" w:lineRule="auto"/>
        <w:ind w:firstLine="400" w:firstLineChars="200"/>
        <w:rPr>
          <w:rFonts w:ascii="宋体" w:hAnsi="宋体"/>
          <w:sz w:val="20"/>
          <w:szCs w:val="20"/>
        </w:rPr>
      </w:pPr>
      <w:r>
        <w:rPr>
          <w:rFonts w:hint="eastAsia" w:ascii="宋体" w:hAnsi="宋体"/>
          <w:sz w:val="20"/>
          <w:szCs w:val="20"/>
        </w:rPr>
        <w:t>1）坑壁由于吸水或失水等原因，一旦形成裂隙，公式不成立；</w:t>
      </w:r>
    </w:p>
    <w:p w14:paraId="3124984D">
      <w:pPr>
        <w:adjustRightInd w:val="0"/>
        <w:snapToGrid w:val="0"/>
        <w:spacing w:line="288" w:lineRule="auto"/>
        <w:ind w:firstLine="400" w:firstLineChars="200"/>
        <w:rPr>
          <w:rFonts w:ascii="宋体" w:hAnsi="宋体"/>
          <w:sz w:val="20"/>
          <w:szCs w:val="20"/>
        </w:rPr>
      </w:pPr>
      <w:r>
        <w:rPr>
          <w:rFonts w:hint="eastAsia" w:ascii="宋体" w:hAnsi="宋体"/>
          <w:sz w:val="20"/>
          <w:szCs w:val="20"/>
        </w:rPr>
        <w:t>2）基坑附近有超载时，应重新验算坑壁的稳定性。</w:t>
      </w:r>
    </w:p>
    <w:p w14:paraId="35388765">
      <w:pPr>
        <w:adjustRightInd w:val="0"/>
        <w:snapToGrid w:val="0"/>
        <w:spacing w:line="288" w:lineRule="auto"/>
        <w:rPr>
          <w:rFonts w:ascii="宋体" w:hAnsi="宋体"/>
          <w:sz w:val="20"/>
          <w:szCs w:val="20"/>
        </w:rPr>
      </w:pPr>
      <w:r>
        <w:rPr>
          <w:b/>
          <w:bCs/>
        </w:rPr>
        <w:t>6.1.</w:t>
      </w:r>
      <w:r>
        <w:rPr>
          <w:rFonts w:hint="eastAsia"/>
          <w:b/>
          <w:bCs/>
        </w:rPr>
        <w:t xml:space="preserve">4 </w:t>
      </w:r>
      <w:r>
        <w:rPr>
          <w:b/>
          <w:bCs/>
        </w:rPr>
        <w:t xml:space="preserve"> </w:t>
      </w:r>
      <w:r>
        <w:rPr>
          <w:rFonts w:hint="eastAsia" w:ascii="宋体" w:hAnsi="宋体"/>
          <w:sz w:val="20"/>
          <w:szCs w:val="20"/>
        </w:rPr>
        <w:t>对于深度大于</w:t>
      </w:r>
      <w:r>
        <w:rPr>
          <w:sz w:val="20"/>
          <w:szCs w:val="20"/>
        </w:rPr>
        <w:t>5m</w:t>
      </w:r>
      <w:r>
        <w:rPr>
          <w:rFonts w:hint="eastAsia" w:ascii="宋体" w:hAnsi="宋体"/>
          <w:sz w:val="20"/>
          <w:szCs w:val="20"/>
        </w:rPr>
        <w:t>的土质边坡，整体稳定性较差，建议采用分级放坡，中间加过渡平台，以提高整体稳定性。分级的高度可根据现场的实际情况及土层土性而定，分级的坡度应根据分层土性而定，一般宜采用下缓上陡的形式。</w:t>
      </w:r>
    </w:p>
    <w:p w14:paraId="753E3ED4">
      <w:pPr>
        <w:adjustRightInd w:val="0"/>
        <w:snapToGrid w:val="0"/>
        <w:spacing w:line="288" w:lineRule="auto"/>
        <w:rPr>
          <w:rFonts w:ascii="宋体" w:hAnsi="宋体"/>
          <w:sz w:val="20"/>
          <w:szCs w:val="20"/>
        </w:rPr>
      </w:pPr>
      <w:r>
        <w:rPr>
          <w:b/>
          <w:bCs/>
        </w:rPr>
        <w:t>6.1.</w:t>
      </w:r>
      <w:r>
        <w:rPr>
          <w:rFonts w:hint="eastAsia"/>
          <w:b/>
          <w:bCs/>
        </w:rPr>
        <w:t xml:space="preserve">5  </w:t>
      </w:r>
      <w:r>
        <w:rPr>
          <w:rFonts w:hint="eastAsia" w:ascii="宋体" w:hAnsi="宋体"/>
          <w:sz w:val="20"/>
          <w:szCs w:val="20"/>
        </w:rPr>
        <w:t>本条强调自然放坡可与其他支护形式结合起来综合选用。如在开挖高度范围内，上部为较好的砂、黏性土层，可采用坡度较小的土钉墙支护，下部为密实的卵石层，可采用较为经济、可行的自然放坡即可。</w:t>
      </w:r>
    </w:p>
    <w:p w14:paraId="004F8B6B">
      <w:pPr>
        <w:adjustRightInd w:val="0"/>
        <w:snapToGrid w:val="0"/>
        <w:spacing w:line="288" w:lineRule="auto"/>
        <w:rPr>
          <w:rFonts w:ascii="宋体" w:hAnsi="宋体"/>
          <w:sz w:val="20"/>
          <w:szCs w:val="20"/>
        </w:rPr>
      </w:pPr>
      <w:r>
        <w:rPr>
          <w:b/>
          <w:bCs/>
        </w:rPr>
        <w:t>6.1.</w:t>
      </w:r>
      <w:r>
        <w:rPr>
          <w:rFonts w:hint="eastAsia"/>
          <w:b/>
          <w:bCs/>
        </w:rPr>
        <w:t>7</w:t>
      </w:r>
      <w:r>
        <w:rPr>
          <w:b/>
          <w:bCs/>
        </w:rPr>
        <w:t xml:space="preserve"> </w:t>
      </w:r>
      <w:r>
        <w:rPr>
          <w:rFonts w:hint="eastAsia"/>
          <w:b/>
          <w:bCs/>
        </w:rPr>
        <w:t xml:space="preserve"> </w:t>
      </w:r>
      <w:r>
        <w:rPr>
          <w:rFonts w:hint="eastAsia" w:ascii="宋体" w:hAnsi="宋体"/>
          <w:sz w:val="20"/>
          <w:szCs w:val="20"/>
        </w:rPr>
        <w:t>对于土质边坡稳定分析计算，规程推荐采用考虑平面问题的瑞典条分法是基于该方法计算简单、方便，工程应用较为普及的原因。稳定系数应大于</w:t>
      </w:r>
      <w:r>
        <w:rPr>
          <w:sz w:val="20"/>
          <w:szCs w:val="20"/>
        </w:rPr>
        <w:t>1.2</w:t>
      </w:r>
      <w:r>
        <w:rPr>
          <w:rFonts w:hint="eastAsia" w:ascii="宋体" w:hAnsi="宋体"/>
          <w:sz w:val="20"/>
          <w:szCs w:val="20"/>
        </w:rPr>
        <w:t>是根据工程实践经验确定的。当采用多级边坡时，应对每一级段边坡分别计算稳定性。</w:t>
      </w:r>
    </w:p>
    <w:p w14:paraId="75B7D15C">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372" w:name="_Toc428777608"/>
      <w:bookmarkStart w:id="373" w:name="_Toc417372411"/>
      <w:bookmarkStart w:id="374" w:name="_Toc466902393"/>
      <w:bookmarkStart w:id="375" w:name="_Toc139613806"/>
      <w:bookmarkStart w:id="376" w:name="_Toc468104752"/>
      <w:bookmarkStart w:id="377" w:name="_Toc432233001"/>
      <w:bookmarkStart w:id="378" w:name="_Toc131517244"/>
      <w:bookmarkStart w:id="379" w:name="_Toc467515850"/>
      <w:bookmarkStart w:id="380" w:name="_Toc413756070"/>
      <w:bookmarkStart w:id="381" w:name="_Toc131060589"/>
      <w:bookmarkStart w:id="382" w:name="_Toc437878870"/>
      <w:bookmarkStart w:id="383" w:name="_Toc415730034"/>
      <w:bookmarkStart w:id="384" w:name="_Toc444180174"/>
      <w:bookmarkStart w:id="385" w:name="_Toc427573472"/>
      <w:r>
        <w:rPr>
          <w:bCs w:val="0"/>
          <w:sz w:val="20"/>
          <w:szCs w:val="20"/>
        </w:rPr>
        <w:t>6</w:t>
      </w:r>
      <w:r>
        <w:rPr>
          <w:rFonts w:hint="eastAsia"/>
          <w:bCs w:val="0"/>
          <w:sz w:val="20"/>
          <w:szCs w:val="20"/>
        </w:rPr>
        <w:t>.2</w:t>
      </w:r>
      <w:r>
        <w:rPr>
          <w:bCs w:val="0"/>
          <w:sz w:val="20"/>
          <w:szCs w:val="20"/>
        </w:rPr>
        <w:t xml:space="preserve">  </w:t>
      </w:r>
      <w:r>
        <w:rPr>
          <w:rFonts w:hint="eastAsia" w:ascii="黑体" w:hAnsi="黑体" w:eastAsia="黑体"/>
          <w:b w:val="0"/>
          <w:sz w:val="20"/>
          <w:szCs w:val="20"/>
        </w:rPr>
        <w:t>放坡施工</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262B5FBA">
      <w:pPr>
        <w:adjustRightInd w:val="0"/>
        <w:snapToGrid w:val="0"/>
        <w:spacing w:line="288" w:lineRule="auto"/>
        <w:rPr>
          <w:rFonts w:ascii="宋体" w:hAnsi="宋体"/>
          <w:sz w:val="20"/>
          <w:szCs w:val="20"/>
        </w:rPr>
      </w:pPr>
      <w:r>
        <w:rPr>
          <w:b/>
          <w:bCs/>
        </w:rPr>
        <w:t>6</w:t>
      </w:r>
      <w:r>
        <w:rPr>
          <w:rFonts w:hint="eastAsia"/>
          <w:b/>
          <w:bCs/>
        </w:rPr>
        <w:t xml:space="preserve">.2.1  </w:t>
      </w:r>
      <w:r>
        <w:rPr>
          <w:rFonts w:hint="eastAsia" w:ascii="宋体" w:hAnsi="宋体"/>
          <w:sz w:val="20"/>
          <w:szCs w:val="20"/>
        </w:rPr>
        <w:t>本条特别强调土层中含水量的变化对边坡稳定性影响很大，所以在施工中要做好外来水的疏排至关重要。</w:t>
      </w:r>
    </w:p>
    <w:p w14:paraId="57E58FEC">
      <w:pPr>
        <w:adjustRightInd w:val="0"/>
        <w:snapToGrid w:val="0"/>
        <w:spacing w:line="288" w:lineRule="auto"/>
        <w:rPr>
          <w:rFonts w:ascii="宋体" w:hAnsi="宋体"/>
          <w:sz w:val="20"/>
          <w:szCs w:val="20"/>
        </w:rPr>
      </w:pPr>
      <w:r>
        <w:rPr>
          <w:b/>
          <w:bCs/>
        </w:rPr>
        <w:t>6</w:t>
      </w:r>
      <w:r>
        <w:rPr>
          <w:rFonts w:hint="eastAsia"/>
          <w:b/>
          <w:bCs/>
        </w:rPr>
        <w:t xml:space="preserve">.2.2  </w:t>
      </w:r>
      <w:r>
        <w:rPr>
          <w:rFonts w:hint="eastAsia" w:ascii="宋体" w:hAnsi="宋体"/>
          <w:sz w:val="20"/>
          <w:szCs w:val="20"/>
        </w:rPr>
        <w:t>为防止由于土体裸露，使坡面土体风化而塌落，应对放坡坡面采取保护处理。坡脚是最薄弱地方，往往被忽视，尤其在基坑底周边设置的排水沟，对于砂性土层，很容易与水一起涌出，造成坡脚失稳，所以建议排水沟应离开坡脚至少</w:t>
      </w:r>
      <w:r>
        <w:rPr>
          <w:sz w:val="20"/>
          <w:szCs w:val="20"/>
        </w:rPr>
        <w:t>30cm</w:t>
      </w:r>
      <w:r>
        <w:rPr>
          <w:rFonts w:hint="eastAsia" w:ascii="宋体" w:hAnsi="宋体"/>
          <w:sz w:val="20"/>
          <w:szCs w:val="20"/>
        </w:rPr>
        <w:t>，并做好防渗、防“淤”处理。</w:t>
      </w:r>
    </w:p>
    <w:p w14:paraId="7AE299E5">
      <w:pPr>
        <w:adjustRightInd w:val="0"/>
        <w:snapToGrid w:val="0"/>
        <w:spacing w:line="288" w:lineRule="auto"/>
        <w:rPr>
          <w:rFonts w:ascii="宋体" w:hAnsi="宋体"/>
          <w:sz w:val="20"/>
          <w:szCs w:val="20"/>
        </w:rPr>
      </w:pPr>
      <w:r>
        <w:rPr>
          <w:b/>
          <w:bCs/>
        </w:rPr>
        <w:t>6</w:t>
      </w:r>
      <w:r>
        <w:rPr>
          <w:rFonts w:hint="eastAsia"/>
          <w:b/>
          <w:bCs/>
        </w:rPr>
        <w:t xml:space="preserve">.2.3  </w:t>
      </w:r>
      <w:r>
        <w:rPr>
          <w:rFonts w:hint="eastAsia" w:ascii="宋体" w:hAnsi="宋体"/>
          <w:sz w:val="20"/>
          <w:szCs w:val="20"/>
        </w:rPr>
        <w:t>本条强调基坑周边附加荷载的大小及距坑边距离，可直接影响放坡土体的稳定。</w:t>
      </w:r>
    </w:p>
    <w:p w14:paraId="550BF610">
      <w:pPr>
        <w:widowControl/>
        <w:jc w:val="left"/>
        <w:rPr>
          <w:rFonts w:ascii="宋体" w:hAnsi="宋体"/>
          <w:sz w:val="20"/>
          <w:szCs w:val="20"/>
        </w:rPr>
      </w:pPr>
      <w:r>
        <w:rPr>
          <w:rFonts w:ascii="宋体" w:hAnsi="宋体"/>
          <w:sz w:val="20"/>
          <w:szCs w:val="20"/>
        </w:rPr>
        <w:br w:type="page"/>
      </w:r>
    </w:p>
    <w:p w14:paraId="6792BEB7">
      <w:pPr>
        <w:pStyle w:val="5"/>
        <w:keepNext w:val="0"/>
        <w:keepLines w:val="0"/>
        <w:adjustRightInd w:val="0"/>
        <w:snapToGrid w:val="0"/>
        <w:spacing w:before="120" w:beforeLines="50" w:after="240" w:afterLines="100" w:line="288" w:lineRule="auto"/>
        <w:jc w:val="center"/>
        <w:rPr>
          <w:rFonts w:ascii="黑体" w:hAnsi="黑体"/>
          <w:b w:val="0"/>
          <w:sz w:val="26"/>
          <w:szCs w:val="26"/>
        </w:rPr>
      </w:pPr>
      <w:bookmarkStart w:id="386" w:name="_Toc139613807"/>
      <w:r>
        <w:rPr>
          <w:rFonts w:ascii="Times New Roman" w:hAnsi="Times New Roman" w:eastAsia="宋体"/>
          <w:sz w:val="26"/>
          <w:szCs w:val="26"/>
        </w:rPr>
        <w:t>7</w:t>
      </w:r>
      <w:r>
        <w:rPr>
          <w:rFonts w:hint="eastAsia" w:ascii="宋体" w:hAnsi="宋体" w:eastAsia="宋体"/>
          <w:b w:val="0"/>
          <w:sz w:val="26"/>
          <w:szCs w:val="26"/>
        </w:rPr>
        <w:t xml:space="preserve">  </w:t>
      </w:r>
      <w:r>
        <w:rPr>
          <w:rFonts w:hint="eastAsia" w:ascii="黑体" w:hAnsi="黑体"/>
          <w:b w:val="0"/>
          <w:sz w:val="26"/>
          <w:szCs w:val="26"/>
        </w:rPr>
        <w:t>支挡式结构</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386"/>
    </w:p>
    <w:p w14:paraId="1F1ABCE4">
      <w:pPr>
        <w:pStyle w:val="7"/>
        <w:keepNext w:val="0"/>
        <w:keepLines w:val="0"/>
        <w:adjustRightInd w:val="0"/>
        <w:snapToGrid w:val="0"/>
        <w:spacing w:before="240" w:beforeLines="100" w:after="240" w:afterLines="100" w:line="288" w:lineRule="auto"/>
        <w:jc w:val="center"/>
        <w:rPr>
          <w:rFonts w:eastAsia="黑体"/>
          <w:b w:val="0"/>
          <w:sz w:val="20"/>
          <w:szCs w:val="20"/>
        </w:rPr>
      </w:pPr>
      <w:bookmarkStart w:id="387" w:name="_Toc432233003"/>
      <w:bookmarkStart w:id="388" w:name="_Toc444180176"/>
      <w:bookmarkStart w:id="389" w:name="_Toc139613808"/>
      <w:bookmarkStart w:id="390" w:name="_Toc466902395"/>
      <w:bookmarkStart w:id="391" w:name="_Toc428777610"/>
      <w:bookmarkStart w:id="392" w:name="_Toc468104754"/>
      <w:bookmarkStart w:id="393" w:name="_Toc131060591"/>
      <w:bookmarkStart w:id="394" w:name="_Toc437878872"/>
      <w:bookmarkStart w:id="395" w:name="_Toc467515852"/>
      <w:bookmarkStart w:id="396" w:name="_Toc131517246"/>
      <w:bookmarkStart w:id="397" w:name="_Toc415730037"/>
      <w:bookmarkStart w:id="398" w:name="_Toc427573475"/>
      <w:bookmarkStart w:id="399" w:name="_Toc413756073"/>
      <w:bookmarkStart w:id="400" w:name="_Toc409425805"/>
      <w:bookmarkStart w:id="401" w:name="_Toc417372414"/>
      <w:r>
        <w:rPr>
          <w:rFonts w:eastAsia="黑体"/>
          <w:sz w:val="20"/>
          <w:szCs w:val="20"/>
        </w:rPr>
        <w:t>7.1</w:t>
      </w:r>
      <w:r>
        <w:rPr>
          <w:rFonts w:eastAsia="黑体"/>
          <w:b w:val="0"/>
          <w:sz w:val="20"/>
          <w:szCs w:val="20"/>
        </w:rPr>
        <w:t xml:space="preserve">  一般规定</w:t>
      </w:r>
      <w:bookmarkEnd w:id="387"/>
      <w:bookmarkEnd w:id="388"/>
      <w:bookmarkEnd w:id="389"/>
      <w:bookmarkEnd w:id="390"/>
      <w:bookmarkEnd w:id="391"/>
      <w:bookmarkEnd w:id="392"/>
      <w:bookmarkEnd w:id="393"/>
      <w:bookmarkEnd w:id="394"/>
      <w:bookmarkEnd w:id="395"/>
      <w:bookmarkEnd w:id="396"/>
    </w:p>
    <w:p w14:paraId="1F354FE7">
      <w:pPr>
        <w:adjustRightInd w:val="0"/>
        <w:snapToGrid w:val="0"/>
        <w:spacing w:line="288" w:lineRule="auto"/>
        <w:rPr>
          <w:rFonts w:ascii="宋体" w:hAnsi="宋体"/>
          <w:sz w:val="20"/>
          <w:szCs w:val="20"/>
        </w:rPr>
      </w:pPr>
      <w:r>
        <w:rPr>
          <w:b/>
          <w:bCs/>
        </w:rPr>
        <w:t>7.1.2</w:t>
      </w:r>
      <w:r>
        <w:rPr>
          <w:rFonts w:hint="eastAsia"/>
          <w:b/>
          <w:bCs/>
        </w:rPr>
        <w:t xml:space="preserve">  </w:t>
      </w:r>
      <w:r>
        <w:rPr>
          <w:rFonts w:hint="eastAsia" w:ascii="宋体" w:hAnsi="宋体"/>
          <w:sz w:val="20"/>
          <w:szCs w:val="20"/>
        </w:rPr>
        <w:t>北京地区的实际基坑工程中，排桩的桩型主要是钢筋混凝土灌注桩，但有些情况下，适合采用型钢桩、钢管桩、钢板桩或预制桩等，有时也可以采用</w:t>
      </w:r>
      <w:r>
        <w:rPr>
          <w:sz w:val="20"/>
          <w:szCs w:val="20"/>
        </w:rPr>
        <w:t>SMW</w:t>
      </w:r>
      <w:r>
        <w:rPr>
          <w:rFonts w:hint="eastAsia" w:ascii="宋体" w:hAnsi="宋体"/>
          <w:sz w:val="20"/>
          <w:szCs w:val="20"/>
        </w:rPr>
        <w:t>工法施工的型钢水泥土搅拌墙。这些桩型用作挡土构件时，与混凝土灌注桩的结构受力类型是相同的，可按本章支挡式支护结构进行设计计算。但采用这些桩型时，应考虑其刚度、构造及施工工艺上的不同特点，不能盲目使用。</w:t>
      </w:r>
    </w:p>
    <w:p w14:paraId="5FE325A9">
      <w:pPr>
        <w:adjustRightInd w:val="0"/>
        <w:snapToGrid w:val="0"/>
        <w:spacing w:line="288" w:lineRule="auto"/>
        <w:rPr>
          <w:rFonts w:ascii="宋体" w:hAnsi="宋体"/>
          <w:sz w:val="20"/>
          <w:szCs w:val="20"/>
        </w:rPr>
      </w:pPr>
      <w:r>
        <w:rPr>
          <w:b/>
          <w:bCs/>
        </w:rPr>
        <w:t>7</w:t>
      </w:r>
      <w:r>
        <w:rPr>
          <w:rFonts w:hint="eastAsia"/>
          <w:b/>
          <w:bCs/>
        </w:rPr>
        <w:t xml:space="preserve">.1.5  </w:t>
      </w:r>
      <w:r>
        <w:rPr>
          <w:rFonts w:hint="eastAsia" w:ascii="宋体" w:hAnsi="宋体"/>
          <w:sz w:val="20"/>
          <w:szCs w:val="20"/>
        </w:rPr>
        <w:t>作用在支护结构上的荷载取决于基坑深度、周边环境、地质条件、地面荷载等因素，因此，当沿基坑的周边建筑物荷载、地层土性分布、基坑深度、变形要求等设计条件不同时，应针对不同的基坑周边条件分别进行设计计算，方能符合实际状况。本条强调了设计计算应对基坑周边条件加以区分，不应按设计参数的平均值或任一剖面的数值代表整体情况，如果取值不当，对有些部位会出现设计安全度不足而造成危害。对已合理划分的计算剖面，规定取不利条件下的计算参数，其目的也是为了保证同一剖面的各部位都能符合规程要求的安全度。</w:t>
      </w:r>
    </w:p>
    <w:p w14:paraId="44623727">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402" w:name="_Toc139613809"/>
      <w:bookmarkStart w:id="403" w:name="_Toc427573474"/>
      <w:bookmarkStart w:id="404" w:name="_Toc417372413"/>
      <w:bookmarkStart w:id="405" w:name="_Toc468104755"/>
      <w:bookmarkStart w:id="406" w:name="_Toc467515853"/>
      <w:bookmarkStart w:id="407" w:name="_Toc413756072"/>
      <w:bookmarkStart w:id="408" w:name="_Toc466902396"/>
      <w:bookmarkStart w:id="409" w:name="_Toc437878873"/>
      <w:bookmarkStart w:id="410" w:name="_Toc415730036"/>
      <w:bookmarkStart w:id="411" w:name="_Toc428777611"/>
      <w:bookmarkStart w:id="412" w:name="_Toc131517247"/>
      <w:bookmarkStart w:id="413" w:name="_Toc131060592"/>
      <w:bookmarkStart w:id="414" w:name="_Toc444180177"/>
      <w:bookmarkStart w:id="415" w:name="_Toc432233004"/>
      <w:r>
        <w:rPr>
          <w:sz w:val="20"/>
          <w:szCs w:val="20"/>
        </w:rPr>
        <w:t>7.</w:t>
      </w:r>
      <w:r>
        <w:rPr>
          <w:rFonts w:hint="eastAsia"/>
          <w:sz w:val="20"/>
          <w:szCs w:val="20"/>
        </w:rPr>
        <w:t>2</w:t>
      </w:r>
      <w:r>
        <w:rPr>
          <w:sz w:val="20"/>
          <w:szCs w:val="20"/>
        </w:rPr>
        <w:t xml:space="preserve">  </w:t>
      </w:r>
      <w:r>
        <w:rPr>
          <w:rFonts w:hint="eastAsia" w:ascii="黑体" w:hAnsi="黑体" w:eastAsia="黑体"/>
          <w:b w:val="0"/>
          <w:sz w:val="20"/>
          <w:szCs w:val="20"/>
        </w:rPr>
        <w:t>结构分析</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41600FA2">
      <w:pPr>
        <w:adjustRightInd w:val="0"/>
        <w:snapToGrid w:val="0"/>
        <w:spacing w:line="288" w:lineRule="auto"/>
        <w:rPr>
          <w:rFonts w:ascii="宋体" w:hAnsi="宋体"/>
          <w:sz w:val="20"/>
          <w:szCs w:val="20"/>
        </w:rPr>
      </w:pPr>
      <w:r>
        <w:rPr>
          <w:b/>
          <w:bCs/>
        </w:rPr>
        <w:t>7</w:t>
      </w:r>
      <w:r>
        <w:rPr>
          <w:rFonts w:hint="eastAsia"/>
          <w:b/>
          <w:bCs/>
        </w:rPr>
        <w:t xml:space="preserve">.2.1  </w:t>
      </w:r>
      <w:r>
        <w:rPr>
          <w:rFonts w:hint="eastAsia" w:ascii="宋体" w:hAnsi="宋体"/>
          <w:sz w:val="20"/>
          <w:szCs w:val="20"/>
        </w:rPr>
        <w:t>支护结构分析应分工况计算,考虑实际分层开挖的不同阶段支护结构的内力和变形情况。因为有时最大弯矩、剪力或位移，并不一定出现在开挖到基底时的最后工况。同理，当地下结构施工过程中要求拆除锚杆或支撑，并用楼板结构替代锚杆或支撑的作用时，拆除时的工况支护结构内力也有可能大于基坑开挖到基底时的受力状况。</w:t>
      </w:r>
    </w:p>
    <w:p w14:paraId="49D44C4D">
      <w:pPr>
        <w:adjustRightInd w:val="0"/>
        <w:snapToGrid w:val="0"/>
        <w:spacing w:line="288" w:lineRule="auto"/>
        <w:rPr>
          <w:rFonts w:ascii="宋体" w:hAnsi="宋体"/>
          <w:sz w:val="20"/>
          <w:szCs w:val="20"/>
        </w:rPr>
      </w:pPr>
      <w:r>
        <w:rPr>
          <w:b/>
          <w:bCs/>
        </w:rPr>
        <w:t>7</w:t>
      </w:r>
      <w:r>
        <w:rPr>
          <w:rFonts w:hint="eastAsia"/>
          <w:b/>
          <w:bCs/>
        </w:rPr>
        <w:t xml:space="preserve">.2.2  </w:t>
      </w:r>
      <w:r>
        <w:rPr>
          <w:rFonts w:hint="eastAsia" w:ascii="宋体" w:hAnsi="宋体"/>
          <w:sz w:val="20"/>
          <w:szCs w:val="20"/>
        </w:rPr>
        <w:t>目前我国支护结构设计中常用的计算方法为杆系有限元弹性支点法。多年来的工程实践证明,当嵌固深度合理时,用弹性支点方法和朗肯土压力理论确定支护结构内力及变形较为合理,已被大家普遍接受，在正常设计条件下的工程实践检验是安全可靠的。</w:t>
      </w:r>
    </w:p>
    <w:p w14:paraId="7327A253">
      <w:pPr>
        <w:adjustRightInd w:val="0"/>
        <w:snapToGrid w:val="0"/>
        <w:spacing w:line="288" w:lineRule="auto"/>
        <w:ind w:firstLine="400" w:firstLineChars="200"/>
        <w:rPr>
          <w:rFonts w:ascii="宋体" w:hAnsi="宋体"/>
          <w:sz w:val="20"/>
          <w:szCs w:val="20"/>
        </w:rPr>
      </w:pPr>
      <w:r>
        <w:rPr>
          <w:rFonts w:hint="eastAsia" w:ascii="宋体" w:hAnsi="宋体"/>
          <w:sz w:val="20"/>
          <w:szCs w:val="20"/>
        </w:rPr>
        <w:t>传统和经典的极限平衡法、等值梁法，算法简捷而且可以手算，在许多教科书和技术手册中都有介绍。由于上述方法的一些假定与实际受力状况有一定差别，且不能计算支护结构位移，目前已很少采用了。经与弹性支点法的计算对比，在有些情况下，特别是对多支点结构，两者的计算弯矩与剪力差别较大。本规程取消了极限平衡法、等值梁法计算支护结构的方法。</w:t>
      </w:r>
    </w:p>
    <w:p w14:paraId="48B0999D">
      <w:pPr>
        <w:adjustRightInd w:val="0"/>
        <w:snapToGrid w:val="0"/>
        <w:spacing w:line="288" w:lineRule="auto"/>
        <w:rPr>
          <w:sz w:val="20"/>
          <w:szCs w:val="20"/>
        </w:rPr>
      </w:pPr>
      <w:r>
        <w:rPr>
          <w:b/>
          <w:bCs/>
        </w:rPr>
        <w:t>7</w:t>
      </w:r>
      <w:r>
        <w:rPr>
          <w:rFonts w:hint="eastAsia"/>
          <w:b/>
          <w:bCs/>
        </w:rPr>
        <w:t xml:space="preserve">.2.3  </w:t>
      </w:r>
      <w:r>
        <w:rPr>
          <w:rFonts w:hint="eastAsia" w:ascii="宋体" w:hAnsi="宋体"/>
          <w:sz w:val="20"/>
          <w:szCs w:val="20"/>
        </w:rPr>
        <w:t>由于平面杆系有限元弹性支点法的具体要求在现</w:t>
      </w:r>
      <w:r>
        <w:rPr>
          <w:rFonts w:ascii="宋体" w:hAnsi="宋体"/>
          <w:sz w:val="20"/>
          <w:szCs w:val="20"/>
        </w:rPr>
        <w:t>行</w:t>
      </w:r>
      <w:r>
        <w:rPr>
          <w:rFonts w:hint="eastAsia" w:ascii="宋体" w:hAnsi="宋体"/>
          <w:sz w:val="20"/>
          <w:szCs w:val="20"/>
        </w:rPr>
        <w:t>行业标准《建筑基坑支护技术规程》</w:t>
      </w:r>
      <w:r>
        <w:rPr>
          <w:sz w:val="20"/>
          <w:szCs w:val="20"/>
        </w:rPr>
        <w:t>JGJ</w:t>
      </w:r>
      <w:r>
        <w:rPr>
          <w:rFonts w:hint="eastAsia"/>
          <w:sz w:val="20"/>
          <w:szCs w:val="20"/>
        </w:rPr>
        <w:t xml:space="preserve"> </w:t>
      </w:r>
      <w:r>
        <w:rPr>
          <w:sz w:val="20"/>
          <w:szCs w:val="20"/>
        </w:rPr>
        <w:t>120</w:t>
      </w:r>
      <w:r>
        <w:rPr>
          <w:rFonts w:hint="eastAsia" w:ascii="宋体" w:hAnsi="宋体"/>
          <w:sz w:val="20"/>
          <w:szCs w:val="20"/>
        </w:rPr>
        <w:t>已有明确规定，为避免重复并符合国家工程建设标准编制的要求，本条采用了引用相关规范的写法。</w:t>
      </w:r>
      <w:bookmarkStart w:id="416" w:name="_Toc428777612"/>
      <w:bookmarkStart w:id="417" w:name="_Toc467515854"/>
      <w:bookmarkStart w:id="418" w:name="_Toc466902397"/>
      <w:bookmarkStart w:id="419" w:name="_Toc444180178"/>
      <w:bookmarkStart w:id="420" w:name="_Toc437878874"/>
      <w:bookmarkStart w:id="421" w:name="_Toc468104756"/>
      <w:bookmarkStart w:id="422" w:name="_Toc432233005"/>
    </w:p>
    <w:p w14:paraId="0FDD9833">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423" w:name="_Toc131517248"/>
      <w:bookmarkStart w:id="424" w:name="_Toc139613810"/>
      <w:bookmarkStart w:id="425" w:name="_Toc131060593"/>
      <w:r>
        <w:rPr>
          <w:sz w:val="20"/>
          <w:szCs w:val="20"/>
        </w:rPr>
        <w:t>7</w:t>
      </w:r>
      <w:r>
        <w:rPr>
          <w:rFonts w:hint="eastAsia"/>
          <w:sz w:val="20"/>
          <w:szCs w:val="20"/>
        </w:rPr>
        <w:t>.3</w:t>
      </w:r>
      <w:r>
        <w:rPr>
          <w:sz w:val="20"/>
          <w:szCs w:val="20"/>
        </w:rPr>
        <w:t xml:space="preserve"> </w:t>
      </w:r>
      <w:r>
        <w:rPr>
          <w:rFonts w:ascii="黑体" w:hAnsi="黑体" w:eastAsia="黑体"/>
          <w:sz w:val="20"/>
          <w:szCs w:val="20"/>
        </w:rPr>
        <w:t xml:space="preserve"> </w:t>
      </w:r>
      <w:r>
        <w:rPr>
          <w:rFonts w:hint="eastAsia" w:ascii="黑体" w:hAnsi="黑体" w:eastAsia="黑体"/>
          <w:b w:val="0"/>
          <w:sz w:val="20"/>
          <w:szCs w:val="20"/>
        </w:rPr>
        <w:t>基坑稳定性验算</w:t>
      </w:r>
      <w:bookmarkEnd w:id="397"/>
      <w:bookmarkEnd w:id="398"/>
      <w:bookmarkEnd w:id="399"/>
      <w:bookmarkEnd w:id="400"/>
      <w:bookmarkEnd w:id="401"/>
      <w:bookmarkEnd w:id="416"/>
      <w:bookmarkEnd w:id="417"/>
      <w:bookmarkEnd w:id="418"/>
      <w:bookmarkEnd w:id="419"/>
      <w:bookmarkEnd w:id="420"/>
      <w:bookmarkEnd w:id="421"/>
      <w:bookmarkEnd w:id="422"/>
      <w:bookmarkEnd w:id="423"/>
      <w:bookmarkEnd w:id="424"/>
      <w:bookmarkEnd w:id="425"/>
    </w:p>
    <w:p w14:paraId="7C31B35E">
      <w:pPr>
        <w:adjustRightInd w:val="0"/>
        <w:snapToGrid w:val="0"/>
        <w:spacing w:line="288" w:lineRule="auto"/>
        <w:rPr>
          <w:rFonts w:ascii="宋体" w:hAnsi="宋体"/>
          <w:sz w:val="20"/>
          <w:szCs w:val="20"/>
        </w:rPr>
      </w:pPr>
      <w:r>
        <w:rPr>
          <w:b/>
          <w:bCs/>
        </w:rPr>
        <w:t>7</w:t>
      </w:r>
      <w:r>
        <w:rPr>
          <w:rFonts w:hint="eastAsia"/>
          <w:b/>
          <w:bCs/>
        </w:rPr>
        <w:t>.3.1～</w:t>
      </w:r>
      <w:r>
        <w:rPr>
          <w:b/>
          <w:bCs/>
        </w:rPr>
        <w:t>7</w:t>
      </w:r>
      <w:r>
        <w:rPr>
          <w:rFonts w:hint="eastAsia"/>
          <w:b/>
          <w:bCs/>
        </w:rPr>
        <w:t xml:space="preserve">.3.2  </w:t>
      </w:r>
      <w:r>
        <w:rPr>
          <w:rFonts w:hint="eastAsia" w:ascii="宋体" w:hAnsi="宋体"/>
          <w:sz w:val="20"/>
          <w:szCs w:val="20"/>
        </w:rPr>
        <w:t>第</w:t>
      </w:r>
      <w:r>
        <w:rPr>
          <w:sz w:val="20"/>
          <w:szCs w:val="20"/>
        </w:rPr>
        <w:t>7.3.1</w:t>
      </w:r>
      <w:r>
        <w:rPr>
          <w:rFonts w:hAnsi="宋体"/>
          <w:sz w:val="20"/>
          <w:szCs w:val="20"/>
        </w:rPr>
        <w:t>条是对悬臂结构嵌固深度验算的规定，是绕挡土构件底部转动的整体极限平衡，控制的是挡土构件的倾覆稳定性。第</w:t>
      </w:r>
      <w:r>
        <w:rPr>
          <w:sz w:val="20"/>
          <w:szCs w:val="20"/>
        </w:rPr>
        <w:t>7.3.2</w:t>
      </w:r>
      <w:r>
        <w:rPr>
          <w:rFonts w:hint="eastAsia" w:ascii="宋体" w:hAnsi="宋体"/>
          <w:sz w:val="20"/>
          <w:szCs w:val="20"/>
        </w:rPr>
        <w:t>条对单支点结构嵌固深度验算的规定，是绕支点转动的整体极限平衡，控制的是挡土构件嵌固段的踢脚稳定性。悬臂结构绕挡土构件底部转动的力矩平衡和单支点结构绕支点转动的力矩平衡都是嵌固段土的抗力对转动点的抵抗力矩起稳定性控制作用，因此，其安全系数称为嵌固稳定安全系数。双排桩绕挡土构件底部转动的力矩平衡，抵抗力矩包括嵌固段土的抗力对转动点的力矩和重力对转动点的力矩两部分，但由于嵌固段土的抗力作用在总的抵抗力矩中占主要部分，因此其安全系数也称为嵌固稳定安全系数</w:t>
      </w:r>
      <w:r>
        <w:rPr>
          <w:i/>
          <w:iCs/>
          <w:sz w:val="20"/>
          <w:szCs w:val="20"/>
        </w:rPr>
        <w:t>K</w:t>
      </w:r>
      <w:r>
        <w:rPr>
          <w:sz w:val="20"/>
          <w:szCs w:val="20"/>
          <w:vertAlign w:val="subscript"/>
        </w:rPr>
        <w:t>e</w:t>
      </w:r>
      <w:r>
        <w:rPr>
          <w:rFonts w:hint="eastAsia" w:ascii="宋体" w:hAnsi="宋体"/>
          <w:sz w:val="20"/>
          <w:szCs w:val="20"/>
        </w:rPr>
        <w:t>。</w:t>
      </w:r>
    </w:p>
    <w:p w14:paraId="295077E7">
      <w:pPr>
        <w:adjustRightInd w:val="0"/>
        <w:snapToGrid w:val="0"/>
        <w:spacing w:line="288" w:lineRule="auto"/>
        <w:rPr>
          <w:rFonts w:ascii="宋体" w:hAnsi="宋体"/>
          <w:sz w:val="20"/>
          <w:szCs w:val="20"/>
        </w:rPr>
      </w:pPr>
      <w:r>
        <w:rPr>
          <w:b/>
          <w:bCs/>
        </w:rPr>
        <w:t>7</w:t>
      </w:r>
      <w:r>
        <w:rPr>
          <w:rFonts w:hint="eastAsia"/>
          <w:b/>
          <w:bCs/>
        </w:rPr>
        <w:t xml:space="preserve">.3.3  </w:t>
      </w:r>
      <w:r>
        <w:rPr>
          <w:rFonts w:hint="eastAsia" w:ascii="宋体" w:hAnsi="宋体"/>
          <w:sz w:val="20"/>
          <w:szCs w:val="20"/>
        </w:rPr>
        <w:t>支挡结构的整体滑动稳定性验算公式（</w:t>
      </w:r>
      <w:r>
        <w:rPr>
          <w:sz w:val="20"/>
          <w:szCs w:val="20"/>
        </w:rPr>
        <w:t>7.3.3-2</w:t>
      </w:r>
      <w:r>
        <w:rPr>
          <w:rFonts w:hint="eastAsia" w:ascii="宋体" w:hAnsi="宋体"/>
          <w:sz w:val="20"/>
          <w:szCs w:val="20"/>
        </w:rPr>
        <w:t>）以瑞典条分法边坡稳定性计算公式为基础，在力的极限平衡关系上，增加了锚杆拉力对圆弧滑动体圆心的抗滑力矩项。极限平衡状态分析时，仍以圆弧滑动土体为分析对象，假定滑动面上土的剪力达到极限强度的同时，滑动面外锚杆拉力也达到极限拉力（正常设计情况下，锚杆极限拉力由锚杆与土之间的粘结力达到极限强度控制，但有时由锚杆杆体强度或锚杆注浆固结体对杆体的握裹力控制）。</w:t>
      </w:r>
    </w:p>
    <w:p w14:paraId="7F893600">
      <w:pPr>
        <w:adjustRightInd w:val="0"/>
        <w:snapToGrid w:val="0"/>
        <w:spacing w:line="288" w:lineRule="auto"/>
        <w:ind w:firstLine="400" w:firstLineChars="200"/>
        <w:rPr>
          <w:rFonts w:ascii="宋体" w:hAnsi="宋体"/>
          <w:sz w:val="20"/>
          <w:szCs w:val="20"/>
        </w:rPr>
      </w:pPr>
      <w:r>
        <w:rPr>
          <w:rFonts w:hint="eastAsia" w:ascii="宋体" w:hAnsi="宋体"/>
          <w:sz w:val="20"/>
          <w:szCs w:val="20"/>
        </w:rPr>
        <w:t>滑弧稳定性验算应采用搜索的方法寻找最危险滑弧。由于目前程序计算已能满足在很短时间对圆心及圆弧半径以微小步长变化的所有滑动体完成搜索，所以不提倡采用经典教科书中先设定辅助线，然后在辅助线上寻找最危险滑弧圆心的简易方法。最危险滑弧的搜索范围限于通过挡土构件底端和在挡土构件下方的各个滑弧。因支护结构的平衡性和结构强度已通过结构分析解决，在截面抗剪强度满足剪应力作用下的抗剪要求后，挡土构件不会被剪断。因此，穿过挡土构件的各滑弧不需验算。</w:t>
      </w:r>
    </w:p>
    <w:p w14:paraId="777FC28A">
      <w:pPr>
        <w:adjustRightInd w:val="0"/>
        <w:snapToGrid w:val="0"/>
        <w:spacing w:line="288" w:lineRule="auto"/>
        <w:ind w:firstLine="400" w:firstLineChars="200"/>
        <w:rPr>
          <w:rFonts w:ascii="宋体" w:hAnsi="宋体"/>
          <w:sz w:val="20"/>
          <w:szCs w:val="20"/>
        </w:rPr>
      </w:pPr>
      <w:r>
        <w:rPr>
          <w:rFonts w:hint="eastAsia" w:ascii="宋体" w:hAnsi="宋体"/>
          <w:sz w:val="20"/>
          <w:szCs w:val="20"/>
        </w:rPr>
        <w:t>对于地下水位以下的圆弧滑动体，当滑弧同时穿过砂土、黏性土时，在滑弧面上，黏性土的抗剪强度指标需要采用总应力强度指标，砂土的抗剪强度指标需要采用有效应力强度指标，并应考虑水压力的作用。公式（</w:t>
      </w:r>
      <w:r>
        <w:rPr>
          <w:sz w:val="20"/>
          <w:szCs w:val="20"/>
        </w:rPr>
        <w:t>7</w:t>
      </w:r>
      <w:r>
        <w:rPr>
          <w:rFonts w:hint="eastAsia"/>
          <w:sz w:val="20"/>
          <w:szCs w:val="20"/>
        </w:rPr>
        <w:t>.3.3-2</w:t>
      </w:r>
      <w:r>
        <w:rPr>
          <w:rFonts w:hint="eastAsia" w:ascii="宋体" w:hAnsi="宋体"/>
          <w:sz w:val="20"/>
          <w:szCs w:val="20"/>
        </w:rPr>
        <w:t>）是通过将土骨架与孔隙水一起取为隔离体进行静力平衡分析的方法，可用于滑弧同时穿过砂土、黏性土的情况。</w:t>
      </w:r>
    </w:p>
    <w:p w14:paraId="1100566B">
      <w:pPr>
        <w:adjustRightInd w:val="0"/>
        <w:snapToGrid w:val="0"/>
        <w:spacing w:line="288" w:lineRule="auto"/>
        <w:rPr>
          <w:rFonts w:ascii="宋体" w:hAnsi="宋体"/>
          <w:sz w:val="20"/>
          <w:szCs w:val="20"/>
        </w:rPr>
      </w:pPr>
      <w:r>
        <w:rPr>
          <w:b/>
          <w:bCs/>
        </w:rPr>
        <w:t>7</w:t>
      </w:r>
      <w:r>
        <w:rPr>
          <w:rFonts w:hint="eastAsia"/>
          <w:b/>
          <w:bCs/>
        </w:rPr>
        <w:t xml:space="preserve">.3.4  </w:t>
      </w:r>
      <w:r>
        <w:rPr>
          <w:rFonts w:hint="eastAsia" w:ascii="宋体" w:hAnsi="宋体"/>
          <w:sz w:val="20"/>
          <w:szCs w:val="20"/>
        </w:rPr>
        <w:t>对深度较大的基坑，当嵌固深度较小、土的强度较低时，土体从挡土构件底端以下向基坑内隆起挤出是锚拉式支挡结构和支撑式支挡结构的一种破坏模式。这是一种土体丧失竖向平衡状态的破坏模式，由于锚杆和支撑只能对支护结构提供水平方向的平衡力，对隆起破坏不起作用，对特定基坑深度和土性，只能通过增加挡土构件嵌固深度来提高抗隆起稳定性。</w:t>
      </w:r>
    </w:p>
    <w:p w14:paraId="1C34E171">
      <w:pPr>
        <w:adjustRightInd w:val="0"/>
        <w:snapToGrid w:val="0"/>
        <w:spacing w:line="288" w:lineRule="auto"/>
        <w:ind w:firstLine="400" w:firstLineChars="200"/>
        <w:rPr>
          <w:rFonts w:ascii="宋体" w:hAnsi="宋体"/>
          <w:sz w:val="20"/>
          <w:szCs w:val="20"/>
        </w:rPr>
      </w:pPr>
      <w:r>
        <w:rPr>
          <w:rFonts w:hint="eastAsia" w:ascii="宋体" w:hAnsi="宋体"/>
          <w:sz w:val="20"/>
          <w:szCs w:val="20"/>
        </w:rPr>
        <w:t>本规程抗隆起稳定性的验算方法，采用目前常用的地基极限承载力的Prandtl（普朗德尔）极限平衡理论公式，但Prandtl理论公式的有些假定与实际情况存在差异，具体应用有一定局限性。如：对无黏性土，当嵌固深度为零时，计算的抗隆起安全系数</w:t>
      </w:r>
      <w:r>
        <w:rPr>
          <w:i/>
          <w:sz w:val="20"/>
          <w:szCs w:val="20"/>
        </w:rPr>
        <w:t>K</w:t>
      </w:r>
      <w:r>
        <w:rPr>
          <w:sz w:val="20"/>
          <w:szCs w:val="20"/>
          <w:vertAlign w:val="subscript"/>
        </w:rPr>
        <w:t>b</w:t>
      </w:r>
      <w:r>
        <w:rPr>
          <w:rFonts w:hint="eastAsia"/>
          <w:sz w:val="20"/>
          <w:szCs w:val="20"/>
        </w:rPr>
        <w:t>＝0</w:t>
      </w:r>
      <w:r>
        <w:rPr>
          <w:rFonts w:hint="eastAsia" w:ascii="宋体" w:hAnsi="宋体"/>
          <w:sz w:val="20"/>
          <w:szCs w:val="20"/>
        </w:rPr>
        <w:t>，而实际上在一定基坑深度内是不会出现隆起的。因此，当挡土构件嵌固深度很小时，不能采用该公式验算坑底隆起稳定性。</w:t>
      </w:r>
    </w:p>
    <w:p w14:paraId="295802F8">
      <w:pPr>
        <w:adjustRightInd w:val="0"/>
        <w:snapToGrid w:val="0"/>
        <w:spacing w:line="288" w:lineRule="auto"/>
        <w:ind w:firstLine="400" w:firstLineChars="200"/>
        <w:rPr>
          <w:rFonts w:ascii="宋体" w:hAnsi="宋体"/>
          <w:sz w:val="20"/>
          <w:szCs w:val="20"/>
        </w:rPr>
      </w:pPr>
      <w:r>
        <w:rPr>
          <w:rFonts w:hint="eastAsia" w:ascii="宋体" w:hAnsi="宋体"/>
          <w:sz w:val="20"/>
          <w:szCs w:val="20"/>
        </w:rPr>
        <w:t>抗隆起稳定性计算是一个复杂的问题。需要说明的是，当按本规程抗隆起稳定性验算公式计算的安全系数不满足要求时，虽然不一定发生隆起破坏，但可能会带来其他不利后果。由于Prandtl理论公式忽略了支护结构底以下滑动区内土的重力对隆起的抵抗作用，抗隆起安全系数与滑移线深度无关，对浅部滑移体和深部滑移体得出的安全系数是一样的，与实际情况有一定偏差。基坑外挡土构件底部以上的土体重量简化为作用在该平面上的柔性均布荷载，并忽略了该部分土中剪应力对隆起的抵抗作用。对浅部滑移体，如果考虑挡土构件底端平面以上土中剪应力，抗隆起安全系数会有明显提高；当滑移体逐步向深层扩展时，虽然该剪应力抵抗隆起的作用在总抗力中所占比例随之逐渐减小，但滑动区内土的重力抵抗隆起的作用则会逐渐增加。如在抗隆起验算公式中考虑土中剪力的对隆起的抵抗作用，挡土构件底端平面土中竖向应力将减小。这样，作用在挡土构件上的土压力也会相应增大，会降低支护结构的安全性。因此，本规程抗隆起稳定性验算公式，未考虑该剪应力的有利作用。</w:t>
      </w:r>
    </w:p>
    <w:p w14:paraId="6AB1ED3E">
      <w:pPr>
        <w:adjustRightInd w:val="0"/>
        <w:snapToGrid w:val="0"/>
        <w:spacing w:line="288" w:lineRule="auto"/>
        <w:rPr>
          <w:rFonts w:ascii="宋体" w:hAnsi="宋体"/>
          <w:sz w:val="20"/>
          <w:szCs w:val="20"/>
        </w:rPr>
      </w:pPr>
      <w:r>
        <w:rPr>
          <w:b/>
          <w:bCs/>
        </w:rPr>
        <w:t>7</w:t>
      </w:r>
      <w:r>
        <w:rPr>
          <w:rFonts w:hint="eastAsia"/>
          <w:b/>
          <w:bCs/>
        </w:rPr>
        <w:t xml:space="preserve">.3.5  </w:t>
      </w:r>
      <w:r>
        <w:rPr>
          <w:rFonts w:hint="eastAsia" w:ascii="宋体" w:hAnsi="宋体"/>
          <w:sz w:val="20"/>
          <w:szCs w:val="20"/>
        </w:rPr>
        <w:t>地下水渗透稳定性的验算方法和规定，对本章支挡式结构和第</w:t>
      </w:r>
      <w:r>
        <w:rPr>
          <w:sz w:val="20"/>
          <w:szCs w:val="20"/>
        </w:rPr>
        <w:t>8</w:t>
      </w:r>
      <w:r>
        <w:rPr>
          <w:rFonts w:hint="eastAsia" w:ascii="宋体" w:hAnsi="宋体"/>
          <w:sz w:val="20"/>
          <w:szCs w:val="20"/>
        </w:rPr>
        <w:t>章的土钉墙是相同的，故统一放在本规程的附录。</w:t>
      </w:r>
    </w:p>
    <w:p w14:paraId="3B1E16B4">
      <w:pPr>
        <w:adjustRightInd w:val="0"/>
        <w:snapToGrid w:val="0"/>
        <w:spacing w:line="288" w:lineRule="auto"/>
        <w:rPr>
          <w:rFonts w:ascii="宋体" w:hAnsi="宋体"/>
          <w:sz w:val="20"/>
          <w:szCs w:val="20"/>
        </w:rPr>
      </w:pPr>
      <w:r>
        <w:rPr>
          <w:b/>
          <w:bCs/>
        </w:rPr>
        <w:t>7</w:t>
      </w:r>
      <w:r>
        <w:rPr>
          <w:rFonts w:hint="eastAsia"/>
          <w:b/>
          <w:bCs/>
        </w:rPr>
        <w:t xml:space="preserve">.3.6  </w:t>
      </w:r>
      <w:r>
        <w:rPr>
          <w:rFonts w:hint="eastAsia" w:ascii="宋体" w:hAnsi="宋体"/>
          <w:sz w:val="20"/>
          <w:szCs w:val="20"/>
        </w:rPr>
        <w:t>本条规定了支挡式结构的最小嵌固深度，是多年基坑工程经验的总结。</w:t>
      </w:r>
    </w:p>
    <w:p w14:paraId="2EC832C2">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426" w:name="_Toc415730038"/>
      <w:bookmarkStart w:id="427" w:name="_Toc466902398"/>
      <w:bookmarkStart w:id="428" w:name="_Toc468104757"/>
      <w:bookmarkStart w:id="429" w:name="_Toc467515855"/>
      <w:bookmarkStart w:id="430" w:name="_Toc444180179"/>
      <w:bookmarkStart w:id="431" w:name="_Toc437878875"/>
      <w:bookmarkStart w:id="432" w:name="_Toc428777613"/>
      <w:bookmarkStart w:id="433" w:name="_Toc131060594"/>
      <w:bookmarkStart w:id="434" w:name="_Toc417372415"/>
      <w:bookmarkStart w:id="435" w:name="_Toc131517249"/>
      <w:bookmarkStart w:id="436" w:name="_Toc427573476"/>
      <w:bookmarkStart w:id="437" w:name="_Toc413756078"/>
      <w:bookmarkStart w:id="438" w:name="_Toc139613811"/>
      <w:bookmarkStart w:id="439" w:name="_Toc432233006"/>
      <w:r>
        <w:rPr>
          <w:sz w:val="20"/>
          <w:szCs w:val="20"/>
        </w:rPr>
        <w:t>7</w:t>
      </w:r>
      <w:r>
        <w:rPr>
          <w:rFonts w:hint="eastAsia"/>
          <w:sz w:val="20"/>
          <w:szCs w:val="20"/>
        </w:rPr>
        <w:t>.4</w:t>
      </w:r>
      <w:r>
        <w:rPr>
          <w:sz w:val="20"/>
          <w:szCs w:val="20"/>
        </w:rPr>
        <w:t xml:space="preserve">  </w:t>
      </w:r>
      <w:r>
        <w:rPr>
          <w:rFonts w:hint="eastAsia" w:ascii="黑体" w:hAnsi="黑体" w:eastAsia="黑体"/>
          <w:b w:val="0"/>
          <w:sz w:val="20"/>
          <w:szCs w:val="20"/>
        </w:rPr>
        <w:t>双排桩设计</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4809348A">
      <w:pPr>
        <w:adjustRightInd w:val="0"/>
        <w:snapToGrid w:val="0"/>
        <w:spacing w:line="288" w:lineRule="auto"/>
        <w:rPr>
          <w:rFonts w:ascii="宋体" w:hAnsi="宋体"/>
          <w:sz w:val="20"/>
          <w:szCs w:val="20"/>
        </w:rPr>
      </w:pPr>
      <w:r>
        <w:rPr>
          <w:b/>
          <w:bCs/>
        </w:rPr>
        <w:t>7.4.1</w:t>
      </w:r>
      <w:r>
        <w:rPr>
          <w:rFonts w:hint="eastAsia"/>
          <w:b/>
          <w:bCs/>
        </w:rPr>
        <w:t xml:space="preserve">  </w:t>
      </w:r>
      <w:r>
        <w:rPr>
          <w:rFonts w:hint="eastAsia" w:ascii="宋体" w:hAnsi="宋体"/>
          <w:sz w:val="20"/>
          <w:szCs w:val="20"/>
        </w:rPr>
        <w:t>实际的基坑工程中，在某些特殊条件下，锚杆、土钉、支撑受到实际条件的限制而无法实施，而采用单排悬臂桩又难以满足承载力、基坑变形等要求或者采用单排悬臂桩造价明显不合理的情况下，双排桩刚架结构是一种可供选择的基坑支护结构形式。与常用的支挡式支护结构如单排悬臂桩结构、锚拉式结构、支撑式结构相比，双排桩刚架支护结构有以下特点：</w:t>
      </w:r>
    </w:p>
    <w:p w14:paraId="7029895D">
      <w:pPr>
        <w:adjustRightInd w:val="0"/>
        <w:snapToGrid w:val="0"/>
        <w:spacing w:line="288" w:lineRule="auto"/>
        <w:ind w:firstLine="402" w:firstLineChars="200"/>
        <w:rPr>
          <w:rFonts w:ascii="宋体" w:hAnsi="宋体"/>
          <w:sz w:val="20"/>
          <w:szCs w:val="20"/>
        </w:rPr>
      </w:pPr>
      <w:r>
        <w:rPr>
          <w:b/>
          <w:bCs/>
          <w:sz w:val="20"/>
          <w:szCs w:val="20"/>
        </w:rPr>
        <w:t>1</w:t>
      </w:r>
      <w:r>
        <w:rPr>
          <w:rFonts w:ascii="宋体" w:hAnsi="宋体"/>
          <w:bCs/>
          <w:sz w:val="20"/>
          <w:szCs w:val="20"/>
        </w:rPr>
        <w:t xml:space="preserve">  </w:t>
      </w:r>
      <w:r>
        <w:rPr>
          <w:rFonts w:hint="eastAsia" w:ascii="宋体" w:hAnsi="宋体"/>
          <w:sz w:val="20"/>
          <w:szCs w:val="20"/>
        </w:rPr>
        <w:t>与单排悬臂桩相比，双排桩为刚架结构，其抗侧移刚度远大于单排悬臂桩结构，其内力分布明显优于悬臂结构，在相同的材料消耗条件下，双排桩刚架结构的桩顶位移明显小于单排悬臂桩，其安全可靠性、经济合理性优于单排悬臂桩。</w:t>
      </w:r>
    </w:p>
    <w:p w14:paraId="7CF033A2">
      <w:pPr>
        <w:adjustRightInd w:val="0"/>
        <w:snapToGrid w:val="0"/>
        <w:spacing w:line="288" w:lineRule="auto"/>
        <w:ind w:firstLine="402" w:firstLineChars="200"/>
        <w:rPr>
          <w:rFonts w:ascii="宋体" w:hAnsi="宋体"/>
          <w:sz w:val="20"/>
          <w:szCs w:val="20"/>
        </w:rPr>
      </w:pPr>
      <w:r>
        <w:rPr>
          <w:b/>
          <w:bCs/>
          <w:sz w:val="20"/>
          <w:szCs w:val="20"/>
        </w:rPr>
        <w:t>2</w:t>
      </w:r>
      <w:r>
        <w:rPr>
          <w:rFonts w:ascii="宋体" w:hAnsi="宋体"/>
          <w:bCs/>
          <w:sz w:val="20"/>
          <w:szCs w:val="20"/>
        </w:rPr>
        <w:t xml:space="preserve"> </w:t>
      </w:r>
      <w:r>
        <w:rPr>
          <w:rFonts w:ascii="宋体" w:hAnsi="宋体"/>
          <w:sz w:val="20"/>
          <w:szCs w:val="20"/>
        </w:rPr>
        <w:t xml:space="preserve"> </w:t>
      </w:r>
      <w:r>
        <w:rPr>
          <w:rFonts w:hint="eastAsia" w:ascii="宋体" w:hAnsi="宋体"/>
          <w:sz w:val="20"/>
          <w:szCs w:val="20"/>
        </w:rPr>
        <w:t>与支撑式支挡结构相比，由于基坑内不设支撑，不影响基坑开挖、地下结构施工，同时省去设置、拆除内支撑的工序，大大缩短了工期。在基坑面积很大、基坑深度不很大的情况下，双排桩刚架支护结构的造价低于支撑式支挡结构。</w:t>
      </w:r>
    </w:p>
    <w:p w14:paraId="0203E31C">
      <w:pPr>
        <w:adjustRightInd w:val="0"/>
        <w:snapToGrid w:val="0"/>
        <w:spacing w:line="288" w:lineRule="auto"/>
        <w:ind w:firstLine="402" w:firstLineChars="200"/>
        <w:rPr>
          <w:rFonts w:ascii="宋体" w:hAnsi="宋体"/>
          <w:sz w:val="20"/>
          <w:szCs w:val="20"/>
        </w:rPr>
      </w:pPr>
      <w:r>
        <w:rPr>
          <w:b/>
          <w:bCs/>
          <w:sz w:val="20"/>
          <w:szCs w:val="20"/>
        </w:rPr>
        <w:t>3</w:t>
      </w:r>
      <w:r>
        <w:rPr>
          <w:rFonts w:ascii="宋体" w:hAnsi="宋体"/>
          <w:bCs/>
          <w:sz w:val="20"/>
          <w:szCs w:val="20"/>
        </w:rPr>
        <w:t xml:space="preserve"> </w:t>
      </w:r>
      <w:r>
        <w:rPr>
          <w:rFonts w:ascii="宋体" w:hAnsi="宋体"/>
          <w:sz w:val="20"/>
          <w:szCs w:val="20"/>
        </w:rPr>
        <w:t xml:space="preserve"> </w:t>
      </w:r>
      <w:r>
        <w:rPr>
          <w:rFonts w:hint="eastAsia" w:ascii="宋体" w:hAnsi="宋体"/>
          <w:sz w:val="20"/>
          <w:szCs w:val="20"/>
        </w:rPr>
        <w:t>与锚拉式支挡结构</w:t>
      </w:r>
      <w:r>
        <w:rPr>
          <w:rFonts w:hAnsi="宋体"/>
          <w:sz w:val="20"/>
          <w:szCs w:val="20"/>
        </w:rPr>
        <w:t>相比，在某些情况下，双排桩刚架结构可避免锚拉式支挡结构难以克服的缺点。如：</w:t>
      </w:r>
      <w:r>
        <w:rPr>
          <w:sz w:val="20"/>
          <w:szCs w:val="20"/>
        </w:rPr>
        <w:t>1</w:t>
      </w:r>
      <w:r>
        <w:rPr>
          <w:rFonts w:hAnsi="宋体"/>
          <w:sz w:val="20"/>
          <w:szCs w:val="20"/>
        </w:rPr>
        <w:t>）在拟设置锚杆的部位有已建地下结构、障碍物，锚杆无法实施；</w:t>
      </w:r>
      <w:r>
        <w:rPr>
          <w:sz w:val="20"/>
          <w:szCs w:val="20"/>
        </w:rPr>
        <w:t>2</w:t>
      </w:r>
      <w:r>
        <w:rPr>
          <w:rFonts w:hAnsi="宋体"/>
          <w:sz w:val="20"/>
          <w:szCs w:val="20"/>
        </w:rPr>
        <w:t>）拟设置锚杆的土层为高水头的砂层（有截水帷幕），锚杆无法实施或实施难度、风险大；</w:t>
      </w:r>
      <w:r>
        <w:rPr>
          <w:sz w:val="20"/>
          <w:szCs w:val="20"/>
        </w:rPr>
        <w:t>3</w:t>
      </w:r>
      <w:r>
        <w:rPr>
          <w:rFonts w:hAnsi="宋体"/>
          <w:sz w:val="20"/>
          <w:szCs w:val="20"/>
        </w:rPr>
        <w:t>）拟设置锚杆的土层无法提供要求的锚固力；</w:t>
      </w:r>
      <w:r>
        <w:rPr>
          <w:sz w:val="20"/>
          <w:szCs w:val="20"/>
        </w:rPr>
        <w:t>4</w:t>
      </w:r>
      <w:r>
        <w:rPr>
          <w:rFonts w:hAnsi="宋体"/>
          <w:sz w:val="20"/>
          <w:szCs w:val="20"/>
        </w:rPr>
        <w:t>）锚杆不得超出用地红线。此外，由于双排桩具有施工工艺简单、不与土方开挖交叉作业、工期短等优势，在可以采用悬臂桩、支撑式支挡结构、锚拉式支挡结构条件下，也应在考虑技术、经济、工期等因素并进行综合分析对比后，合理选用支护方案。</w:t>
      </w:r>
    </w:p>
    <w:p w14:paraId="6ADEDF3A">
      <w:pPr>
        <w:adjustRightInd w:val="0"/>
        <w:snapToGrid w:val="0"/>
        <w:spacing w:line="288" w:lineRule="auto"/>
        <w:ind w:firstLine="400" w:firstLineChars="200"/>
        <w:rPr>
          <w:rFonts w:ascii="宋体" w:hAnsi="宋体"/>
          <w:sz w:val="20"/>
          <w:szCs w:val="20"/>
        </w:rPr>
      </w:pPr>
      <w:r>
        <w:rPr>
          <w:rFonts w:hint="eastAsia" w:ascii="宋体" w:hAnsi="宋体"/>
          <w:sz w:val="20"/>
          <w:szCs w:val="20"/>
        </w:rPr>
        <w:t>本结构分析模型，作用在结构两侧的荷载与单排桩相同，不同的是如何确定夹在前后排桩之间土体的反力与变形关系，这是解决双排桩计算模式的关键。本模型采用土的侧限约束假定，认为桩间土对前后排桩的土反力与桩间土的压缩变形有关，将桩间土看作水平向单向压缩体，按土的压缩模量确定水平刚度系数。同时，考虑基坑开挖后桩间土应力释放后仍存在一定的初始压力，计算土反力时应反映其影响，本模型初始压力按桩间土自重占滑动体自重的比值关系确定。按上述假定和结构模型，经计算分析的内力与位移随各种计算参数变化的规律较好，与工程实测的结果也较吻合。本规程只给出了前后排桩矩形布置的计算方法。</w:t>
      </w:r>
      <w:r>
        <w:rPr>
          <w:rFonts w:ascii="宋体" w:hAnsi="宋体"/>
          <w:sz w:val="20"/>
          <w:szCs w:val="20"/>
        </w:rPr>
        <w:t xml:space="preserve"> </w:t>
      </w:r>
    </w:p>
    <w:p w14:paraId="1DC39D53">
      <w:pPr>
        <w:adjustRightInd w:val="0"/>
        <w:snapToGrid w:val="0"/>
        <w:spacing w:line="288" w:lineRule="auto"/>
        <w:rPr>
          <w:rFonts w:ascii="宋体" w:hAnsi="宋体"/>
          <w:sz w:val="20"/>
          <w:szCs w:val="20"/>
        </w:rPr>
      </w:pPr>
      <w:r>
        <w:rPr>
          <w:b/>
          <w:bCs/>
        </w:rPr>
        <w:t>7.4.3</w:t>
      </w:r>
      <w:r>
        <w:rPr>
          <w:rFonts w:hint="eastAsia"/>
          <w:b/>
          <w:bCs/>
        </w:rPr>
        <w:t xml:space="preserve">  </w:t>
      </w:r>
      <w:r>
        <w:rPr>
          <w:rFonts w:hint="eastAsia" w:ascii="宋体" w:hAnsi="宋体"/>
          <w:sz w:val="20"/>
          <w:szCs w:val="20"/>
        </w:rPr>
        <w:t>双排桩的嵌固稳定性验算问题与单排悬臂桩类似，应满足作用在后排桩上的主动土压力与作用在前排桩嵌固段上的被动土压力的力矩平衡条件。与单排桩不同的是，在双排桩的抗倾覆稳定性验算公式（</w:t>
      </w:r>
      <w:r>
        <w:rPr>
          <w:sz w:val="20"/>
          <w:szCs w:val="20"/>
        </w:rPr>
        <w:t>7.4.3</w:t>
      </w:r>
      <w:r>
        <w:rPr>
          <w:rFonts w:hint="eastAsia" w:ascii="宋体" w:hAnsi="宋体"/>
          <w:sz w:val="20"/>
          <w:szCs w:val="20"/>
        </w:rPr>
        <w:t>）中，是将双排桩与桩间土看作整体而将其作为力的平衡分析对象，并且考虑了土与桩自重的抗倾覆作用。</w:t>
      </w:r>
    </w:p>
    <w:p w14:paraId="197B2D82">
      <w:pPr>
        <w:adjustRightInd w:val="0"/>
        <w:snapToGrid w:val="0"/>
        <w:spacing w:line="288" w:lineRule="auto"/>
        <w:rPr>
          <w:rFonts w:ascii="宋体" w:hAnsi="宋体"/>
          <w:sz w:val="20"/>
          <w:szCs w:val="20"/>
        </w:rPr>
      </w:pPr>
      <w:r>
        <w:rPr>
          <w:rFonts w:eastAsia="黑体"/>
          <w:b/>
          <w:bCs/>
          <w:kern w:val="0"/>
          <w:sz w:val="20"/>
          <w:szCs w:val="20"/>
        </w:rPr>
        <w:t>7</w:t>
      </w:r>
      <w:r>
        <w:rPr>
          <w:b/>
          <w:bCs/>
        </w:rPr>
        <w:t>.4.4</w:t>
      </w:r>
      <w:r>
        <w:rPr>
          <w:rFonts w:hint="eastAsia"/>
          <w:b/>
          <w:bCs/>
        </w:rPr>
        <w:t xml:space="preserve">  </w:t>
      </w:r>
      <w:r>
        <w:rPr>
          <w:rFonts w:hint="eastAsia" w:ascii="宋体" w:hAnsi="宋体"/>
          <w:sz w:val="20"/>
          <w:szCs w:val="20"/>
        </w:rPr>
        <w:t>双排桩的排距、刚架梁高度是双排桩设计的重要参数。根据相关文献的报道，排距过小受力不合理，排距过大刚架效果减弱，排距合理的范围</w:t>
      </w:r>
      <w:r>
        <w:rPr>
          <w:rFonts w:hAnsi="宋体"/>
          <w:sz w:val="20"/>
          <w:szCs w:val="20"/>
        </w:rPr>
        <w:t>为</w:t>
      </w:r>
      <w:r>
        <w:rPr>
          <w:sz w:val="20"/>
          <w:szCs w:val="20"/>
        </w:rPr>
        <w:t>2</w:t>
      </w:r>
      <w:r>
        <w:rPr>
          <w:i/>
          <w:sz w:val="20"/>
          <w:szCs w:val="20"/>
        </w:rPr>
        <w:t>d</w:t>
      </w:r>
      <w:r>
        <w:rPr>
          <w:rFonts w:hAnsi="宋体"/>
          <w:sz w:val="20"/>
          <w:szCs w:val="20"/>
        </w:rPr>
        <w:t>～</w:t>
      </w:r>
      <w:r>
        <w:rPr>
          <w:sz w:val="20"/>
          <w:szCs w:val="20"/>
        </w:rPr>
        <w:t>5</w:t>
      </w:r>
      <w:r>
        <w:rPr>
          <w:i/>
          <w:sz w:val="20"/>
          <w:szCs w:val="20"/>
        </w:rPr>
        <w:t>d</w:t>
      </w:r>
      <w:r>
        <w:rPr>
          <w:rFonts w:hAnsi="宋体"/>
          <w:sz w:val="20"/>
          <w:szCs w:val="20"/>
        </w:rPr>
        <w:t>。双排桩顶部水平位移随刚架梁高度的增大而减小，但当梁高大于</w:t>
      </w:r>
      <w:r>
        <w:rPr>
          <w:sz w:val="20"/>
          <w:szCs w:val="20"/>
        </w:rPr>
        <w:t>1</w:t>
      </w:r>
      <w:r>
        <w:rPr>
          <w:i/>
          <w:sz w:val="20"/>
          <w:szCs w:val="20"/>
        </w:rPr>
        <w:t>d</w:t>
      </w:r>
      <w:r>
        <w:rPr>
          <w:rFonts w:hAnsi="宋体"/>
          <w:sz w:val="20"/>
          <w:szCs w:val="20"/>
        </w:rPr>
        <w:t>时，再增大梁高桩顶水平位移基本不变了。因此，刚架梁高度不宜小于</w:t>
      </w:r>
      <w:r>
        <w:rPr>
          <w:sz w:val="20"/>
          <w:szCs w:val="20"/>
        </w:rPr>
        <w:t>0.8</w:t>
      </w:r>
      <w:r>
        <w:rPr>
          <w:i/>
          <w:sz w:val="20"/>
          <w:szCs w:val="20"/>
        </w:rPr>
        <w:t>d</w:t>
      </w:r>
      <w:r>
        <w:rPr>
          <w:rFonts w:hAnsi="宋体"/>
          <w:sz w:val="20"/>
          <w:szCs w:val="20"/>
        </w:rPr>
        <w:t>，</w:t>
      </w:r>
      <w:r>
        <w:rPr>
          <w:rFonts w:hint="eastAsia" w:ascii="宋体" w:hAnsi="宋体"/>
          <w:sz w:val="20"/>
          <w:szCs w:val="20"/>
        </w:rPr>
        <w:t>且刚架梁高度与双排桩排距的比值取</w:t>
      </w:r>
      <w:r>
        <w:rPr>
          <w:sz w:val="20"/>
          <w:szCs w:val="20"/>
        </w:rPr>
        <w:t>1/6</w:t>
      </w:r>
      <w:r>
        <w:rPr>
          <w:rFonts w:hAnsi="宋体"/>
          <w:sz w:val="20"/>
          <w:szCs w:val="20"/>
        </w:rPr>
        <w:t>～</w:t>
      </w:r>
      <w:r>
        <w:rPr>
          <w:sz w:val="20"/>
          <w:szCs w:val="20"/>
        </w:rPr>
        <w:t>1/3</w:t>
      </w:r>
      <w:r>
        <w:rPr>
          <w:rFonts w:hint="eastAsia" w:ascii="宋体" w:hAnsi="宋体"/>
          <w:sz w:val="20"/>
          <w:szCs w:val="20"/>
        </w:rPr>
        <w:t>为宜。</w:t>
      </w:r>
    </w:p>
    <w:p w14:paraId="5919F41A">
      <w:pPr>
        <w:adjustRightInd w:val="0"/>
        <w:snapToGrid w:val="0"/>
        <w:spacing w:line="288" w:lineRule="auto"/>
        <w:rPr>
          <w:rFonts w:ascii="宋体" w:hAnsi="宋体"/>
          <w:sz w:val="20"/>
          <w:szCs w:val="20"/>
        </w:rPr>
      </w:pPr>
      <w:r>
        <w:rPr>
          <w:b/>
          <w:bCs/>
        </w:rPr>
        <w:t>7.4.5</w:t>
      </w:r>
      <w:r>
        <w:rPr>
          <w:rFonts w:hint="eastAsia"/>
          <w:b/>
          <w:bCs/>
        </w:rPr>
        <w:t xml:space="preserve">  </w:t>
      </w:r>
      <w:r>
        <w:rPr>
          <w:rFonts w:hint="eastAsia" w:ascii="宋体" w:hAnsi="宋体"/>
          <w:sz w:val="20"/>
          <w:szCs w:val="20"/>
        </w:rPr>
        <w:t>根据结构力学的基本原理及计算分析结果，双排桩刚架结构中的桩与单排的受力特点有较大的区别。锚拉式、支撑式、悬臂式排桩，在水平荷载作用下只产生弯矩和剪力。而双排桩刚架结构在水平荷载作用下，桩的内力除弯矩、剪力外，轴力不容小视。前排桩的轴力为压力，后排桩的轴力为拉力。在其它参数不变的条件下，桩身轴力随着双排桩排距的减小而增大。桩身轴力的存在，使得前排桩发生向下的竖向位移，后排桩发生向上的竖向位移。前后排桩出现不同方向的竖向位移，就意味着双排桩刚架出现了向基坑方向的整体倾斜，增大了双排桩刚架顶部的水平位移。此外，正如普通刚架结构对相邻柱间的沉降差非常敏感一样，双排桩刚架结构前、后排桩沉降差对结构的内力、变形影响很大。某一实例的计算分析表明，在其它条件不变的情况下，桩顶水平位移、桩身最大弯矩随着前、后排桩沉降差的增大基本呈线性增加。与前后排桩桩底沉降差为零相比，当前后排桩桩底</w:t>
      </w:r>
      <w:r>
        <w:rPr>
          <w:rFonts w:hAnsi="宋体"/>
          <w:sz w:val="20"/>
          <w:szCs w:val="20"/>
        </w:rPr>
        <w:t>沉降差与排距之比等于</w:t>
      </w:r>
      <w:r>
        <w:rPr>
          <w:sz w:val="20"/>
          <w:szCs w:val="20"/>
        </w:rPr>
        <w:t>0.002</w:t>
      </w:r>
      <w:r>
        <w:rPr>
          <w:rFonts w:hAnsi="宋体"/>
          <w:sz w:val="20"/>
          <w:szCs w:val="20"/>
        </w:rPr>
        <w:t>时，计算的桩顶位移增加</w:t>
      </w:r>
      <w:r>
        <w:rPr>
          <w:sz w:val="20"/>
          <w:szCs w:val="20"/>
        </w:rPr>
        <w:t>24</w:t>
      </w:r>
      <w:r>
        <w:rPr>
          <w:rFonts w:hAnsi="宋体"/>
          <w:sz w:val="20"/>
          <w:szCs w:val="20"/>
        </w:rPr>
        <w:t>％，桩身最大弯矩增加</w:t>
      </w:r>
      <w:r>
        <w:rPr>
          <w:sz w:val="20"/>
          <w:szCs w:val="20"/>
        </w:rPr>
        <w:t>10</w:t>
      </w:r>
      <w:r>
        <w:rPr>
          <w:rFonts w:hAnsi="宋体"/>
          <w:sz w:val="20"/>
          <w:szCs w:val="20"/>
        </w:rPr>
        <w:t>％。后排桩由于全桩长范围有土的约束，向上的竖向位移很小。减小前排桩沉降的有效的措施有：桩端选择强度较高的土层、泥浆</w:t>
      </w:r>
      <w:r>
        <w:rPr>
          <w:rFonts w:hint="eastAsia" w:ascii="宋体" w:hAnsi="宋体"/>
          <w:sz w:val="20"/>
          <w:szCs w:val="20"/>
        </w:rPr>
        <w:t>护壁钻孔桩需控制沉渣厚度、采用桩底后注浆技术等。</w:t>
      </w:r>
    </w:p>
    <w:p w14:paraId="0F452875">
      <w:pPr>
        <w:adjustRightInd w:val="0"/>
        <w:snapToGrid w:val="0"/>
        <w:spacing w:line="288" w:lineRule="auto"/>
        <w:rPr>
          <w:rFonts w:ascii="宋体" w:hAnsi="宋体"/>
          <w:sz w:val="20"/>
          <w:szCs w:val="20"/>
        </w:rPr>
      </w:pPr>
      <w:r>
        <w:rPr>
          <w:b/>
          <w:bCs/>
        </w:rPr>
        <w:t xml:space="preserve">7.4.6 </w:t>
      </w:r>
      <w:r>
        <w:rPr>
          <w:rFonts w:hint="eastAsia"/>
          <w:b/>
          <w:bCs/>
        </w:rPr>
        <w:t xml:space="preserve"> </w:t>
      </w:r>
      <w:r>
        <w:rPr>
          <w:rFonts w:hint="eastAsia" w:ascii="宋体" w:hAnsi="宋体"/>
          <w:sz w:val="20"/>
          <w:szCs w:val="20"/>
        </w:rPr>
        <w:t>双排桩的桩身内力有弯矩、剪力、轴力，因此需按偏心受压、偏心受拉构件进行设计。双排桩刚架梁两端均有弯矩，在根据现行国家标准《混凝土结构设计规范》</w:t>
      </w:r>
      <w:r>
        <w:rPr>
          <w:sz w:val="20"/>
          <w:szCs w:val="20"/>
        </w:rPr>
        <w:t>GB 50010</w:t>
      </w:r>
      <w:r>
        <w:rPr>
          <w:rFonts w:hint="eastAsia" w:ascii="宋体" w:hAnsi="宋体"/>
          <w:sz w:val="20"/>
          <w:szCs w:val="20"/>
        </w:rPr>
        <w:t>判别刚架梁是否属于深受弯构件时，按照连续梁考虑。</w:t>
      </w:r>
    </w:p>
    <w:p w14:paraId="23399702">
      <w:pPr>
        <w:adjustRightInd w:val="0"/>
        <w:snapToGrid w:val="0"/>
        <w:spacing w:line="288" w:lineRule="auto"/>
        <w:rPr>
          <w:rFonts w:ascii="宋体" w:hAnsi="宋体"/>
          <w:sz w:val="20"/>
          <w:szCs w:val="20"/>
        </w:rPr>
      </w:pPr>
      <w:r>
        <w:rPr>
          <w:b/>
          <w:bCs/>
        </w:rPr>
        <w:t>7.4.7</w:t>
      </w:r>
      <w:r>
        <w:rPr>
          <w:rFonts w:hint="eastAsia"/>
          <w:b/>
          <w:bCs/>
        </w:rPr>
        <w:t xml:space="preserve">  </w:t>
      </w:r>
      <w:r>
        <w:rPr>
          <w:rFonts w:hint="eastAsia" w:ascii="宋体" w:hAnsi="宋体"/>
          <w:sz w:val="20"/>
          <w:szCs w:val="20"/>
        </w:rPr>
        <w:t>本规程的双排桩结构是指由相隔一定间距的前、后排桩及桩顶梁构成的刚架结构，桩顶与刚架梁的连接按完全刚接考虑，其受力特点类似于混凝土结构中框架顶层，因此，该处的连接构造需符合框架顶层端节点的有关规定。</w:t>
      </w:r>
    </w:p>
    <w:p w14:paraId="58E812E0">
      <w:pPr>
        <w:pStyle w:val="7"/>
        <w:keepNext w:val="0"/>
        <w:keepLines w:val="0"/>
        <w:adjustRightInd w:val="0"/>
        <w:snapToGrid w:val="0"/>
        <w:spacing w:before="240" w:beforeLines="100" w:after="240" w:afterLines="100" w:line="288" w:lineRule="auto"/>
        <w:jc w:val="center"/>
        <w:rPr>
          <w:sz w:val="20"/>
          <w:szCs w:val="20"/>
        </w:rPr>
      </w:pPr>
      <w:bookmarkStart w:id="440" w:name="_Toc131060595"/>
      <w:bookmarkStart w:id="441" w:name="_Toc417372416"/>
      <w:bookmarkStart w:id="442" w:name="_Toc428777614"/>
      <w:bookmarkStart w:id="443" w:name="_Toc466902399"/>
      <w:bookmarkStart w:id="444" w:name="_Toc427573477"/>
      <w:bookmarkStart w:id="445" w:name="_Toc444180180"/>
      <w:bookmarkStart w:id="446" w:name="_Toc432233007"/>
      <w:bookmarkStart w:id="447" w:name="_Toc139613812"/>
      <w:bookmarkStart w:id="448" w:name="_Toc468104758"/>
      <w:bookmarkStart w:id="449" w:name="_Toc413756074"/>
      <w:bookmarkStart w:id="450" w:name="_Toc437878876"/>
      <w:bookmarkStart w:id="451" w:name="_Toc415730039"/>
      <w:bookmarkStart w:id="452" w:name="_Toc131517250"/>
      <w:bookmarkStart w:id="453" w:name="_Toc467515856"/>
      <w:r>
        <w:rPr>
          <w:sz w:val="20"/>
          <w:szCs w:val="20"/>
        </w:rPr>
        <w:t>7.</w:t>
      </w:r>
      <w:r>
        <w:rPr>
          <w:rFonts w:hint="eastAsia"/>
          <w:sz w:val="20"/>
          <w:szCs w:val="20"/>
        </w:rPr>
        <w:t>5</w:t>
      </w:r>
      <w:r>
        <w:rPr>
          <w:sz w:val="20"/>
          <w:szCs w:val="20"/>
        </w:rPr>
        <w:t xml:space="preserve">  </w:t>
      </w:r>
      <w:r>
        <w:rPr>
          <w:rFonts w:hint="eastAsia" w:ascii="黑体" w:hAnsi="黑体" w:eastAsia="黑体"/>
          <w:b w:val="0"/>
          <w:sz w:val="20"/>
          <w:szCs w:val="20"/>
        </w:rPr>
        <w:t>截面承载力计算</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56385A9E">
      <w:pPr>
        <w:adjustRightInd w:val="0"/>
        <w:snapToGrid w:val="0"/>
        <w:spacing w:line="288" w:lineRule="auto"/>
        <w:rPr>
          <w:sz w:val="20"/>
          <w:szCs w:val="20"/>
        </w:rPr>
      </w:pPr>
      <w:r>
        <w:rPr>
          <w:b/>
          <w:bCs/>
        </w:rPr>
        <w:t>7.5.</w:t>
      </w:r>
      <w:r>
        <w:rPr>
          <w:rFonts w:hint="eastAsia"/>
          <w:b/>
          <w:bCs/>
        </w:rPr>
        <w:t xml:space="preserve">1  </w:t>
      </w:r>
      <w:r>
        <w:rPr>
          <w:rFonts w:hint="eastAsia" w:ascii="宋体" w:hAnsi="宋体"/>
          <w:sz w:val="20"/>
          <w:szCs w:val="20"/>
        </w:rPr>
        <w:t>该</w:t>
      </w:r>
      <w:r>
        <w:rPr>
          <w:rFonts w:hAnsi="宋体"/>
          <w:sz w:val="20"/>
          <w:szCs w:val="20"/>
        </w:rPr>
        <w:t>条是将计算的结构内力标准值转换为设计值的规定。系数</w:t>
      </w:r>
      <w:r>
        <w:rPr>
          <w:i/>
          <w:sz w:val="20"/>
          <w:szCs w:val="20"/>
        </w:rPr>
        <w:t>γ</w:t>
      </w:r>
      <w:r>
        <w:rPr>
          <w:sz w:val="15"/>
          <w:szCs w:val="15"/>
          <w:vertAlign w:val="subscript"/>
        </w:rPr>
        <w:t>F</w:t>
      </w:r>
      <w:r>
        <w:rPr>
          <w:rFonts w:hAnsi="宋体"/>
          <w:sz w:val="20"/>
          <w:szCs w:val="20"/>
        </w:rPr>
        <w:t>是结构可靠度设计标准中荷载分项系数的体现。由于满足荷载和荷载效应的线性关系，将荷载基本组合的永久荷载分项系数放在荷载效应计算后相乘与在永久荷载标准值上相乘，其计算结果是相同的。</w:t>
      </w:r>
    </w:p>
    <w:p w14:paraId="0D3426C2">
      <w:pPr>
        <w:adjustRightInd w:val="0"/>
        <w:snapToGrid w:val="0"/>
        <w:spacing w:line="288" w:lineRule="auto"/>
        <w:ind w:firstLine="400" w:firstLineChars="200"/>
        <w:rPr>
          <w:sz w:val="20"/>
          <w:szCs w:val="20"/>
        </w:rPr>
      </w:pPr>
      <w:r>
        <w:rPr>
          <w:rFonts w:hAnsi="宋体"/>
          <w:sz w:val="20"/>
          <w:szCs w:val="20"/>
        </w:rPr>
        <w:t>公式（</w:t>
      </w:r>
      <w:r>
        <w:rPr>
          <w:sz w:val="20"/>
          <w:szCs w:val="20"/>
        </w:rPr>
        <w:t>7.5.1-1</w:t>
      </w:r>
      <w:r>
        <w:rPr>
          <w:rFonts w:hAnsi="宋体"/>
          <w:sz w:val="20"/>
          <w:szCs w:val="20"/>
        </w:rPr>
        <w:t>）中的支护桩弯矩折减系数</w:t>
      </w:r>
      <w:r>
        <w:rPr>
          <w:i/>
          <w:sz w:val="20"/>
          <w:szCs w:val="20"/>
        </w:rPr>
        <w:t>η</w:t>
      </w:r>
      <w:r>
        <w:rPr>
          <w:rFonts w:hAnsi="宋体"/>
          <w:sz w:val="20"/>
          <w:szCs w:val="20"/>
        </w:rPr>
        <w:t>，是考虑目前北京地区的实际工程经验，对作为临时性的支护桩，对有经验的地区和有充分了解的地层，一定程度上放松了安全度的标准。但实际设计时要慎用，并要求</w:t>
      </w:r>
      <w:r>
        <w:rPr>
          <w:i/>
          <w:sz w:val="20"/>
          <w:szCs w:val="20"/>
        </w:rPr>
        <w:t>η</w:t>
      </w:r>
      <w:r>
        <w:rPr>
          <w:rFonts w:hAnsi="宋体"/>
          <w:sz w:val="20"/>
          <w:szCs w:val="20"/>
        </w:rPr>
        <w:t>值不能低于</w:t>
      </w:r>
      <w:r>
        <w:rPr>
          <w:sz w:val="20"/>
          <w:szCs w:val="20"/>
        </w:rPr>
        <w:t>0.8</w:t>
      </w:r>
      <w:r>
        <w:rPr>
          <w:rFonts w:hAnsi="宋体"/>
          <w:sz w:val="20"/>
          <w:szCs w:val="20"/>
        </w:rPr>
        <w:t>。该弯矩折减系数只针对支护桩，其他支护结构构件的弯矩不允许折减。</w:t>
      </w:r>
    </w:p>
    <w:p w14:paraId="6E68BD38">
      <w:pPr>
        <w:adjustRightInd w:val="0"/>
        <w:snapToGrid w:val="0"/>
        <w:spacing w:line="288" w:lineRule="auto"/>
        <w:ind w:firstLine="400" w:firstLineChars="200"/>
        <w:rPr>
          <w:rFonts w:ascii="宋体" w:hAnsi="宋体"/>
          <w:sz w:val="20"/>
          <w:szCs w:val="20"/>
        </w:rPr>
      </w:pPr>
      <w:r>
        <w:rPr>
          <w:rFonts w:hAnsi="宋体"/>
          <w:sz w:val="20"/>
          <w:szCs w:val="20"/>
        </w:rPr>
        <w:t>需特别指出的是，当支护结构或构件兼作永久结构时，其荷载分项系数、弯矩折减系</w:t>
      </w:r>
      <w:r>
        <w:rPr>
          <w:rFonts w:hint="eastAsia" w:ascii="宋体" w:hAnsi="宋体"/>
          <w:sz w:val="20"/>
          <w:szCs w:val="20"/>
        </w:rPr>
        <w:t>数的取值不能按照本规程，应符合其它相关技术标准的规定。</w:t>
      </w:r>
    </w:p>
    <w:p w14:paraId="4DB4D9D6">
      <w:pPr>
        <w:adjustRightInd w:val="0"/>
        <w:snapToGrid w:val="0"/>
        <w:spacing w:line="288" w:lineRule="auto"/>
        <w:rPr>
          <w:rFonts w:ascii="宋体" w:hAnsi="宋体"/>
          <w:sz w:val="20"/>
          <w:szCs w:val="20"/>
        </w:rPr>
      </w:pPr>
      <w:r>
        <w:rPr>
          <w:b/>
          <w:bCs/>
        </w:rPr>
        <w:t>7.5.</w:t>
      </w:r>
      <w:r>
        <w:rPr>
          <w:rFonts w:hint="eastAsia"/>
          <w:b/>
          <w:bCs/>
        </w:rPr>
        <w:t xml:space="preserve">2  </w:t>
      </w:r>
      <w:bookmarkStart w:id="454" w:name="_Toc427573478"/>
      <w:bookmarkStart w:id="455" w:name="_Toc415730040"/>
      <w:bookmarkStart w:id="456" w:name="_Toc467515857"/>
      <w:bookmarkStart w:id="457" w:name="_Toc417372417"/>
      <w:bookmarkStart w:id="458" w:name="_Toc413756075"/>
      <w:bookmarkStart w:id="459" w:name="_Toc432233008"/>
      <w:bookmarkStart w:id="460" w:name="_Toc437878877"/>
      <w:bookmarkStart w:id="461" w:name="_Toc466902400"/>
      <w:bookmarkStart w:id="462" w:name="_Toc468104759"/>
      <w:bookmarkStart w:id="463" w:name="_Toc428777615"/>
      <w:bookmarkStart w:id="464" w:name="_Toc444180181"/>
      <w:r>
        <w:rPr>
          <w:rFonts w:hint="eastAsia" w:ascii="宋体" w:hAnsi="宋体"/>
          <w:sz w:val="20"/>
          <w:szCs w:val="20"/>
        </w:rPr>
        <w:t>该条规定针对挡土构件的截面承载力计算。各种工程材料的截面承载力计算，是普通结构构件计算的常规内容，国家相关技术标准均有详细规定，本规程不再另行规定。第</w:t>
      </w:r>
      <w:r>
        <w:rPr>
          <w:sz w:val="20"/>
          <w:szCs w:val="20"/>
        </w:rPr>
        <w:t>5</w:t>
      </w:r>
      <w:r>
        <w:rPr>
          <w:rFonts w:hint="eastAsia" w:ascii="宋体" w:hAnsi="宋体"/>
          <w:sz w:val="20"/>
          <w:szCs w:val="20"/>
        </w:rPr>
        <w:t>款补充了对于预制桩接桩部位承载力的相关要求。</w:t>
      </w:r>
    </w:p>
    <w:p w14:paraId="372961E6">
      <w:pPr>
        <w:adjustRightInd w:val="0"/>
        <w:snapToGrid w:val="0"/>
        <w:spacing w:line="288" w:lineRule="auto"/>
        <w:rPr>
          <w:sz w:val="20"/>
          <w:szCs w:val="20"/>
        </w:rPr>
      </w:pPr>
    </w:p>
    <w:p w14:paraId="03DD4170">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465" w:name="_Toc131517251"/>
      <w:bookmarkStart w:id="466" w:name="_Toc139613813"/>
      <w:bookmarkStart w:id="467" w:name="_Toc131060596"/>
      <w:r>
        <w:rPr>
          <w:sz w:val="20"/>
          <w:szCs w:val="20"/>
        </w:rPr>
        <w:t>7.</w:t>
      </w:r>
      <w:r>
        <w:rPr>
          <w:rFonts w:hint="eastAsia"/>
          <w:sz w:val="20"/>
          <w:szCs w:val="20"/>
        </w:rPr>
        <w:t>6</w:t>
      </w:r>
      <w:r>
        <w:rPr>
          <w:sz w:val="20"/>
          <w:szCs w:val="20"/>
        </w:rPr>
        <w:t xml:space="preserve">  </w:t>
      </w:r>
      <w:r>
        <w:rPr>
          <w:rFonts w:hint="eastAsia" w:ascii="黑体" w:hAnsi="黑体" w:eastAsia="黑体"/>
          <w:b w:val="0"/>
          <w:sz w:val="20"/>
          <w:szCs w:val="20"/>
        </w:rPr>
        <w:t>锚杆计算</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4E4C8AFE">
      <w:pPr>
        <w:adjustRightInd w:val="0"/>
        <w:snapToGrid w:val="0"/>
        <w:spacing w:line="288" w:lineRule="auto"/>
        <w:rPr>
          <w:rFonts w:ascii="宋体" w:hAnsi="宋体"/>
          <w:sz w:val="20"/>
          <w:szCs w:val="20"/>
        </w:rPr>
      </w:pPr>
      <w:r>
        <w:rPr>
          <w:b/>
          <w:bCs/>
        </w:rPr>
        <w:t>7.6.</w:t>
      </w:r>
      <w:r>
        <w:rPr>
          <w:rFonts w:hint="eastAsia"/>
          <w:b/>
          <w:bCs/>
        </w:rPr>
        <w:t xml:space="preserve">2  </w:t>
      </w:r>
      <w:r>
        <w:rPr>
          <w:rFonts w:hint="eastAsia" w:ascii="宋体" w:hAnsi="宋体"/>
          <w:sz w:val="20"/>
          <w:szCs w:val="20"/>
        </w:rPr>
        <w:t>式（</w:t>
      </w:r>
      <w:r>
        <w:rPr>
          <w:sz w:val="20"/>
          <w:szCs w:val="20"/>
        </w:rPr>
        <w:t>7.6.2</w:t>
      </w:r>
      <w:r>
        <w:rPr>
          <w:rFonts w:hAnsi="宋体"/>
          <w:sz w:val="20"/>
          <w:szCs w:val="20"/>
        </w:rPr>
        <w:t>）是锚杆抗拔承载力极限状态的设计表达式。锚杆长度设计采用了传统的安全系数法，锚杆杆体截面设计仍采用原规程的分项系数法。原规程</w:t>
      </w:r>
      <w:r>
        <w:rPr>
          <w:rFonts w:hint="eastAsia" w:hAnsi="宋体"/>
          <w:sz w:val="20"/>
          <w:szCs w:val="20"/>
        </w:rPr>
        <w:t>《建筑基坑支护技术规程》</w:t>
      </w:r>
      <w:r>
        <w:rPr>
          <w:sz w:val="20"/>
          <w:szCs w:val="20"/>
        </w:rPr>
        <w:t>DB11/489-2007</w:t>
      </w:r>
      <w:r>
        <w:rPr>
          <w:rFonts w:hAnsi="宋体"/>
          <w:sz w:val="20"/>
          <w:szCs w:val="20"/>
        </w:rPr>
        <w:t>中，锚杆承载力极限状态的设计表达式是采用分项系数法，其荷载分项系数、抗力分项系数和重要性系数三者的乘积在数值上相当于安全系数。其乘积，一、二、三级安全等级分别为</w:t>
      </w:r>
      <w:r>
        <w:rPr>
          <w:sz w:val="20"/>
          <w:szCs w:val="20"/>
        </w:rPr>
        <w:t>1.7875</w:t>
      </w:r>
      <w:r>
        <w:rPr>
          <w:rFonts w:hAnsi="宋体"/>
          <w:sz w:val="20"/>
          <w:szCs w:val="20"/>
        </w:rPr>
        <w:t>、</w:t>
      </w:r>
      <w:r>
        <w:rPr>
          <w:sz w:val="20"/>
          <w:szCs w:val="20"/>
        </w:rPr>
        <w:t>1.625</w:t>
      </w:r>
      <w:r>
        <w:rPr>
          <w:rFonts w:hAnsi="宋体"/>
          <w:sz w:val="20"/>
          <w:szCs w:val="20"/>
        </w:rPr>
        <w:t>、</w:t>
      </w:r>
      <w:r>
        <w:rPr>
          <w:sz w:val="20"/>
          <w:szCs w:val="20"/>
        </w:rPr>
        <w:t>1.4625</w:t>
      </w:r>
      <w:r>
        <w:rPr>
          <w:rFonts w:hAnsi="宋体"/>
          <w:sz w:val="20"/>
          <w:szCs w:val="20"/>
        </w:rPr>
        <w:t>。实践证明，该安全储备是合适的。临时支护结构中的锚杆抗拔安全系数</w:t>
      </w:r>
      <w:r>
        <w:rPr>
          <w:rFonts w:hint="eastAsia"/>
          <w:sz w:val="20"/>
          <w:szCs w:val="20"/>
        </w:rPr>
        <w:t>，</w:t>
      </w:r>
      <w:r>
        <w:rPr>
          <w:rFonts w:hAnsi="宋体"/>
          <w:sz w:val="20"/>
          <w:szCs w:val="20"/>
        </w:rPr>
        <w:t>一、二、三级安全等级分别取</w:t>
      </w:r>
      <w:r>
        <w:rPr>
          <w:sz w:val="20"/>
          <w:szCs w:val="20"/>
        </w:rPr>
        <w:t>1.8</w:t>
      </w:r>
      <w:r>
        <w:rPr>
          <w:rFonts w:hAnsi="宋体"/>
          <w:sz w:val="20"/>
          <w:szCs w:val="20"/>
        </w:rPr>
        <w:t>、</w:t>
      </w:r>
      <w:r>
        <w:rPr>
          <w:sz w:val="20"/>
          <w:szCs w:val="20"/>
        </w:rPr>
        <w:t>1.6</w:t>
      </w:r>
      <w:r>
        <w:rPr>
          <w:rFonts w:hAnsi="宋体"/>
          <w:sz w:val="20"/>
          <w:szCs w:val="20"/>
        </w:rPr>
        <w:t>、</w:t>
      </w:r>
      <w:r>
        <w:rPr>
          <w:sz w:val="20"/>
          <w:szCs w:val="20"/>
        </w:rPr>
        <w:t>1.4</w:t>
      </w:r>
      <w:r>
        <w:rPr>
          <w:rFonts w:hAnsi="宋体"/>
          <w:sz w:val="20"/>
          <w:szCs w:val="20"/>
        </w:rPr>
        <w:t>，与原规程</w:t>
      </w:r>
      <w:r>
        <w:rPr>
          <w:rFonts w:hint="eastAsia" w:hAnsi="宋体"/>
          <w:sz w:val="20"/>
          <w:szCs w:val="20"/>
        </w:rPr>
        <w:t>《建筑基坑支护技术规程》</w:t>
      </w:r>
      <w:r>
        <w:rPr>
          <w:sz w:val="20"/>
          <w:szCs w:val="20"/>
        </w:rPr>
        <w:t>DB11/489-2007</w:t>
      </w:r>
      <w:r>
        <w:rPr>
          <w:rFonts w:hAnsi="宋体"/>
          <w:sz w:val="20"/>
          <w:szCs w:val="20"/>
        </w:rPr>
        <w:t>取值相当。需要注意的是，当锚杆为永久</w:t>
      </w:r>
      <w:r>
        <w:rPr>
          <w:rFonts w:hint="eastAsia" w:ascii="宋体" w:hAnsi="宋体"/>
          <w:sz w:val="20"/>
          <w:szCs w:val="20"/>
        </w:rPr>
        <w:t>结构构件时，其安全系数取值不能按照本规程的规定，需符合其它有关技术标准的规定。</w:t>
      </w:r>
    </w:p>
    <w:p w14:paraId="0DDC2E7C">
      <w:pPr>
        <w:adjustRightInd w:val="0"/>
        <w:snapToGrid w:val="0"/>
        <w:spacing w:line="288" w:lineRule="auto"/>
        <w:rPr>
          <w:rFonts w:ascii="宋体" w:hAnsi="宋体"/>
          <w:sz w:val="20"/>
          <w:szCs w:val="20"/>
        </w:rPr>
      </w:pPr>
      <w:r>
        <w:rPr>
          <w:b/>
          <w:bCs/>
        </w:rPr>
        <w:t>7.6.</w:t>
      </w:r>
      <w:r>
        <w:rPr>
          <w:rFonts w:hint="eastAsia"/>
          <w:b/>
          <w:bCs/>
        </w:rPr>
        <w:t xml:space="preserve">3  </w:t>
      </w:r>
      <w:r>
        <w:rPr>
          <w:rFonts w:hint="eastAsia" w:ascii="宋体" w:hAnsi="宋体"/>
          <w:sz w:val="20"/>
          <w:szCs w:val="20"/>
        </w:rPr>
        <w:t>本条强调了锚杆极限抗拔承载力应通过现场试验确定的取值原则,分别对不同基坑侧壁安全等级提出了承载力的确定方法。确定锚杆极限抗拔承载力时需注意以下几个问题：</w:t>
      </w:r>
    </w:p>
    <w:p w14:paraId="3D609DDB">
      <w:pPr>
        <w:adjustRightInd w:val="0"/>
        <w:snapToGrid w:val="0"/>
        <w:spacing w:line="288" w:lineRule="auto"/>
        <w:ind w:firstLine="402" w:firstLineChars="200"/>
        <w:rPr>
          <w:rFonts w:ascii="宋体" w:hAnsi="宋体"/>
          <w:sz w:val="20"/>
          <w:szCs w:val="20"/>
        </w:rPr>
      </w:pPr>
      <w:r>
        <w:rPr>
          <w:rFonts w:hint="eastAsia"/>
          <w:b/>
          <w:bCs/>
          <w:sz w:val="20"/>
          <w:szCs w:val="20"/>
        </w:rPr>
        <w:t>1</w:t>
      </w:r>
      <w:r>
        <w:rPr>
          <w:rFonts w:hint="eastAsia" w:ascii="宋体" w:hAnsi="宋体"/>
          <w:sz w:val="20"/>
          <w:szCs w:val="20"/>
        </w:rPr>
        <w:t xml:space="preserve">  表</w:t>
      </w:r>
      <w:r>
        <w:rPr>
          <w:sz w:val="20"/>
          <w:szCs w:val="20"/>
        </w:rPr>
        <w:t>7.6.3</w:t>
      </w:r>
      <w:r>
        <w:rPr>
          <w:rFonts w:hAnsi="宋体"/>
          <w:sz w:val="20"/>
          <w:szCs w:val="20"/>
        </w:rPr>
        <w:t>给</w:t>
      </w:r>
      <w:r>
        <w:rPr>
          <w:rFonts w:hint="eastAsia" w:ascii="宋体" w:hAnsi="宋体"/>
          <w:sz w:val="20"/>
          <w:szCs w:val="20"/>
        </w:rPr>
        <w:t>出的土体与锚固体极限粘结强度值是试验数据统计结果，是根据土层锚杆施工技术水平以一次常压灌浆工艺为基础的统计值。由于物理性质相同的土层力学性质不一定相同，施工水平参差不齐，二次高压灌浆工艺的效果差异也很大（根据灌浆压力大小、二次高压灌浆方法，有普通二次高压灌浆和重复分段高压劈裂灌浆之分），因此，使用该表数值时应充分研究土性、考虑施工工艺与技术水平等因素，并结合工程经验。</w:t>
      </w:r>
    </w:p>
    <w:p w14:paraId="313B019D">
      <w:pPr>
        <w:adjustRightInd w:val="0"/>
        <w:snapToGrid w:val="0"/>
        <w:spacing w:line="288" w:lineRule="auto"/>
        <w:ind w:firstLine="402" w:firstLineChars="200"/>
        <w:rPr>
          <w:rFonts w:ascii="宋体" w:hAnsi="宋体"/>
          <w:sz w:val="20"/>
          <w:szCs w:val="20"/>
        </w:rPr>
      </w:pPr>
      <w:r>
        <w:rPr>
          <w:rFonts w:hint="eastAsia"/>
          <w:b/>
          <w:bCs/>
          <w:sz w:val="20"/>
          <w:szCs w:val="20"/>
        </w:rPr>
        <w:t>2</w:t>
      </w:r>
      <w:r>
        <w:rPr>
          <w:rFonts w:hint="eastAsia" w:ascii="宋体" w:hAnsi="宋体"/>
          <w:sz w:val="20"/>
          <w:szCs w:val="20"/>
        </w:rPr>
        <w:t xml:space="preserve">  由于锚杆抗拔试验的目的是确定或验证在特定土层条件、施工工艺下锚固体与土体之间的粘结强度、锚杆长度等设计参数是否正确，因而试验时应使锚杆在极限承载力下，其破坏形式是锚杆摩阻力达到极限粘结强度时的拔出破坏，而不应是锚杆杆体被拉断。为防止锚杆杆体应力达到极限抗拉强度先于锚杆摩阻力达到极限粘结强度，必要时，试验锚杆可适当增加预应力筋的截面面积。</w:t>
      </w:r>
    </w:p>
    <w:p w14:paraId="164ECAB9">
      <w:pPr>
        <w:adjustRightInd w:val="0"/>
        <w:snapToGrid w:val="0"/>
        <w:spacing w:line="288" w:lineRule="auto"/>
        <w:ind w:firstLine="402" w:firstLineChars="200"/>
        <w:rPr>
          <w:rFonts w:ascii="宋体" w:hAnsi="宋体"/>
          <w:sz w:val="20"/>
          <w:szCs w:val="20"/>
        </w:rPr>
      </w:pPr>
      <w:r>
        <w:rPr>
          <w:rFonts w:hint="eastAsia"/>
          <w:b/>
          <w:bCs/>
          <w:sz w:val="20"/>
          <w:szCs w:val="20"/>
        </w:rPr>
        <w:t>3</w:t>
      </w:r>
      <w:r>
        <w:rPr>
          <w:b/>
          <w:bCs/>
          <w:sz w:val="20"/>
          <w:szCs w:val="20"/>
        </w:rPr>
        <w:t xml:space="preserve">  </w:t>
      </w:r>
      <w:r>
        <w:rPr>
          <w:rFonts w:hint="eastAsia" w:ascii="宋体" w:hAnsi="宋体"/>
          <w:sz w:val="20"/>
          <w:szCs w:val="20"/>
        </w:rPr>
        <w:t>锚杆全长分为锚固段和非锚固段。锚固段为锚杆位于稳定土体中的部分，即理论滑动面以外的部分，为锚杆提供抗拔力；非锚固段为锚杆位于不稳定土体中的部分。现阶段的锚杆施工方法，锚杆注浆时浆液将整个钻孔充满，即锚杆全长范围有水泥固结体与土体接触，且锚固段和非锚固段的水泥固结体是连续的。在进行锚杆张拉试验时，由于锚固段和非锚固段的水泥固结体实际是一个整体，因此，锚杆试验的张拉力实际上传递到了包括锚固段和非锚固段的整个锚杆长度范围的土体上，亦即锚杆试验得到的抗拔力包含了非锚固段的贡献。而基坑开挖后锚杆在工作状态下的承载力由锚固段决定，因此以上试验高估了锚杆的抗拔承载力，与支护结构的设计假定是不相符的，这给基坑带来不安全的因素。建议采用以下方法之一消除非锚固段对锚杆抗拔承载力的贡献：①将锚固段和非锚固段的水泥固结体分断，比如在锚固段和非锚固段之间用柔软材料设一个过渡段，该过渡段内没有水泥浆固结体，因而切断力的传递途径。②取试验锚杆的总长度等于工程锚杆的锚固段长度（试验锚杆所在土层应与工程锚杆的锚固段相同），这样试验所得的抗拔承载力可较准确的反映工程锚杆的抗拔承载力。③控制注浆范围，即只在锚固段注浆，非锚固段不注浆。</w:t>
      </w:r>
    </w:p>
    <w:p w14:paraId="56E8912B">
      <w:pPr>
        <w:adjustRightInd w:val="0"/>
        <w:snapToGrid w:val="0"/>
        <w:spacing w:line="288" w:lineRule="auto"/>
        <w:rPr>
          <w:rFonts w:ascii="宋体" w:hAnsi="宋体"/>
          <w:sz w:val="20"/>
          <w:szCs w:val="20"/>
        </w:rPr>
      </w:pPr>
      <w:r>
        <w:rPr>
          <w:b/>
          <w:bCs/>
        </w:rPr>
        <w:t>7.6.</w:t>
      </w:r>
      <w:r>
        <w:rPr>
          <w:rFonts w:hint="eastAsia"/>
          <w:b/>
          <w:bCs/>
        </w:rPr>
        <w:t xml:space="preserve">4  </w:t>
      </w:r>
      <w:r>
        <w:rPr>
          <w:rFonts w:hint="eastAsia" w:ascii="宋体" w:hAnsi="宋体"/>
          <w:sz w:val="20"/>
          <w:szCs w:val="20"/>
        </w:rPr>
        <w:t>式</w:t>
      </w:r>
      <w:r>
        <w:rPr>
          <w:rFonts w:hAnsi="宋体"/>
          <w:sz w:val="20"/>
          <w:szCs w:val="20"/>
        </w:rPr>
        <w:t>（</w:t>
      </w:r>
      <w:r>
        <w:rPr>
          <w:sz w:val="20"/>
          <w:szCs w:val="20"/>
        </w:rPr>
        <w:t>7.6.4-1</w:t>
      </w:r>
      <w:r>
        <w:rPr>
          <w:rFonts w:hAnsi="宋体"/>
          <w:sz w:val="20"/>
          <w:szCs w:val="20"/>
        </w:rPr>
        <w:t>）、（</w:t>
      </w:r>
      <w:r>
        <w:rPr>
          <w:sz w:val="20"/>
          <w:szCs w:val="20"/>
        </w:rPr>
        <w:t>7.6.4-2</w:t>
      </w:r>
      <w:r>
        <w:rPr>
          <w:rFonts w:hAnsi="宋体"/>
          <w:sz w:val="20"/>
          <w:szCs w:val="20"/>
        </w:rPr>
        <w:t>）是与现行</w:t>
      </w:r>
      <w:r>
        <w:rPr>
          <w:rFonts w:hint="eastAsia" w:hAnsi="宋体"/>
          <w:sz w:val="20"/>
          <w:szCs w:val="20"/>
        </w:rPr>
        <w:t>国</w:t>
      </w:r>
      <w:r>
        <w:rPr>
          <w:rFonts w:hAnsi="宋体"/>
          <w:sz w:val="20"/>
          <w:szCs w:val="20"/>
        </w:rPr>
        <w:t>家标准《钢结构设计</w:t>
      </w:r>
      <w:r>
        <w:rPr>
          <w:rFonts w:hint="eastAsia" w:hAnsi="宋体"/>
          <w:sz w:val="20"/>
          <w:szCs w:val="20"/>
        </w:rPr>
        <w:t>标准</w:t>
      </w:r>
      <w:r>
        <w:rPr>
          <w:rFonts w:hAnsi="宋体"/>
          <w:sz w:val="20"/>
          <w:szCs w:val="20"/>
        </w:rPr>
        <w:t>》</w:t>
      </w:r>
      <w:r>
        <w:rPr>
          <w:rFonts w:hint="eastAsia" w:hAnsi="宋体"/>
          <w:sz w:val="20"/>
          <w:szCs w:val="20"/>
        </w:rPr>
        <w:t xml:space="preserve">GB </w:t>
      </w:r>
      <w:r>
        <w:rPr>
          <w:sz w:val="20"/>
          <w:szCs w:val="20"/>
        </w:rPr>
        <w:t>50017</w:t>
      </w:r>
      <w:r>
        <w:rPr>
          <w:rFonts w:hAnsi="宋体"/>
          <w:sz w:val="20"/>
          <w:szCs w:val="20"/>
        </w:rPr>
        <w:t>、《混凝土结构设计规范》</w:t>
      </w:r>
      <w:r>
        <w:rPr>
          <w:rFonts w:hint="eastAsia" w:hAnsi="宋体"/>
          <w:sz w:val="20"/>
          <w:szCs w:val="20"/>
        </w:rPr>
        <w:t>GB</w:t>
      </w:r>
      <w:r>
        <w:rPr>
          <w:rFonts w:hAnsi="宋体"/>
          <w:sz w:val="20"/>
          <w:szCs w:val="20"/>
        </w:rPr>
        <w:t xml:space="preserve"> </w:t>
      </w:r>
      <w:r>
        <w:rPr>
          <w:sz w:val="20"/>
          <w:szCs w:val="20"/>
        </w:rPr>
        <w:t>50010</w:t>
      </w:r>
      <w:r>
        <w:rPr>
          <w:rFonts w:hAnsi="宋体"/>
          <w:sz w:val="20"/>
          <w:szCs w:val="20"/>
        </w:rPr>
        <w:t>设</w:t>
      </w:r>
      <w:r>
        <w:rPr>
          <w:rFonts w:hint="eastAsia" w:ascii="宋体" w:hAnsi="宋体"/>
          <w:sz w:val="20"/>
          <w:szCs w:val="20"/>
        </w:rPr>
        <w:t>计体系配套的承载力计算表达式。</w:t>
      </w:r>
    </w:p>
    <w:p w14:paraId="178BED8E">
      <w:pPr>
        <w:adjustRightInd w:val="0"/>
        <w:snapToGrid w:val="0"/>
        <w:spacing w:line="288" w:lineRule="auto"/>
        <w:rPr>
          <w:rFonts w:ascii="宋体" w:hAnsi="宋体"/>
          <w:sz w:val="20"/>
          <w:szCs w:val="20"/>
        </w:rPr>
      </w:pPr>
      <w:r>
        <w:rPr>
          <w:b/>
          <w:bCs/>
        </w:rPr>
        <w:t>7.6.</w:t>
      </w:r>
      <w:r>
        <w:rPr>
          <w:rFonts w:hint="eastAsia"/>
          <w:b/>
          <w:bCs/>
        </w:rPr>
        <w:t xml:space="preserve">5  </w:t>
      </w:r>
      <w:r>
        <w:rPr>
          <w:rFonts w:hint="eastAsia" w:ascii="宋体" w:hAnsi="宋体"/>
          <w:sz w:val="20"/>
          <w:szCs w:val="20"/>
        </w:rPr>
        <w:t>锚杆自由段长度是锚杆杆体不受注浆固结体约束可自由伸长的部分，也就是杆体用套管与注浆固结体隔离的部分。锚杆的非锚固段是理论滑动面以内的部分，与锚杆自由段有所区别。锚杆自由段应超过理论滑动面 （大于非锚固段长度）。锚杆总长度为非锚固段长度加上锚固段长度。</w:t>
      </w:r>
    </w:p>
    <w:p w14:paraId="1375F07D">
      <w:pPr>
        <w:adjustRightInd w:val="0"/>
        <w:snapToGrid w:val="0"/>
        <w:spacing w:line="288" w:lineRule="auto"/>
        <w:ind w:firstLine="400" w:firstLineChars="200"/>
        <w:rPr>
          <w:sz w:val="20"/>
          <w:szCs w:val="20"/>
        </w:rPr>
      </w:pPr>
      <w:r>
        <w:rPr>
          <w:rFonts w:hint="eastAsia" w:ascii="宋体" w:hAnsi="宋体"/>
          <w:sz w:val="20"/>
          <w:szCs w:val="20"/>
        </w:rPr>
        <w:t>锚杆的自由段长度越长，预应力损失越小，锚杆拉力越稳定。自由段长度过小，锚杆张拉锁定后的弹性伸长较小，锚具变形、预应力筋回缩等因素引起的预应力损失较大，同时，受支护结构位移的影响也越敏感，锚杆拉力会随支护结构位移有较大幅度增加，严重时锚杆会因杆体应力超过其强度发生脆性破坏。因此，锚杆的自由段</w:t>
      </w:r>
      <w:r>
        <w:rPr>
          <w:rFonts w:ascii="宋体" w:hAnsi="宋体"/>
          <w:sz w:val="20"/>
          <w:szCs w:val="20"/>
        </w:rPr>
        <w:t>长度</w:t>
      </w:r>
      <w:r>
        <w:rPr>
          <w:rFonts w:hint="eastAsia" w:ascii="宋体" w:hAnsi="宋体"/>
          <w:sz w:val="20"/>
          <w:szCs w:val="20"/>
        </w:rPr>
        <w:t>除了满足本条规定外，尚</w:t>
      </w:r>
      <w:r>
        <w:rPr>
          <w:rFonts w:hAnsi="宋体"/>
          <w:sz w:val="20"/>
          <w:szCs w:val="20"/>
        </w:rPr>
        <w:t>需满足不小于</w:t>
      </w:r>
      <w:r>
        <w:rPr>
          <w:sz w:val="20"/>
          <w:szCs w:val="20"/>
        </w:rPr>
        <w:t>5m</w:t>
      </w:r>
      <w:r>
        <w:rPr>
          <w:rFonts w:hAnsi="宋体"/>
          <w:sz w:val="20"/>
          <w:szCs w:val="20"/>
        </w:rPr>
        <w:t>的规定。自由段越长，锚杆拉力对锚头位移越不敏感。在实际基坑工程设计时，如计算的自由段较短，宜适当增加自由段长度。</w:t>
      </w:r>
    </w:p>
    <w:p w14:paraId="3C4244E4">
      <w:pPr>
        <w:adjustRightInd w:val="0"/>
        <w:snapToGrid w:val="0"/>
        <w:spacing w:line="288" w:lineRule="auto"/>
        <w:rPr>
          <w:rFonts w:ascii="宋体" w:hAnsi="宋体"/>
          <w:sz w:val="20"/>
          <w:szCs w:val="20"/>
        </w:rPr>
      </w:pPr>
      <w:r>
        <w:rPr>
          <w:b/>
          <w:bCs/>
        </w:rPr>
        <w:t xml:space="preserve">7.6.6  </w:t>
      </w:r>
      <w:r>
        <w:rPr>
          <w:rFonts w:hAnsi="宋体"/>
          <w:sz w:val="20"/>
          <w:szCs w:val="20"/>
        </w:rPr>
        <w:t>正常情况下，锚杆锁定后随基坑开挖和支护结构的进一步变形，锚杆拉力相对与锁定拉力的增长不宜过大。为控制锚杆工作状态下的拉力不超过设计要求，同时也要满足变形控制的要求，取锁定拉力为</w:t>
      </w:r>
      <w:r>
        <w:rPr>
          <w:rFonts w:hAnsi="宋体"/>
          <w:kern w:val="0"/>
          <w:sz w:val="20"/>
          <w:szCs w:val="20"/>
        </w:rPr>
        <w:t>锚杆轴向拉力标准值的</w:t>
      </w:r>
      <w:r>
        <w:rPr>
          <w:kern w:val="0"/>
          <w:sz w:val="20"/>
          <w:szCs w:val="20"/>
        </w:rPr>
        <w:t>0.75</w:t>
      </w:r>
      <w:r>
        <w:rPr>
          <w:rFonts w:hAnsi="宋体"/>
          <w:kern w:val="0"/>
          <w:sz w:val="20"/>
          <w:szCs w:val="20"/>
        </w:rPr>
        <w:t>倍</w:t>
      </w:r>
      <w:r>
        <w:rPr>
          <w:rFonts w:hAnsi="宋体"/>
          <w:sz w:val="20"/>
          <w:szCs w:val="20"/>
        </w:rPr>
        <w:t>～</w:t>
      </w:r>
      <w:r>
        <w:rPr>
          <w:kern w:val="0"/>
          <w:sz w:val="20"/>
          <w:szCs w:val="20"/>
        </w:rPr>
        <w:t>0.9</w:t>
      </w:r>
      <w:r>
        <w:rPr>
          <w:rFonts w:hAnsi="宋体"/>
          <w:kern w:val="0"/>
          <w:sz w:val="20"/>
          <w:szCs w:val="20"/>
        </w:rPr>
        <w:t>倍</w:t>
      </w:r>
      <w:r>
        <w:rPr>
          <w:rFonts w:hint="eastAsia" w:ascii="宋体" w:hAnsi="宋体"/>
          <w:sz w:val="20"/>
          <w:szCs w:val="20"/>
        </w:rPr>
        <w:t>。</w:t>
      </w:r>
    </w:p>
    <w:p w14:paraId="729D2568">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468" w:name="_Toc444180182"/>
      <w:bookmarkStart w:id="469" w:name="_Toc428777616"/>
      <w:bookmarkStart w:id="470" w:name="_Toc415730041"/>
      <w:bookmarkStart w:id="471" w:name="_Toc468104760"/>
      <w:bookmarkStart w:id="472" w:name="_Toc413756076"/>
      <w:bookmarkStart w:id="473" w:name="_Toc427573479"/>
      <w:bookmarkStart w:id="474" w:name="_Toc139613814"/>
      <w:bookmarkStart w:id="475" w:name="_Toc432233009"/>
      <w:bookmarkStart w:id="476" w:name="_Toc467515858"/>
      <w:bookmarkStart w:id="477" w:name="_Toc131060597"/>
      <w:bookmarkStart w:id="478" w:name="_Toc466902401"/>
      <w:bookmarkStart w:id="479" w:name="_Toc437878878"/>
      <w:bookmarkStart w:id="480" w:name="_Toc417372418"/>
      <w:bookmarkStart w:id="481" w:name="_Toc131517252"/>
      <w:r>
        <w:rPr>
          <w:sz w:val="20"/>
          <w:szCs w:val="20"/>
        </w:rPr>
        <w:t>7</w:t>
      </w:r>
      <w:r>
        <w:rPr>
          <w:rFonts w:hint="eastAsia"/>
          <w:sz w:val="20"/>
          <w:szCs w:val="20"/>
        </w:rPr>
        <w:t>.7</w:t>
      </w:r>
      <w:r>
        <w:rPr>
          <w:sz w:val="20"/>
          <w:szCs w:val="20"/>
        </w:rPr>
        <w:t xml:space="preserve">  </w:t>
      </w:r>
      <w:r>
        <w:rPr>
          <w:rFonts w:hint="eastAsia" w:ascii="黑体" w:hAnsi="黑体" w:eastAsia="黑体"/>
          <w:b w:val="0"/>
          <w:sz w:val="20"/>
          <w:szCs w:val="20"/>
        </w:rPr>
        <w:t>构造要求</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054CEF7D">
      <w:pPr>
        <w:adjustRightInd w:val="0"/>
        <w:snapToGrid w:val="0"/>
        <w:spacing w:line="288" w:lineRule="auto"/>
        <w:rPr>
          <w:sz w:val="20"/>
          <w:szCs w:val="20"/>
        </w:rPr>
      </w:pPr>
      <w:r>
        <w:rPr>
          <w:b/>
          <w:bCs/>
        </w:rPr>
        <w:t>7.7.</w:t>
      </w:r>
      <w:r>
        <w:rPr>
          <w:rFonts w:hint="eastAsia"/>
          <w:b/>
          <w:bCs/>
        </w:rPr>
        <w:t xml:space="preserve">1  </w:t>
      </w:r>
      <w:r>
        <w:rPr>
          <w:rFonts w:hint="eastAsia" w:ascii="宋体" w:hAnsi="宋体"/>
          <w:sz w:val="20"/>
          <w:szCs w:val="20"/>
        </w:rPr>
        <w:t>钢筋混凝土排桩支护结构在北京地区广泛采用，是安全可靠、技术成熟、施工方便的支护形</w:t>
      </w:r>
      <w:r>
        <w:rPr>
          <w:rFonts w:hAnsi="宋体"/>
          <w:sz w:val="20"/>
          <w:szCs w:val="20"/>
        </w:rPr>
        <w:t>式。基坑开挖深度</w:t>
      </w:r>
      <w:r>
        <w:rPr>
          <w:i/>
          <w:sz w:val="20"/>
          <w:szCs w:val="20"/>
        </w:rPr>
        <w:t>h</w:t>
      </w:r>
      <w:r>
        <w:rPr>
          <w:rFonts w:hint="eastAsia" w:ascii="宋体" w:hAnsi="宋体"/>
          <w:sz w:val="20"/>
          <w:szCs w:val="20"/>
        </w:rPr>
        <w:t>≤</w:t>
      </w:r>
      <w:r>
        <w:rPr>
          <w:sz w:val="20"/>
          <w:szCs w:val="20"/>
        </w:rPr>
        <w:t>10</w:t>
      </w:r>
      <w:r>
        <w:rPr>
          <w:rFonts w:hint="eastAsia" w:hAnsi="宋体"/>
          <w:sz w:val="20"/>
          <w:szCs w:val="20"/>
        </w:rPr>
        <w:t>m</w:t>
      </w:r>
      <w:r>
        <w:rPr>
          <w:rFonts w:hAnsi="宋体"/>
          <w:sz w:val="20"/>
          <w:szCs w:val="20"/>
        </w:rPr>
        <w:t>采用排桩支护的，多用悬臂结构；开挖深度</w:t>
      </w:r>
      <w:r>
        <w:rPr>
          <w:i/>
          <w:sz w:val="20"/>
          <w:szCs w:val="20"/>
        </w:rPr>
        <w:t>h</w:t>
      </w:r>
      <w:r>
        <w:rPr>
          <w:rFonts w:hAnsi="宋体"/>
          <w:sz w:val="20"/>
          <w:szCs w:val="20"/>
        </w:rPr>
        <w:t>在</w:t>
      </w:r>
      <w:r>
        <w:rPr>
          <w:sz w:val="20"/>
          <w:szCs w:val="20"/>
        </w:rPr>
        <w:t>10</w:t>
      </w:r>
      <w:r>
        <w:rPr>
          <w:rFonts w:hint="eastAsia"/>
          <w:sz w:val="20"/>
          <w:szCs w:val="20"/>
        </w:rPr>
        <w:t>m</w:t>
      </w:r>
      <w:r>
        <w:rPr>
          <w:rFonts w:hAnsi="宋体"/>
          <w:sz w:val="20"/>
          <w:szCs w:val="20"/>
        </w:rPr>
        <w:t>～</w:t>
      </w:r>
      <w:r>
        <w:rPr>
          <w:sz w:val="20"/>
          <w:szCs w:val="20"/>
        </w:rPr>
        <w:t>20</w:t>
      </w:r>
      <w:r>
        <w:rPr>
          <w:rFonts w:hint="eastAsia" w:hAnsi="宋体"/>
          <w:sz w:val="20"/>
          <w:szCs w:val="20"/>
        </w:rPr>
        <w:t>m</w:t>
      </w:r>
      <w:r>
        <w:rPr>
          <w:rFonts w:hAnsi="宋体"/>
          <w:sz w:val="20"/>
          <w:szCs w:val="20"/>
        </w:rPr>
        <w:t>的一般采用排桩和锚杆，可在桩顶上设置土钉墙或砖砌挡土墙。</w:t>
      </w:r>
    </w:p>
    <w:p w14:paraId="2C167360">
      <w:pPr>
        <w:adjustRightInd w:val="0"/>
        <w:snapToGrid w:val="0"/>
        <w:spacing w:line="288" w:lineRule="auto"/>
        <w:ind w:firstLine="400" w:firstLineChars="200"/>
        <w:rPr>
          <w:sz w:val="20"/>
          <w:szCs w:val="20"/>
        </w:rPr>
      </w:pPr>
      <w:r>
        <w:rPr>
          <w:rFonts w:hAnsi="宋体"/>
          <w:sz w:val="20"/>
          <w:szCs w:val="20"/>
        </w:rPr>
        <w:t>支护桩直径一般多为</w:t>
      </w:r>
      <w:r>
        <w:rPr>
          <w:sz w:val="20"/>
          <w:szCs w:val="20"/>
        </w:rPr>
        <w:t>600</w:t>
      </w:r>
      <w:r>
        <w:rPr>
          <w:rFonts w:hAnsi="宋体"/>
          <w:sz w:val="20"/>
          <w:szCs w:val="20"/>
        </w:rPr>
        <w:t>mm、</w:t>
      </w:r>
      <w:r>
        <w:rPr>
          <w:sz w:val="20"/>
          <w:szCs w:val="20"/>
        </w:rPr>
        <w:t>800</w:t>
      </w:r>
      <w:r>
        <w:rPr>
          <w:rFonts w:hAnsi="宋体"/>
          <w:sz w:val="20"/>
          <w:szCs w:val="20"/>
        </w:rPr>
        <w:t>mm和</w:t>
      </w:r>
      <w:r>
        <w:rPr>
          <w:sz w:val="20"/>
          <w:szCs w:val="20"/>
        </w:rPr>
        <w:t>1000</w:t>
      </w:r>
      <w:r>
        <w:rPr>
          <w:rFonts w:hAnsi="宋体"/>
          <w:sz w:val="20"/>
          <w:szCs w:val="20"/>
        </w:rPr>
        <w:t>mm，支护桩中心距分别为</w:t>
      </w:r>
      <w:r>
        <w:rPr>
          <w:sz w:val="20"/>
          <w:szCs w:val="20"/>
        </w:rPr>
        <w:t>1.2</w:t>
      </w:r>
      <w:r>
        <w:rPr>
          <w:rFonts w:hint="eastAsia"/>
          <w:sz w:val="20"/>
          <w:szCs w:val="20"/>
        </w:rPr>
        <w:t>m</w:t>
      </w:r>
      <w:r>
        <w:rPr>
          <w:rFonts w:hAnsi="宋体"/>
          <w:sz w:val="20"/>
          <w:szCs w:val="20"/>
        </w:rPr>
        <w:t>、</w:t>
      </w:r>
      <w:r>
        <w:rPr>
          <w:sz w:val="20"/>
          <w:szCs w:val="20"/>
        </w:rPr>
        <w:t>1.6</w:t>
      </w:r>
      <w:r>
        <w:rPr>
          <w:rFonts w:hint="eastAsia"/>
          <w:sz w:val="20"/>
          <w:szCs w:val="20"/>
        </w:rPr>
        <w:t>m</w:t>
      </w:r>
      <w:r>
        <w:rPr>
          <w:rFonts w:hAnsi="宋体"/>
          <w:sz w:val="20"/>
          <w:szCs w:val="20"/>
        </w:rPr>
        <w:t>和</w:t>
      </w:r>
      <w:r>
        <w:rPr>
          <w:sz w:val="20"/>
          <w:szCs w:val="20"/>
        </w:rPr>
        <w:t>2.0</w:t>
      </w:r>
      <w:r>
        <w:rPr>
          <w:rFonts w:hint="eastAsia" w:hAnsi="宋体"/>
          <w:sz w:val="20"/>
          <w:szCs w:val="20"/>
        </w:rPr>
        <w:t>m</w:t>
      </w:r>
      <w:r>
        <w:rPr>
          <w:rFonts w:hAnsi="宋体"/>
          <w:sz w:val="20"/>
          <w:szCs w:val="20"/>
        </w:rPr>
        <w:t>左右。本条规定支护桩的合理间距，一方面是充分利用北京地区相对于沿海软土地区土质自稳能力较好、易于形成土拱效应的特点，另一方面也是基于实践中的经验和教训，要求充分注意不同季节、不同地段、不同土质条件、不同的地下水条件或者降水效果等因素，需要综合考虑。一般桩直径大时，净间距稍大；桩直径小时，净间距小。老城区人工填土厚、基坑周边管道复杂、渗水严重的区域，北京北部和东部地区地层上部细粒土层厚、降水效果稍差的区域，排桩净间距不宜太大。黏性土其自稳能力和颗粒连接性状较好的，可以取大值；相反，砂土地层较厚或较松散，应该取小值。现有工程实践中也有采用大直径桩小间距的实例，通常是为了配合形成截水帷幕的情况。</w:t>
      </w:r>
    </w:p>
    <w:p w14:paraId="5BF24626">
      <w:pPr>
        <w:adjustRightInd w:val="0"/>
        <w:snapToGrid w:val="0"/>
        <w:spacing w:line="288" w:lineRule="auto"/>
        <w:ind w:firstLine="400" w:firstLineChars="200"/>
        <w:rPr>
          <w:rFonts w:ascii="宋体" w:hAnsi="宋体"/>
          <w:sz w:val="20"/>
          <w:szCs w:val="20"/>
        </w:rPr>
      </w:pPr>
      <w:r>
        <w:rPr>
          <w:rFonts w:hAnsi="宋体"/>
          <w:sz w:val="20"/>
          <w:szCs w:val="20"/>
        </w:rPr>
        <w:t>实践中也有采用小直径长螺旋钻机施工直径</w:t>
      </w:r>
      <w:r>
        <w:rPr>
          <w:sz w:val="20"/>
          <w:szCs w:val="20"/>
        </w:rPr>
        <w:t>400</w:t>
      </w:r>
      <w:r>
        <w:rPr>
          <w:rFonts w:hAnsi="宋体"/>
          <w:sz w:val="20"/>
          <w:szCs w:val="20"/>
        </w:rPr>
        <w:t>mm支</w:t>
      </w:r>
      <w:r>
        <w:rPr>
          <w:rFonts w:hint="eastAsia" w:ascii="宋体" w:hAnsi="宋体"/>
          <w:sz w:val="20"/>
          <w:szCs w:val="20"/>
        </w:rPr>
        <w:t>护桩的实例，为保证支护桩的施工质量，本条明确了最小桩径要求，不建议采用人工洛阳铲施工更小直径桩的做法。</w:t>
      </w:r>
    </w:p>
    <w:p w14:paraId="6013DEFB">
      <w:pPr>
        <w:adjustRightInd w:val="0"/>
        <w:snapToGrid w:val="0"/>
        <w:spacing w:line="288" w:lineRule="auto"/>
        <w:rPr>
          <w:rFonts w:ascii="宋体" w:hAnsi="宋体"/>
          <w:sz w:val="20"/>
          <w:szCs w:val="20"/>
        </w:rPr>
      </w:pPr>
      <w:r>
        <w:rPr>
          <w:b/>
          <w:bCs/>
        </w:rPr>
        <w:t>7.7.</w:t>
      </w:r>
      <w:r>
        <w:rPr>
          <w:rFonts w:hint="eastAsia"/>
          <w:b/>
          <w:bCs/>
        </w:rPr>
        <w:t xml:space="preserve">2  </w:t>
      </w:r>
      <w:r>
        <w:rPr>
          <w:rFonts w:hint="eastAsia" w:ascii="宋体" w:hAnsi="宋体"/>
          <w:sz w:val="20"/>
          <w:szCs w:val="20"/>
        </w:rPr>
        <w:t>钢筋混凝土排桩纵向钢筋的数量、间距的规定，主要是考虑到需要形成圆形的钢筋笼、确保钢筋受力合理、混凝土浇筑需从钢筋之间流动等因素。</w:t>
      </w:r>
    </w:p>
    <w:p w14:paraId="6B3DAB69">
      <w:pPr>
        <w:pStyle w:val="2"/>
        <w:ind w:left="0" w:leftChars="0" w:firstLine="0" w:firstLineChars="0"/>
        <w:rPr>
          <w:rFonts w:ascii="宋体" w:hAnsi="宋体"/>
          <w:sz w:val="20"/>
          <w:szCs w:val="20"/>
        </w:rPr>
      </w:pPr>
      <w:r>
        <w:rPr>
          <w:b/>
          <w:bCs/>
          <w:szCs w:val="21"/>
        </w:rPr>
        <w:t xml:space="preserve">7.7.3  </w:t>
      </w:r>
      <w:r>
        <w:rPr>
          <w:rFonts w:hint="eastAsia" w:ascii="宋体" w:hAnsi="宋体"/>
          <w:sz w:val="20"/>
          <w:szCs w:val="20"/>
        </w:rPr>
        <w:t>该条规定了预制桩支护结构的相关构造要求。其中第5款主要为防止预制桩桩身钻孔破坏预应力筋和桩身结构，进而引起挡土结构结构破坏。第1</w:t>
      </w:r>
      <w:r>
        <w:rPr>
          <w:rFonts w:ascii="宋体" w:hAnsi="宋体"/>
          <w:sz w:val="20"/>
          <w:szCs w:val="20"/>
        </w:rPr>
        <w:t>0款</w:t>
      </w:r>
      <w:r>
        <w:rPr>
          <w:rFonts w:hint="eastAsia" w:ascii="宋体" w:hAnsi="宋体"/>
          <w:sz w:val="20"/>
          <w:szCs w:val="20"/>
        </w:rPr>
        <w:t>规定</w:t>
      </w:r>
      <w:r>
        <w:rPr>
          <w:rFonts w:ascii="宋体" w:hAnsi="宋体"/>
          <w:sz w:val="20"/>
          <w:szCs w:val="20"/>
        </w:rPr>
        <w:t>当采用止水帷幕时，预制桩</w:t>
      </w:r>
      <w:r>
        <w:rPr>
          <w:rFonts w:hint="eastAsia" w:ascii="宋体" w:hAnsi="宋体"/>
          <w:sz w:val="20"/>
          <w:szCs w:val="20"/>
        </w:rPr>
        <w:t>宜</w:t>
      </w:r>
      <w:r>
        <w:rPr>
          <w:rFonts w:ascii="宋体" w:hAnsi="宋体"/>
          <w:sz w:val="20"/>
          <w:szCs w:val="20"/>
        </w:rPr>
        <w:t>与帷幕</w:t>
      </w:r>
      <w:r>
        <w:rPr>
          <w:rFonts w:hint="eastAsia" w:ascii="宋体" w:hAnsi="宋体"/>
          <w:sz w:val="20"/>
          <w:szCs w:val="20"/>
        </w:rPr>
        <w:t>结合</w:t>
      </w:r>
      <w:r>
        <w:rPr>
          <w:rFonts w:ascii="宋体" w:hAnsi="宋体"/>
          <w:sz w:val="20"/>
          <w:szCs w:val="20"/>
        </w:rPr>
        <w:t>形成一体式结构。</w:t>
      </w:r>
    </w:p>
    <w:p w14:paraId="295BAEBC">
      <w:pPr>
        <w:adjustRightInd w:val="0"/>
        <w:snapToGrid w:val="0"/>
        <w:spacing w:line="288" w:lineRule="auto"/>
        <w:rPr>
          <w:sz w:val="20"/>
          <w:szCs w:val="20"/>
        </w:rPr>
      </w:pPr>
      <w:r>
        <w:rPr>
          <w:b/>
          <w:bCs/>
        </w:rPr>
        <w:t>7.7.5</w:t>
      </w:r>
      <w:r>
        <w:rPr>
          <w:rFonts w:hint="eastAsia"/>
          <w:b/>
          <w:bCs/>
        </w:rPr>
        <w:t xml:space="preserve">  </w:t>
      </w:r>
      <w:r>
        <w:rPr>
          <w:rFonts w:hint="eastAsia" w:ascii="宋体" w:hAnsi="宋体"/>
          <w:sz w:val="20"/>
          <w:szCs w:val="20"/>
        </w:rPr>
        <w:t>桩顶冠梁上无锚杆或支撑时，一般按构造要求设计，但是从提高排桩的整体性看，冠梁的作用不可忽视。当首层锚杆或支撑设置在冠梁</w:t>
      </w:r>
      <w:r>
        <w:rPr>
          <w:rFonts w:hAnsi="宋体"/>
          <w:sz w:val="20"/>
          <w:szCs w:val="20"/>
        </w:rPr>
        <w:t>上时，冠梁兼作传力结构，其设计应该通过计算决定。</w:t>
      </w:r>
    </w:p>
    <w:p w14:paraId="1391AD7B">
      <w:pPr>
        <w:adjustRightInd w:val="0"/>
        <w:snapToGrid w:val="0"/>
        <w:spacing w:line="288" w:lineRule="auto"/>
        <w:ind w:firstLine="400" w:firstLineChars="200"/>
        <w:rPr>
          <w:sz w:val="20"/>
          <w:szCs w:val="20"/>
        </w:rPr>
      </w:pPr>
      <w:r>
        <w:rPr>
          <w:rFonts w:hAnsi="宋体"/>
          <w:sz w:val="20"/>
          <w:szCs w:val="20"/>
        </w:rPr>
        <w:t>基于实际工程中的做法和结构构造要求，规定了冠梁的截面尺寸。冠梁高度（水平方向尺寸）不小于桩直径，是为了保证排桩竖向钢筋锚入冠梁后，保护层厚度满足要求。对冠梁厚度（竖直方向尺寸）的规定是为了满足排桩受力主筋锚入其中的长度要求，一般支护桩直径为</w:t>
      </w:r>
      <w:r>
        <w:rPr>
          <w:sz w:val="20"/>
          <w:szCs w:val="20"/>
        </w:rPr>
        <w:t>600</w:t>
      </w:r>
      <w:r>
        <w:rPr>
          <w:rFonts w:hAnsi="宋体"/>
          <w:sz w:val="20"/>
          <w:szCs w:val="20"/>
        </w:rPr>
        <w:t>mm时，构造要求的冠梁厚度为</w:t>
      </w:r>
      <w:r>
        <w:rPr>
          <w:sz w:val="20"/>
          <w:szCs w:val="20"/>
        </w:rPr>
        <w:t>400</w:t>
      </w:r>
      <w:r>
        <w:rPr>
          <w:rFonts w:hAnsi="宋体"/>
          <w:sz w:val="20"/>
          <w:szCs w:val="20"/>
        </w:rPr>
        <w:t>mm左右，桩直径为</w:t>
      </w:r>
      <w:r>
        <w:rPr>
          <w:sz w:val="20"/>
          <w:szCs w:val="20"/>
        </w:rPr>
        <w:t>800</w:t>
      </w:r>
      <w:r>
        <w:rPr>
          <w:rFonts w:hAnsi="宋体"/>
          <w:sz w:val="20"/>
          <w:szCs w:val="20"/>
        </w:rPr>
        <w:t>mm时，冠梁厚度为</w:t>
      </w:r>
      <w:r>
        <w:rPr>
          <w:sz w:val="20"/>
          <w:szCs w:val="20"/>
        </w:rPr>
        <w:t>500</w:t>
      </w:r>
      <w:r>
        <w:rPr>
          <w:rFonts w:hAnsi="宋体"/>
          <w:sz w:val="20"/>
          <w:szCs w:val="20"/>
        </w:rPr>
        <w:t>mm左右。</w:t>
      </w:r>
    </w:p>
    <w:p w14:paraId="3EDD848E">
      <w:pPr>
        <w:adjustRightInd w:val="0"/>
        <w:snapToGrid w:val="0"/>
        <w:spacing w:line="288" w:lineRule="auto"/>
        <w:rPr>
          <w:sz w:val="20"/>
          <w:szCs w:val="20"/>
        </w:rPr>
      </w:pPr>
      <w:r>
        <w:rPr>
          <w:b/>
          <w:bCs/>
        </w:rPr>
        <w:t xml:space="preserve">7.7.6～7.7.7  </w:t>
      </w:r>
      <w:r>
        <w:rPr>
          <w:rFonts w:hAnsi="宋体"/>
          <w:sz w:val="20"/>
          <w:szCs w:val="20"/>
        </w:rPr>
        <w:t>钢筋混凝土排桩桩间土的防护措施一般采用喷射混凝土护面的方法，鉴于目前北京地区的基坑工程的使用季节条件，基坑的使用要经历雨季或者冬季，加之坑边不明地下水和场区施工和生活用水的影响，设计和施工中均要求进行护面。</w:t>
      </w:r>
    </w:p>
    <w:p w14:paraId="65FB9044">
      <w:pPr>
        <w:adjustRightInd w:val="0"/>
        <w:snapToGrid w:val="0"/>
        <w:spacing w:line="288" w:lineRule="auto"/>
        <w:ind w:firstLine="400" w:firstLineChars="200"/>
        <w:rPr>
          <w:sz w:val="20"/>
          <w:szCs w:val="20"/>
        </w:rPr>
      </w:pPr>
      <w:r>
        <w:rPr>
          <w:rFonts w:hAnsi="宋体"/>
          <w:sz w:val="20"/>
          <w:szCs w:val="20"/>
        </w:rPr>
        <w:t>含水层中设置泄水孔的做法在土钉墙的设计和施工中有明确要求，排桩支护的桩间土的防护可按土钉墙一节中的有关要求采用。桩间土在存在有外来渗水影响的情况下，也应该充分重视泄水，以保证壁面的稳定，确保坑内作业的正常施工。</w:t>
      </w:r>
    </w:p>
    <w:p w14:paraId="72D6F6F7">
      <w:pPr>
        <w:adjustRightInd w:val="0"/>
        <w:snapToGrid w:val="0"/>
        <w:spacing w:line="288" w:lineRule="auto"/>
        <w:rPr>
          <w:sz w:val="20"/>
          <w:szCs w:val="20"/>
        </w:rPr>
      </w:pPr>
      <w:r>
        <w:rPr>
          <w:b/>
          <w:bCs/>
        </w:rPr>
        <w:t xml:space="preserve">7.7.8  </w:t>
      </w:r>
      <w:r>
        <w:rPr>
          <w:rFonts w:hAnsi="宋体"/>
          <w:sz w:val="20"/>
          <w:szCs w:val="20"/>
        </w:rPr>
        <w:t>考虑较常用的抓斗规格的适应性以及支护深度，连续墙的厚度采用较多的是</w:t>
      </w:r>
      <w:r>
        <w:rPr>
          <w:sz w:val="20"/>
          <w:szCs w:val="20"/>
        </w:rPr>
        <w:t>600</w:t>
      </w:r>
      <w:r>
        <w:rPr>
          <w:rFonts w:hAnsi="宋体"/>
          <w:sz w:val="20"/>
          <w:szCs w:val="20"/>
        </w:rPr>
        <w:t>mm和</w:t>
      </w:r>
      <w:r>
        <w:rPr>
          <w:sz w:val="20"/>
          <w:szCs w:val="20"/>
        </w:rPr>
        <w:t>800</w:t>
      </w:r>
      <w:r>
        <w:rPr>
          <w:rFonts w:hAnsi="宋体"/>
          <w:sz w:val="20"/>
          <w:szCs w:val="20"/>
        </w:rPr>
        <w:t>mm。水利水电项目的薄壁抓斗施工连续墙厚度可以为</w:t>
      </w:r>
      <w:r>
        <w:rPr>
          <w:sz w:val="20"/>
          <w:szCs w:val="20"/>
        </w:rPr>
        <w:t>400</w:t>
      </w:r>
      <w:r>
        <w:rPr>
          <w:rFonts w:hAnsi="宋体"/>
          <w:sz w:val="20"/>
          <w:szCs w:val="20"/>
        </w:rPr>
        <w:t>mm甚至更小，一般多用于单纯堤防和库区的防渗之用，用于建筑基坑支护也有其实用价值，但是对于厚度小于</w:t>
      </w:r>
      <w:r>
        <w:rPr>
          <w:sz w:val="20"/>
          <w:szCs w:val="20"/>
        </w:rPr>
        <w:t>400</w:t>
      </w:r>
      <w:r>
        <w:rPr>
          <w:rFonts w:hAnsi="宋体"/>
          <w:sz w:val="20"/>
          <w:szCs w:val="20"/>
        </w:rPr>
        <w:t>mm以下的地下连续墙来说，完全可以用排桩和截水帷幕来代替，因此条文规定了最小厚度限制。</w:t>
      </w:r>
    </w:p>
    <w:p w14:paraId="260529D9">
      <w:pPr>
        <w:adjustRightInd w:val="0"/>
        <w:snapToGrid w:val="0"/>
        <w:spacing w:line="288" w:lineRule="auto"/>
        <w:ind w:firstLine="400" w:firstLineChars="200"/>
        <w:rPr>
          <w:rFonts w:ascii="宋体" w:hAnsi="宋体"/>
          <w:sz w:val="20"/>
          <w:szCs w:val="20"/>
        </w:rPr>
      </w:pPr>
      <w:r>
        <w:rPr>
          <w:rFonts w:hint="eastAsia" w:ascii="宋体" w:hAnsi="宋体"/>
          <w:sz w:val="20"/>
          <w:szCs w:val="20"/>
        </w:rPr>
        <w:t>槽段划分与成槽施工工艺、土质条件、混凝土灌注方法等有关。单纯</w:t>
      </w:r>
      <w:r>
        <w:rPr>
          <w:rFonts w:hAnsi="宋体"/>
          <w:sz w:val="20"/>
          <w:szCs w:val="20"/>
        </w:rPr>
        <w:t>的抓斗单次开槽宽度一般为</w:t>
      </w:r>
      <w:r>
        <w:rPr>
          <w:sz w:val="20"/>
          <w:szCs w:val="20"/>
        </w:rPr>
        <w:t>2.6</w:t>
      </w:r>
      <w:r>
        <w:rPr>
          <w:rFonts w:hint="eastAsia"/>
          <w:sz w:val="20"/>
          <w:szCs w:val="20"/>
        </w:rPr>
        <w:t>m</w:t>
      </w:r>
      <w:r>
        <w:rPr>
          <w:rFonts w:hAnsi="宋体"/>
          <w:sz w:val="20"/>
          <w:szCs w:val="20"/>
        </w:rPr>
        <w:t>～</w:t>
      </w:r>
      <w:r>
        <w:rPr>
          <w:sz w:val="20"/>
          <w:szCs w:val="20"/>
        </w:rPr>
        <w:t>2.8m</w:t>
      </w:r>
      <w:r>
        <w:rPr>
          <w:rFonts w:hAnsi="宋体"/>
          <w:sz w:val="20"/>
          <w:szCs w:val="20"/>
        </w:rPr>
        <w:t>，前后两个单元槽的长度就是</w:t>
      </w:r>
      <w:r>
        <w:rPr>
          <w:sz w:val="20"/>
          <w:szCs w:val="20"/>
        </w:rPr>
        <w:t>6</w:t>
      </w:r>
      <w:r>
        <w:rPr>
          <w:rFonts w:hint="eastAsia" w:hAnsi="宋体"/>
          <w:sz w:val="20"/>
          <w:szCs w:val="20"/>
        </w:rPr>
        <w:t>m</w:t>
      </w:r>
      <w:r>
        <w:rPr>
          <w:rFonts w:hAnsi="宋体"/>
          <w:sz w:val="20"/>
          <w:szCs w:val="20"/>
        </w:rPr>
        <w:t>，如果结合采用两钻（孔）配一抓或者三钻（孔）配两抓，前后两个单元槽的长度就接近</w:t>
      </w:r>
      <w:r>
        <w:rPr>
          <w:sz w:val="20"/>
          <w:szCs w:val="20"/>
        </w:rPr>
        <w:t>8.0m</w:t>
      </w:r>
      <w:r>
        <w:rPr>
          <w:rFonts w:hAnsi="宋体"/>
          <w:sz w:val="20"/>
          <w:szCs w:val="20"/>
        </w:rPr>
        <w:t>。但在混凝土灌注中，一般采用两根导管同时灌注，根据相关规范的要求，导管之间的距离不超过</w:t>
      </w:r>
      <w:r>
        <w:rPr>
          <w:sz w:val="20"/>
          <w:szCs w:val="20"/>
        </w:rPr>
        <w:t>3.0m</w:t>
      </w:r>
      <w:r>
        <w:rPr>
          <w:rFonts w:hAnsi="宋体"/>
          <w:sz w:val="20"/>
          <w:szCs w:val="20"/>
        </w:rPr>
        <w:t>，导管距槽段端部不超过</w:t>
      </w:r>
      <w:r>
        <w:rPr>
          <w:sz w:val="20"/>
          <w:szCs w:val="20"/>
        </w:rPr>
        <w:t>1.5m</w:t>
      </w:r>
      <w:r>
        <w:rPr>
          <w:rFonts w:hAnsi="宋体"/>
          <w:sz w:val="20"/>
          <w:szCs w:val="20"/>
        </w:rPr>
        <w:t>，适宜常规灌注方式的槽段长度一般在</w:t>
      </w:r>
      <w:r>
        <w:rPr>
          <w:sz w:val="20"/>
          <w:szCs w:val="20"/>
        </w:rPr>
        <w:t>6.0m</w:t>
      </w:r>
      <w:r>
        <w:rPr>
          <w:rFonts w:hAnsi="宋体"/>
          <w:sz w:val="20"/>
          <w:szCs w:val="20"/>
        </w:rPr>
        <w:t>左右。所以条文规定除考虑槽壁的稳定和钢筋笼的起吊能力外，同时考虑成槽和混凝土灌注的要求，明确槽段长度不大于</w:t>
      </w:r>
      <w:r>
        <w:rPr>
          <w:sz w:val="20"/>
          <w:szCs w:val="20"/>
        </w:rPr>
        <w:t>8.0m</w:t>
      </w:r>
      <w:r>
        <w:rPr>
          <w:rFonts w:hAnsi="宋体"/>
          <w:sz w:val="20"/>
          <w:szCs w:val="20"/>
        </w:rPr>
        <w:t>。</w:t>
      </w:r>
    </w:p>
    <w:p w14:paraId="266AE9BD">
      <w:pPr>
        <w:adjustRightInd w:val="0"/>
        <w:snapToGrid w:val="0"/>
        <w:spacing w:line="288" w:lineRule="auto"/>
        <w:rPr>
          <w:sz w:val="20"/>
          <w:szCs w:val="20"/>
        </w:rPr>
      </w:pPr>
      <w:r>
        <w:rPr>
          <w:b/>
          <w:bCs/>
        </w:rPr>
        <w:t>7.7.9</w:t>
      </w:r>
      <w:r>
        <w:rPr>
          <w:rFonts w:hint="eastAsia"/>
          <w:b/>
          <w:bCs/>
        </w:rPr>
        <w:t xml:space="preserve">  </w:t>
      </w:r>
      <w:r>
        <w:rPr>
          <w:rFonts w:hint="eastAsia" w:ascii="宋体" w:hAnsi="宋体"/>
          <w:sz w:val="20"/>
          <w:szCs w:val="20"/>
        </w:rPr>
        <w:t>作为支护结</w:t>
      </w:r>
      <w:r>
        <w:rPr>
          <w:rFonts w:hAnsi="宋体"/>
          <w:sz w:val="20"/>
          <w:szCs w:val="20"/>
        </w:rPr>
        <w:t>构的连续墙，</w:t>
      </w:r>
      <w:r>
        <w:rPr>
          <w:sz w:val="20"/>
          <w:szCs w:val="20"/>
        </w:rPr>
        <w:t>C25</w:t>
      </w:r>
      <w:r>
        <w:rPr>
          <w:rFonts w:hAnsi="宋体"/>
          <w:sz w:val="20"/>
          <w:szCs w:val="20"/>
        </w:rPr>
        <w:t>等级的混凝土能满足隔水和临时防渗的要求，兼作永久结构使用时，应以永久结构防渗设计为主。</w:t>
      </w:r>
    </w:p>
    <w:p w14:paraId="6A6E8F63">
      <w:pPr>
        <w:adjustRightInd w:val="0"/>
        <w:snapToGrid w:val="0"/>
        <w:spacing w:line="288" w:lineRule="auto"/>
        <w:textAlignment w:val="baseline"/>
        <w:rPr>
          <w:sz w:val="20"/>
          <w:szCs w:val="20"/>
        </w:rPr>
      </w:pPr>
      <w:r>
        <w:rPr>
          <w:b/>
          <w:bCs/>
        </w:rPr>
        <w:t xml:space="preserve">7.7.11  </w:t>
      </w:r>
      <w:r>
        <w:rPr>
          <w:rFonts w:ascii="宋体" w:hAnsi="宋体"/>
          <w:sz w:val="20"/>
          <w:szCs w:val="20"/>
        </w:rPr>
        <w:t>槽段接头是</w:t>
      </w:r>
      <w:r>
        <w:rPr>
          <w:rFonts w:hAnsi="宋体"/>
          <w:sz w:val="20"/>
          <w:szCs w:val="20"/>
        </w:rPr>
        <w:t>地下连续墙的重要部件，工程中常用的施工接头如图</w:t>
      </w:r>
      <w:r>
        <w:rPr>
          <w:sz w:val="20"/>
          <w:szCs w:val="20"/>
        </w:rPr>
        <w:t>7.7.11-1</w:t>
      </w:r>
      <w:r>
        <w:rPr>
          <w:rFonts w:hAnsi="宋体"/>
          <w:sz w:val="20"/>
          <w:szCs w:val="20"/>
        </w:rPr>
        <w:t>、图</w:t>
      </w:r>
      <w:r>
        <w:rPr>
          <w:sz w:val="20"/>
          <w:szCs w:val="20"/>
        </w:rPr>
        <w:t>7.7.11-2</w:t>
      </w:r>
      <w:r>
        <w:rPr>
          <w:rFonts w:hAnsi="宋体"/>
          <w:sz w:val="20"/>
          <w:szCs w:val="20"/>
        </w:rPr>
        <w:t>所示。</w:t>
      </w:r>
    </w:p>
    <w:p w14:paraId="57011CEB">
      <w:pPr>
        <w:adjustRightInd w:val="0"/>
        <w:snapToGrid w:val="0"/>
        <w:spacing w:line="288" w:lineRule="auto"/>
        <w:textAlignment w:val="baseline"/>
        <w:rPr>
          <w:rFonts w:ascii="宋体" w:hAnsi="宋体"/>
          <w:sz w:val="20"/>
          <w:szCs w:val="20"/>
        </w:rPr>
      </w:pPr>
    </w:p>
    <w:p w14:paraId="3C03A48F">
      <w:pPr>
        <w:adjustRightInd w:val="0"/>
        <w:snapToGrid w:val="0"/>
        <w:spacing w:line="288" w:lineRule="auto"/>
        <w:jc w:val="center"/>
        <w:textAlignment w:val="baseline"/>
        <w:rPr>
          <w:rFonts w:ascii="宋体" w:hAnsi="宋体"/>
          <w:sz w:val="20"/>
          <w:szCs w:val="20"/>
        </w:rPr>
      </w:pPr>
      <w:r>
        <w:rPr>
          <w:rFonts w:ascii="宋体" w:hAnsi="宋体"/>
          <w:sz w:val="20"/>
          <w:szCs w:val="20"/>
        </w:rPr>
        <w:object>
          <v:shape id="_x0000_i1171" o:spt="75" type="#_x0000_t75" style="height:50.1pt;width:292.05pt;" o:ole="t" filled="f" o:preferrelative="t" stroked="f" coordsize="21600,21600">
            <v:path/>
            <v:fill on="f" focussize="0,0"/>
            <v:stroke on="f" joinstyle="miter"/>
            <v:imagedata r:id="rId335" cropleft="11841f" croptop="18288f" cropright="11776f" cropbottom="31250f" o:title=""/>
            <o:lock v:ext="edit" aspectratio="t"/>
            <w10:wrap type="none"/>
            <w10:anchorlock/>
          </v:shape>
          <o:OLEObject Type="Embed" ProgID="AutoCAD.Drawing.16" ShapeID="_x0000_i1171" DrawAspect="Content" ObjectID="_1468075875" r:id="rId334">
            <o:LockedField>false</o:LockedField>
          </o:OLEObject>
        </w:object>
      </w:r>
    </w:p>
    <w:p w14:paraId="29DAC5FE">
      <w:pPr>
        <w:tabs>
          <w:tab w:val="left" w:pos="672"/>
          <w:tab w:val="left" w:pos="1036"/>
          <w:tab w:val="left" w:pos="1620"/>
          <w:tab w:val="left" w:pos="2160"/>
          <w:tab w:val="left" w:pos="7020"/>
        </w:tabs>
        <w:adjustRightInd w:val="0"/>
        <w:snapToGrid w:val="0"/>
        <w:spacing w:line="288" w:lineRule="auto"/>
        <w:ind w:firstLine="360" w:firstLineChars="200"/>
        <w:jc w:val="center"/>
        <w:rPr>
          <w:rFonts w:ascii="楷体_GB2312" w:hAnsi="宋体" w:eastAsia="楷体_GB2312"/>
          <w:sz w:val="18"/>
          <w:szCs w:val="18"/>
        </w:rPr>
      </w:pPr>
      <w:r>
        <w:rPr>
          <w:rFonts w:hint="eastAsia" w:ascii="楷体_GB2312" w:hAnsi="宋体" w:eastAsia="楷体_GB2312"/>
          <w:sz w:val="18"/>
          <w:szCs w:val="18"/>
        </w:rPr>
        <w:t>（a）圆形锁口管接头                   （b）波形管接头</w:t>
      </w:r>
    </w:p>
    <w:p w14:paraId="2995E83B">
      <w:pPr>
        <w:adjustRightInd w:val="0"/>
        <w:snapToGrid w:val="0"/>
        <w:spacing w:line="288" w:lineRule="auto"/>
        <w:jc w:val="center"/>
        <w:textAlignment w:val="baseline"/>
        <w:rPr>
          <w:rFonts w:ascii="宋体" w:hAnsi="宋体"/>
          <w:sz w:val="20"/>
          <w:szCs w:val="20"/>
        </w:rPr>
      </w:pPr>
      <w:r>
        <w:rPr>
          <w:rFonts w:ascii="宋体" w:hAnsi="宋体"/>
          <w:sz w:val="20"/>
          <w:szCs w:val="20"/>
        </w:rPr>
        <w:object>
          <v:shape id="_x0000_i1172" o:spt="75" type="#_x0000_t75" style="height:54.7pt;width:292.05pt;" o:ole="t" filled="f" o:preferrelative="t" stroked="f" coordsize="21600,21600">
            <v:path/>
            <v:fill on="f" focussize="0,0"/>
            <v:stroke on="f" joinstyle="miter"/>
            <v:imagedata r:id="rId337" cropleft="12761f" croptop="42881f" cropright="13309f" cropbottom="5743f" o:title=""/>
            <o:lock v:ext="edit" aspectratio="t"/>
            <w10:wrap type="none"/>
            <w10:anchorlock/>
          </v:shape>
          <o:OLEObject Type="Embed" ProgID="AutoCAD.Drawing.16" ShapeID="_x0000_i1172" DrawAspect="Content" ObjectID="_1468075876" r:id="rId336">
            <o:LockedField>false</o:LockedField>
          </o:OLEObject>
        </w:object>
      </w:r>
    </w:p>
    <w:p w14:paraId="6BD3A682">
      <w:pPr>
        <w:tabs>
          <w:tab w:val="left" w:pos="672"/>
          <w:tab w:val="left" w:pos="1036"/>
          <w:tab w:val="left" w:pos="1620"/>
          <w:tab w:val="left" w:pos="2160"/>
          <w:tab w:val="left" w:pos="7020"/>
        </w:tabs>
        <w:adjustRightInd w:val="0"/>
        <w:snapToGrid w:val="0"/>
        <w:spacing w:line="288" w:lineRule="auto"/>
        <w:ind w:firstLine="360" w:firstLineChars="200"/>
        <w:jc w:val="center"/>
        <w:rPr>
          <w:rFonts w:ascii="楷体_GB2312" w:hAnsi="宋体" w:eastAsia="楷体_GB2312"/>
          <w:sz w:val="18"/>
          <w:szCs w:val="18"/>
        </w:rPr>
      </w:pPr>
      <w:r>
        <w:rPr>
          <w:rFonts w:hint="eastAsia" w:ascii="楷体_GB2312" w:hAnsi="宋体" w:eastAsia="楷体_GB2312"/>
          <w:sz w:val="18"/>
          <w:szCs w:val="18"/>
        </w:rPr>
        <w:t>（c）楔形接头                      （d）工字形型钢接头</w:t>
      </w:r>
    </w:p>
    <w:p w14:paraId="00DD8F9D">
      <w:pPr>
        <w:tabs>
          <w:tab w:val="left" w:pos="672"/>
          <w:tab w:val="left" w:pos="1036"/>
          <w:tab w:val="left" w:pos="1620"/>
          <w:tab w:val="left" w:pos="2160"/>
          <w:tab w:val="left" w:pos="7020"/>
        </w:tabs>
        <w:adjustRightInd w:val="0"/>
        <w:snapToGrid w:val="0"/>
        <w:spacing w:before="120" w:beforeLines="50" w:line="288" w:lineRule="auto"/>
        <w:jc w:val="center"/>
        <w:rPr>
          <w:b/>
          <w:sz w:val="18"/>
          <w:szCs w:val="18"/>
        </w:rPr>
      </w:pPr>
      <w:r>
        <w:rPr>
          <w:rFonts w:hAnsi="宋体"/>
          <w:b/>
          <w:sz w:val="18"/>
          <w:szCs w:val="18"/>
        </w:rPr>
        <w:t>图</w:t>
      </w:r>
      <w:r>
        <w:rPr>
          <w:b/>
          <w:sz w:val="18"/>
          <w:szCs w:val="18"/>
        </w:rPr>
        <w:t xml:space="preserve">7.7.11-1  </w:t>
      </w:r>
      <w:r>
        <w:rPr>
          <w:rFonts w:hAnsi="宋体"/>
          <w:b/>
          <w:sz w:val="18"/>
          <w:szCs w:val="18"/>
        </w:rPr>
        <w:t>地下连续墙柔性接头</w:t>
      </w:r>
    </w:p>
    <w:p w14:paraId="217BE196">
      <w:pPr>
        <w:tabs>
          <w:tab w:val="left" w:pos="672"/>
          <w:tab w:val="left" w:pos="1036"/>
          <w:tab w:val="left" w:pos="1620"/>
          <w:tab w:val="left" w:pos="2160"/>
          <w:tab w:val="left" w:pos="7020"/>
        </w:tabs>
        <w:adjustRightInd w:val="0"/>
        <w:snapToGrid w:val="0"/>
        <w:spacing w:line="288" w:lineRule="auto"/>
        <w:jc w:val="center"/>
        <w:rPr>
          <w:sz w:val="15"/>
          <w:szCs w:val="15"/>
        </w:rPr>
      </w:pPr>
      <w:r>
        <w:rPr>
          <w:sz w:val="15"/>
          <w:szCs w:val="15"/>
        </w:rPr>
        <w:t>1-</w:t>
      </w:r>
      <w:r>
        <w:rPr>
          <w:rFonts w:hAnsi="宋体"/>
          <w:sz w:val="15"/>
          <w:szCs w:val="15"/>
        </w:rPr>
        <w:t>先行槽段；</w:t>
      </w:r>
      <w:r>
        <w:rPr>
          <w:sz w:val="15"/>
          <w:szCs w:val="15"/>
        </w:rPr>
        <w:t>2</w:t>
      </w:r>
      <w:r>
        <w:rPr>
          <w:rFonts w:hAnsi="宋体"/>
          <w:sz w:val="15"/>
          <w:szCs w:val="15"/>
        </w:rPr>
        <w:t>－后续槽段；</w:t>
      </w:r>
      <w:r>
        <w:rPr>
          <w:sz w:val="15"/>
          <w:szCs w:val="15"/>
        </w:rPr>
        <w:t>3</w:t>
      </w:r>
      <w:r>
        <w:rPr>
          <w:rFonts w:hAnsi="宋体"/>
          <w:sz w:val="15"/>
          <w:szCs w:val="15"/>
        </w:rPr>
        <w:t>－圆形锁扣管；</w:t>
      </w:r>
      <w:r>
        <w:rPr>
          <w:sz w:val="15"/>
          <w:szCs w:val="15"/>
        </w:rPr>
        <w:t>4</w:t>
      </w:r>
      <w:r>
        <w:rPr>
          <w:rFonts w:hAnsi="宋体"/>
          <w:sz w:val="15"/>
          <w:szCs w:val="15"/>
        </w:rPr>
        <w:t>－波形管；</w:t>
      </w:r>
      <w:r>
        <w:rPr>
          <w:sz w:val="15"/>
          <w:szCs w:val="15"/>
        </w:rPr>
        <w:t xml:space="preserve"> 5</w:t>
      </w:r>
      <w:r>
        <w:rPr>
          <w:rFonts w:hAnsi="宋体"/>
          <w:sz w:val="15"/>
          <w:szCs w:val="15"/>
        </w:rPr>
        <w:t>－水平钢筋；</w:t>
      </w:r>
    </w:p>
    <w:p w14:paraId="68786572">
      <w:pPr>
        <w:tabs>
          <w:tab w:val="left" w:pos="672"/>
          <w:tab w:val="left" w:pos="1036"/>
          <w:tab w:val="left" w:pos="1620"/>
          <w:tab w:val="left" w:pos="2160"/>
          <w:tab w:val="left" w:pos="7020"/>
        </w:tabs>
        <w:adjustRightInd w:val="0"/>
        <w:snapToGrid w:val="0"/>
        <w:spacing w:after="120" w:afterLines="50" w:line="288" w:lineRule="auto"/>
        <w:jc w:val="center"/>
        <w:rPr>
          <w:rFonts w:ascii="楷体_GB2312" w:hAnsi="宋体" w:eastAsia="楷体_GB2312"/>
          <w:sz w:val="15"/>
          <w:szCs w:val="15"/>
        </w:rPr>
      </w:pPr>
      <w:r>
        <w:rPr>
          <w:sz w:val="15"/>
          <w:szCs w:val="15"/>
        </w:rPr>
        <w:t>6</w:t>
      </w:r>
      <w:r>
        <w:rPr>
          <w:rFonts w:hAnsi="宋体"/>
          <w:sz w:val="15"/>
          <w:szCs w:val="15"/>
        </w:rPr>
        <w:t>－端头纵筋；</w:t>
      </w:r>
      <w:r>
        <w:rPr>
          <w:sz w:val="15"/>
          <w:szCs w:val="15"/>
        </w:rPr>
        <w:t>7</w:t>
      </w:r>
      <w:r>
        <w:rPr>
          <w:rFonts w:hAnsi="宋体"/>
          <w:sz w:val="15"/>
          <w:szCs w:val="15"/>
        </w:rPr>
        <w:t>－工字钢接头；</w:t>
      </w:r>
      <w:r>
        <w:rPr>
          <w:sz w:val="15"/>
          <w:szCs w:val="15"/>
        </w:rPr>
        <w:t>8</w:t>
      </w:r>
      <w:r>
        <w:rPr>
          <w:rFonts w:hAnsi="宋体"/>
          <w:sz w:val="15"/>
          <w:szCs w:val="15"/>
        </w:rPr>
        <w:t>－地下连续墙钢筋；</w:t>
      </w:r>
      <w:r>
        <w:rPr>
          <w:sz w:val="15"/>
          <w:szCs w:val="15"/>
        </w:rPr>
        <w:t>9</w:t>
      </w:r>
      <w:r>
        <w:rPr>
          <w:rFonts w:hAnsi="宋体"/>
          <w:sz w:val="15"/>
          <w:szCs w:val="15"/>
        </w:rPr>
        <w:t>－止浆板</w:t>
      </w:r>
    </w:p>
    <w:p w14:paraId="1271BA96">
      <w:pPr>
        <w:tabs>
          <w:tab w:val="left" w:pos="672"/>
          <w:tab w:val="left" w:pos="1036"/>
          <w:tab w:val="left" w:pos="1620"/>
          <w:tab w:val="left" w:pos="2160"/>
          <w:tab w:val="left" w:pos="7020"/>
        </w:tabs>
        <w:adjustRightInd w:val="0"/>
        <w:snapToGrid w:val="0"/>
        <w:spacing w:line="288" w:lineRule="auto"/>
        <w:ind w:firstLine="400" w:firstLineChars="200"/>
        <w:jc w:val="center"/>
        <w:rPr>
          <w:rFonts w:ascii="宋体" w:hAnsi="宋体"/>
          <w:sz w:val="20"/>
          <w:szCs w:val="20"/>
        </w:rPr>
      </w:pPr>
      <w:r>
        <w:rPr>
          <w:rFonts w:ascii="宋体" w:hAnsi="宋体"/>
          <w:sz w:val="20"/>
          <w:szCs w:val="20"/>
        </w:rPr>
        <w:object>
          <v:shape id="_x0000_i1173" o:spt="75" type="#_x0000_t75" style="height:54.7pt;width:242.5pt;" o:ole="t" filled="f" o:preferrelative="t" stroked="f" coordsize="21600,21600">
            <v:path/>
            <v:fill on="f" focussize="0,0"/>
            <v:stroke on="f" joinstyle="miter"/>
            <v:imagedata r:id="rId339" cropleft="17456f" croptop="4506f" cropright="17057f" cropbottom="45249f" o:title=""/>
            <o:lock v:ext="edit" aspectratio="t"/>
            <w10:wrap type="none"/>
            <w10:anchorlock/>
          </v:shape>
          <o:OLEObject Type="Embed" ProgID="AutoCAD.Drawing.16" ShapeID="_x0000_i1173" DrawAspect="Content" ObjectID="_1468075877" r:id="rId338">
            <o:LockedField>false</o:LockedField>
          </o:OLEObject>
        </w:object>
      </w:r>
    </w:p>
    <w:p w14:paraId="16514268">
      <w:pPr>
        <w:tabs>
          <w:tab w:val="left" w:pos="672"/>
          <w:tab w:val="left" w:pos="1036"/>
          <w:tab w:val="left" w:pos="1620"/>
          <w:tab w:val="left" w:pos="2160"/>
          <w:tab w:val="left" w:pos="7020"/>
        </w:tabs>
        <w:adjustRightInd w:val="0"/>
        <w:snapToGrid w:val="0"/>
        <w:spacing w:line="288" w:lineRule="auto"/>
        <w:ind w:firstLine="360" w:firstLineChars="200"/>
        <w:jc w:val="center"/>
        <w:rPr>
          <w:rFonts w:ascii="楷体_GB2312" w:hAnsi="宋体" w:eastAsia="楷体_GB2312"/>
          <w:sz w:val="18"/>
          <w:szCs w:val="18"/>
        </w:rPr>
      </w:pPr>
      <w:r>
        <w:rPr>
          <w:rFonts w:hint="eastAsia" w:ascii="楷体_GB2312" w:hAnsi="宋体" w:eastAsia="楷体_GB2312"/>
          <w:sz w:val="18"/>
          <w:szCs w:val="18"/>
        </w:rPr>
        <w:t>（a）十字形穿孔钢板刚性接头      （b）钢筋承插式接头</w:t>
      </w:r>
    </w:p>
    <w:p w14:paraId="6161E24F">
      <w:pPr>
        <w:tabs>
          <w:tab w:val="left" w:pos="672"/>
          <w:tab w:val="left" w:pos="1036"/>
          <w:tab w:val="left" w:pos="1620"/>
          <w:tab w:val="left" w:pos="2160"/>
          <w:tab w:val="left" w:pos="7020"/>
        </w:tabs>
        <w:adjustRightInd w:val="0"/>
        <w:snapToGrid w:val="0"/>
        <w:spacing w:before="120" w:beforeLines="50" w:line="288" w:lineRule="auto"/>
        <w:jc w:val="center"/>
        <w:rPr>
          <w:b/>
          <w:sz w:val="18"/>
          <w:szCs w:val="18"/>
        </w:rPr>
      </w:pPr>
      <w:r>
        <w:rPr>
          <w:rFonts w:hAnsi="宋体"/>
          <w:b/>
          <w:sz w:val="18"/>
          <w:szCs w:val="18"/>
        </w:rPr>
        <w:t>图</w:t>
      </w:r>
      <w:r>
        <w:rPr>
          <w:b/>
          <w:sz w:val="18"/>
          <w:szCs w:val="18"/>
        </w:rPr>
        <w:t xml:space="preserve">7.7.11-2  </w:t>
      </w:r>
      <w:r>
        <w:rPr>
          <w:rFonts w:hAnsi="宋体"/>
          <w:b/>
          <w:sz w:val="18"/>
          <w:szCs w:val="18"/>
        </w:rPr>
        <w:t>地下连续墙刚性接头</w:t>
      </w:r>
    </w:p>
    <w:p w14:paraId="252F8951">
      <w:pPr>
        <w:tabs>
          <w:tab w:val="left" w:pos="672"/>
          <w:tab w:val="left" w:pos="1036"/>
          <w:tab w:val="left" w:pos="1620"/>
          <w:tab w:val="left" w:pos="2160"/>
          <w:tab w:val="left" w:pos="7020"/>
        </w:tabs>
        <w:adjustRightInd w:val="0"/>
        <w:snapToGrid w:val="0"/>
        <w:spacing w:line="288" w:lineRule="auto"/>
        <w:jc w:val="center"/>
        <w:rPr>
          <w:sz w:val="15"/>
          <w:szCs w:val="15"/>
        </w:rPr>
      </w:pPr>
      <w:r>
        <w:rPr>
          <w:sz w:val="15"/>
          <w:szCs w:val="15"/>
        </w:rPr>
        <w:t>1-</w:t>
      </w:r>
      <w:r>
        <w:rPr>
          <w:rFonts w:hAnsi="宋体"/>
          <w:sz w:val="15"/>
          <w:szCs w:val="15"/>
        </w:rPr>
        <w:t>先行槽段；</w:t>
      </w:r>
      <w:r>
        <w:rPr>
          <w:sz w:val="15"/>
          <w:szCs w:val="15"/>
        </w:rPr>
        <w:t>2</w:t>
      </w:r>
      <w:r>
        <w:rPr>
          <w:rFonts w:hAnsi="宋体"/>
          <w:sz w:val="15"/>
          <w:szCs w:val="15"/>
        </w:rPr>
        <w:t>－后续槽段；</w:t>
      </w:r>
      <w:r>
        <w:rPr>
          <w:sz w:val="15"/>
          <w:szCs w:val="15"/>
        </w:rPr>
        <w:t>3</w:t>
      </w:r>
      <w:r>
        <w:rPr>
          <w:rFonts w:hAnsi="宋体"/>
          <w:sz w:val="15"/>
          <w:szCs w:val="15"/>
        </w:rPr>
        <w:t>－十字钢板；</w:t>
      </w:r>
      <w:r>
        <w:rPr>
          <w:sz w:val="15"/>
          <w:szCs w:val="15"/>
        </w:rPr>
        <w:t>4</w:t>
      </w:r>
      <w:r>
        <w:rPr>
          <w:rFonts w:hAnsi="宋体"/>
          <w:sz w:val="15"/>
          <w:szCs w:val="15"/>
        </w:rPr>
        <w:t>－止浆片；</w:t>
      </w:r>
    </w:p>
    <w:p w14:paraId="3414E712">
      <w:pPr>
        <w:tabs>
          <w:tab w:val="left" w:pos="672"/>
          <w:tab w:val="left" w:pos="1036"/>
          <w:tab w:val="left" w:pos="1620"/>
          <w:tab w:val="left" w:pos="2160"/>
          <w:tab w:val="left" w:pos="7020"/>
        </w:tabs>
        <w:adjustRightInd w:val="0"/>
        <w:snapToGrid w:val="0"/>
        <w:spacing w:after="120" w:afterLines="50" w:line="288" w:lineRule="auto"/>
        <w:jc w:val="center"/>
        <w:rPr>
          <w:bCs/>
          <w:sz w:val="20"/>
          <w:szCs w:val="20"/>
        </w:rPr>
      </w:pPr>
      <w:r>
        <w:rPr>
          <w:sz w:val="15"/>
          <w:szCs w:val="15"/>
        </w:rPr>
        <w:t>5</w:t>
      </w:r>
      <w:r>
        <w:rPr>
          <w:rFonts w:hAnsi="宋体"/>
          <w:sz w:val="15"/>
          <w:szCs w:val="15"/>
        </w:rPr>
        <w:t>－加强筋；</w:t>
      </w:r>
      <w:r>
        <w:rPr>
          <w:sz w:val="15"/>
          <w:szCs w:val="15"/>
        </w:rPr>
        <w:t>6</w:t>
      </w:r>
      <w:r>
        <w:rPr>
          <w:rFonts w:hAnsi="宋体"/>
          <w:sz w:val="15"/>
          <w:szCs w:val="15"/>
        </w:rPr>
        <w:t>－隔板</w:t>
      </w:r>
    </w:p>
    <w:p w14:paraId="22CB43C9">
      <w:pPr>
        <w:adjustRightInd w:val="0"/>
        <w:snapToGrid w:val="0"/>
        <w:spacing w:line="288" w:lineRule="auto"/>
        <w:rPr>
          <w:rFonts w:ascii="宋体" w:hAnsi="宋体"/>
          <w:sz w:val="20"/>
          <w:szCs w:val="20"/>
        </w:rPr>
      </w:pPr>
      <w:r>
        <w:rPr>
          <w:b/>
          <w:bCs/>
          <w:kern w:val="0"/>
          <w:sz w:val="20"/>
          <w:szCs w:val="20"/>
        </w:rPr>
        <w:t>7.7.13</w:t>
      </w:r>
      <w:r>
        <w:rPr>
          <w:rFonts w:hint="eastAsia"/>
          <w:b/>
          <w:bCs/>
          <w:sz w:val="20"/>
          <w:szCs w:val="20"/>
        </w:rPr>
        <w:t xml:space="preserve"> </w:t>
      </w:r>
      <w:r>
        <w:rPr>
          <w:rFonts w:hint="eastAsia" w:ascii="宋体" w:hAnsi="宋体"/>
          <w:sz w:val="20"/>
          <w:szCs w:val="20"/>
        </w:rPr>
        <w:t xml:space="preserve"> 参见本</w:t>
      </w:r>
      <w:r>
        <w:rPr>
          <w:rFonts w:ascii="宋体" w:hAnsi="宋体"/>
          <w:sz w:val="20"/>
          <w:szCs w:val="20"/>
        </w:rPr>
        <w:t>规程</w:t>
      </w:r>
      <w:r>
        <w:rPr>
          <w:rFonts w:hint="eastAsia" w:ascii="宋体" w:hAnsi="宋体"/>
          <w:sz w:val="20"/>
          <w:szCs w:val="20"/>
        </w:rPr>
        <w:t>第</w:t>
      </w:r>
      <w:r>
        <w:rPr>
          <w:sz w:val="20"/>
          <w:szCs w:val="20"/>
        </w:rPr>
        <w:t>7.7.5</w:t>
      </w:r>
      <w:r>
        <w:rPr>
          <w:rFonts w:hint="eastAsia" w:ascii="宋体" w:hAnsi="宋体"/>
          <w:sz w:val="20"/>
          <w:szCs w:val="20"/>
        </w:rPr>
        <w:t>条条文说明。</w:t>
      </w:r>
    </w:p>
    <w:p w14:paraId="12F5AA4D">
      <w:pPr>
        <w:adjustRightInd w:val="0"/>
        <w:snapToGrid w:val="0"/>
        <w:spacing w:line="288" w:lineRule="auto"/>
        <w:rPr>
          <w:sz w:val="20"/>
          <w:szCs w:val="20"/>
        </w:rPr>
      </w:pPr>
      <w:r>
        <w:rPr>
          <w:b/>
          <w:bCs/>
          <w:kern w:val="0"/>
          <w:sz w:val="20"/>
          <w:szCs w:val="20"/>
        </w:rPr>
        <w:t>7.7.14</w:t>
      </w:r>
      <w:r>
        <w:rPr>
          <w:rFonts w:hint="eastAsia" w:ascii="宋体" w:hAnsi="宋体"/>
          <w:sz w:val="20"/>
          <w:szCs w:val="20"/>
        </w:rPr>
        <w:t xml:space="preserve">  预埋钢筋是把连接钢筋事先固定在地下连续墙的钢筋笼上，将其弯折在钢筋笼</w:t>
      </w:r>
      <w:r>
        <w:rPr>
          <w:rFonts w:hAnsi="宋体"/>
          <w:sz w:val="20"/>
          <w:szCs w:val="20"/>
        </w:rPr>
        <w:t>表面，用泡沫板等材料遮盖住，待基坑开挖到相应位置时，将泡沫板和预埋点周围的混凝土凿除，露出预埋钢筋并将其扳直。实践表明扳直钢筋时，直筋</w:t>
      </w:r>
      <w:r>
        <w:rPr>
          <w:sz w:val="20"/>
          <w:szCs w:val="20"/>
        </w:rPr>
        <w:t>20</w:t>
      </w:r>
      <w:r>
        <w:rPr>
          <w:rFonts w:hint="eastAsia"/>
          <w:sz w:val="20"/>
          <w:szCs w:val="20"/>
        </w:rPr>
        <w:t>mm</w:t>
      </w:r>
      <w:r>
        <w:rPr>
          <w:rFonts w:hAnsi="宋体"/>
          <w:sz w:val="20"/>
          <w:szCs w:val="20"/>
        </w:rPr>
        <w:t>其以下的光圆钢筋容易扳直，所以规范规定预埋钢筋采用</w:t>
      </w:r>
      <w:r>
        <w:rPr>
          <w:sz w:val="20"/>
          <w:szCs w:val="20"/>
        </w:rPr>
        <w:t>HPB300</w:t>
      </w:r>
      <w:r>
        <w:rPr>
          <w:rFonts w:hAnsi="宋体"/>
          <w:sz w:val="20"/>
          <w:szCs w:val="20"/>
        </w:rPr>
        <w:t>级钢筋。而直筋大于</w:t>
      </w:r>
      <w:r>
        <w:rPr>
          <w:sz w:val="20"/>
          <w:szCs w:val="20"/>
        </w:rPr>
        <w:t>20</w:t>
      </w:r>
      <w:r>
        <w:rPr>
          <w:rFonts w:hint="eastAsia"/>
          <w:sz w:val="20"/>
          <w:szCs w:val="20"/>
        </w:rPr>
        <w:t>mm</w:t>
      </w:r>
      <w:r>
        <w:rPr>
          <w:rFonts w:hAnsi="宋体"/>
          <w:sz w:val="20"/>
          <w:szCs w:val="20"/>
        </w:rPr>
        <w:t>时，很难扳直，而且在常温弯折时会产生裂缝，解决的办法是采用接驳器连接等方法。</w:t>
      </w:r>
    </w:p>
    <w:p w14:paraId="7E7B0C85">
      <w:pPr>
        <w:adjustRightInd w:val="0"/>
        <w:snapToGrid w:val="0"/>
        <w:spacing w:line="288" w:lineRule="auto"/>
        <w:rPr>
          <w:sz w:val="20"/>
          <w:szCs w:val="20"/>
        </w:rPr>
      </w:pPr>
      <w:r>
        <w:rPr>
          <w:b/>
          <w:bCs/>
          <w:kern w:val="0"/>
          <w:sz w:val="20"/>
          <w:szCs w:val="20"/>
        </w:rPr>
        <w:t>7.7.15</w:t>
      </w:r>
      <w:r>
        <w:rPr>
          <w:sz w:val="20"/>
          <w:szCs w:val="20"/>
        </w:rPr>
        <w:t xml:space="preserve">  </w:t>
      </w:r>
      <w:r>
        <w:rPr>
          <w:rFonts w:hAnsi="宋体"/>
          <w:sz w:val="20"/>
          <w:szCs w:val="20"/>
        </w:rPr>
        <w:t>冠梁作为一般联系梁时，配筋按照构造要求配置。作为锚杆传力结构时，应该根据受力要求进行设计计算，执行</w:t>
      </w:r>
      <w:r>
        <w:rPr>
          <w:rFonts w:hint="eastAsia" w:hAnsi="宋体"/>
          <w:sz w:val="20"/>
          <w:szCs w:val="20"/>
        </w:rPr>
        <w:t>现行国家标准</w:t>
      </w:r>
      <w:r>
        <w:rPr>
          <w:rFonts w:hAnsi="宋体"/>
          <w:sz w:val="20"/>
          <w:szCs w:val="20"/>
        </w:rPr>
        <w:t>《混凝土结构设计规范》</w:t>
      </w:r>
      <w:r>
        <w:rPr>
          <w:sz w:val="20"/>
          <w:szCs w:val="20"/>
        </w:rPr>
        <w:t>GB 50010</w:t>
      </w:r>
      <w:r>
        <w:rPr>
          <w:rFonts w:hAnsi="宋体"/>
          <w:sz w:val="20"/>
          <w:szCs w:val="20"/>
        </w:rPr>
        <w:t>。</w:t>
      </w:r>
    </w:p>
    <w:p w14:paraId="4F7D095A">
      <w:pPr>
        <w:adjustRightInd w:val="0"/>
        <w:snapToGrid w:val="0"/>
        <w:spacing w:line="288" w:lineRule="auto"/>
        <w:rPr>
          <w:rFonts w:ascii="宋体" w:hAnsi="宋体"/>
          <w:sz w:val="20"/>
          <w:szCs w:val="20"/>
        </w:rPr>
      </w:pPr>
      <w:r>
        <w:rPr>
          <w:b/>
          <w:bCs/>
          <w:kern w:val="0"/>
          <w:sz w:val="20"/>
          <w:szCs w:val="20"/>
        </w:rPr>
        <w:t>7.7.16</w:t>
      </w:r>
      <w:r>
        <w:rPr>
          <w:rFonts w:hint="eastAsia" w:ascii="宋体" w:hAnsi="宋体"/>
          <w:bCs/>
          <w:sz w:val="20"/>
          <w:szCs w:val="20"/>
        </w:rPr>
        <w:t xml:space="preserve"> </w:t>
      </w:r>
      <w:r>
        <w:rPr>
          <w:rFonts w:hint="eastAsia" w:ascii="宋体" w:hAnsi="宋体"/>
          <w:sz w:val="20"/>
          <w:szCs w:val="20"/>
        </w:rPr>
        <w:t xml:space="preserve"> 锚杆布置是以排和列的群体形式出现的，如果其间距太小，会引起锚杆周围的高应力区叠加，从而影响锚杆抗拔力和增加锚杆位移，即产生“群锚效应”，所以本条规定了锚杆的最小水平间距和竖向距。实践中也有水平间距小于</w:t>
      </w:r>
      <w:r>
        <w:rPr>
          <w:sz w:val="20"/>
          <w:szCs w:val="20"/>
        </w:rPr>
        <w:t>1.5m</w:t>
      </w:r>
      <w:r>
        <w:rPr>
          <w:rFonts w:hint="eastAsia" w:ascii="宋体" w:hAnsi="宋体"/>
          <w:sz w:val="20"/>
          <w:szCs w:val="20"/>
        </w:rPr>
        <w:t>的情况，可以通过改变相邻锚杆的倾角以降低群锚效应。</w:t>
      </w:r>
    </w:p>
    <w:p w14:paraId="04CC4E52">
      <w:pPr>
        <w:adjustRightInd w:val="0"/>
        <w:snapToGrid w:val="0"/>
        <w:spacing w:line="288" w:lineRule="auto"/>
        <w:ind w:firstLine="400" w:firstLineChars="200"/>
        <w:rPr>
          <w:rFonts w:ascii="宋体" w:hAnsi="宋体"/>
          <w:sz w:val="20"/>
          <w:szCs w:val="20"/>
        </w:rPr>
      </w:pPr>
      <w:r>
        <w:rPr>
          <w:rFonts w:hint="eastAsia" w:ascii="宋体" w:hAnsi="宋体"/>
          <w:sz w:val="20"/>
          <w:szCs w:val="20"/>
        </w:rPr>
        <w:t>为了使锚杆与周围土层有足够的接触应力，本条规定锚固体上覆土层厚度不宜小于</w:t>
      </w:r>
      <w:r>
        <w:rPr>
          <w:sz w:val="20"/>
          <w:szCs w:val="20"/>
        </w:rPr>
        <w:t>4.0m</w:t>
      </w:r>
      <w:r>
        <w:rPr>
          <w:rFonts w:hint="eastAsia" w:ascii="宋体" w:hAnsi="宋体"/>
          <w:sz w:val="20"/>
          <w:szCs w:val="20"/>
        </w:rPr>
        <w:t>，上覆土层厚度太小，其接触应力也小，锚杆与土的粘结强度会较低。当锚杆采用二次高压注浆时，上覆土层有一定厚度才能保证在较高注浆压力作用下注浆不会从地表溢出或流入地下管线内。</w:t>
      </w:r>
    </w:p>
    <w:p w14:paraId="18A18676">
      <w:pPr>
        <w:adjustRightInd w:val="0"/>
        <w:snapToGrid w:val="0"/>
        <w:spacing w:line="288" w:lineRule="auto"/>
        <w:ind w:firstLine="400" w:firstLineChars="200"/>
        <w:rPr>
          <w:rFonts w:ascii="宋体" w:hAnsi="宋体"/>
          <w:sz w:val="20"/>
          <w:szCs w:val="20"/>
        </w:rPr>
      </w:pPr>
      <w:r>
        <w:rPr>
          <w:rFonts w:hint="eastAsia" w:ascii="宋体" w:hAnsi="宋体"/>
          <w:sz w:val="20"/>
          <w:szCs w:val="20"/>
        </w:rPr>
        <w:t>理论上讲，锚杆水平倾角越小，锚杆拉力的水平分力所占比例越大。但是锚杆水平倾角太小，会降低浆液向锚杆周围土层内渗透，影响注浆效果。锚杆水平倾角越大，锚杆拉力的水平分力所占比例越小，锚杆拉力的有效部分减小或需要更长的锚杆长度，也就越不经济。同时锚杆的竖向分力较大，对锚头连接要求更高并使挡土构件有向下变形的趋势。本条规定了适宜的水平倾角的范围值，设计时，应按尽量使锚杆锚固段进入粘结强度较高土层的原则确定锚杆倾角。</w:t>
      </w:r>
    </w:p>
    <w:p w14:paraId="03DA701B">
      <w:pPr>
        <w:adjustRightInd w:val="0"/>
        <w:snapToGrid w:val="0"/>
        <w:spacing w:line="288" w:lineRule="auto"/>
        <w:ind w:firstLine="400" w:firstLineChars="200"/>
        <w:rPr>
          <w:rFonts w:ascii="宋体" w:hAnsi="宋体"/>
          <w:sz w:val="20"/>
          <w:szCs w:val="20"/>
        </w:rPr>
      </w:pPr>
      <w:r>
        <w:rPr>
          <w:rFonts w:hint="eastAsia" w:ascii="宋体" w:hAnsi="宋体"/>
          <w:sz w:val="20"/>
          <w:szCs w:val="20"/>
        </w:rPr>
        <w:t>锚杆施工时的塌孔、对地层的扰动，会引起锚杆上部土体的变形或下沉，若锚杆之上存在建筑物、构筑物等，锚杆成孔造成的地基变形可能使其发生沉降甚至损坏，此类事故在实际工程中时有发生。因此，设置锚杆需避开易塌孔、变形的地层。</w:t>
      </w:r>
    </w:p>
    <w:p w14:paraId="0BF0CD17">
      <w:pPr>
        <w:adjustRightInd w:val="0"/>
        <w:snapToGrid w:val="0"/>
        <w:spacing w:line="288" w:lineRule="auto"/>
        <w:rPr>
          <w:rFonts w:ascii="宋体" w:hAnsi="宋体"/>
          <w:sz w:val="20"/>
          <w:szCs w:val="20"/>
        </w:rPr>
      </w:pPr>
      <w:r>
        <w:rPr>
          <w:b/>
          <w:bCs/>
          <w:kern w:val="0"/>
          <w:sz w:val="20"/>
          <w:szCs w:val="20"/>
        </w:rPr>
        <w:t>7.7.18</w:t>
      </w:r>
      <w:r>
        <w:rPr>
          <w:rFonts w:hint="eastAsia" w:ascii="宋体" w:hAnsi="宋体"/>
          <w:bCs/>
          <w:sz w:val="20"/>
          <w:szCs w:val="20"/>
        </w:rPr>
        <w:t xml:space="preserve"> </w:t>
      </w:r>
      <w:r>
        <w:rPr>
          <w:rFonts w:hint="eastAsia" w:ascii="宋体" w:hAnsi="宋体"/>
          <w:sz w:val="20"/>
          <w:szCs w:val="20"/>
        </w:rPr>
        <w:t xml:space="preserve"> 加强型钢腰梁的受扭承载力及局部受压稳定性有多种措施和方</w:t>
      </w:r>
      <w:r>
        <w:rPr>
          <w:rFonts w:hAnsi="宋体"/>
          <w:sz w:val="20"/>
          <w:szCs w:val="20"/>
        </w:rPr>
        <w:t>法，如：可在型钢翼缘端口、锚杆锚具位置处配置加劲肋（图</w:t>
      </w:r>
      <w:r>
        <w:rPr>
          <w:rFonts w:hint="eastAsia"/>
          <w:sz w:val="20"/>
          <w:szCs w:val="20"/>
        </w:rPr>
        <w:t>7.7.</w:t>
      </w:r>
      <w:r>
        <w:rPr>
          <w:sz w:val="20"/>
          <w:szCs w:val="20"/>
        </w:rPr>
        <w:t>18</w:t>
      </w:r>
      <w:r>
        <w:rPr>
          <w:rFonts w:hAnsi="宋体"/>
          <w:sz w:val="20"/>
          <w:szCs w:val="20"/>
        </w:rPr>
        <w:t>），肋板厚度一般不小于</w:t>
      </w:r>
      <w:r>
        <w:rPr>
          <w:sz w:val="20"/>
          <w:szCs w:val="20"/>
        </w:rPr>
        <w:t>8mm</w:t>
      </w:r>
      <w:r>
        <w:rPr>
          <w:rFonts w:hint="eastAsia" w:ascii="宋体" w:hAnsi="宋体"/>
          <w:sz w:val="20"/>
          <w:szCs w:val="20"/>
        </w:rPr>
        <w:t>。</w:t>
      </w:r>
    </w:p>
    <w:p w14:paraId="105FC806">
      <w:pPr>
        <w:adjustRightInd w:val="0"/>
        <w:snapToGrid w:val="0"/>
        <w:spacing w:line="288" w:lineRule="auto"/>
        <w:jc w:val="center"/>
        <w:rPr>
          <w:rFonts w:ascii="宋体" w:hAnsi="宋体"/>
          <w:sz w:val="20"/>
          <w:szCs w:val="20"/>
        </w:rPr>
      </w:pPr>
      <w:r>
        <w:rPr>
          <w:rFonts w:ascii="宋体" w:hAnsi="宋体"/>
          <w:sz w:val="20"/>
          <w:szCs w:val="20"/>
        </w:rPr>
        <w:object>
          <v:shape id="_x0000_i1174" o:spt="75" type="#_x0000_t75" style="height:53.55pt;width:140.55pt;" o:ole="t" filled="f" o:preferrelative="t" stroked="f" coordsize="21600,21600">
            <v:path/>
            <v:fill on="f" focussize="0,0"/>
            <v:stroke on="f" joinstyle="miter"/>
            <v:imagedata r:id="rId341" cropleft="13633f" croptop="16601f" cropright="14564f" cropbottom="25035f" o:title=""/>
            <o:lock v:ext="edit" aspectratio="t"/>
            <w10:wrap type="none"/>
            <w10:anchorlock/>
          </v:shape>
          <o:OLEObject Type="Embed" ProgID="AutoCAD.Drawing.17" ShapeID="_x0000_i1174" DrawAspect="Content" ObjectID="_1468075878" r:id="rId340">
            <o:LockedField>false</o:LockedField>
          </o:OLEObject>
        </w:object>
      </w:r>
      <w:r>
        <w:rPr>
          <w:rFonts w:ascii="宋体" w:hAnsi="宋体"/>
          <w:sz w:val="20"/>
          <w:szCs w:val="20"/>
        </w:rPr>
        <w:t xml:space="preserve">  </w:t>
      </w:r>
      <w:r>
        <w:rPr>
          <w:rFonts w:ascii="宋体" w:hAnsi="宋体"/>
          <w:sz w:val="20"/>
          <w:szCs w:val="20"/>
        </w:rPr>
        <w:object>
          <v:shape id="_x0000_i1175" o:spt="75" type="#_x0000_t75" style="height:57pt;width:140.55pt;" o:ole="t" filled="f" o:preferrelative="t" stroked="f" coordsize="21600,21600">
            <v:path/>
            <v:fill on="f" focussize="0,0"/>
            <v:stroke on="f" joinstyle="miter"/>
            <v:imagedata r:id="rId343" cropleft="14327f" croptop="18262f" cropright="15654f" cropbottom="23242f" o:title=""/>
            <o:lock v:ext="edit" aspectratio="t"/>
            <w10:wrap type="none"/>
            <w10:anchorlock/>
          </v:shape>
          <o:OLEObject Type="Embed" ProgID="AutoCAD.Drawing.17" ShapeID="_x0000_i1175" DrawAspect="Content" ObjectID="_1468075879" r:id="rId342">
            <o:LockedField>false</o:LockedField>
          </o:OLEObject>
        </w:object>
      </w:r>
    </w:p>
    <w:p w14:paraId="62C5EF5E">
      <w:pPr>
        <w:adjustRightInd w:val="0"/>
        <w:snapToGrid w:val="0"/>
        <w:spacing w:line="288" w:lineRule="auto"/>
        <w:ind w:firstLine="810" w:firstLineChars="450"/>
        <w:jc w:val="center"/>
        <w:rPr>
          <w:rFonts w:ascii="楷体_GB2312" w:hAnsi="宋体" w:eastAsia="楷体_GB2312"/>
          <w:sz w:val="18"/>
          <w:szCs w:val="18"/>
        </w:rPr>
      </w:pPr>
      <w:r>
        <w:rPr>
          <w:rFonts w:hint="eastAsia" w:ascii="楷体_GB2312" w:hAnsi="宋体" w:eastAsia="楷体_GB2312"/>
          <w:sz w:val="18"/>
          <w:szCs w:val="18"/>
        </w:rPr>
        <w:t xml:space="preserve">（a）工字钢      </w:t>
      </w:r>
      <w:r>
        <w:rPr>
          <w:rFonts w:ascii="楷体_GB2312" w:hAnsi="宋体" w:eastAsia="楷体_GB2312"/>
          <w:sz w:val="18"/>
          <w:szCs w:val="18"/>
        </w:rPr>
        <w:t xml:space="preserve">   </w:t>
      </w:r>
      <w:r>
        <w:rPr>
          <w:rFonts w:hint="eastAsia" w:ascii="楷体_GB2312" w:hAnsi="宋体" w:eastAsia="楷体_GB2312"/>
          <w:sz w:val="18"/>
          <w:szCs w:val="18"/>
        </w:rPr>
        <w:t xml:space="preserve">             （b） 槽钢</w:t>
      </w:r>
    </w:p>
    <w:p w14:paraId="3BCAE43F">
      <w:pPr>
        <w:adjustRightInd w:val="0"/>
        <w:snapToGrid w:val="0"/>
        <w:spacing w:before="120" w:beforeLines="50" w:line="288" w:lineRule="auto"/>
        <w:jc w:val="center"/>
        <w:rPr>
          <w:b/>
          <w:sz w:val="18"/>
          <w:szCs w:val="18"/>
        </w:rPr>
      </w:pPr>
      <w:r>
        <w:rPr>
          <w:rFonts w:hAnsi="宋体"/>
          <w:b/>
          <w:sz w:val="18"/>
          <w:szCs w:val="18"/>
        </w:rPr>
        <w:t>图</w:t>
      </w:r>
      <w:r>
        <w:rPr>
          <w:b/>
          <w:sz w:val="18"/>
          <w:szCs w:val="18"/>
        </w:rPr>
        <w:t xml:space="preserve">7.7.18  </w:t>
      </w:r>
      <w:r>
        <w:rPr>
          <w:rFonts w:hAnsi="宋体"/>
          <w:b/>
          <w:sz w:val="18"/>
          <w:szCs w:val="18"/>
        </w:rPr>
        <w:t>钢腰梁的局部加强构造形式</w:t>
      </w:r>
    </w:p>
    <w:p w14:paraId="51ADBEFF">
      <w:pPr>
        <w:adjustRightInd w:val="0"/>
        <w:snapToGrid w:val="0"/>
        <w:spacing w:after="120" w:afterLines="50" w:line="288" w:lineRule="auto"/>
        <w:jc w:val="center"/>
        <w:rPr>
          <w:bCs/>
          <w:sz w:val="20"/>
          <w:szCs w:val="20"/>
        </w:rPr>
      </w:pPr>
      <w:r>
        <w:rPr>
          <w:sz w:val="15"/>
          <w:szCs w:val="15"/>
        </w:rPr>
        <w:t>1</w:t>
      </w:r>
      <w:r>
        <w:rPr>
          <w:rFonts w:hAnsi="宋体"/>
          <w:sz w:val="15"/>
          <w:szCs w:val="15"/>
        </w:rPr>
        <w:t>－加强肋板；</w:t>
      </w:r>
      <w:r>
        <w:rPr>
          <w:sz w:val="15"/>
          <w:szCs w:val="15"/>
        </w:rPr>
        <w:t>2</w:t>
      </w:r>
      <w:r>
        <w:rPr>
          <w:rFonts w:hAnsi="宋体"/>
          <w:sz w:val="15"/>
          <w:szCs w:val="15"/>
        </w:rPr>
        <w:t>－锚头；</w:t>
      </w:r>
      <w:r>
        <w:rPr>
          <w:sz w:val="15"/>
          <w:szCs w:val="15"/>
        </w:rPr>
        <w:t>3</w:t>
      </w:r>
      <w:r>
        <w:rPr>
          <w:rFonts w:hAnsi="宋体"/>
          <w:sz w:val="15"/>
          <w:szCs w:val="15"/>
        </w:rPr>
        <w:t>－工字钢；</w:t>
      </w:r>
      <w:r>
        <w:rPr>
          <w:sz w:val="15"/>
          <w:szCs w:val="15"/>
        </w:rPr>
        <w:t>4</w:t>
      </w:r>
      <w:r>
        <w:rPr>
          <w:rFonts w:hAnsi="宋体"/>
          <w:sz w:val="15"/>
          <w:szCs w:val="15"/>
        </w:rPr>
        <w:t>－槽钢</w:t>
      </w:r>
    </w:p>
    <w:p w14:paraId="338B1796">
      <w:pPr>
        <w:adjustRightInd w:val="0"/>
        <w:snapToGrid w:val="0"/>
        <w:spacing w:line="288" w:lineRule="auto"/>
        <w:rPr>
          <w:sz w:val="20"/>
          <w:szCs w:val="20"/>
        </w:rPr>
      </w:pPr>
      <w:r>
        <w:rPr>
          <w:b/>
          <w:bCs/>
          <w:kern w:val="0"/>
          <w:sz w:val="20"/>
          <w:szCs w:val="20"/>
        </w:rPr>
        <w:t>7.7.19</w:t>
      </w:r>
      <w:r>
        <w:rPr>
          <w:rFonts w:hint="eastAsia"/>
          <w:b/>
          <w:bCs/>
          <w:sz w:val="20"/>
          <w:szCs w:val="20"/>
        </w:rPr>
        <w:t xml:space="preserve"> </w:t>
      </w:r>
      <w:r>
        <w:rPr>
          <w:rFonts w:hint="eastAsia" w:ascii="宋体" w:hAnsi="宋体"/>
          <w:sz w:val="20"/>
          <w:szCs w:val="20"/>
        </w:rPr>
        <w:t xml:space="preserve"> 冠梁之上设置砖砌挡土墙，有利于支护桩施工时避开场地原有旧基础、管线等地下障碍物的影响并降低工程造价。由于上部砖墙易于拆除，有利于主体建筑结构施工完成后室外管线的敷设。本规程结合北京地区工程实践经验，规定挡土墙高度不能超过</w:t>
      </w:r>
      <w:r>
        <w:rPr>
          <w:sz w:val="20"/>
          <w:szCs w:val="20"/>
        </w:rPr>
        <w:t>4m</w:t>
      </w:r>
      <w:r>
        <w:rPr>
          <w:rFonts w:hint="eastAsia" w:ascii="宋体" w:hAnsi="宋体"/>
          <w:sz w:val="20"/>
          <w:szCs w:val="20"/>
        </w:rPr>
        <w:t>，并按照砌体结构和混凝土结构的要求，给出了一般配置要求，并明确挡土墙高度超过</w:t>
      </w:r>
      <w:r>
        <w:rPr>
          <w:sz w:val="20"/>
          <w:szCs w:val="20"/>
        </w:rPr>
        <w:t>2.5m</w:t>
      </w:r>
      <w:r>
        <w:rPr>
          <w:rFonts w:hint="eastAsia" w:ascii="宋体" w:hAnsi="宋体"/>
          <w:sz w:val="20"/>
          <w:szCs w:val="20"/>
        </w:rPr>
        <w:t>时，应进行构造柱尺寸及其配筋的验算。</w:t>
      </w:r>
      <w:bookmarkStart w:id="482" w:name="_Toc437878879"/>
      <w:bookmarkStart w:id="483" w:name="_Toc467515859"/>
      <w:bookmarkStart w:id="484" w:name="_Toc415730042"/>
      <w:bookmarkStart w:id="485" w:name="_Toc417372419"/>
      <w:bookmarkStart w:id="486" w:name="_Toc444180183"/>
      <w:bookmarkStart w:id="487" w:name="_Toc468104761"/>
      <w:bookmarkStart w:id="488" w:name="_Toc466902402"/>
      <w:bookmarkStart w:id="489" w:name="_Toc432233010"/>
      <w:bookmarkStart w:id="490" w:name="_Toc427573480"/>
      <w:bookmarkStart w:id="491" w:name="_Toc413756077"/>
      <w:bookmarkStart w:id="492" w:name="_Toc428777617"/>
    </w:p>
    <w:bookmarkEnd w:id="482"/>
    <w:bookmarkEnd w:id="483"/>
    <w:bookmarkEnd w:id="484"/>
    <w:bookmarkEnd w:id="485"/>
    <w:bookmarkEnd w:id="486"/>
    <w:bookmarkEnd w:id="487"/>
    <w:bookmarkEnd w:id="488"/>
    <w:bookmarkEnd w:id="489"/>
    <w:bookmarkEnd w:id="490"/>
    <w:bookmarkEnd w:id="491"/>
    <w:bookmarkEnd w:id="492"/>
    <w:p w14:paraId="0D2D48DC">
      <w:pPr>
        <w:pStyle w:val="7"/>
        <w:keepNext w:val="0"/>
        <w:keepLines w:val="0"/>
        <w:adjustRightInd w:val="0"/>
        <w:snapToGrid w:val="0"/>
        <w:spacing w:before="240" w:beforeLines="100" w:after="240" w:afterLines="100" w:line="288" w:lineRule="auto"/>
        <w:jc w:val="center"/>
        <w:rPr>
          <w:rFonts w:ascii="黑体" w:hAnsi="黑体" w:eastAsia="黑体"/>
          <w:b w:val="0"/>
          <w:sz w:val="20"/>
          <w:szCs w:val="20"/>
        </w:rPr>
      </w:pPr>
      <w:bookmarkStart w:id="493" w:name="_Toc139613815"/>
      <w:bookmarkStart w:id="494" w:name="_Toc131060598"/>
      <w:bookmarkStart w:id="495" w:name="_Toc131517253"/>
      <w:bookmarkStart w:id="496" w:name="_Toc415730044"/>
      <w:bookmarkStart w:id="497" w:name="_Toc413756080"/>
      <w:bookmarkStart w:id="498" w:name="_Toc428777619"/>
      <w:bookmarkStart w:id="499" w:name="_Toc131517255"/>
      <w:bookmarkStart w:id="500" w:name="_Toc437878881"/>
      <w:bookmarkStart w:id="501" w:name="_Toc466902404"/>
      <w:bookmarkStart w:id="502" w:name="_Toc467515861"/>
      <w:bookmarkStart w:id="503" w:name="_Toc468104763"/>
      <w:bookmarkStart w:id="504" w:name="_Toc444180185"/>
      <w:bookmarkStart w:id="505" w:name="_Toc432233012"/>
      <w:bookmarkStart w:id="506" w:name="_Toc417372421"/>
      <w:bookmarkStart w:id="507" w:name="_Toc131060600"/>
      <w:bookmarkStart w:id="508" w:name="_Toc427573482"/>
      <w:r>
        <w:rPr>
          <w:sz w:val="20"/>
          <w:szCs w:val="20"/>
        </w:rPr>
        <w:t>7</w:t>
      </w:r>
      <w:r>
        <w:rPr>
          <w:rFonts w:hint="eastAsia"/>
          <w:sz w:val="20"/>
          <w:szCs w:val="20"/>
        </w:rPr>
        <w:t>.8</w:t>
      </w:r>
      <w:r>
        <w:rPr>
          <w:rFonts w:hint="eastAsia" w:ascii="黑体" w:hAnsi="黑体" w:eastAsia="黑体"/>
          <w:b w:val="0"/>
          <w:sz w:val="20"/>
          <w:szCs w:val="20"/>
        </w:rPr>
        <w:t>施    工</w:t>
      </w:r>
      <w:bookmarkEnd w:id="493"/>
      <w:bookmarkEnd w:id="494"/>
      <w:bookmarkEnd w:id="495"/>
    </w:p>
    <w:p w14:paraId="4FFDD24A">
      <w:pPr>
        <w:pStyle w:val="2"/>
        <w:ind w:left="0" w:leftChars="0" w:firstLine="0" w:firstLineChars="0"/>
        <w:rPr>
          <w:rFonts w:ascii="宋体" w:hAnsi="宋体"/>
          <w:sz w:val="20"/>
          <w:szCs w:val="20"/>
        </w:rPr>
      </w:pPr>
      <w:r>
        <w:rPr>
          <w:rFonts w:eastAsia="黑体"/>
          <w:b/>
          <w:bCs/>
          <w:kern w:val="0"/>
          <w:sz w:val="20"/>
          <w:szCs w:val="20"/>
        </w:rPr>
        <w:t xml:space="preserve">7.8.1  </w:t>
      </w:r>
      <w:r>
        <w:rPr>
          <w:rFonts w:hint="eastAsia" w:ascii="宋体" w:hAnsi="宋体"/>
          <w:sz w:val="20"/>
          <w:szCs w:val="20"/>
        </w:rPr>
        <w:t>采用引孔压桩工艺时，引孔直径宜小于桩径</w:t>
      </w:r>
      <w:r>
        <w:rPr>
          <w:rFonts w:ascii="宋体" w:hAnsi="宋体"/>
          <w:sz w:val="20"/>
          <w:szCs w:val="20"/>
        </w:rPr>
        <w:t>50</w:t>
      </w:r>
      <w:r>
        <w:rPr>
          <w:rFonts w:hint="eastAsia" w:ascii="宋体" w:hAnsi="宋体"/>
          <w:sz w:val="20"/>
          <w:szCs w:val="20"/>
        </w:rPr>
        <w:t>mm，引孔孔底标高不宜低于基底标高。</w:t>
      </w:r>
    </w:p>
    <w:p w14:paraId="1F1A88D7">
      <w:pPr>
        <w:tabs>
          <w:tab w:val="left" w:pos="616"/>
          <w:tab w:val="left" w:pos="854"/>
          <w:tab w:val="left" w:pos="1620"/>
          <w:tab w:val="left" w:pos="2160"/>
          <w:tab w:val="left" w:pos="3060"/>
          <w:tab w:val="left" w:pos="7020"/>
        </w:tabs>
        <w:adjustRightInd w:val="0"/>
        <w:snapToGrid w:val="0"/>
        <w:spacing w:line="288" w:lineRule="auto"/>
        <w:rPr>
          <w:rFonts w:ascii="宋体" w:hAnsi="宋体"/>
          <w:sz w:val="20"/>
          <w:szCs w:val="20"/>
        </w:rPr>
      </w:pPr>
      <w:r>
        <w:rPr>
          <w:rFonts w:eastAsia="黑体"/>
          <w:b/>
          <w:bCs/>
          <w:kern w:val="0"/>
          <w:sz w:val="20"/>
          <w:szCs w:val="20"/>
        </w:rPr>
        <w:t>7</w:t>
      </w:r>
      <w:r>
        <w:rPr>
          <w:rFonts w:hint="eastAsia" w:eastAsia="黑体"/>
          <w:b/>
          <w:bCs/>
          <w:kern w:val="0"/>
          <w:sz w:val="20"/>
          <w:szCs w:val="20"/>
        </w:rPr>
        <w:t>.8.3</w:t>
      </w:r>
      <w:r>
        <w:rPr>
          <w:rFonts w:hint="eastAsia" w:ascii="宋体" w:hAnsi="宋体"/>
          <w:sz w:val="20"/>
          <w:szCs w:val="20"/>
        </w:rPr>
        <w:t xml:space="preserve">  咬合桩使排桩既是挡土结构，又能起到截水作用。</w:t>
      </w:r>
      <w:r>
        <w:rPr>
          <w:rFonts w:hint="eastAsia" w:ascii="宋体" w:hAnsi="宋体"/>
          <w:bCs/>
          <w:sz w:val="20"/>
          <w:szCs w:val="20"/>
        </w:rPr>
        <w:t>咬合桩的施工方法有多种，施工的关键是要保证相邻桩相互咬合搭接，</w:t>
      </w:r>
      <w:r>
        <w:rPr>
          <w:rFonts w:hint="eastAsia" w:ascii="宋体" w:hAnsi="宋体"/>
          <w:sz w:val="20"/>
          <w:szCs w:val="20"/>
        </w:rPr>
        <w:t>否则，当桩与桩之间产生间隙，将会影响截水效果。</w:t>
      </w:r>
      <w:r>
        <w:rPr>
          <w:rFonts w:hint="eastAsia" w:ascii="宋体" w:hAnsi="宋体"/>
          <w:bCs/>
          <w:sz w:val="20"/>
          <w:szCs w:val="20"/>
        </w:rPr>
        <w:t>保证相邻桩相互咬合搭接的措施，之一是成桩施工时孔口设“糖葫芦”形定位板（也有称为导墙的），之二是成桩垂直度控制在允许范围内。</w:t>
      </w:r>
    </w:p>
    <w:p w14:paraId="16299143">
      <w:pPr>
        <w:tabs>
          <w:tab w:val="left" w:pos="616"/>
          <w:tab w:val="left" w:pos="854"/>
          <w:tab w:val="left" w:pos="1620"/>
          <w:tab w:val="left" w:pos="2160"/>
          <w:tab w:val="left" w:pos="3060"/>
          <w:tab w:val="left" w:pos="7020"/>
        </w:tabs>
        <w:adjustRightInd w:val="0"/>
        <w:snapToGrid w:val="0"/>
        <w:spacing w:line="288" w:lineRule="auto"/>
        <w:ind w:firstLine="400" w:firstLineChars="200"/>
        <w:rPr>
          <w:sz w:val="20"/>
          <w:szCs w:val="20"/>
        </w:rPr>
      </w:pPr>
      <w:r>
        <w:rPr>
          <w:rFonts w:hint="eastAsia" w:ascii="宋体" w:hAnsi="宋体"/>
          <w:sz w:val="20"/>
          <w:szCs w:val="20"/>
        </w:rPr>
        <w:t>本规程的咬合排桩是指相互搭接的钢筋混凝土桩与素混凝土桩或钢筋混凝土桩与水泥土桩，由钢筋混凝土桩承受土压力荷载，素混凝土桩或水泥土桩用于截水和防护桩间土。目前，这两种咬合桩已在北京地区的一些工程上采用，施工质量得到保证时，其截水效果是良好的。</w:t>
      </w:r>
      <w:bookmarkStart w:id="509" w:name="_Toc466902403"/>
      <w:bookmarkStart w:id="510" w:name="_Toc437878880"/>
      <w:bookmarkStart w:id="511" w:name="_Toc413756079"/>
      <w:bookmarkStart w:id="512" w:name="_Toc428777618"/>
      <w:bookmarkStart w:id="513" w:name="_Toc444180184"/>
      <w:bookmarkStart w:id="514" w:name="_Toc467515860"/>
      <w:bookmarkStart w:id="515" w:name="_Toc468104762"/>
      <w:bookmarkStart w:id="516" w:name="_Toc432233011"/>
      <w:bookmarkStart w:id="517" w:name="_Toc427573481"/>
      <w:bookmarkStart w:id="518" w:name="_Toc417372420"/>
      <w:bookmarkStart w:id="519" w:name="_Toc415730043"/>
    </w:p>
    <w:p w14:paraId="2954C1F4">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520" w:name="_Toc139613816"/>
      <w:bookmarkStart w:id="521" w:name="_Toc131060599"/>
      <w:bookmarkStart w:id="522" w:name="_Toc131517254"/>
      <w:r>
        <w:rPr>
          <w:sz w:val="20"/>
          <w:szCs w:val="20"/>
        </w:rPr>
        <w:t>7</w:t>
      </w:r>
      <w:r>
        <w:rPr>
          <w:rFonts w:hint="eastAsia"/>
          <w:sz w:val="20"/>
          <w:szCs w:val="20"/>
        </w:rPr>
        <w:t>.9</w:t>
      </w:r>
      <w:r>
        <w:rPr>
          <w:rFonts w:hint="eastAsia" w:ascii="黑体" w:hAnsi="黑体" w:eastAsia="黑体"/>
          <w:b w:val="0"/>
          <w:sz w:val="20"/>
          <w:szCs w:val="20"/>
        </w:rPr>
        <w:t>质量检测</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7F52881A">
      <w:pPr>
        <w:adjustRightInd w:val="0"/>
        <w:snapToGrid w:val="0"/>
        <w:spacing w:line="288" w:lineRule="auto"/>
        <w:rPr>
          <w:rFonts w:ascii="宋体" w:hAnsi="宋体"/>
          <w:sz w:val="20"/>
          <w:szCs w:val="20"/>
        </w:rPr>
      </w:pPr>
      <w:r>
        <w:rPr>
          <w:rFonts w:eastAsia="黑体"/>
          <w:b/>
          <w:bCs/>
          <w:kern w:val="0"/>
          <w:sz w:val="20"/>
          <w:szCs w:val="20"/>
        </w:rPr>
        <w:t>7</w:t>
      </w:r>
      <w:r>
        <w:rPr>
          <w:rFonts w:hint="eastAsia" w:eastAsia="黑体"/>
          <w:b/>
          <w:bCs/>
          <w:kern w:val="0"/>
          <w:sz w:val="20"/>
          <w:szCs w:val="20"/>
        </w:rPr>
        <w:t xml:space="preserve">.9.1  </w:t>
      </w:r>
      <w:r>
        <w:rPr>
          <w:rFonts w:hint="eastAsia" w:ascii="宋体" w:hAnsi="宋体"/>
          <w:sz w:val="20"/>
          <w:szCs w:val="20"/>
        </w:rPr>
        <w:t>由于</w:t>
      </w:r>
      <w:r>
        <w:rPr>
          <w:rFonts w:ascii="宋体" w:hAnsi="宋体"/>
          <w:sz w:val="20"/>
          <w:szCs w:val="20"/>
        </w:rPr>
        <w:t>支护桩</w:t>
      </w:r>
      <w:r>
        <w:rPr>
          <w:rFonts w:hint="eastAsia" w:ascii="宋体" w:hAnsi="宋体"/>
          <w:sz w:val="20"/>
          <w:szCs w:val="20"/>
        </w:rPr>
        <w:t>多为</w:t>
      </w:r>
      <w:r>
        <w:rPr>
          <w:rFonts w:ascii="宋体" w:hAnsi="宋体"/>
          <w:sz w:val="20"/>
          <w:szCs w:val="20"/>
        </w:rPr>
        <w:t>连续施工，单桩混凝土浇筑量不大，单班施工桩数较多，</w:t>
      </w:r>
      <w:r>
        <w:rPr>
          <w:rFonts w:hint="eastAsia" w:ascii="宋体" w:hAnsi="宋体"/>
          <w:sz w:val="20"/>
          <w:szCs w:val="20"/>
        </w:rPr>
        <w:t>在</w:t>
      </w:r>
      <w:r>
        <w:rPr>
          <w:rFonts w:ascii="宋体" w:hAnsi="宋体"/>
          <w:sz w:val="20"/>
          <w:szCs w:val="20"/>
        </w:rPr>
        <w:t>采用商品混凝土的前提下，</w:t>
      </w:r>
      <w:r>
        <w:rPr>
          <w:rFonts w:hint="eastAsia" w:ascii="宋体" w:hAnsi="宋体"/>
          <w:sz w:val="20"/>
          <w:szCs w:val="20"/>
        </w:rPr>
        <w:t>对于</w:t>
      </w:r>
      <w:r>
        <w:rPr>
          <w:rFonts w:ascii="宋体" w:hAnsi="宋体"/>
          <w:sz w:val="20"/>
          <w:szCs w:val="20"/>
        </w:rPr>
        <w:t>排桩</w:t>
      </w:r>
      <w:r>
        <w:rPr>
          <w:rFonts w:hint="eastAsia" w:ascii="宋体" w:hAnsi="宋体"/>
          <w:sz w:val="20"/>
          <w:szCs w:val="20"/>
        </w:rPr>
        <w:t>的</w:t>
      </w:r>
      <w:r>
        <w:rPr>
          <w:rFonts w:ascii="宋体" w:hAnsi="宋体"/>
          <w:sz w:val="20"/>
          <w:szCs w:val="20"/>
        </w:rPr>
        <w:t>临时支护体系在保证施工质量可控的基础上，对混凝土强度试块的</w:t>
      </w:r>
      <w:r>
        <w:rPr>
          <w:rFonts w:hint="eastAsia" w:ascii="宋体" w:hAnsi="宋体"/>
          <w:sz w:val="20"/>
          <w:szCs w:val="20"/>
        </w:rPr>
        <w:t>数量</w:t>
      </w:r>
      <w:r>
        <w:rPr>
          <w:rFonts w:ascii="宋体" w:hAnsi="宋体"/>
          <w:sz w:val="20"/>
          <w:szCs w:val="20"/>
        </w:rPr>
        <w:t>要求</w:t>
      </w:r>
      <w:r>
        <w:rPr>
          <w:rFonts w:hint="eastAsia" w:ascii="宋体" w:hAnsi="宋体"/>
          <w:sz w:val="20"/>
          <w:szCs w:val="20"/>
        </w:rPr>
        <w:t>可</w:t>
      </w:r>
      <w:r>
        <w:rPr>
          <w:rFonts w:ascii="宋体" w:hAnsi="宋体"/>
          <w:sz w:val="20"/>
          <w:szCs w:val="20"/>
        </w:rPr>
        <w:t>少于</w:t>
      </w:r>
      <w:r>
        <w:rPr>
          <w:rFonts w:hint="eastAsia" w:ascii="宋体" w:hAnsi="宋体"/>
          <w:sz w:val="20"/>
          <w:szCs w:val="20"/>
        </w:rPr>
        <w:t>现行国家标准</w:t>
      </w:r>
      <w:r>
        <w:rPr>
          <w:rFonts w:ascii="宋体" w:hAnsi="宋体"/>
          <w:sz w:val="20"/>
          <w:szCs w:val="20"/>
        </w:rPr>
        <w:t>《</w:t>
      </w:r>
      <w:r>
        <w:rPr>
          <w:rFonts w:hint="eastAsia" w:ascii="宋体" w:hAnsi="宋体"/>
          <w:sz w:val="20"/>
          <w:szCs w:val="20"/>
        </w:rPr>
        <w:t>建筑</w:t>
      </w:r>
      <w:r>
        <w:rPr>
          <w:rFonts w:ascii="宋体" w:hAnsi="宋体"/>
          <w:sz w:val="20"/>
          <w:szCs w:val="20"/>
        </w:rPr>
        <w:t>地基基础工程施工质量验收规范》</w:t>
      </w:r>
      <w:r>
        <w:rPr>
          <w:sz w:val="20"/>
          <w:szCs w:val="20"/>
        </w:rPr>
        <w:t>GB 50202</w:t>
      </w:r>
      <w:r>
        <w:rPr>
          <w:rFonts w:hint="eastAsia" w:ascii="宋体" w:hAnsi="宋体"/>
          <w:sz w:val="20"/>
          <w:szCs w:val="20"/>
        </w:rPr>
        <w:t>的</w:t>
      </w:r>
      <w:r>
        <w:rPr>
          <w:rFonts w:ascii="宋体" w:hAnsi="宋体"/>
          <w:sz w:val="20"/>
          <w:szCs w:val="20"/>
        </w:rPr>
        <w:t>要求，</w:t>
      </w:r>
      <w:r>
        <w:rPr>
          <w:rFonts w:hint="eastAsia" w:ascii="宋体" w:hAnsi="宋体"/>
          <w:sz w:val="20"/>
          <w:szCs w:val="20"/>
        </w:rPr>
        <w:t>但做</w:t>
      </w:r>
      <w:r>
        <w:rPr>
          <w:rFonts w:ascii="宋体" w:hAnsi="宋体"/>
          <w:sz w:val="20"/>
          <w:szCs w:val="20"/>
        </w:rPr>
        <w:t>为主体结构组件的除外。对</w:t>
      </w:r>
      <w:r>
        <w:rPr>
          <w:rFonts w:hint="eastAsia" w:ascii="宋体" w:hAnsi="宋体"/>
          <w:sz w:val="20"/>
          <w:szCs w:val="20"/>
        </w:rPr>
        <w:t>于</w:t>
      </w:r>
      <w:r>
        <w:rPr>
          <w:rFonts w:ascii="宋体" w:hAnsi="宋体"/>
          <w:sz w:val="20"/>
          <w:szCs w:val="20"/>
        </w:rPr>
        <w:t>无</w:t>
      </w:r>
      <w:r>
        <w:rPr>
          <w:rFonts w:hint="eastAsia" w:ascii="宋体" w:hAnsi="宋体"/>
          <w:sz w:val="20"/>
          <w:szCs w:val="20"/>
        </w:rPr>
        <w:t>竖向承载力</w:t>
      </w:r>
      <w:r>
        <w:rPr>
          <w:rFonts w:ascii="宋体" w:hAnsi="宋体"/>
          <w:sz w:val="20"/>
          <w:szCs w:val="20"/>
        </w:rPr>
        <w:t>特殊要求的排桩支护结构，对桩底沉渣也</w:t>
      </w:r>
      <w:r>
        <w:rPr>
          <w:rFonts w:hint="eastAsia" w:ascii="宋体" w:hAnsi="宋体"/>
          <w:sz w:val="20"/>
          <w:szCs w:val="20"/>
        </w:rPr>
        <w:t>不做</w:t>
      </w:r>
      <w:r>
        <w:rPr>
          <w:rFonts w:ascii="宋体" w:hAnsi="宋体"/>
          <w:sz w:val="20"/>
          <w:szCs w:val="20"/>
        </w:rPr>
        <w:t>硬性规定，但不得影响</w:t>
      </w:r>
      <w:r>
        <w:rPr>
          <w:rFonts w:hint="eastAsia" w:ascii="宋体" w:hAnsi="宋体"/>
          <w:sz w:val="20"/>
          <w:szCs w:val="20"/>
        </w:rPr>
        <w:t>桩体</w:t>
      </w:r>
      <w:r>
        <w:rPr>
          <w:rFonts w:ascii="宋体" w:hAnsi="宋体"/>
          <w:sz w:val="20"/>
          <w:szCs w:val="20"/>
        </w:rPr>
        <w:t>嵌固深度。</w:t>
      </w:r>
    </w:p>
    <w:p w14:paraId="5C1D2E66">
      <w:pPr>
        <w:adjustRightInd w:val="0"/>
        <w:snapToGrid w:val="0"/>
        <w:spacing w:line="288" w:lineRule="auto"/>
        <w:rPr>
          <w:rFonts w:ascii="宋体" w:hAnsi="宋体"/>
          <w:sz w:val="20"/>
          <w:szCs w:val="20"/>
        </w:rPr>
      </w:pPr>
      <w:r>
        <w:rPr>
          <w:rFonts w:eastAsia="黑体"/>
          <w:b/>
          <w:bCs/>
          <w:kern w:val="0"/>
          <w:sz w:val="20"/>
          <w:szCs w:val="20"/>
        </w:rPr>
        <w:t>7</w:t>
      </w:r>
      <w:r>
        <w:rPr>
          <w:rFonts w:hint="eastAsia" w:eastAsia="黑体"/>
          <w:b/>
          <w:bCs/>
          <w:kern w:val="0"/>
          <w:sz w:val="20"/>
          <w:szCs w:val="20"/>
        </w:rPr>
        <w:t xml:space="preserve">.9.2  </w:t>
      </w:r>
      <w:r>
        <w:rPr>
          <w:rFonts w:hint="eastAsia" w:ascii="宋体" w:hAnsi="宋体"/>
          <w:sz w:val="20"/>
          <w:szCs w:val="20"/>
        </w:rPr>
        <w:t>对于拐角位置等特殊异形墙段可以适当调整声测管布置，必要时可在墙段断面中心布点。</w:t>
      </w:r>
    </w:p>
    <w:p w14:paraId="1FCEF6A1">
      <w:pPr>
        <w:adjustRightInd w:val="0"/>
        <w:snapToGrid w:val="0"/>
        <w:spacing w:line="288" w:lineRule="auto"/>
        <w:rPr>
          <w:rFonts w:ascii="宋体" w:hAnsi="宋体"/>
          <w:sz w:val="20"/>
          <w:szCs w:val="20"/>
        </w:rPr>
      </w:pPr>
      <w:r>
        <w:rPr>
          <w:rFonts w:eastAsia="黑体"/>
          <w:b/>
          <w:bCs/>
          <w:kern w:val="0"/>
          <w:sz w:val="20"/>
          <w:szCs w:val="20"/>
        </w:rPr>
        <w:t>7.</w:t>
      </w:r>
      <w:r>
        <w:rPr>
          <w:rFonts w:hint="eastAsia" w:eastAsia="黑体"/>
          <w:b/>
          <w:bCs/>
          <w:kern w:val="0"/>
          <w:sz w:val="20"/>
          <w:szCs w:val="20"/>
        </w:rPr>
        <w:t>9</w:t>
      </w:r>
      <w:r>
        <w:rPr>
          <w:rFonts w:eastAsia="黑体"/>
          <w:b/>
          <w:bCs/>
          <w:kern w:val="0"/>
          <w:sz w:val="20"/>
          <w:szCs w:val="20"/>
        </w:rPr>
        <w:t xml:space="preserve">.3  </w:t>
      </w:r>
      <w:r>
        <w:rPr>
          <w:rFonts w:hint="eastAsia" w:ascii="宋体" w:hAnsi="宋体"/>
          <w:sz w:val="20"/>
          <w:szCs w:val="20"/>
        </w:rPr>
        <w:t>锚杆承载力</w:t>
      </w:r>
      <w:r>
        <w:rPr>
          <w:rFonts w:ascii="宋体" w:hAnsi="宋体"/>
          <w:sz w:val="20"/>
          <w:szCs w:val="20"/>
        </w:rPr>
        <w:t>分地层分层检测，分层评价，对于</w:t>
      </w:r>
      <w:r>
        <w:rPr>
          <w:rFonts w:hint="eastAsia" w:ascii="宋体" w:hAnsi="宋体"/>
          <w:sz w:val="20"/>
          <w:szCs w:val="20"/>
        </w:rPr>
        <w:t>地层</w:t>
      </w:r>
      <w:r>
        <w:rPr>
          <w:rFonts w:ascii="宋体" w:hAnsi="宋体"/>
          <w:sz w:val="20"/>
          <w:szCs w:val="20"/>
        </w:rPr>
        <w:t>简单且锚杆数量</w:t>
      </w:r>
      <w:r>
        <w:rPr>
          <w:rFonts w:hint="eastAsia" w:ascii="宋体" w:hAnsi="宋体"/>
          <w:sz w:val="20"/>
          <w:szCs w:val="20"/>
        </w:rPr>
        <w:t>较多</w:t>
      </w:r>
      <w:r>
        <w:rPr>
          <w:rFonts w:ascii="宋体" w:hAnsi="宋体"/>
          <w:sz w:val="20"/>
          <w:szCs w:val="20"/>
        </w:rPr>
        <w:t>的情况，可</w:t>
      </w:r>
      <w:r>
        <w:rPr>
          <w:rFonts w:hint="eastAsia" w:ascii="宋体" w:hAnsi="宋体"/>
          <w:sz w:val="20"/>
          <w:szCs w:val="20"/>
        </w:rPr>
        <w:t>由</w:t>
      </w:r>
      <w:r>
        <w:rPr>
          <w:rFonts w:ascii="宋体" w:hAnsi="宋体"/>
          <w:sz w:val="20"/>
          <w:szCs w:val="20"/>
        </w:rPr>
        <w:t>设计确定，适当放宽</w:t>
      </w:r>
      <w:r>
        <w:rPr>
          <w:rFonts w:hint="eastAsia" w:ascii="宋体" w:hAnsi="宋体"/>
          <w:sz w:val="20"/>
          <w:szCs w:val="20"/>
        </w:rPr>
        <w:t>。</w:t>
      </w:r>
    </w:p>
    <w:p w14:paraId="4E4DB686">
      <w:pPr>
        <w:widowControl/>
        <w:jc w:val="left"/>
        <w:rPr>
          <w:sz w:val="26"/>
          <w:szCs w:val="26"/>
        </w:rPr>
      </w:pPr>
    </w:p>
    <w:p w14:paraId="5F2313A9">
      <w:pPr>
        <w:widowControl/>
        <w:jc w:val="left"/>
        <w:rPr>
          <w:szCs w:val="24"/>
        </w:rPr>
      </w:pPr>
      <w:r>
        <w:br w:type="page"/>
      </w:r>
    </w:p>
    <w:p w14:paraId="05FA3197">
      <w:pPr>
        <w:pStyle w:val="5"/>
        <w:keepNext w:val="0"/>
        <w:keepLines w:val="0"/>
        <w:adjustRightInd w:val="0"/>
        <w:snapToGrid w:val="0"/>
        <w:spacing w:before="120" w:beforeLines="50" w:after="240" w:afterLines="100" w:line="288" w:lineRule="auto"/>
        <w:jc w:val="center"/>
        <w:rPr>
          <w:rFonts w:ascii="宋体" w:hAnsi="宋体"/>
          <w:b w:val="0"/>
          <w:sz w:val="20"/>
          <w:szCs w:val="20"/>
        </w:rPr>
      </w:pPr>
      <w:bookmarkStart w:id="523" w:name="_Toc139613817"/>
      <w:r>
        <w:rPr>
          <w:rFonts w:ascii="Times New Roman" w:hAnsi="Times New Roman"/>
          <w:sz w:val="26"/>
          <w:szCs w:val="26"/>
        </w:rPr>
        <w:t>8</w:t>
      </w:r>
      <w:r>
        <w:rPr>
          <w:rFonts w:ascii="Times New Roman" w:hAnsi="Times New Roman"/>
          <w:b w:val="0"/>
          <w:sz w:val="26"/>
          <w:szCs w:val="26"/>
        </w:rPr>
        <w:t xml:space="preserve">  土钉墙</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23"/>
      <w:bookmarkStart w:id="524" w:name="_Toc415730045"/>
      <w:bookmarkStart w:id="525" w:name="_Toc437878882"/>
      <w:bookmarkStart w:id="526" w:name="_Toc417372422"/>
      <w:bookmarkStart w:id="527" w:name="_Toc444180186"/>
      <w:bookmarkStart w:id="528" w:name="_Toc468104764"/>
      <w:bookmarkStart w:id="529" w:name="_Toc409425814"/>
      <w:bookmarkStart w:id="530" w:name="_Toc428777620"/>
      <w:bookmarkStart w:id="531" w:name="_Toc432233013"/>
      <w:bookmarkStart w:id="532" w:name="_Toc466902405"/>
      <w:bookmarkStart w:id="533" w:name="_Toc427573483"/>
      <w:bookmarkStart w:id="534" w:name="_Toc413756081"/>
      <w:bookmarkStart w:id="535" w:name="_Toc467515862"/>
    </w:p>
    <w:p w14:paraId="5860AFBA">
      <w:pPr>
        <w:pStyle w:val="7"/>
        <w:keepNext w:val="0"/>
        <w:keepLines w:val="0"/>
        <w:adjustRightInd w:val="0"/>
        <w:snapToGrid w:val="0"/>
        <w:spacing w:before="240" w:beforeLines="100" w:after="240" w:afterLines="100" w:line="288" w:lineRule="auto"/>
        <w:jc w:val="center"/>
        <w:rPr>
          <w:rFonts w:eastAsia="黑体"/>
          <w:b w:val="0"/>
          <w:bCs w:val="0"/>
          <w:sz w:val="20"/>
          <w:szCs w:val="20"/>
        </w:rPr>
      </w:pPr>
      <w:bookmarkStart w:id="536" w:name="_Toc131517256"/>
      <w:bookmarkStart w:id="537" w:name="_Toc131060601"/>
      <w:bookmarkStart w:id="538" w:name="_Toc139613818"/>
      <w:r>
        <w:rPr>
          <w:rFonts w:eastAsia="黑体"/>
          <w:sz w:val="20"/>
          <w:szCs w:val="20"/>
        </w:rPr>
        <w:t>8.1</w:t>
      </w:r>
      <w:r>
        <w:rPr>
          <w:rFonts w:eastAsia="黑体"/>
          <w:b w:val="0"/>
          <w:sz w:val="20"/>
          <w:szCs w:val="20"/>
        </w:rPr>
        <w:t xml:space="preserve">  一般规定</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7D183876">
      <w:pPr>
        <w:adjustRightInd w:val="0"/>
        <w:snapToGrid w:val="0"/>
        <w:spacing w:line="288" w:lineRule="auto"/>
        <w:rPr>
          <w:rFonts w:ascii="宋体" w:hAnsi="宋体"/>
          <w:sz w:val="20"/>
          <w:szCs w:val="20"/>
        </w:rPr>
      </w:pPr>
      <w:r>
        <w:rPr>
          <w:rFonts w:eastAsia="黑体"/>
          <w:b/>
          <w:bCs/>
          <w:kern w:val="0"/>
          <w:sz w:val="20"/>
          <w:szCs w:val="20"/>
        </w:rPr>
        <w:t xml:space="preserve">8.1.1  </w:t>
      </w:r>
      <w:r>
        <w:rPr>
          <w:rFonts w:hint="eastAsia" w:ascii="宋体" w:hAnsi="宋体"/>
          <w:sz w:val="20"/>
          <w:szCs w:val="20"/>
        </w:rPr>
        <w:t>主要对土钉墙的适用性进行了规定。这是由于土钉墙的施工一方面工艺要求开挖侧壁土体必须具有一定时间的自稳能力、同时对周边环境有一定的影响。</w:t>
      </w:r>
    </w:p>
    <w:p w14:paraId="35B174FF">
      <w:pPr>
        <w:adjustRightInd w:val="0"/>
        <w:snapToGrid w:val="0"/>
        <w:spacing w:line="288" w:lineRule="auto"/>
        <w:rPr>
          <w:rFonts w:ascii="宋体" w:hAnsi="宋体"/>
          <w:sz w:val="20"/>
          <w:szCs w:val="20"/>
        </w:rPr>
      </w:pPr>
      <w:r>
        <w:rPr>
          <w:rFonts w:eastAsia="黑体"/>
          <w:b/>
          <w:bCs/>
          <w:kern w:val="0"/>
          <w:sz w:val="20"/>
          <w:szCs w:val="20"/>
        </w:rPr>
        <w:t>8.1.2</w:t>
      </w:r>
      <w:r>
        <w:rPr>
          <w:rFonts w:hint="eastAsia" w:ascii="宋体" w:hAnsi="宋体"/>
          <w:bCs/>
          <w:sz w:val="20"/>
          <w:szCs w:val="20"/>
        </w:rPr>
        <w:t xml:space="preserve"> </w:t>
      </w:r>
      <w:r>
        <w:rPr>
          <w:rFonts w:hint="eastAsia" w:ascii="宋体" w:hAnsi="宋体"/>
          <w:sz w:val="20"/>
          <w:szCs w:val="20"/>
        </w:rPr>
        <w:t xml:space="preserve"> 本条除了对土钉墙适用的基坑深度及安全等级作了明确规定，对于开挖深度超过规定，对周边建（构）筑物变形控制较严时，可采用土钉墙与预应力锚杆、支护桩、超前微型桩等联合支护形式。近年来，北京地区接近</w:t>
      </w:r>
      <w:r>
        <w:rPr>
          <w:sz w:val="20"/>
          <w:szCs w:val="20"/>
        </w:rPr>
        <w:t>20m</w:t>
      </w:r>
      <w:r>
        <w:rPr>
          <w:rFonts w:hint="eastAsia" w:ascii="宋体" w:hAnsi="宋体"/>
          <w:sz w:val="20"/>
          <w:szCs w:val="20"/>
        </w:rPr>
        <w:t>深度的深大基坑采用土钉墙与预应力锚杆联合支护形式的成功实例也非个别。</w:t>
      </w:r>
    </w:p>
    <w:p w14:paraId="256D4B7C">
      <w:pPr>
        <w:adjustRightInd w:val="0"/>
        <w:snapToGrid w:val="0"/>
        <w:spacing w:line="288" w:lineRule="auto"/>
        <w:rPr>
          <w:rFonts w:ascii="宋体" w:hAnsi="宋体"/>
          <w:sz w:val="20"/>
          <w:szCs w:val="20"/>
        </w:rPr>
      </w:pPr>
      <w:r>
        <w:rPr>
          <w:rFonts w:eastAsia="黑体"/>
          <w:b/>
          <w:bCs/>
          <w:kern w:val="0"/>
          <w:sz w:val="20"/>
          <w:szCs w:val="20"/>
        </w:rPr>
        <w:t>8.1.3</w:t>
      </w:r>
      <w:r>
        <w:rPr>
          <w:rFonts w:hint="eastAsia" w:ascii="宋体" w:hAnsi="宋体"/>
          <w:bCs/>
          <w:sz w:val="20"/>
          <w:szCs w:val="20"/>
        </w:rPr>
        <w:t xml:space="preserve"> </w:t>
      </w:r>
      <w:r>
        <w:rPr>
          <w:rFonts w:hint="eastAsia" w:ascii="宋体" w:hAnsi="宋体"/>
          <w:sz w:val="20"/>
          <w:szCs w:val="20"/>
        </w:rPr>
        <w:t xml:space="preserve"> 本文强调土钉墙设计施工时应考虑施工周期、气候季节（雨季、冬施）、外界振动等环境因素对陡坡开挖面暂时裸露土体、松散饱和或较干的粉土（砂）层坡体稳定性的影响。</w:t>
      </w:r>
    </w:p>
    <w:p w14:paraId="1A574734">
      <w:pPr>
        <w:adjustRightInd w:val="0"/>
        <w:snapToGrid w:val="0"/>
        <w:spacing w:line="288" w:lineRule="auto"/>
        <w:rPr>
          <w:rFonts w:ascii="宋体" w:hAnsi="宋体"/>
          <w:sz w:val="20"/>
          <w:szCs w:val="20"/>
        </w:rPr>
      </w:pPr>
      <w:r>
        <w:rPr>
          <w:rFonts w:eastAsia="黑体"/>
          <w:b/>
          <w:bCs/>
          <w:kern w:val="0"/>
          <w:sz w:val="20"/>
          <w:szCs w:val="20"/>
        </w:rPr>
        <w:t>8.1.4</w:t>
      </w:r>
      <w:r>
        <w:rPr>
          <w:rFonts w:hint="eastAsia" w:ascii="宋体" w:hAnsi="宋体"/>
          <w:bCs/>
          <w:sz w:val="20"/>
          <w:szCs w:val="20"/>
        </w:rPr>
        <w:t xml:space="preserve"> </w:t>
      </w:r>
      <w:r>
        <w:rPr>
          <w:rFonts w:hint="eastAsia" w:ascii="宋体" w:hAnsi="宋体"/>
          <w:sz w:val="20"/>
          <w:szCs w:val="20"/>
        </w:rPr>
        <w:t xml:space="preserve"> 本条主要针对北京地区土钉墙施工常用土钉设置工艺，提出可采用钻孔、打入等方式。设计人员应该注意，当采用打入式土钉时，土钉锚固体与土体极限摩阻力标准值宜取低值，除非有特殊手段能保证注浆效果与质量。</w:t>
      </w:r>
      <w:bookmarkStart w:id="539" w:name="_Toc444180187"/>
      <w:bookmarkStart w:id="540" w:name="_Toc409425815"/>
      <w:bookmarkStart w:id="541" w:name="_Toc427573484"/>
      <w:bookmarkStart w:id="542" w:name="_Toc467515863"/>
      <w:bookmarkStart w:id="543" w:name="_Toc468104765"/>
      <w:bookmarkStart w:id="544" w:name="_Toc466902406"/>
      <w:bookmarkStart w:id="545" w:name="_Toc432233014"/>
      <w:bookmarkStart w:id="546" w:name="_Toc417372423"/>
      <w:bookmarkStart w:id="547" w:name="_Toc428777621"/>
      <w:bookmarkStart w:id="548" w:name="_Toc413756082"/>
      <w:bookmarkStart w:id="549" w:name="_Toc437878883"/>
      <w:bookmarkStart w:id="550" w:name="_Toc415730046"/>
    </w:p>
    <w:p w14:paraId="4B08119F">
      <w:pPr>
        <w:pStyle w:val="2"/>
        <w:ind w:left="0" w:leftChars="0" w:firstLine="0" w:firstLineChars="0"/>
        <w:rPr>
          <w:rFonts w:ascii="宋体" w:hAnsi="宋体"/>
          <w:sz w:val="20"/>
          <w:szCs w:val="20"/>
        </w:rPr>
      </w:pPr>
      <w:r>
        <w:rPr>
          <w:rFonts w:eastAsia="黑体"/>
          <w:b/>
          <w:bCs/>
          <w:kern w:val="0"/>
          <w:sz w:val="20"/>
          <w:szCs w:val="20"/>
        </w:rPr>
        <w:t xml:space="preserve">8.1.5  </w:t>
      </w:r>
      <w:r>
        <w:rPr>
          <w:rFonts w:hint="eastAsia" w:ascii="宋体" w:hAnsi="宋体"/>
          <w:sz w:val="20"/>
          <w:szCs w:val="20"/>
        </w:rPr>
        <w:t>本条主要针对土钉墙阳角交叉部位，由于土钉交叉影响摩阻力发挥，阳角部位空间效应也可能导致的该部位的安全性下降，故应对该部位进行专门分析与处理。</w:t>
      </w:r>
    </w:p>
    <w:p w14:paraId="4A1990E1">
      <w:pPr>
        <w:pStyle w:val="7"/>
        <w:keepNext w:val="0"/>
        <w:keepLines w:val="0"/>
        <w:adjustRightInd w:val="0"/>
        <w:snapToGrid w:val="0"/>
        <w:spacing w:before="240" w:beforeLines="100" w:after="240" w:afterLines="100" w:line="288" w:lineRule="auto"/>
        <w:jc w:val="center"/>
        <w:rPr>
          <w:rFonts w:ascii="宋体" w:hAnsi="宋体"/>
          <w:b w:val="0"/>
          <w:bCs w:val="0"/>
          <w:sz w:val="20"/>
          <w:szCs w:val="20"/>
        </w:rPr>
      </w:pPr>
      <w:bookmarkStart w:id="551" w:name="_Toc131517257"/>
      <w:bookmarkStart w:id="552" w:name="_Toc131060602"/>
      <w:bookmarkStart w:id="553" w:name="_Toc139613819"/>
      <w:r>
        <w:rPr>
          <w:rFonts w:eastAsia="黑体"/>
          <w:sz w:val="20"/>
          <w:szCs w:val="20"/>
        </w:rPr>
        <w:t xml:space="preserve">8.2  </w:t>
      </w:r>
      <w:r>
        <w:rPr>
          <w:rFonts w:hint="eastAsia" w:ascii="黑体" w:hAnsi="黑体" w:eastAsia="黑体"/>
          <w:b w:val="0"/>
          <w:sz w:val="20"/>
          <w:szCs w:val="20"/>
        </w:rPr>
        <w:t>设    计</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4CF284CB">
      <w:pPr>
        <w:adjustRightInd w:val="0"/>
        <w:snapToGrid w:val="0"/>
        <w:spacing w:line="288" w:lineRule="auto"/>
        <w:rPr>
          <w:rFonts w:ascii="宋体" w:hAnsi="宋体"/>
          <w:sz w:val="20"/>
          <w:szCs w:val="20"/>
        </w:rPr>
      </w:pPr>
      <w:r>
        <w:rPr>
          <w:b/>
          <w:bCs/>
          <w:sz w:val="20"/>
          <w:szCs w:val="20"/>
        </w:rPr>
        <w:t>8.2.1</w:t>
      </w:r>
      <w:r>
        <w:rPr>
          <w:rFonts w:hint="eastAsia" w:ascii="宋体" w:hAnsi="宋体"/>
          <w:sz w:val="20"/>
          <w:szCs w:val="20"/>
        </w:rPr>
        <w:t xml:space="preserve">  本条主要针对目前土钉墙设计理论在国内外还处于相对不太完善与成熟的前提下，强调工程与地区经验，采用工程类比方法指导初步设计的必要性。对于地区规程，本条更具针对性。</w:t>
      </w:r>
    </w:p>
    <w:p w14:paraId="4B10AF60">
      <w:pPr>
        <w:adjustRightInd w:val="0"/>
        <w:snapToGrid w:val="0"/>
        <w:spacing w:line="288" w:lineRule="auto"/>
        <w:rPr>
          <w:rFonts w:ascii="宋体" w:hAnsi="宋体"/>
          <w:sz w:val="20"/>
          <w:szCs w:val="20"/>
        </w:rPr>
      </w:pPr>
      <w:r>
        <w:rPr>
          <w:b/>
          <w:bCs/>
          <w:sz w:val="20"/>
          <w:szCs w:val="20"/>
        </w:rPr>
        <w:t>8.2.2</w:t>
      </w:r>
      <w:r>
        <w:rPr>
          <w:rFonts w:hint="eastAsia" w:ascii="宋体" w:hAnsi="宋体"/>
          <w:sz w:val="20"/>
          <w:szCs w:val="20"/>
        </w:rPr>
        <w:t xml:space="preserve">  本条主要规定了土钉墙设计应包括的主要内容。其中土钉墙与面层的连接构造、混凝土面层与坡顶的防护设计、坡顶和槽内排水系统设计以及遇滞水排水措施往往是设计中较易忽视的内容，当与截水帷幕结合时、其地下水渗透稳定性的验算也往往会忽视。而这些恰恰又是引发土钉墙工程质量事故的主要原因。</w:t>
      </w:r>
    </w:p>
    <w:p w14:paraId="3D38AEF5">
      <w:pPr>
        <w:adjustRightInd w:val="0"/>
        <w:snapToGrid w:val="0"/>
        <w:spacing w:line="288" w:lineRule="auto"/>
        <w:rPr>
          <w:rFonts w:ascii="宋体" w:hAnsi="宋体"/>
          <w:sz w:val="20"/>
          <w:szCs w:val="20"/>
        </w:rPr>
      </w:pPr>
      <w:r>
        <w:rPr>
          <w:rFonts w:eastAsia="黑体"/>
          <w:b/>
          <w:bCs/>
          <w:kern w:val="0"/>
          <w:sz w:val="20"/>
          <w:szCs w:val="20"/>
        </w:rPr>
        <w:t xml:space="preserve">8.2.4  </w:t>
      </w:r>
      <w:r>
        <w:rPr>
          <w:rFonts w:hAnsi="宋体"/>
          <w:sz w:val="20"/>
          <w:szCs w:val="20"/>
        </w:rPr>
        <w:t>表</w:t>
      </w:r>
      <w:r>
        <w:rPr>
          <w:sz w:val="20"/>
          <w:szCs w:val="20"/>
        </w:rPr>
        <w:t>8.2.4</w:t>
      </w:r>
      <w:r>
        <w:rPr>
          <w:rFonts w:hint="eastAsia" w:ascii="宋体" w:hAnsi="宋体"/>
          <w:sz w:val="20"/>
          <w:szCs w:val="20"/>
        </w:rPr>
        <w:t>提供推荐值仅为初步设计或无现场资料时参考使用。在同等地质条件下，建议打入式土钉取低值。当土钉施工中有具体措施保证注浆质量时，取高值。当采用高压注浆时可按试验确定或按经验适当提高。</w:t>
      </w:r>
    </w:p>
    <w:p w14:paraId="53BD5F33">
      <w:pPr>
        <w:adjustRightInd w:val="0"/>
        <w:snapToGrid w:val="0"/>
        <w:spacing w:line="288" w:lineRule="auto"/>
        <w:rPr>
          <w:rFonts w:ascii="宋体" w:hAnsi="宋体"/>
          <w:sz w:val="20"/>
          <w:szCs w:val="20"/>
        </w:rPr>
      </w:pPr>
      <w:r>
        <w:rPr>
          <w:rFonts w:eastAsia="黑体"/>
          <w:b/>
          <w:bCs/>
          <w:kern w:val="0"/>
          <w:sz w:val="20"/>
          <w:szCs w:val="20"/>
        </w:rPr>
        <w:t>8.2.5</w:t>
      </w:r>
      <w:r>
        <w:rPr>
          <w:rFonts w:hint="eastAsia" w:eastAsia="黑体"/>
          <w:b/>
          <w:bCs/>
          <w:sz w:val="20"/>
          <w:szCs w:val="20"/>
        </w:rPr>
        <w:t>～8.2.</w:t>
      </w:r>
      <w:r>
        <w:rPr>
          <w:rFonts w:eastAsia="黑体"/>
          <w:b/>
          <w:bCs/>
          <w:kern w:val="0"/>
          <w:sz w:val="20"/>
          <w:szCs w:val="20"/>
        </w:rPr>
        <w:t>8</w:t>
      </w:r>
      <w:r>
        <w:rPr>
          <w:rFonts w:eastAsia="黑体"/>
          <w:b/>
          <w:bCs/>
          <w:sz w:val="20"/>
          <w:szCs w:val="20"/>
        </w:rPr>
        <w:t xml:space="preserve"> </w:t>
      </w:r>
      <w:r>
        <w:rPr>
          <w:rFonts w:hint="eastAsia" w:ascii="宋体" w:hAnsi="宋体"/>
          <w:sz w:val="20"/>
          <w:szCs w:val="20"/>
        </w:rPr>
        <w:t xml:space="preserve"> 根据目前对土钉墙的工作机理研究成果，本规程采用平面应变假设。假定单个钉体承受局部土体压力并考虑坡体倾角对土钉墙承受荷载的有利削弱作用。</w:t>
      </w:r>
    </w:p>
    <w:p w14:paraId="2A8D09A6">
      <w:pPr>
        <w:adjustRightInd w:val="0"/>
        <w:snapToGrid w:val="0"/>
        <w:spacing w:line="288" w:lineRule="auto"/>
        <w:rPr>
          <w:rFonts w:ascii="宋体" w:hAnsi="宋体"/>
          <w:sz w:val="20"/>
          <w:szCs w:val="20"/>
        </w:rPr>
      </w:pPr>
      <w:r>
        <w:rPr>
          <w:rFonts w:eastAsia="黑体"/>
          <w:b/>
          <w:bCs/>
          <w:kern w:val="0"/>
          <w:sz w:val="20"/>
          <w:szCs w:val="20"/>
        </w:rPr>
        <w:t>8.2.9</w:t>
      </w:r>
      <w:r>
        <w:rPr>
          <w:rFonts w:hint="eastAsia" w:ascii="宋体" w:hAnsi="宋体"/>
          <w:sz w:val="20"/>
          <w:szCs w:val="20"/>
        </w:rPr>
        <w:t xml:space="preserve">  土压力沿墙面的分布形式，原规程直接采用朗肯土压力线性分布，按此计算，往往土钉墙底部土钉需要长度很长才能满足承载力要求。土钉墙底部的土钉过长，其承载力不一定能充分发挥，此时，土钉墙面层或土钉端部连接会往往先于土钉达到拉力前破坏。因此，一些实际工程设计中土钉墙底部土钉长度往往会做些折减。工程实践表明，适当减短土钉墙底部土钉长度后，并没有出现土钉被拔出破坏的现象。土钉长度计算不合理的问题主要原因在于所采用的朗肯土压力按线性分布是否合理。由于土钉墙墙面是柔性的，分层开挖裸露面上土压力是零，建立新的力平衡使土压力向周围转移，墙面上土压力则重新分布。为解决土钉计算长度不合理问题，本规程考虑了墙面土上压力会存在重分布规律，对朗肯公式计算的土压力线性分布进行了修正。该方法在概念上虽然可行，但存在一定近似性，还需要做进一步研究和试验工作来不断完善</w:t>
      </w:r>
    </w:p>
    <w:p w14:paraId="56497FEE">
      <w:pPr>
        <w:adjustRightInd w:val="0"/>
        <w:snapToGrid w:val="0"/>
        <w:spacing w:line="288" w:lineRule="auto"/>
        <w:rPr>
          <w:rFonts w:ascii="宋体" w:hAnsi="宋体"/>
          <w:sz w:val="20"/>
          <w:szCs w:val="20"/>
        </w:rPr>
      </w:pPr>
      <w:r>
        <w:rPr>
          <w:rFonts w:eastAsia="黑体"/>
          <w:b/>
          <w:bCs/>
          <w:kern w:val="0"/>
          <w:sz w:val="20"/>
          <w:szCs w:val="20"/>
        </w:rPr>
        <w:t>8.2.10</w:t>
      </w:r>
      <w:r>
        <w:rPr>
          <w:rFonts w:hint="eastAsia" w:eastAsia="黑体"/>
          <w:b/>
          <w:bCs/>
          <w:kern w:val="0"/>
          <w:sz w:val="20"/>
          <w:szCs w:val="20"/>
        </w:rPr>
        <w:t xml:space="preserve">  </w:t>
      </w:r>
      <w:r>
        <w:rPr>
          <w:rFonts w:hint="eastAsia" w:ascii="宋体" w:hAnsi="宋体"/>
          <w:sz w:val="20"/>
          <w:szCs w:val="20"/>
        </w:rPr>
        <w:t>对于基坑侧壁安全等级为三级的土钉墙支护、其土钉抗拉承载力设计值计算可假定土钉墙破坏形式为直线形破裂面。考虑侧壁坡体倾角原因，其破坏面倾角与水平面夹角取为</w:t>
      </w:r>
      <w:r>
        <w:rPr>
          <w:rFonts w:ascii="宋体" w:hAnsi="宋体"/>
          <w:sz w:val="20"/>
          <w:szCs w:val="20"/>
        </w:rPr>
        <w:t xml:space="preserve"> </w:t>
      </w:r>
      <w:r>
        <w:rPr>
          <w:rFonts w:hint="eastAsia" w:ascii="宋体" w:hAnsi="宋体"/>
          <w:position w:val="-12"/>
          <w:sz w:val="20"/>
          <w:szCs w:val="20"/>
        </w:rPr>
        <w:object>
          <v:shape id="_x0000_i1176" o:spt="75" type="#_x0000_t75" style="height:14.4pt;width:50.1pt;" o:ole="t" filled="f" o:preferrelative="t" stroked="f" coordsize="21600,21600">
            <v:path/>
            <v:fill on="f" focussize="0,0"/>
            <v:stroke on="f" joinstyle="miter"/>
            <v:imagedata r:id="rId345" o:title=""/>
            <o:lock v:ext="edit" aspectratio="t"/>
            <w10:wrap type="none"/>
            <w10:anchorlock/>
          </v:shape>
          <o:OLEObject Type="Embed" ProgID="Equation.3" ShapeID="_x0000_i1176" DrawAspect="Content" ObjectID="_1468075880" r:id="rId344">
            <o:LockedField>false</o:LockedField>
          </o:OLEObject>
        </w:object>
      </w:r>
      <w:r>
        <w:rPr>
          <w:rFonts w:hint="eastAsia" w:ascii="宋体" w:hAnsi="宋体"/>
          <w:sz w:val="20"/>
          <w:szCs w:val="20"/>
        </w:rPr>
        <w:t>，与直立坡体的夹角</w:t>
      </w:r>
      <w:r>
        <w:rPr>
          <w:rFonts w:ascii="宋体" w:hAnsi="宋体"/>
          <w:position w:val="-18"/>
          <w:sz w:val="20"/>
          <w:szCs w:val="20"/>
        </w:rPr>
        <w:object>
          <v:shape id="_x0000_i1177" o:spt="75" type="#_x0000_t75" style="height:24.2pt;width:27.05pt;" o:ole="t" filled="f" o:preferrelative="t" stroked="f" coordsize="21600,21600">
            <v:path/>
            <v:fill on="f" focussize="0,0"/>
            <v:stroke on="f" joinstyle="miter"/>
            <v:imagedata r:id="rId347" o:title=""/>
            <o:lock v:ext="edit" aspectratio="t"/>
            <w10:wrap type="none"/>
            <w10:anchorlock/>
          </v:shape>
          <o:OLEObject Type="Embed" ProgID="Equation.DSMT4" ShapeID="_x0000_i1177" DrawAspect="Content" ObjectID="_1468075881" r:id="rId346">
            <o:LockedField>false</o:LockedField>
          </o:OLEObject>
        </w:object>
      </w:r>
      <w:r>
        <w:rPr>
          <w:rFonts w:hint="eastAsia" w:ascii="宋体" w:hAnsi="宋体"/>
          <w:sz w:val="20"/>
          <w:szCs w:val="20"/>
        </w:rPr>
        <w:t>相比，偏与安全。值得注意的是所计算得到的土钉抗拉承载力设计值应满足土钉材料强度要求。</w:t>
      </w:r>
    </w:p>
    <w:p w14:paraId="1B4FDDC2">
      <w:pPr>
        <w:adjustRightInd w:val="0"/>
        <w:snapToGrid w:val="0"/>
        <w:spacing w:line="288" w:lineRule="auto"/>
        <w:rPr>
          <w:rFonts w:ascii="宋体" w:hAnsi="宋体"/>
          <w:sz w:val="20"/>
          <w:szCs w:val="20"/>
        </w:rPr>
      </w:pPr>
      <w:r>
        <w:rPr>
          <w:b/>
          <w:bCs/>
          <w:kern w:val="0"/>
          <w:sz w:val="20"/>
          <w:szCs w:val="20"/>
        </w:rPr>
        <w:t>8.2.11</w:t>
      </w:r>
      <w:r>
        <w:rPr>
          <w:rFonts w:hint="eastAsia" w:ascii="宋体" w:hAnsi="宋体"/>
          <w:sz w:val="20"/>
          <w:szCs w:val="20"/>
        </w:rPr>
        <w:t xml:space="preserve">  由于土钉墙施工工艺的要求，土钉墙设计应保证土钉墙施工每个阶段的坡体稳定性。因此，本条强调，应对土钉墙施工期间的不同开挖深度以及基底以下可能产生的滑动面，采用圆弧滑动简单条分法进行整体稳定性验算。由于本规程在设计方法上，对土的稳定性一类极限状态由分项系数表示法改为单一安全系数法，公式（</w:t>
      </w:r>
      <w:r>
        <w:rPr>
          <w:sz w:val="20"/>
          <w:szCs w:val="20"/>
        </w:rPr>
        <w:t>8.2.11-2</w:t>
      </w:r>
      <w:r>
        <w:rPr>
          <w:rFonts w:hint="eastAsia" w:ascii="宋体" w:hAnsi="宋体"/>
          <w:sz w:val="20"/>
          <w:szCs w:val="20"/>
        </w:rPr>
        <w:t>）在具体形式上与原规程公式不同，但公式的实质没变。</w:t>
      </w:r>
    </w:p>
    <w:p w14:paraId="112ACABA">
      <w:pPr>
        <w:adjustRightInd w:val="0"/>
        <w:snapToGrid w:val="0"/>
        <w:spacing w:line="288" w:lineRule="auto"/>
        <w:rPr>
          <w:rFonts w:ascii="宋体" w:hAnsi="宋体"/>
          <w:sz w:val="20"/>
          <w:szCs w:val="20"/>
        </w:rPr>
      </w:pPr>
      <w:r>
        <w:rPr>
          <w:b/>
          <w:bCs/>
          <w:kern w:val="0"/>
          <w:sz w:val="20"/>
          <w:szCs w:val="20"/>
        </w:rPr>
        <w:t>8.2.13</w:t>
      </w:r>
      <w:r>
        <w:rPr>
          <w:rFonts w:hint="eastAsia" w:ascii="宋体" w:hAnsi="宋体"/>
          <w:sz w:val="20"/>
          <w:szCs w:val="20"/>
        </w:rPr>
        <w:t xml:space="preserve">  本条指出，在进行土钉墙整体稳定性验算时，土钉的有效作用只能计及土钉在圆弧滑裂面以外的有效抗拉力。</w:t>
      </w:r>
    </w:p>
    <w:p w14:paraId="691934A6">
      <w:pPr>
        <w:adjustRightInd w:val="0"/>
        <w:snapToGrid w:val="0"/>
        <w:spacing w:line="288" w:lineRule="auto"/>
        <w:rPr>
          <w:rFonts w:ascii="宋体" w:hAnsi="宋体"/>
          <w:sz w:val="20"/>
          <w:szCs w:val="20"/>
        </w:rPr>
      </w:pPr>
      <w:r>
        <w:rPr>
          <w:b/>
          <w:bCs/>
          <w:kern w:val="0"/>
          <w:sz w:val="20"/>
          <w:szCs w:val="20"/>
        </w:rPr>
        <w:t>8.2.14</w:t>
      </w:r>
      <w:r>
        <w:rPr>
          <w:rFonts w:hint="eastAsia" w:ascii="宋体" w:hAnsi="宋体"/>
          <w:sz w:val="20"/>
          <w:szCs w:val="20"/>
        </w:rPr>
        <w:t xml:space="preserve">  在复合土钉墙中，微型桩、搅拌桩或旋喷桩对总抗滑力矩是有贡献的，但难以定量。对水泥土桩，其截面的抗剪强度不能按全部考虑。因为水泥土桩比土的刚度大的多，当水泥土桩达到强度极限时，土的抗剪强度还未充分发挥，而土达到极限强度时，水泥土桩在此之前已被剪断，即两者不能同时达到极限状态。对微型钢管桩，当土达到极限强度时，微型钢管桩是有上拔趋势的，而不是剪切强度控制。因此，尚不能定量给出水泥土桩、微型桩的抵抗力矩，需要考虑其作用时，只能根据经验和水泥土桩、微型桩的设计参数，适当考虑其抗滑作用。当无经验时，最好不考虑其抗滑作用，当作安全储备。</w:t>
      </w:r>
    </w:p>
    <w:p w14:paraId="78B15B6C">
      <w:pPr>
        <w:adjustRightInd w:val="0"/>
        <w:snapToGrid w:val="0"/>
        <w:spacing w:line="288" w:lineRule="auto"/>
        <w:rPr>
          <w:rFonts w:ascii="宋体" w:hAnsi="宋体"/>
          <w:sz w:val="20"/>
          <w:szCs w:val="20"/>
        </w:rPr>
      </w:pPr>
      <w:r>
        <w:rPr>
          <w:b/>
          <w:bCs/>
          <w:kern w:val="0"/>
          <w:sz w:val="20"/>
          <w:szCs w:val="20"/>
        </w:rPr>
        <w:t>8.2.16</w:t>
      </w:r>
      <w:r>
        <w:rPr>
          <w:rFonts w:hint="eastAsia" w:ascii="宋体" w:hAnsi="宋体"/>
          <w:sz w:val="20"/>
          <w:szCs w:val="20"/>
        </w:rPr>
        <w:t xml:space="preserve">  本条主要对土钉墙的构造提出了具体要求。特别对土钉与面层的连接、为控制侧壁土体变形的构造措施、土钉长度等从构造方面进行了强调，特别是土钉与面层连接应严格按照现行相关规范要求确保土钉与面层连接牢固、受力合理。对于面层厚度，应根据土钉墙支护高度逐渐加厚。当采用预应力锚杆与土钉联合支护时，面层厚度还应满足局部受压验算要求。</w:t>
      </w:r>
    </w:p>
    <w:p w14:paraId="7A9A78A4">
      <w:pPr>
        <w:adjustRightInd w:val="0"/>
        <w:snapToGrid w:val="0"/>
        <w:spacing w:line="288" w:lineRule="auto"/>
        <w:rPr>
          <w:rFonts w:ascii="宋体" w:hAnsi="宋体"/>
          <w:bCs/>
          <w:sz w:val="20"/>
          <w:szCs w:val="20"/>
        </w:rPr>
      </w:pPr>
      <w:r>
        <w:rPr>
          <w:rFonts w:eastAsia="黑体"/>
          <w:b/>
          <w:bCs/>
          <w:sz w:val="20"/>
          <w:szCs w:val="20"/>
        </w:rPr>
        <w:t>8.2.17</w:t>
      </w:r>
      <w:r>
        <w:rPr>
          <w:rFonts w:hint="eastAsia" w:eastAsia="黑体"/>
          <w:b/>
          <w:bCs/>
          <w:sz w:val="20"/>
          <w:szCs w:val="20"/>
        </w:rPr>
        <w:t>～</w:t>
      </w:r>
      <w:r>
        <w:rPr>
          <w:rFonts w:eastAsia="黑体"/>
          <w:b/>
          <w:bCs/>
          <w:sz w:val="20"/>
          <w:szCs w:val="20"/>
        </w:rPr>
        <w:t>8.2.19</w:t>
      </w:r>
      <w:r>
        <w:rPr>
          <w:rFonts w:hint="eastAsia" w:eastAsia="黑体"/>
          <w:b/>
          <w:bCs/>
          <w:sz w:val="20"/>
          <w:szCs w:val="20"/>
        </w:rPr>
        <w:t xml:space="preserve"> </w:t>
      </w:r>
      <w:r>
        <w:rPr>
          <w:rFonts w:hint="eastAsia" w:ascii="宋体" w:hAnsi="宋体"/>
          <w:sz w:val="20"/>
          <w:szCs w:val="20"/>
        </w:rPr>
        <w:t xml:space="preserve"> 提出了采用局部预应力锚杆与土钉联合支护的构造等定性技术措施，以指导目前预应力锚杆与土钉联合支护的设计与施工。预应力锚杆与土钉联合支护其作用机理更为复杂，目前对此认识还不十分深入，只能根据以往理论研究、工程实践与实测分析，综合在构造及定性（概念）设计角度予以规定。由于土钉墙支护侧壁变形一般均为中部鼓出型（支护深度较大时），因此预应力锚杆建议宜设置在加固侧壁的中部，同时为了充分发挥预应力锚杆限制侧壁水平变形的作用，建议锚杆间宜保证一定的间距。考虑到锚杆与土钉的受力机理不同，为减小锚杆与土钉之间的相互影响、从构造性要求规定锚杆宜比常规设计相应位置处土钉长度长</w:t>
      </w:r>
      <w:r>
        <w:rPr>
          <w:sz w:val="20"/>
          <w:szCs w:val="20"/>
        </w:rPr>
        <w:t>0.35</w:t>
      </w:r>
      <w:r>
        <w:rPr>
          <w:rFonts w:hint="eastAsia" w:ascii="宋体" w:hAnsi="宋体"/>
          <w:sz w:val="20"/>
          <w:szCs w:val="20"/>
        </w:rPr>
        <w:t>倍。</w:t>
      </w:r>
    </w:p>
    <w:p w14:paraId="0EBEC2ED">
      <w:pPr>
        <w:adjustRightInd w:val="0"/>
        <w:snapToGrid w:val="0"/>
        <w:spacing w:line="288" w:lineRule="auto"/>
        <w:rPr>
          <w:rFonts w:eastAsia="黑体"/>
          <w:sz w:val="20"/>
          <w:szCs w:val="20"/>
        </w:rPr>
      </w:pPr>
      <w:r>
        <w:rPr>
          <w:rFonts w:eastAsia="黑体"/>
          <w:b/>
          <w:bCs/>
          <w:sz w:val="20"/>
          <w:szCs w:val="20"/>
        </w:rPr>
        <w:t>8.2.20</w:t>
      </w:r>
      <w:r>
        <w:rPr>
          <w:rFonts w:hint="eastAsia" w:eastAsia="黑体"/>
          <w:b/>
          <w:bCs/>
          <w:sz w:val="20"/>
          <w:szCs w:val="20"/>
        </w:rPr>
        <w:t>～</w:t>
      </w:r>
      <w:r>
        <w:rPr>
          <w:rFonts w:eastAsia="黑体"/>
          <w:b/>
          <w:bCs/>
          <w:sz w:val="20"/>
          <w:szCs w:val="20"/>
        </w:rPr>
        <w:t>8.2.23</w:t>
      </w:r>
      <w:r>
        <w:rPr>
          <w:rFonts w:hint="eastAsia" w:ascii="宋体" w:hAnsi="宋体"/>
          <w:sz w:val="20"/>
          <w:szCs w:val="20"/>
        </w:rPr>
        <w:t xml:space="preserve">  针对侧壁土坡自稳性差的工程，可采用超前微型桩进行局部补强后施作土钉墙。本条对超前微型桩的构造要求进行了规定。</w:t>
      </w:r>
      <w:bookmarkStart w:id="554" w:name="_Toc437878884"/>
      <w:bookmarkStart w:id="555" w:name="_Toc427573485"/>
      <w:bookmarkStart w:id="556" w:name="_Toc432233015"/>
      <w:bookmarkStart w:id="557" w:name="_Toc415730047"/>
      <w:bookmarkStart w:id="558" w:name="_Toc468104766"/>
      <w:bookmarkStart w:id="559" w:name="_Toc467515864"/>
      <w:bookmarkStart w:id="560" w:name="_Toc417372424"/>
      <w:bookmarkStart w:id="561" w:name="_Toc428777622"/>
      <w:bookmarkStart w:id="562" w:name="_Toc409425816"/>
      <w:bookmarkStart w:id="563" w:name="_Toc413756083"/>
      <w:bookmarkStart w:id="564" w:name="_Toc444180188"/>
      <w:bookmarkStart w:id="565" w:name="_Toc466902407"/>
    </w:p>
    <w:bookmarkEnd w:id="554"/>
    <w:bookmarkEnd w:id="555"/>
    <w:bookmarkEnd w:id="556"/>
    <w:bookmarkEnd w:id="557"/>
    <w:bookmarkEnd w:id="558"/>
    <w:bookmarkEnd w:id="559"/>
    <w:bookmarkEnd w:id="560"/>
    <w:bookmarkEnd w:id="561"/>
    <w:bookmarkEnd w:id="562"/>
    <w:bookmarkEnd w:id="563"/>
    <w:bookmarkEnd w:id="564"/>
    <w:bookmarkEnd w:id="565"/>
    <w:p w14:paraId="5519670C">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566" w:name="_Toc131517258"/>
      <w:bookmarkStart w:id="567" w:name="_Toc139613820"/>
      <w:bookmarkStart w:id="568" w:name="_Toc131060603"/>
      <w:bookmarkStart w:id="569" w:name="_Toc415730048"/>
      <w:bookmarkStart w:id="570" w:name="_Toc444180189"/>
      <w:bookmarkStart w:id="571" w:name="_Toc468104767"/>
      <w:bookmarkStart w:id="572" w:name="_Toc428777623"/>
      <w:bookmarkStart w:id="573" w:name="_Toc467515865"/>
      <w:bookmarkStart w:id="574" w:name="_Toc427573486"/>
      <w:bookmarkStart w:id="575" w:name="_Toc466902408"/>
      <w:bookmarkStart w:id="576" w:name="_Toc409425817"/>
      <w:bookmarkStart w:id="577" w:name="_Toc413756084"/>
      <w:bookmarkStart w:id="578" w:name="_Toc432233016"/>
      <w:bookmarkStart w:id="579" w:name="_Toc417372425"/>
      <w:bookmarkStart w:id="580" w:name="_Toc437878885"/>
      <w:r>
        <w:rPr>
          <w:rFonts w:eastAsia="黑体"/>
          <w:sz w:val="20"/>
          <w:szCs w:val="20"/>
        </w:rPr>
        <w:t xml:space="preserve">8.3  </w:t>
      </w:r>
      <w:r>
        <w:rPr>
          <w:rFonts w:hint="eastAsia" w:ascii="黑体" w:hAnsi="黑体" w:eastAsia="黑体"/>
          <w:b w:val="0"/>
          <w:sz w:val="20"/>
          <w:szCs w:val="20"/>
        </w:rPr>
        <w:t>施    工</w:t>
      </w:r>
      <w:bookmarkEnd w:id="566"/>
      <w:bookmarkEnd w:id="567"/>
      <w:bookmarkEnd w:id="568"/>
    </w:p>
    <w:p w14:paraId="2935F8C1">
      <w:pPr>
        <w:adjustRightInd w:val="0"/>
        <w:snapToGrid w:val="0"/>
        <w:spacing w:line="288" w:lineRule="auto"/>
        <w:rPr>
          <w:rFonts w:ascii="宋体" w:hAnsi="宋体"/>
          <w:bCs/>
          <w:sz w:val="20"/>
          <w:szCs w:val="20"/>
        </w:rPr>
      </w:pPr>
      <w:r>
        <w:rPr>
          <w:rFonts w:eastAsia="黑体"/>
          <w:b/>
          <w:bCs/>
          <w:kern w:val="0"/>
          <w:sz w:val="20"/>
          <w:szCs w:val="20"/>
        </w:rPr>
        <w:t>8.3.1</w:t>
      </w:r>
      <w:r>
        <w:rPr>
          <w:rFonts w:hint="eastAsia" w:ascii="宋体" w:hAnsi="宋体"/>
          <w:sz w:val="20"/>
          <w:szCs w:val="20"/>
        </w:rPr>
        <w:t xml:space="preserve">  规定了一般情况下的施工顺序；面层引水孔可以在喷射混凝土前预设，也可在喷射混凝土完成后设置。微型桩和水泥土桩的施工，一般先于土钉施工，具体施工工艺与要求等详见相关章节。</w:t>
      </w:r>
    </w:p>
    <w:p w14:paraId="1CCB344F">
      <w:pPr>
        <w:adjustRightInd w:val="0"/>
        <w:snapToGrid w:val="0"/>
        <w:spacing w:line="288" w:lineRule="auto"/>
        <w:rPr>
          <w:rFonts w:ascii="宋体" w:hAnsi="宋体"/>
          <w:sz w:val="20"/>
          <w:szCs w:val="20"/>
        </w:rPr>
      </w:pPr>
      <w:r>
        <w:rPr>
          <w:rFonts w:eastAsia="黑体"/>
          <w:b/>
          <w:bCs/>
          <w:kern w:val="0"/>
          <w:sz w:val="20"/>
          <w:szCs w:val="20"/>
        </w:rPr>
        <w:t>8.3.2</w:t>
      </w:r>
      <w:r>
        <w:rPr>
          <w:rFonts w:hint="eastAsia" w:eastAsia="黑体"/>
          <w:b/>
          <w:bCs/>
          <w:sz w:val="20"/>
          <w:szCs w:val="20"/>
        </w:rPr>
        <w:t>～</w:t>
      </w:r>
      <w:r>
        <w:rPr>
          <w:rFonts w:eastAsia="黑体"/>
          <w:b/>
          <w:bCs/>
          <w:kern w:val="0"/>
          <w:sz w:val="20"/>
          <w:szCs w:val="20"/>
        </w:rPr>
        <w:t xml:space="preserve">8.3.4  </w:t>
      </w:r>
      <w:r>
        <w:rPr>
          <w:rFonts w:hint="eastAsia" w:ascii="宋体" w:hAnsi="宋体"/>
          <w:sz w:val="20"/>
          <w:szCs w:val="20"/>
        </w:rPr>
        <w:t>本条对土钉墙施工顺序、坡面稳定与保护等要求作了规定。</w:t>
      </w:r>
    </w:p>
    <w:p w14:paraId="08921C36">
      <w:pPr>
        <w:adjustRightInd w:val="0"/>
        <w:snapToGrid w:val="0"/>
        <w:spacing w:line="288" w:lineRule="auto"/>
        <w:rPr>
          <w:rFonts w:ascii="宋体" w:hAnsi="宋体"/>
          <w:sz w:val="20"/>
          <w:szCs w:val="20"/>
        </w:rPr>
      </w:pPr>
      <w:r>
        <w:rPr>
          <w:rFonts w:eastAsia="黑体"/>
          <w:b/>
          <w:bCs/>
          <w:kern w:val="0"/>
          <w:sz w:val="20"/>
          <w:szCs w:val="20"/>
        </w:rPr>
        <w:t>8.3.5</w:t>
      </w:r>
      <w:r>
        <w:rPr>
          <w:rFonts w:hint="eastAsia" w:ascii="宋体" w:hAnsi="宋体"/>
          <w:sz w:val="20"/>
          <w:szCs w:val="20"/>
        </w:rPr>
        <w:t xml:space="preserve"> </w:t>
      </w:r>
      <w:r>
        <w:rPr>
          <w:rFonts w:ascii="宋体" w:hAnsi="宋体"/>
          <w:sz w:val="20"/>
          <w:szCs w:val="20"/>
        </w:rPr>
        <w:t xml:space="preserve"> </w:t>
      </w:r>
      <w:r>
        <w:rPr>
          <w:rFonts w:hint="eastAsia" w:ascii="宋体" w:hAnsi="宋体"/>
          <w:sz w:val="20"/>
          <w:szCs w:val="20"/>
        </w:rPr>
        <w:t>本条针对北京地区经常遇到的土钉墙支护基坑、局部存在高含水量的软弱土或填土等自稳能力差的土层，可采取的技术措施。</w:t>
      </w:r>
    </w:p>
    <w:p w14:paraId="04A9277B">
      <w:pPr>
        <w:adjustRightInd w:val="0"/>
        <w:snapToGrid w:val="0"/>
        <w:spacing w:line="288" w:lineRule="auto"/>
        <w:rPr>
          <w:rFonts w:ascii="宋体" w:hAnsi="宋体"/>
          <w:sz w:val="20"/>
          <w:szCs w:val="20"/>
        </w:rPr>
      </w:pPr>
      <w:r>
        <w:rPr>
          <w:rFonts w:eastAsia="黑体"/>
          <w:b/>
          <w:bCs/>
          <w:kern w:val="0"/>
          <w:sz w:val="20"/>
          <w:szCs w:val="20"/>
        </w:rPr>
        <w:t xml:space="preserve">8.3.6  </w:t>
      </w:r>
      <w:r>
        <w:rPr>
          <w:rFonts w:hint="eastAsia" w:ascii="宋体" w:hAnsi="宋体"/>
          <w:sz w:val="20"/>
          <w:szCs w:val="20"/>
        </w:rPr>
        <w:t>本条明确土钉墙施工时采取的排水措施应包括地表排水、内部排水以及基坑排水等内容，并提出相关技术措施，</w:t>
      </w:r>
      <w:r>
        <w:rPr>
          <w:rFonts w:hint="eastAsia" w:ascii="宋体" w:hAnsi="宋体"/>
          <w:bCs/>
          <w:sz w:val="20"/>
          <w:szCs w:val="20"/>
        </w:rPr>
        <w:t>避免土体处于饱和状态，同时减轻作用于面层上的静水压力。</w:t>
      </w:r>
    </w:p>
    <w:p w14:paraId="4D9BB3F1">
      <w:pPr>
        <w:adjustRightInd w:val="0"/>
        <w:snapToGrid w:val="0"/>
        <w:spacing w:line="288" w:lineRule="auto"/>
        <w:rPr>
          <w:sz w:val="20"/>
          <w:szCs w:val="20"/>
        </w:rPr>
      </w:pPr>
      <w:r>
        <w:rPr>
          <w:rFonts w:eastAsia="黑体"/>
          <w:b/>
          <w:bCs/>
          <w:kern w:val="0"/>
          <w:sz w:val="20"/>
          <w:szCs w:val="20"/>
        </w:rPr>
        <w:t xml:space="preserve">8.3.7 </w:t>
      </w:r>
      <w:r>
        <w:rPr>
          <w:rFonts w:hint="eastAsia" w:ascii="宋体" w:hAnsi="宋体"/>
          <w:sz w:val="20"/>
          <w:szCs w:val="20"/>
        </w:rPr>
        <w:t xml:space="preserve"> 本条专门针对冬施条件下</w:t>
      </w:r>
      <w:r>
        <w:rPr>
          <w:rFonts w:hint="eastAsia" w:ascii="宋体" w:hAnsi="宋体"/>
          <w:bCs/>
          <w:sz w:val="20"/>
          <w:szCs w:val="20"/>
        </w:rPr>
        <w:t>进行土钉墙施工作了限制，当冬施不可避免时，必须有相应的结构、构造与防排水措施，以避免冻胀引起的土钉墙破坏。</w:t>
      </w:r>
      <w:r>
        <w:rPr>
          <w:rFonts w:hint="eastAsia" w:ascii="宋体" w:hAnsi="宋体"/>
          <w:sz w:val="20"/>
          <w:szCs w:val="20"/>
        </w:rPr>
        <w:t>冬期喷射混凝土时应在晴天施工，优先选用硅酸盐水泥、普通硅酸盐水泥，添加早强剂、防冻剂，喷射施工后尽快悬挂、覆盖保温设施。钢筋负温焊接时应调整焊接工艺参数，使焊缝和热影响区</w:t>
      </w:r>
      <w:r>
        <w:rPr>
          <w:rFonts w:hAnsi="宋体"/>
          <w:sz w:val="20"/>
          <w:szCs w:val="20"/>
        </w:rPr>
        <w:t>缓慢冷却。风力超过四级时，应采取挡风措施。焊后未冷却的接头应避免碰到冰雪。当环境温度低于－</w:t>
      </w:r>
      <w:r>
        <w:rPr>
          <w:sz w:val="20"/>
          <w:szCs w:val="20"/>
        </w:rPr>
        <w:t>20</w:t>
      </w:r>
      <w:r>
        <w:rPr>
          <w:rFonts w:hAnsi="宋体"/>
          <w:sz w:val="20"/>
          <w:szCs w:val="20"/>
        </w:rPr>
        <w:t>℃时，不得进行施焊。</w:t>
      </w:r>
    </w:p>
    <w:p w14:paraId="311F09C9">
      <w:pPr>
        <w:adjustRightInd w:val="0"/>
        <w:snapToGrid w:val="0"/>
        <w:spacing w:line="288" w:lineRule="auto"/>
        <w:rPr>
          <w:bCs/>
          <w:spacing w:val="423"/>
          <w:kern w:val="0"/>
          <w:sz w:val="20"/>
          <w:szCs w:val="20"/>
        </w:rPr>
      </w:pPr>
      <w:r>
        <w:rPr>
          <w:b/>
          <w:kern w:val="0"/>
          <w:sz w:val="20"/>
          <w:szCs w:val="20"/>
        </w:rPr>
        <w:t>8.3.</w:t>
      </w:r>
      <w:r>
        <w:rPr>
          <w:rFonts w:hint="eastAsia"/>
          <w:b/>
          <w:kern w:val="0"/>
          <w:sz w:val="20"/>
          <w:szCs w:val="20"/>
        </w:rPr>
        <w:t>8~</w:t>
      </w:r>
      <w:r>
        <w:rPr>
          <w:b/>
          <w:kern w:val="0"/>
          <w:sz w:val="20"/>
          <w:szCs w:val="20"/>
        </w:rPr>
        <w:t>8.3.</w:t>
      </w:r>
      <w:r>
        <w:rPr>
          <w:rFonts w:hint="eastAsia"/>
          <w:b/>
          <w:kern w:val="0"/>
          <w:sz w:val="20"/>
          <w:szCs w:val="20"/>
        </w:rPr>
        <w:t>9</w:t>
      </w:r>
      <w:r>
        <w:rPr>
          <w:rFonts w:hint="eastAsia"/>
          <w:bCs/>
          <w:kern w:val="0"/>
          <w:sz w:val="20"/>
          <w:szCs w:val="20"/>
        </w:rPr>
        <w:t xml:space="preserve">  能够成孔时，优先采用先钻孔后注浆的土钉施工工艺；根据北京地区的经验，同时考虑到人工成本的上升，对于土钉成孔，优先推荐采用小型螺旋钻机。</w:t>
      </w:r>
    </w:p>
    <w:p w14:paraId="6BF3F9CF">
      <w:pPr>
        <w:tabs>
          <w:tab w:val="left" w:pos="252"/>
          <w:tab w:val="left" w:pos="616"/>
          <w:tab w:val="left" w:pos="1080"/>
          <w:tab w:val="left" w:pos="2520"/>
          <w:tab w:val="left" w:pos="7020"/>
        </w:tabs>
        <w:adjustRightInd w:val="0"/>
        <w:snapToGrid w:val="0"/>
        <w:spacing w:line="288" w:lineRule="auto"/>
        <w:rPr>
          <w:rFonts w:ascii="宋体" w:hAnsi="宋体"/>
          <w:sz w:val="20"/>
          <w:szCs w:val="20"/>
        </w:rPr>
      </w:pPr>
      <w:r>
        <w:rPr>
          <w:b/>
          <w:bCs/>
          <w:kern w:val="0"/>
          <w:sz w:val="20"/>
          <w:szCs w:val="20"/>
        </w:rPr>
        <w:t>8.3.12</w:t>
      </w:r>
      <w:r>
        <w:rPr>
          <w:rFonts w:ascii="宋体" w:hAnsi="宋体"/>
          <w:sz w:val="20"/>
          <w:szCs w:val="20"/>
        </w:rPr>
        <w:t xml:space="preserve"> </w:t>
      </w:r>
      <w:r>
        <w:rPr>
          <w:rFonts w:hint="eastAsia" w:ascii="宋体" w:hAnsi="宋体"/>
          <w:sz w:val="20"/>
          <w:szCs w:val="20"/>
        </w:rPr>
        <w:t xml:space="preserve"> 主要针对杂填土、混合土、卵砾石等不宜成孔地层；打入式钢管不宜通长设注浆孔，仅需底部设置即可；打入式钢管外端宜设双“</w:t>
      </w:r>
      <w:r>
        <w:rPr>
          <w:rFonts w:ascii="宋体" w:hAnsi="宋体"/>
          <w:sz w:val="20"/>
          <w:szCs w:val="20"/>
        </w:rPr>
        <w:t>L</w:t>
      </w:r>
      <w:r>
        <w:rPr>
          <w:rFonts w:hint="eastAsia" w:ascii="宋体" w:hAnsi="宋体"/>
          <w:sz w:val="20"/>
          <w:szCs w:val="20"/>
        </w:rPr>
        <w:t>”筋与面层水平加强筋焊接。</w:t>
      </w:r>
    </w:p>
    <w:p w14:paraId="2A6F98CA">
      <w:pPr>
        <w:adjustRightInd w:val="0"/>
        <w:snapToGrid w:val="0"/>
        <w:spacing w:line="288" w:lineRule="auto"/>
        <w:rPr>
          <w:rFonts w:ascii="宋体" w:hAnsi="宋体"/>
          <w:bCs/>
          <w:sz w:val="20"/>
          <w:szCs w:val="20"/>
        </w:rPr>
      </w:pPr>
      <w:r>
        <w:rPr>
          <w:b/>
          <w:bCs/>
          <w:kern w:val="0"/>
          <w:sz w:val="20"/>
          <w:szCs w:val="20"/>
        </w:rPr>
        <w:t xml:space="preserve">8.3.14  </w:t>
      </w:r>
      <w:r>
        <w:rPr>
          <w:rFonts w:hAnsi="宋体"/>
          <w:bCs/>
          <w:sz w:val="20"/>
          <w:szCs w:val="20"/>
        </w:rPr>
        <w:t>喷射</w:t>
      </w:r>
      <w:r>
        <w:rPr>
          <w:rFonts w:hAnsi="宋体"/>
          <w:sz w:val="20"/>
          <w:szCs w:val="20"/>
        </w:rPr>
        <w:t>混凝土宜选用普通硅酸盐水泥，由于强度为</w:t>
      </w:r>
      <w:r>
        <w:rPr>
          <w:sz w:val="20"/>
          <w:szCs w:val="20"/>
        </w:rPr>
        <w:t>P·O32.5</w:t>
      </w:r>
      <w:r>
        <w:rPr>
          <w:rFonts w:hAnsi="宋体"/>
          <w:sz w:val="20"/>
          <w:szCs w:val="20"/>
        </w:rPr>
        <w:t>普通硅酸盐水泥已经停产，因此</w:t>
      </w:r>
      <w:r>
        <w:rPr>
          <w:rFonts w:hint="eastAsia" w:hAnsi="宋体"/>
          <w:sz w:val="20"/>
          <w:szCs w:val="20"/>
        </w:rPr>
        <w:t>选用</w:t>
      </w:r>
      <w:r>
        <w:rPr>
          <w:rFonts w:hAnsi="宋体"/>
          <w:sz w:val="20"/>
          <w:szCs w:val="20"/>
        </w:rPr>
        <w:t>普通硅酸盐水泥时强度不应低于</w:t>
      </w:r>
      <w:r>
        <w:rPr>
          <w:sz w:val="20"/>
          <w:szCs w:val="20"/>
        </w:rPr>
        <w:t>P·O42.5</w:t>
      </w:r>
      <w:r>
        <w:rPr>
          <w:rFonts w:hAnsi="宋体"/>
          <w:sz w:val="20"/>
          <w:szCs w:val="20"/>
        </w:rPr>
        <w:t>，当选用矿</w:t>
      </w:r>
      <w:r>
        <w:rPr>
          <w:rFonts w:hint="eastAsia" w:ascii="宋体" w:hAnsi="宋体"/>
          <w:sz w:val="20"/>
          <w:szCs w:val="20"/>
        </w:rPr>
        <w:t>渣水泥时强度不低于</w:t>
      </w:r>
      <w:r>
        <w:rPr>
          <w:sz w:val="20"/>
          <w:szCs w:val="20"/>
        </w:rPr>
        <w:t>P·S·A32.5</w:t>
      </w:r>
      <w:r>
        <w:rPr>
          <w:rFonts w:hint="eastAsia" w:ascii="宋体" w:hAnsi="宋体"/>
          <w:sz w:val="20"/>
          <w:szCs w:val="20"/>
        </w:rPr>
        <w:t>。冬季施工时不宜选用矿渣水泥，且不能喷水养护。</w:t>
      </w:r>
    </w:p>
    <w:p w14:paraId="4AD0994A">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581" w:name="_Toc131060604"/>
      <w:bookmarkStart w:id="582" w:name="_Toc139613821"/>
      <w:bookmarkStart w:id="583" w:name="_Toc131517259"/>
      <w:r>
        <w:rPr>
          <w:rFonts w:eastAsia="黑体"/>
          <w:sz w:val="20"/>
          <w:szCs w:val="20"/>
        </w:rPr>
        <w:t xml:space="preserve">8.4  </w:t>
      </w:r>
      <w:r>
        <w:rPr>
          <w:rFonts w:hint="eastAsia" w:ascii="黑体" w:hAnsi="黑体" w:eastAsia="黑体"/>
          <w:b w:val="0"/>
          <w:sz w:val="20"/>
          <w:szCs w:val="20"/>
        </w:rPr>
        <w:t>质量检测</w:t>
      </w:r>
      <w:bookmarkEnd w:id="581"/>
      <w:bookmarkEnd w:id="582"/>
      <w:bookmarkEnd w:id="583"/>
    </w:p>
    <w:p w14:paraId="5B612AC0">
      <w:pPr>
        <w:adjustRightInd w:val="0"/>
        <w:snapToGrid w:val="0"/>
        <w:spacing w:line="288" w:lineRule="auto"/>
        <w:rPr>
          <w:spacing w:val="1"/>
          <w:w w:val="83"/>
          <w:kern w:val="0"/>
          <w:sz w:val="20"/>
          <w:szCs w:val="20"/>
        </w:rPr>
      </w:pPr>
      <w:r>
        <w:rPr>
          <w:b/>
          <w:bCs/>
          <w:kern w:val="0"/>
          <w:sz w:val="20"/>
          <w:szCs w:val="20"/>
        </w:rPr>
        <w:t>8.4.1</w:t>
      </w:r>
      <w:r>
        <w:rPr>
          <w:kern w:val="0"/>
          <w:sz w:val="20"/>
          <w:szCs w:val="20"/>
        </w:rPr>
        <w:t xml:space="preserve">  对应《建筑地基基础施工质量验收标准》</w:t>
      </w:r>
      <w:r>
        <w:rPr>
          <w:rFonts w:hint="eastAsia"/>
          <w:kern w:val="0"/>
          <w:sz w:val="20"/>
          <w:szCs w:val="20"/>
        </w:rPr>
        <w:t>G</w:t>
      </w:r>
      <w:r>
        <w:rPr>
          <w:kern w:val="0"/>
          <w:sz w:val="20"/>
          <w:szCs w:val="20"/>
        </w:rPr>
        <w:t>B50202-2018，规定了相应的检测内容。</w:t>
      </w:r>
    </w:p>
    <w:p w14:paraId="443DD5F9">
      <w:pPr>
        <w:adjustRightInd w:val="0"/>
        <w:snapToGrid w:val="0"/>
        <w:spacing w:line="288" w:lineRule="auto"/>
        <w:rPr>
          <w:kern w:val="0"/>
          <w:sz w:val="20"/>
          <w:szCs w:val="20"/>
        </w:rPr>
      </w:pPr>
      <w:r>
        <w:rPr>
          <w:b/>
          <w:bCs/>
          <w:kern w:val="0"/>
          <w:sz w:val="20"/>
          <w:szCs w:val="20"/>
        </w:rPr>
        <w:t>8.4.2</w:t>
      </w:r>
      <w:r>
        <w:rPr>
          <w:kern w:val="0"/>
          <w:sz w:val="20"/>
          <w:szCs w:val="20"/>
        </w:rPr>
        <w:t xml:space="preserve">  根据北京地区工程经验，由于土钉抗拔承载力不足发生土钉墙失稳破坏的现象很少，当支护剖面较多，且土钉设计参数相差不大，特别是抗拔承载力相差不大时，可归类合并进行抗拔承载力检测。</w:t>
      </w:r>
    </w:p>
    <w:p w14:paraId="5E971DBD">
      <w:pPr>
        <w:adjustRightInd w:val="0"/>
        <w:snapToGrid w:val="0"/>
        <w:spacing w:line="288" w:lineRule="auto"/>
        <w:rPr>
          <w:sz w:val="20"/>
          <w:szCs w:val="20"/>
        </w:rPr>
      </w:pPr>
      <w:r>
        <w:rPr>
          <w:rFonts w:eastAsia="黑体"/>
          <w:b/>
          <w:bCs/>
          <w:kern w:val="0"/>
          <w:sz w:val="20"/>
          <w:szCs w:val="20"/>
        </w:rPr>
        <w:t>8.4.3</w:t>
      </w:r>
      <w:r>
        <w:rPr>
          <w:rFonts w:eastAsia="黑体"/>
          <w:b/>
          <w:bCs/>
          <w:sz w:val="20"/>
          <w:szCs w:val="20"/>
        </w:rPr>
        <w:t>～</w:t>
      </w:r>
      <w:r>
        <w:rPr>
          <w:rFonts w:eastAsia="黑体"/>
          <w:b/>
          <w:bCs/>
          <w:kern w:val="0"/>
          <w:sz w:val="20"/>
          <w:szCs w:val="20"/>
        </w:rPr>
        <w:t>8.4.5</w:t>
      </w:r>
      <w:r>
        <w:rPr>
          <w:sz w:val="20"/>
          <w:szCs w:val="20"/>
        </w:rPr>
        <w:t xml:space="preserve"> 对混凝土面层，考虑到根据目前土钉墙混凝土面层施工，只要材料、配合比、喷射工艺按照本规程要求进行施工，砼强度的离散程度不应是影响土钉墙面层工作的控制因素。故面层砼强度检测用的试块，可简化采用现场使用同配比的混凝土喷射装入试模中的方法制作。同时，北京地区土钉注浆材料基本上全部是水泥浆，且注浆体强度不是控制土钉墙质量的主要因素，水泥浆强度要求一般为M20，一般的注浆用原材料强度均可满足，故可采用现场使用的水泥直接制作试块即可。</w:t>
      </w:r>
    </w:p>
    <w:p w14:paraId="77BF435A">
      <w:pPr>
        <w:pStyle w:val="5"/>
        <w:keepNext w:val="0"/>
        <w:keepLines w:val="0"/>
        <w:adjustRightInd w:val="0"/>
        <w:snapToGrid w:val="0"/>
        <w:spacing w:before="120" w:beforeLines="50" w:after="240" w:afterLines="100" w:line="288" w:lineRule="auto"/>
        <w:jc w:val="center"/>
      </w:pPr>
      <w:r>
        <w:rPr>
          <w:rFonts w:ascii="宋体" w:hAnsi="宋体"/>
          <w:sz w:val="20"/>
          <w:szCs w:val="20"/>
        </w:rPr>
        <w:br w:type="page"/>
      </w:r>
    </w:p>
    <w:bookmarkEnd w:id="569"/>
    <w:bookmarkEnd w:id="570"/>
    <w:bookmarkEnd w:id="571"/>
    <w:bookmarkEnd w:id="572"/>
    <w:bookmarkEnd w:id="573"/>
    <w:bookmarkEnd w:id="574"/>
    <w:bookmarkEnd w:id="575"/>
    <w:bookmarkEnd w:id="576"/>
    <w:bookmarkEnd w:id="577"/>
    <w:bookmarkEnd w:id="578"/>
    <w:bookmarkEnd w:id="579"/>
    <w:bookmarkEnd w:id="580"/>
    <w:p w14:paraId="60BDDE56">
      <w:pPr>
        <w:pStyle w:val="5"/>
        <w:keepNext w:val="0"/>
        <w:keepLines w:val="0"/>
        <w:adjustRightInd w:val="0"/>
        <w:snapToGrid w:val="0"/>
        <w:spacing w:before="120" w:beforeLines="50" w:after="240" w:afterLines="100" w:line="288" w:lineRule="auto"/>
        <w:jc w:val="center"/>
        <w:rPr>
          <w:rFonts w:ascii="宋体" w:hAnsi="宋体"/>
          <w:b w:val="0"/>
          <w:sz w:val="20"/>
          <w:szCs w:val="20"/>
        </w:rPr>
      </w:pPr>
      <w:bookmarkStart w:id="584" w:name="_Toc139613822"/>
      <w:bookmarkStart w:id="585" w:name="_Toc131517266"/>
      <w:bookmarkStart w:id="586" w:name="_Toc131060611"/>
      <w:r>
        <w:rPr>
          <w:rFonts w:ascii="Times New Roman" w:hAnsi="Times New Roman"/>
          <w:b w:val="0"/>
          <w:sz w:val="26"/>
          <w:szCs w:val="26"/>
        </w:rPr>
        <w:t xml:space="preserve">9  </w:t>
      </w:r>
      <w:r>
        <w:rPr>
          <w:rFonts w:hint="eastAsia" w:ascii="Times New Roman" w:hAnsi="Times New Roman"/>
          <w:b w:val="0"/>
          <w:sz w:val="26"/>
          <w:szCs w:val="26"/>
        </w:rPr>
        <w:t>抗震设计</w:t>
      </w:r>
      <w:bookmarkEnd w:id="584"/>
      <w:bookmarkEnd w:id="585"/>
      <w:bookmarkEnd w:id="586"/>
    </w:p>
    <w:p w14:paraId="4A70F9B7">
      <w:pPr>
        <w:pStyle w:val="7"/>
        <w:keepNext w:val="0"/>
        <w:keepLines w:val="0"/>
        <w:adjustRightInd w:val="0"/>
        <w:snapToGrid w:val="0"/>
        <w:spacing w:before="240" w:beforeLines="100" w:after="240" w:afterLines="100" w:line="288" w:lineRule="auto"/>
        <w:jc w:val="center"/>
        <w:rPr>
          <w:rFonts w:ascii="黑体" w:hAnsi="黑体" w:eastAsia="黑体"/>
          <w:b w:val="0"/>
          <w:sz w:val="20"/>
          <w:szCs w:val="20"/>
        </w:rPr>
      </w:pPr>
      <w:bookmarkStart w:id="587" w:name="_Toc131060612"/>
      <w:bookmarkStart w:id="588" w:name="_Toc131517267"/>
      <w:bookmarkStart w:id="589" w:name="_Toc139613823"/>
      <w:r>
        <w:rPr>
          <w:rFonts w:eastAsia="黑体"/>
          <w:sz w:val="20"/>
          <w:szCs w:val="20"/>
        </w:rPr>
        <w:t>9.1</w:t>
      </w:r>
      <w:r>
        <w:rPr>
          <w:rFonts w:hint="eastAsia" w:ascii="黑体" w:hAnsi="黑体" w:eastAsia="黑体"/>
          <w:b w:val="0"/>
          <w:sz w:val="20"/>
          <w:szCs w:val="20"/>
        </w:rPr>
        <w:t xml:space="preserve"> </w:t>
      </w:r>
      <w:r>
        <w:rPr>
          <w:rFonts w:ascii="黑体" w:hAnsi="黑体" w:eastAsia="黑体"/>
          <w:b w:val="0"/>
          <w:sz w:val="20"/>
          <w:szCs w:val="20"/>
        </w:rPr>
        <w:t xml:space="preserve"> </w:t>
      </w:r>
      <w:r>
        <w:rPr>
          <w:rFonts w:hint="eastAsia" w:ascii="黑体" w:hAnsi="黑体" w:eastAsia="黑体"/>
          <w:b w:val="0"/>
          <w:sz w:val="20"/>
          <w:szCs w:val="20"/>
        </w:rPr>
        <w:t>一般规定</w:t>
      </w:r>
      <w:bookmarkEnd w:id="587"/>
      <w:bookmarkEnd w:id="588"/>
      <w:bookmarkEnd w:id="589"/>
    </w:p>
    <w:p w14:paraId="45712443">
      <w:pPr>
        <w:spacing w:line="360" w:lineRule="auto"/>
        <w:rPr>
          <w:sz w:val="20"/>
          <w:szCs w:val="20"/>
        </w:rPr>
      </w:pPr>
      <w:r>
        <w:rPr>
          <w:rFonts w:eastAsia="黑体"/>
          <w:b/>
          <w:bCs/>
          <w:kern w:val="0"/>
          <w:sz w:val="20"/>
          <w:szCs w:val="20"/>
        </w:rPr>
        <w:t xml:space="preserve">9.1.2 </w:t>
      </w:r>
      <w:r>
        <w:rPr>
          <w:rFonts w:hint="eastAsia" w:eastAsia="黑体"/>
          <w:b/>
          <w:bCs/>
          <w:kern w:val="0"/>
          <w:sz w:val="20"/>
          <w:szCs w:val="20"/>
        </w:rPr>
        <w:t xml:space="preserve"> </w:t>
      </w:r>
      <w:r>
        <w:rPr>
          <w:rFonts w:hint="eastAsia" w:ascii="宋体" w:hAnsi="宋体"/>
          <w:sz w:val="20"/>
          <w:szCs w:val="20"/>
        </w:rPr>
        <w:t>当拟建基坑邻</w:t>
      </w:r>
      <w:r>
        <w:rPr>
          <w:sz w:val="20"/>
          <w:szCs w:val="20"/>
        </w:rPr>
        <w:t>近重要建构筑物且需进行抗震设计时，最根本性的措施为通过调整规划或建筑方案让拟建基坑远离已有建构筑物；如确实无法调整的，建议采用抗震性能较好的支护形式，包括对撑式支护结构或采用逆作施工法。其他支护形式也可以在抗震设计中采用，但需满足本章相关的设计验算及构造要求。</w:t>
      </w:r>
    </w:p>
    <w:p w14:paraId="04718CB1">
      <w:pPr>
        <w:spacing w:line="360" w:lineRule="auto"/>
        <w:rPr>
          <w:sz w:val="20"/>
          <w:szCs w:val="20"/>
        </w:rPr>
      </w:pPr>
      <w:r>
        <w:rPr>
          <w:rFonts w:eastAsia="黑体"/>
          <w:b/>
          <w:bCs/>
          <w:kern w:val="0"/>
          <w:sz w:val="20"/>
          <w:szCs w:val="20"/>
        </w:rPr>
        <w:t xml:space="preserve">9.1.3  </w:t>
      </w:r>
      <w:r>
        <w:rPr>
          <w:sz w:val="20"/>
          <w:szCs w:val="20"/>
        </w:rPr>
        <w:t>基坑抗震设计时，抗震设防烈度和设计基本地震加速度的取值要求与国标《建筑抗震设计规范》GB50011-2010（2016年版）附录A的规定保持一致，并要求随国标的调整进行调整。</w:t>
      </w:r>
    </w:p>
    <w:p w14:paraId="5CED0AAC">
      <w:pPr>
        <w:pStyle w:val="7"/>
        <w:keepNext w:val="0"/>
        <w:keepLines w:val="0"/>
        <w:adjustRightInd w:val="0"/>
        <w:snapToGrid w:val="0"/>
        <w:spacing w:before="240" w:beforeLines="100" w:after="240" w:afterLines="100" w:line="288" w:lineRule="auto"/>
        <w:jc w:val="center"/>
        <w:rPr>
          <w:rFonts w:eastAsia="黑体"/>
          <w:b w:val="0"/>
          <w:sz w:val="20"/>
          <w:szCs w:val="20"/>
        </w:rPr>
      </w:pPr>
      <w:bookmarkStart w:id="590" w:name="_Toc139613824"/>
      <w:bookmarkStart w:id="591" w:name="_Toc131060613"/>
      <w:bookmarkStart w:id="592" w:name="_Toc131517268"/>
      <w:r>
        <w:rPr>
          <w:rFonts w:eastAsia="黑体"/>
          <w:sz w:val="20"/>
          <w:szCs w:val="20"/>
        </w:rPr>
        <w:t>9.2</w:t>
      </w:r>
      <w:r>
        <w:rPr>
          <w:rFonts w:eastAsia="黑体"/>
          <w:b w:val="0"/>
          <w:sz w:val="20"/>
          <w:szCs w:val="20"/>
        </w:rPr>
        <w:t xml:space="preserve">  抗震验算</w:t>
      </w:r>
      <w:bookmarkEnd w:id="590"/>
      <w:bookmarkEnd w:id="591"/>
      <w:bookmarkEnd w:id="592"/>
    </w:p>
    <w:p w14:paraId="6D737393">
      <w:pPr>
        <w:spacing w:line="360" w:lineRule="auto"/>
        <w:jc w:val="left"/>
        <w:rPr>
          <w:sz w:val="20"/>
          <w:szCs w:val="20"/>
        </w:rPr>
      </w:pPr>
      <w:r>
        <w:rPr>
          <w:rFonts w:eastAsia="黑体"/>
          <w:b/>
          <w:bCs/>
          <w:kern w:val="0"/>
          <w:sz w:val="20"/>
          <w:szCs w:val="20"/>
        </w:rPr>
        <w:t xml:space="preserve">9.2.1  </w:t>
      </w:r>
      <w:r>
        <w:rPr>
          <w:sz w:val="20"/>
          <w:szCs w:val="20"/>
        </w:rPr>
        <w:t>地震作用下的主动土压力计算是一个较为复杂的问题，不仅与地震强度有关，还受支护结构自身及主动区、被动区土层振动特性等的影响。通过对现行公路、铁路、水利等各行业规范的调研，绝大多数规范采用拟静力法来计算地震工况下的土压力，计算公式多采用物部-冈部法或其变形公式。本条中式9.2.1-2即为采用物部-冈部公式，并根据基坑工程的特点将部分参数进行化简后得到的。</w:t>
      </w:r>
    </w:p>
    <w:p w14:paraId="505B9F1B">
      <w:pPr>
        <w:spacing w:line="360" w:lineRule="auto"/>
        <w:ind w:firstLine="400" w:firstLineChars="200"/>
        <w:jc w:val="left"/>
        <w:rPr>
          <w:sz w:val="20"/>
          <w:szCs w:val="20"/>
        </w:rPr>
      </w:pPr>
      <w:r>
        <w:rPr>
          <w:sz w:val="20"/>
          <w:szCs w:val="20"/>
        </w:rPr>
        <w:t>本条中式9.2.1-3</w:t>
      </w:r>
      <w:r>
        <w:rPr>
          <w:rFonts w:hint="eastAsia"/>
          <w:sz w:val="20"/>
          <w:szCs w:val="20"/>
        </w:rPr>
        <w:t>采用</w:t>
      </w:r>
      <w:r>
        <w:rPr>
          <w:sz w:val="20"/>
          <w:szCs w:val="20"/>
        </w:rPr>
        <w:t>方法为朗肯法结合地震角计算地震工况下土压力，该方法在《水工建筑物的抗震稳定性》（</w:t>
      </w:r>
      <w:r>
        <w:rPr>
          <w:rFonts w:hint="eastAsia"/>
          <w:sz w:val="20"/>
          <w:szCs w:val="20"/>
        </w:rPr>
        <w:t>1</w:t>
      </w:r>
      <w:r>
        <w:rPr>
          <w:sz w:val="20"/>
          <w:szCs w:val="20"/>
        </w:rPr>
        <w:t>963年</w:t>
      </w:r>
      <w:r>
        <w:rPr>
          <w:rFonts w:hint="eastAsia"/>
          <w:sz w:val="20"/>
          <w:szCs w:val="20"/>
        </w:rPr>
        <w:t>7月出版，纳派特瓦里柴著/王德衡译</w:t>
      </w:r>
      <w:r>
        <w:rPr>
          <w:sz w:val="20"/>
          <w:szCs w:val="20"/>
        </w:rPr>
        <w:t>）、</w:t>
      </w:r>
      <w:r>
        <w:t>《京津地区桥梁抗震鉴定标准》（</w:t>
      </w:r>
      <w:r>
        <w:rPr>
          <w:rFonts w:hint="eastAsia"/>
        </w:rPr>
        <w:t>1</w:t>
      </w:r>
      <w:r>
        <w:t>976年）</w:t>
      </w:r>
      <w:r>
        <w:rPr>
          <w:sz w:val="20"/>
          <w:szCs w:val="20"/>
        </w:rPr>
        <w:t>、《</w:t>
      </w:r>
      <w:r>
        <w:rPr>
          <w:rFonts w:hint="eastAsia"/>
          <w:sz w:val="20"/>
          <w:szCs w:val="20"/>
        </w:rPr>
        <w:t>土力学</w:t>
      </w:r>
      <w:r>
        <w:rPr>
          <w:sz w:val="20"/>
          <w:szCs w:val="20"/>
        </w:rPr>
        <w:t>》（</w:t>
      </w:r>
      <w:r>
        <w:rPr>
          <w:rFonts w:hint="eastAsia"/>
          <w:sz w:val="20"/>
          <w:szCs w:val="20"/>
        </w:rPr>
        <w:t>1</w:t>
      </w:r>
      <w:r>
        <w:rPr>
          <w:sz w:val="20"/>
          <w:szCs w:val="20"/>
        </w:rPr>
        <w:t>987年5</w:t>
      </w:r>
      <w:r>
        <w:rPr>
          <w:rFonts w:hint="eastAsia"/>
          <w:sz w:val="20"/>
          <w:szCs w:val="20"/>
        </w:rPr>
        <w:t>月出版，杨英华主编</w:t>
      </w:r>
      <w:r>
        <w:rPr>
          <w:sz w:val="20"/>
          <w:szCs w:val="20"/>
        </w:rPr>
        <w:t>）、《</w:t>
      </w:r>
      <w:r>
        <w:rPr>
          <w:rFonts w:hint="eastAsia"/>
          <w:sz w:val="20"/>
          <w:szCs w:val="20"/>
        </w:rPr>
        <w:t>土动力学</w:t>
      </w:r>
      <w:r>
        <w:rPr>
          <w:sz w:val="20"/>
          <w:szCs w:val="20"/>
        </w:rPr>
        <w:t>》（</w:t>
      </w:r>
      <w:r>
        <w:rPr>
          <w:rFonts w:hint="eastAsia"/>
          <w:sz w:val="20"/>
          <w:szCs w:val="20"/>
        </w:rPr>
        <w:t>1</w:t>
      </w:r>
      <w:r>
        <w:rPr>
          <w:sz w:val="20"/>
          <w:szCs w:val="20"/>
        </w:rPr>
        <w:t>988年9</w:t>
      </w:r>
      <w:r>
        <w:rPr>
          <w:rFonts w:hint="eastAsia"/>
          <w:sz w:val="20"/>
          <w:szCs w:val="20"/>
        </w:rPr>
        <w:t>月出版，谢定义编著</w:t>
      </w:r>
      <w:r>
        <w:rPr>
          <w:sz w:val="20"/>
          <w:szCs w:val="20"/>
        </w:rPr>
        <w:t>）、</w:t>
      </w:r>
      <w:r>
        <w:rPr>
          <w:rFonts w:hint="eastAsia"/>
          <w:sz w:val="20"/>
          <w:szCs w:val="20"/>
        </w:rPr>
        <w:t>《基坑工程手册（第二版）》</w:t>
      </w:r>
      <w:r>
        <w:rPr>
          <w:sz w:val="20"/>
          <w:szCs w:val="20"/>
        </w:rPr>
        <w:t>（2009年10</w:t>
      </w:r>
      <w:r>
        <w:rPr>
          <w:rFonts w:hint="eastAsia"/>
          <w:sz w:val="20"/>
          <w:szCs w:val="20"/>
        </w:rPr>
        <w:t>月出版，刘国彬、王卫东主编</w:t>
      </w:r>
      <w:r>
        <w:rPr>
          <w:sz w:val="20"/>
          <w:szCs w:val="20"/>
        </w:rPr>
        <w:t>）等文献及标准中所提及</w:t>
      </w:r>
      <w:r>
        <w:rPr>
          <w:rFonts w:hint="eastAsia"/>
          <w:sz w:val="20"/>
          <w:szCs w:val="20"/>
        </w:rPr>
        <w:t>。该方法具有</w:t>
      </w:r>
      <w:r>
        <w:rPr>
          <w:sz w:val="20"/>
          <w:szCs w:val="20"/>
        </w:rPr>
        <w:t>表达简单、</w:t>
      </w:r>
      <w:r>
        <w:rPr>
          <w:rFonts w:hint="eastAsia"/>
          <w:sz w:val="20"/>
          <w:szCs w:val="20"/>
        </w:rPr>
        <w:t>使用</w:t>
      </w:r>
      <w:r>
        <w:rPr>
          <w:sz w:val="20"/>
          <w:szCs w:val="20"/>
        </w:rPr>
        <w:t>便捷的特点，与目前所采用的基坑计算土压力方法一致，具有较好的延续性和可操作性。</w:t>
      </w:r>
    </w:p>
    <w:p w14:paraId="4722B465">
      <w:pPr>
        <w:spacing w:line="360" w:lineRule="auto"/>
        <w:ind w:firstLine="400" w:firstLineChars="200"/>
        <w:jc w:val="left"/>
        <w:rPr>
          <w:sz w:val="20"/>
          <w:szCs w:val="20"/>
        </w:rPr>
      </w:pPr>
      <w:r>
        <w:rPr>
          <w:rFonts w:hint="eastAsia"/>
          <w:sz w:val="20"/>
          <w:szCs w:val="20"/>
        </w:rPr>
        <w:t>关于两种</w:t>
      </w:r>
      <w:r>
        <w:rPr>
          <w:sz w:val="20"/>
          <w:szCs w:val="20"/>
        </w:rPr>
        <w:t>计算方法最终得到的</w:t>
      </w:r>
      <w:r>
        <w:rPr>
          <w:rFonts w:hint="eastAsia"/>
          <w:sz w:val="20"/>
          <w:szCs w:val="20"/>
        </w:rPr>
        <w:t>地震工况下土压力结果的准确性，通过在相同的竖向应力状态下，采用不同的地震角（1</w:t>
      </w:r>
      <w:r>
        <w:rPr>
          <w:sz w:val="20"/>
          <w:szCs w:val="20"/>
        </w:rPr>
        <w:t>.5°、</w:t>
      </w:r>
      <w:r>
        <w:rPr>
          <w:rFonts w:hint="eastAsia"/>
          <w:sz w:val="20"/>
          <w:szCs w:val="20"/>
        </w:rPr>
        <w:t>2</w:t>
      </w:r>
      <w:r>
        <w:rPr>
          <w:sz w:val="20"/>
          <w:szCs w:val="20"/>
        </w:rPr>
        <w:t>.3°、</w:t>
      </w:r>
      <w:r>
        <w:rPr>
          <w:rFonts w:hint="eastAsia"/>
          <w:sz w:val="20"/>
          <w:szCs w:val="20"/>
        </w:rPr>
        <w:t>3</w:t>
      </w:r>
      <w:r>
        <w:rPr>
          <w:sz w:val="20"/>
          <w:szCs w:val="20"/>
        </w:rPr>
        <w:t>.0°、</w:t>
      </w:r>
      <w:r>
        <w:rPr>
          <w:rFonts w:hint="eastAsia"/>
          <w:sz w:val="20"/>
          <w:szCs w:val="20"/>
        </w:rPr>
        <w:t>4</w:t>
      </w:r>
      <w:r>
        <w:rPr>
          <w:sz w:val="20"/>
          <w:szCs w:val="20"/>
        </w:rPr>
        <w:t>.5°、</w:t>
      </w:r>
      <w:r>
        <w:rPr>
          <w:rFonts w:hint="eastAsia"/>
          <w:sz w:val="20"/>
          <w:szCs w:val="20"/>
        </w:rPr>
        <w:t>6</w:t>
      </w:r>
      <w:r>
        <w:rPr>
          <w:sz w:val="20"/>
          <w:szCs w:val="20"/>
        </w:rPr>
        <w:t>.0°、</w:t>
      </w:r>
      <w:r>
        <w:rPr>
          <w:rFonts w:hint="eastAsia"/>
          <w:sz w:val="20"/>
          <w:szCs w:val="20"/>
        </w:rPr>
        <w:t>9</w:t>
      </w:r>
      <w:r>
        <w:rPr>
          <w:sz w:val="20"/>
          <w:szCs w:val="20"/>
        </w:rPr>
        <w:t>.0°</w:t>
      </w:r>
      <w:r>
        <w:rPr>
          <w:rFonts w:hint="eastAsia"/>
          <w:sz w:val="20"/>
          <w:szCs w:val="20"/>
        </w:rPr>
        <w:t>），不同的土层粘聚力（0k</w:t>
      </w:r>
      <w:r>
        <w:rPr>
          <w:sz w:val="20"/>
          <w:szCs w:val="20"/>
        </w:rPr>
        <w:t>Pa、</w:t>
      </w:r>
      <w:r>
        <w:rPr>
          <w:rFonts w:hint="eastAsia"/>
          <w:sz w:val="20"/>
          <w:szCs w:val="20"/>
        </w:rPr>
        <w:t>10k</w:t>
      </w:r>
      <w:r>
        <w:rPr>
          <w:sz w:val="20"/>
          <w:szCs w:val="20"/>
        </w:rPr>
        <w:t>Pa、20</w:t>
      </w:r>
      <w:r>
        <w:rPr>
          <w:rFonts w:hint="eastAsia"/>
          <w:sz w:val="20"/>
          <w:szCs w:val="20"/>
        </w:rPr>
        <w:t>k</w:t>
      </w:r>
      <w:r>
        <w:rPr>
          <w:sz w:val="20"/>
          <w:szCs w:val="20"/>
        </w:rPr>
        <w:t>Pa</w:t>
      </w:r>
      <w:r>
        <w:rPr>
          <w:rFonts w:hint="eastAsia"/>
          <w:sz w:val="20"/>
          <w:szCs w:val="20"/>
        </w:rPr>
        <w:t>）及不同的土层内摩擦角（1</w:t>
      </w:r>
      <w:r>
        <w:rPr>
          <w:sz w:val="20"/>
          <w:szCs w:val="20"/>
        </w:rPr>
        <w:t>0°、</w:t>
      </w:r>
      <w:r>
        <w:rPr>
          <w:rFonts w:hint="eastAsia"/>
          <w:sz w:val="20"/>
          <w:szCs w:val="20"/>
        </w:rPr>
        <w:t>1</w:t>
      </w:r>
      <w:r>
        <w:rPr>
          <w:sz w:val="20"/>
          <w:szCs w:val="20"/>
        </w:rPr>
        <w:t>5°、20°、25°、30°、35°、40°、45°</w:t>
      </w:r>
      <w:r>
        <w:rPr>
          <w:rFonts w:hint="eastAsia"/>
          <w:sz w:val="20"/>
          <w:szCs w:val="20"/>
        </w:rPr>
        <w:t>），分别采用</w:t>
      </w:r>
      <w:r>
        <w:rPr>
          <w:sz w:val="20"/>
          <w:szCs w:val="20"/>
        </w:rPr>
        <w:t>物部-冈部</w:t>
      </w:r>
      <w:r>
        <w:rPr>
          <w:rFonts w:hint="eastAsia"/>
          <w:sz w:val="20"/>
          <w:szCs w:val="20"/>
        </w:rPr>
        <w:t>公式与朗肯公式进行测算，绘制土压力系数变化曲线与土压力变化曲线如下（部分数据）：</w:t>
      </w:r>
    </w:p>
    <w:tbl>
      <w:tblPr>
        <w:tblStyle w:val="3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7"/>
        <w:gridCol w:w="4927"/>
      </w:tblGrid>
      <w:tr w14:paraId="1D01C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vAlign w:val="center"/>
          </w:tcPr>
          <w:p w14:paraId="226A8C95">
            <w:pPr>
              <w:pStyle w:val="2"/>
              <w:ind w:left="0" w:leftChars="0" w:firstLine="0" w:firstLineChars="0"/>
            </w:pPr>
            <w:r>
              <w:drawing>
                <wp:inline distT="0" distB="0" distL="0" distR="0">
                  <wp:extent cx="2661920" cy="1924050"/>
                  <wp:effectExtent l="19050" t="19050" r="24130" b="19050"/>
                  <wp:docPr id="41" name="图片 41" descr="C:\Users\jhjc\Desktop\新建文件夹 (3)\1.5-0-土压力系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jhjc\Desktop\新建文件夹 (3)\1.5-0-土压力系数.png"/>
                          <pic:cNvPicPr>
                            <a:picLocks noChangeAspect="1" noChangeArrowheads="1"/>
                          </pic:cNvPicPr>
                        </pic:nvPicPr>
                        <pic:blipFill>
                          <a:blip r:embed="rId348" cstate="print">
                            <a:extLst>
                              <a:ext uri="{28A0092B-C50C-407E-A947-70E740481C1C}">
                                <a14:useLocalDpi xmlns:a14="http://schemas.microsoft.com/office/drawing/2010/main" val="0"/>
                              </a:ext>
                            </a:extLst>
                          </a:blip>
                          <a:srcRect b="5575"/>
                          <a:stretch>
                            <a:fillRect/>
                          </a:stretch>
                        </pic:blipFill>
                        <pic:spPr>
                          <a:xfrm>
                            <a:off x="0" y="0"/>
                            <a:ext cx="2661920" cy="1924050"/>
                          </a:xfrm>
                          <a:prstGeom prst="rect">
                            <a:avLst/>
                          </a:prstGeom>
                          <a:noFill/>
                          <a:ln>
                            <a:solidFill>
                              <a:schemeClr val="bg2"/>
                            </a:solidFill>
                          </a:ln>
                        </pic:spPr>
                      </pic:pic>
                    </a:graphicData>
                  </a:graphic>
                </wp:inline>
              </w:drawing>
            </w:r>
          </w:p>
        </w:tc>
        <w:tc>
          <w:tcPr>
            <w:tcW w:w="4927" w:type="dxa"/>
            <w:vAlign w:val="center"/>
          </w:tcPr>
          <w:p w14:paraId="0467D2C4">
            <w:pPr>
              <w:pStyle w:val="2"/>
              <w:ind w:left="0" w:leftChars="0" w:firstLine="0" w:firstLineChars="0"/>
            </w:pPr>
            <w:r>
              <w:drawing>
                <wp:inline distT="0" distB="0" distL="0" distR="0">
                  <wp:extent cx="2667635" cy="1927860"/>
                  <wp:effectExtent l="19050" t="19050" r="18415" b="15240"/>
                  <wp:docPr id="42" name="图片 42" descr="C:\Users\jhjc\Desktop\新建文件夹 (3)\1.5-0-土压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jhjc\Desktop\新建文件夹 (3)\1.5-0-土压力.png"/>
                          <pic:cNvPicPr>
                            <a:picLocks noChangeAspect="1" noChangeArrowheads="1"/>
                          </pic:cNvPicPr>
                        </pic:nvPicPr>
                        <pic:blipFill>
                          <a:blip r:embed="rId349" cstate="print">
                            <a:extLst>
                              <a:ext uri="{28A0092B-C50C-407E-A947-70E740481C1C}">
                                <a14:useLocalDpi xmlns:a14="http://schemas.microsoft.com/office/drawing/2010/main" val="0"/>
                              </a:ext>
                            </a:extLst>
                          </a:blip>
                          <a:srcRect b="5575"/>
                          <a:stretch>
                            <a:fillRect/>
                          </a:stretch>
                        </pic:blipFill>
                        <pic:spPr>
                          <a:xfrm>
                            <a:off x="0" y="0"/>
                            <a:ext cx="2667635" cy="1927860"/>
                          </a:xfrm>
                          <a:prstGeom prst="rect">
                            <a:avLst/>
                          </a:prstGeom>
                          <a:noFill/>
                          <a:ln>
                            <a:solidFill>
                              <a:schemeClr val="bg2"/>
                            </a:solidFill>
                          </a:ln>
                        </pic:spPr>
                      </pic:pic>
                    </a:graphicData>
                  </a:graphic>
                </wp:inline>
              </w:drawing>
            </w:r>
          </w:p>
        </w:tc>
      </w:tr>
      <w:tr w14:paraId="3B1B7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854" w:type="dxa"/>
            <w:gridSpan w:val="2"/>
            <w:vAlign w:val="center"/>
          </w:tcPr>
          <w:p w14:paraId="4734BBA6">
            <w:pPr>
              <w:spacing w:line="360" w:lineRule="auto"/>
              <w:jc w:val="center"/>
              <w:rPr>
                <w:sz w:val="20"/>
                <w:szCs w:val="20"/>
              </w:rPr>
            </w:pPr>
            <m:oMath>
              <m:r>
                <m:rPr>
                  <m:sty m:val="bi"/>
                </m:rPr>
                <w:rPr>
                  <w:rFonts w:ascii="Cambria Math" w:hAnsi="Cambria Math"/>
                  <w:sz w:val="20"/>
                  <w:szCs w:val="20"/>
                </w:rPr>
                <m:t>θ</m:t>
              </m:r>
              <m:r>
                <m:rPr>
                  <m:sty m:val="p"/>
                </m:rPr>
                <w:rPr>
                  <w:rFonts w:ascii="Cambria Math" w:hAnsi="Cambria Math"/>
                  <w:sz w:val="20"/>
                  <w:szCs w:val="20"/>
                </w:rPr>
                <m:t>=</m:t>
              </m:r>
              <m:r>
                <m:rPr>
                  <m:sty m:val="b"/>
                </m:rPr>
                <w:rPr>
                  <w:rFonts w:ascii="Cambria Math" w:hAnsi="Cambria Math"/>
                  <w:sz w:val="20"/>
                  <w:szCs w:val="20"/>
                </w:rPr>
                <m:t>1</m:t>
              </m:r>
              <m:r>
                <m:rPr>
                  <m:sty m:val="p"/>
                </m:rPr>
                <w:rPr>
                  <w:rFonts w:ascii="Cambria Math" w:hAnsi="Cambria Math"/>
                  <w:sz w:val="20"/>
                  <w:szCs w:val="20"/>
                </w:rPr>
                <m:t>.</m:t>
              </m:r>
              <m:r>
                <m:rPr>
                  <m:sty m:val="b"/>
                </m:rPr>
                <w:rPr>
                  <w:rFonts w:ascii="Cambria Math" w:hAnsi="Cambria Math"/>
                  <w:sz w:val="20"/>
                  <w:szCs w:val="20"/>
                </w:rPr>
                <m:t>5</m:t>
              </m:r>
              <m:r>
                <m:rPr>
                  <m:sty m:val="p"/>
                </m:rPr>
                <w:rPr>
                  <w:rFonts w:hint="eastAsia" w:ascii="Cambria Math" w:hAnsi="Cambria Math"/>
                  <w:sz w:val="20"/>
                  <w:szCs w:val="20"/>
                </w:rPr>
                <m:t>°</m:t>
              </m:r>
            </m:oMath>
            <w:r>
              <w:rPr>
                <w:sz w:val="20"/>
                <w:szCs w:val="20"/>
              </w:rPr>
              <w:t>c=0kPa</w:t>
            </w:r>
          </w:p>
        </w:tc>
      </w:tr>
      <w:tr w14:paraId="0DC52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vAlign w:val="center"/>
          </w:tcPr>
          <w:p w14:paraId="2413273B">
            <w:pPr>
              <w:pStyle w:val="2"/>
              <w:ind w:left="0" w:leftChars="0" w:firstLine="0" w:firstLineChars="0"/>
            </w:pPr>
            <w:r>
              <w:drawing>
                <wp:inline distT="0" distB="0" distL="0" distR="0">
                  <wp:extent cx="2620645" cy="2004695"/>
                  <wp:effectExtent l="19050" t="19050" r="27305" b="1460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50"/>
                          <a:stretch>
                            <a:fillRect/>
                          </a:stretch>
                        </pic:blipFill>
                        <pic:spPr>
                          <a:xfrm>
                            <a:off x="0" y="0"/>
                            <a:ext cx="2620645" cy="2004695"/>
                          </a:xfrm>
                          <a:prstGeom prst="rect">
                            <a:avLst/>
                          </a:prstGeom>
                          <a:ln>
                            <a:solidFill>
                              <a:schemeClr val="bg2"/>
                            </a:solidFill>
                          </a:ln>
                        </pic:spPr>
                      </pic:pic>
                    </a:graphicData>
                  </a:graphic>
                </wp:inline>
              </w:drawing>
            </w:r>
          </w:p>
        </w:tc>
        <w:tc>
          <w:tcPr>
            <w:tcW w:w="4927" w:type="dxa"/>
            <w:vAlign w:val="center"/>
          </w:tcPr>
          <w:p w14:paraId="1BD555BA">
            <w:pPr>
              <w:pStyle w:val="2"/>
              <w:ind w:left="0" w:leftChars="0" w:firstLine="0" w:firstLineChars="0"/>
            </w:pPr>
            <w:r>
              <w:drawing>
                <wp:inline distT="0" distB="0" distL="0" distR="0">
                  <wp:extent cx="2637790" cy="1998345"/>
                  <wp:effectExtent l="19050" t="19050" r="10160" b="20955"/>
                  <wp:docPr id="37" name="图片 37" descr="C:\Users\jhjc\Desktop\新建文件夹 (3)\2.3-10-土压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jhjc\Desktop\新建文件夹 (3)\2.3-10-土压力.png"/>
                          <pic:cNvPicPr>
                            <a:picLocks noChangeAspect="1" noChangeArrowheads="1"/>
                          </pic:cNvPicPr>
                        </pic:nvPicPr>
                        <pic:blipFill>
                          <a:blip r:embed="rId351" cstate="print">
                            <a:extLst>
                              <a:ext uri="{28A0092B-C50C-407E-A947-70E740481C1C}">
                                <a14:useLocalDpi xmlns:a14="http://schemas.microsoft.com/office/drawing/2010/main" val="0"/>
                              </a:ext>
                            </a:extLst>
                          </a:blip>
                          <a:srcRect b="1059"/>
                          <a:stretch>
                            <a:fillRect/>
                          </a:stretch>
                        </pic:blipFill>
                        <pic:spPr>
                          <a:xfrm>
                            <a:off x="0" y="0"/>
                            <a:ext cx="2637790" cy="1998345"/>
                          </a:xfrm>
                          <a:prstGeom prst="rect">
                            <a:avLst/>
                          </a:prstGeom>
                          <a:noFill/>
                          <a:ln>
                            <a:solidFill>
                              <a:schemeClr val="bg2"/>
                            </a:solidFill>
                          </a:ln>
                        </pic:spPr>
                      </pic:pic>
                    </a:graphicData>
                  </a:graphic>
                </wp:inline>
              </w:drawing>
            </w:r>
          </w:p>
        </w:tc>
      </w:tr>
      <w:tr w14:paraId="284C2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854" w:type="dxa"/>
            <w:gridSpan w:val="2"/>
            <w:vAlign w:val="center"/>
          </w:tcPr>
          <w:p w14:paraId="5A47C3BC">
            <w:pPr>
              <w:pStyle w:val="2"/>
              <w:ind w:left="0" w:leftChars="0" w:firstLine="0" w:firstLineChars="0"/>
              <w:jc w:val="center"/>
            </w:pPr>
            <m:oMath>
              <m:r>
                <m:rPr>
                  <m:sty m:val="bi"/>
                </m:rPr>
                <w:rPr>
                  <w:rFonts w:ascii="Cambria Math" w:hAnsi="Cambria Math"/>
                  <w:sz w:val="20"/>
                  <w:szCs w:val="20"/>
                </w:rPr>
                <m:t>θ</m:t>
              </m:r>
              <m:r>
                <m:rPr>
                  <m:sty m:val="p"/>
                </m:rPr>
                <w:rPr>
                  <w:rFonts w:ascii="Cambria Math" w:hAnsi="Cambria Math"/>
                  <w:sz w:val="20"/>
                  <w:szCs w:val="20"/>
                </w:rPr>
                <m:t>=</m:t>
              </m:r>
              <m:r>
                <m:rPr>
                  <m:sty m:val="b"/>
                </m:rPr>
                <w:rPr>
                  <w:rFonts w:ascii="Cambria Math" w:hAnsi="Cambria Math"/>
                  <w:sz w:val="20"/>
                  <w:szCs w:val="20"/>
                </w:rPr>
                <m:t>2.3</m:t>
              </m:r>
              <m:r>
                <m:rPr>
                  <m:sty m:val="p"/>
                </m:rPr>
                <w:rPr>
                  <w:rFonts w:hint="eastAsia" w:ascii="Cambria Math" w:hAnsi="Cambria Math"/>
                  <w:sz w:val="20"/>
                  <w:szCs w:val="20"/>
                </w:rPr>
                <m:t>°</m:t>
              </m:r>
            </m:oMath>
            <w:r>
              <w:rPr>
                <w:sz w:val="20"/>
                <w:szCs w:val="20"/>
              </w:rPr>
              <w:t>c=10kPa</w:t>
            </w:r>
          </w:p>
        </w:tc>
      </w:tr>
      <w:tr w14:paraId="7CB2D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vAlign w:val="center"/>
          </w:tcPr>
          <w:p w14:paraId="49FDDA1B">
            <w:pPr>
              <w:pStyle w:val="2"/>
              <w:ind w:left="0" w:leftChars="0" w:firstLine="0" w:firstLineChars="0"/>
            </w:pPr>
            <w:r>
              <w:drawing>
                <wp:inline distT="0" distB="0" distL="0" distR="0">
                  <wp:extent cx="2649855" cy="1982470"/>
                  <wp:effectExtent l="19050" t="19050" r="17145" b="17780"/>
                  <wp:docPr id="72" name="图片 72" descr="C:\Users\jhjc\Desktop\新建文件夹 (3)\3-土压力系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jhjc\Desktop\新建文件夹 (3)\3-土压力系数.png"/>
                          <pic:cNvPicPr>
                            <a:picLocks noChangeAspect="1" noChangeArrowheads="1"/>
                          </pic:cNvPicPr>
                        </pic:nvPicPr>
                        <pic:blipFill>
                          <a:blip r:embed="rId352" cstate="print">
                            <a:extLst>
                              <a:ext uri="{28A0092B-C50C-407E-A947-70E740481C1C}">
                                <a14:useLocalDpi xmlns:a14="http://schemas.microsoft.com/office/drawing/2010/main" val="0"/>
                              </a:ext>
                            </a:extLst>
                          </a:blip>
                          <a:srcRect b="2258"/>
                          <a:stretch>
                            <a:fillRect/>
                          </a:stretch>
                        </pic:blipFill>
                        <pic:spPr>
                          <a:xfrm>
                            <a:off x="0" y="0"/>
                            <a:ext cx="2649855" cy="1982470"/>
                          </a:xfrm>
                          <a:prstGeom prst="rect">
                            <a:avLst/>
                          </a:prstGeom>
                          <a:noFill/>
                          <a:ln>
                            <a:solidFill>
                              <a:schemeClr val="bg2"/>
                            </a:solidFill>
                          </a:ln>
                        </pic:spPr>
                      </pic:pic>
                    </a:graphicData>
                  </a:graphic>
                </wp:inline>
              </w:drawing>
            </w:r>
          </w:p>
        </w:tc>
        <w:tc>
          <w:tcPr>
            <w:tcW w:w="4927" w:type="dxa"/>
            <w:vAlign w:val="center"/>
          </w:tcPr>
          <w:p w14:paraId="6E3D9E56">
            <w:pPr>
              <w:pStyle w:val="2"/>
              <w:ind w:left="0" w:leftChars="0" w:firstLine="0" w:firstLineChars="0"/>
            </w:pPr>
            <w:r>
              <w:drawing>
                <wp:inline distT="0" distB="0" distL="0" distR="0">
                  <wp:extent cx="2679700" cy="1983105"/>
                  <wp:effectExtent l="19050" t="19050" r="25400" b="17145"/>
                  <wp:docPr id="73" name="图片 73" descr="C:\Users\jhjc\Desktop\新建文件夹 (3)\3-20-土压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jhjc\Desktop\新建文件夹 (3)\3-20-土压力.png"/>
                          <pic:cNvPicPr>
                            <a:picLocks noChangeAspect="1" noChangeArrowheads="1"/>
                          </pic:cNvPicPr>
                        </pic:nvPicPr>
                        <pic:blipFill>
                          <a:blip r:embed="rId353" cstate="print">
                            <a:extLst>
                              <a:ext uri="{28A0092B-C50C-407E-A947-70E740481C1C}">
                                <a14:useLocalDpi xmlns:a14="http://schemas.microsoft.com/office/drawing/2010/main" val="0"/>
                              </a:ext>
                            </a:extLst>
                          </a:blip>
                          <a:srcRect b="2258"/>
                          <a:stretch>
                            <a:fillRect/>
                          </a:stretch>
                        </pic:blipFill>
                        <pic:spPr>
                          <a:xfrm>
                            <a:off x="0" y="0"/>
                            <a:ext cx="2679700" cy="1983105"/>
                          </a:xfrm>
                          <a:prstGeom prst="rect">
                            <a:avLst/>
                          </a:prstGeom>
                          <a:noFill/>
                          <a:ln>
                            <a:solidFill>
                              <a:schemeClr val="bg2"/>
                            </a:solidFill>
                          </a:ln>
                        </pic:spPr>
                      </pic:pic>
                    </a:graphicData>
                  </a:graphic>
                </wp:inline>
              </w:drawing>
            </w:r>
          </w:p>
        </w:tc>
      </w:tr>
      <w:tr w14:paraId="35A10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854" w:type="dxa"/>
            <w:gridSpan w:val="2"/>
            <w:vAlign w:val="center"/>
          </w:tcPr>
          <w:p w14:paraId="3FEBABE8">
            <w:pPr>
              <w:pStyle w:val="2"/>
              <w:ind w:left="0" w:leftChars="0" w:firstLine="0" w:firstLineChars="0"/>
              <w:jc w:val="center"/>
            </w:pPr>
            <m:oMath>
              <m:r>
                <m:rPr>
                  <m:sty m:val="bi"/>
                </m:rPr>
                <w:rPr>
                  <w:rFonts w:ascii="Cambria Math" w:hAnsi="Cambria Math"/>
                  <w:sz w:val="20"/>
                  <w:szCs w:val="20"/>
                </w:rPr>
                <m:t>θ</m:t>
              </m:r>
              <m:r>
                <m:rPr>
                  <m:sty m:val="p"/>
                </m:rPr>
                <w:rPr>
                  <w:rFonts w:ascii="Cambria Math" w:hAnsi="Cambria Math"/>
                  <w:sz w:val="20"/>
                  <w:szCs w:val="20"/>
                </w:rPr>
                <m:t>=</m:t>
              </m:r>
              <m:r>
                <m:rPr>
                  <m:sty m:val="b"/>
                </m:rPr>
                <w:rPr>
                  <w:rFonts w:ascii="Cambria Math" w:hAnsi="Cambria Math"/>
                  <w:sz w:val="20"/>
                  <w:szCs w:val="20"/>
                </w:rPr>
                <m:t>3.0</m:t>
              </m:r>
              <m:r>
                <m:rPr>
                  <m:sty m:val="p"/>
                </m:rPr>
                <w:rPr>
                  <w:rFonts w:hint="eastAsia" w:ascii="Cambria Math" w:hAnsi="Cambria Math"/>
                  <w:sz w:val="20"/>
                  <w:szCs w:val="20"/>
                </w:rPr>
                <m:t>°</m:t>
              </m:r>
            </m:oMath>
            <w:r>
              <w:rPr>
                <w:sz w:val="20"/>
                <w:szCs w:val="20"/>
              </w:rPr>
              <w:t>c=20kPa</w:t>
            </w:r>
          </w:p>
        </w:tc>
      </w:tr>
      <w:tr w14:paraId="44116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vAlign w:val="center"/>
          </w:tcPr>
          <w:p w14:paraId="567A8B27">
            <w:pPr>
              <w:pStyle w:val="2"/>
              <w:ind w:left="0" w:leftChars="0" w:firstLine="0" w:firstLineChars="0"/>
            </w:pPr>
            <w:r>
              <w:drawing>
                <wp:inline distT="0" distB="0" distL="0" distR="0">
                  <wp:extent cx="2614295" cy="1889760"/>
                  <wp:effectExtent l="19050" t="19050" r="14605" b="15240"/>
                  <wp:docPr id="23" name="图片 23" descr="C:\Users\jhjc\Desktop\新建文件夹 (3)\4.5-土压力系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jhjc\Desktop\新建文件夹 (3)\4.5-土压力系数.png"/>
                          <pic:cNvPicPr>
                            <a:picLocks noChangeAspect="1" noChangeArrowheads="1"/>
                          </pic:cNvPicPr>
                        </pic:nvPicPr>
                        <pic:blipFill>
                          <a:blip r:embed="rId354" cstate="print">
                            <a:extLst>
                              <a:ext uri="{28A0092B-C50C-407E-A947-70E740481C1C}">
                                <a14:useLocalDpi xmlns:a14="http://schemas.microsoft.com/office/drawing/2010/main" val="0"/>
                              </a:ext>
                            </a:extLst>
                          </a:blip>
                          <a:srcRect b="5575"/>
                          <a:stretch>
                            <a:fillRect/>
                          </a:stretch>
                        </pic:blipFill>
                        <pic:spPr>
                          <a:xfrm>
                            <a:off x="0" y="0"/>
                            <a:ext cx="2614295" cy="1889760"/>
                          </a:xfrm>
                          <a:prstGeom prst="rect">
                            <a:avLst/>
                          </a:prstGeom>
                          <a:noFill/>
                          <a:ln>
                            <a:solidFill>
                              <a:schemeClr val="bg2"/>
                            </a:solidFill>
                          </a:ln>
                        </pic:spPr>
                      </pic:pic>
                    </a:graphicData>
                  </a:graphic>
                </wp:inline>
              </w:drawing>
            </w:r>
          </w:p>
        </w:tc>
        <w:tc>
          <w:tcPr>
            <w:tcW w:w="4927" w:type="dxa"/>
            <w:vAlign w:val="center"/>
          </w:tcPr>
          <w:p w14:paraId="39BE0151">
            <w:pPr>
              <w:pStyle w:val="2"/>
              <w:ind w:left="0" w:leftChars="0" w:firstLine="0" w:firstLineChars="0"/>
            </w:pPr>
            <w:r>
              <w:drawing>
                <wp:inline distT="0" distB="0" distL="0" distR="0">
                  <wp:extent cx="2613660" cy="1890395"/>
                  <wp:effectExtent l="19050" t="19050" r="15240" b="14605"/>
                  <wp:docPr id="25" name="图片 25" descr="C:\Users\jhjc\Desktop\新建文件夹 (3)\4.5-10-土压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jhjc\Desktop\新建文件夹 (3)\4.5-10-土压力.png"/>
                          <pic:cNvPicPr>
                            <a:picLocks noChangeAspect="1" noChangeArrowheads="1"/>
                          </pic:cNvPicPr>
                        </pic:nvPicPr>
                        <pic:blipFill>
                          <a:blip r:embed="rId355" cstate="print">
                            <a:extLst>
                              <a:ext uri="{28A0092B-C50C-407E-A947-70E740481C1C}">
                                <a14:useLocalDpi xmlns:a14="http://schemas.microsoft.com/office/drawing/2010/main" val="0"/>
                              </a:ext>
                            </a:extLst>
                          </a:blip>
                          <a:srcRect b="5575"/>
                          <a:stretch>
                            <a:fillRect/>
                          </a:stretch>
                        </pic:blipFill>
                        <pic:spPr>
                          <a:xfrm>
                            <a:off x="0" y="0"/>
                            <a:ext cx="2613660" cy="1890395"/>
                          </a:xfrm>
                          <a:prstGeom prst="rect">
                            <a:avLst/>
                          </a:prstGeom>
                          <a:noFill/>
                          <a:ln>
                            <a:solidFill>
                              <a:schemeClr val="bg2"/>
                            </a:solidFill>
                          </a:ln>
                        </pic:spPr>
                      </pic:pic>
                    </a:graphicData>
                  </a:graphic>
                </wp:inline>
              </w:drawing>
            </w:r>
          </w:p>
        </w:tc>
      </w:tr>
      <w:tr w14:paraId="632FF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854" w:type="dxa"/>
            <w:gridSpan w:val="2"/>
            <w:vAlign w:val="center"/>
          </w:tcPr>
          <w:p w14:paraId="6451BDF7">
            <w:pPr>
              <w:pStyle w:val="2"/>
              <w:ind w:left="0" w:leftChars="0" w:firstLine="0" w:firstLineChars="0"/>
              <w:jc w:val="center"/>
            </w:pPr>
            <m:oMath>
              <m:r>
                <m:rPr>
                  <m:sty m:val="bi"/>
                </m:rPr>
                <w:rPr>
                  <w:rFonts w:ascii="Cambria Math" w:hAnsi="Cambria Math"/>
                  <w:sz w:val="20"/>
                  <w:szCs w:val="20"/>
                </w:rPr>
                <m:t>θ</m:t>
              </m:r>
              <m:r>
                <m:rPr>
                  <m:sty m:val="p"/>
                </m:rPr>
                <w:rPr>
                  <w:rFonts w:ascii="Cambria Math" w:hAnsi="Cambria Math"/>
                  <w:sz w:val="20"/>
                  <w:szCs w:val="20"/>
                </w:rPr>
                <m:t>=</m:t>
              </m:r>
              <m:r>
                <m:rPr>
                  <m:sty m:val="b"/>
                </m:rPr>
                <w:rPr>
                  <w:rFonts w:ascii="Cambria Math" w:hAnsi="Cambria Math"/>
                  <w:sz w:val="20"/>
                  <w:szCs w:val="20"/>
                </w:rPr>
                <m:t>4.5</m:t>
              </m:r>
              <m:r>
                <m:rPr>
                  <m:sty m:val="p"/>
                </m:rPr>
                <w:rPr>
                  <w:rFonts w:hint="eastAsia" w:ascii="Cambria Math" w:hAnsi="Cambria Math"/>
                  <w:sz w:val="20"/>
                  <w:szCs w:val="20"/>
                </w:rPr>
                <m:t>°</m:t>
              </m:r>
            </m:oMath>
            <w:r>
              <w:rPr>
                <w:sz w:val="20"/>
                <w:szCs w:val="20"/>
              </w:rPr>
              <w:t>c=10kPa</w:t>
            </w:r>
          </w:p>
        </w:tc>
      </w:tr>
      <w:tr w14:paraId="24265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vAlign w:val="center"/>
          </w:tcPr>
          <w:p w14:paraId="2A8815B4">
            <w:pPr>
              <w:pStyle w:val="2"/>
              <w:ind w:left="0" w:leftChars="0" w:firstLine="0" w:firstLineChars="0"/>
            </w:pPr>
            <w:r>
              <w:drawing>
                <wp:inline distT="0" distB="0" distL="0" distR="0">
                  <wp:extent cx="2632075" cy="1922145"/>
                  <wp:effectExtent l="19050" t="19050" r="15875" b="20955"/>
                  <wp:docPr id="78" name="图片 78" descr="C:\Users\jhjc\Desktop\新建文件夹 (3)\6-土压力系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jhjc\Desktop\新建文件夹 (3)\6-土压力系数.png"/>
                          <pic:cNvPicPr>
                            <a:picLocks noChangeAspect="1" noChangeArrowheads="1"/>
                          </pic:cNvPicPr>
                        </pic:nvPicPr>
                        <pic:blipFill>
                          <a:blip r:embed="rId356" cstate="print">
                            <a:extLst>
                              <a:ext uri="{28A0092B-C50C-407E-A947-70E740481C1C}">
                                <a14:useLocalDpi xmlns:a14="http://schemas.microsoft.com/office/drawing/2010/main" val="0"/>
                              </a:ext>
                            </a:extLst>
                          </a:blip>
                          <a:srcRect b="1059"/>
                          <a:stretch>
                            <a:fillRect/>
                          </a:stretch>
                        </pic:blipFill>
                        <pic:spPr>
                          <a:xfrm>
                            <a:off x="0" y="0"/>
                            <a:ext cx="2632075" cy="1922145"/>
                          </a:xfrm>
                          <a:prstGeom prst="rect">
                            <a:avLst/>
                          </a:prstGeom>
                          <a:noFill/>
                          <a:ln>
                            <a:solidFill>
                              <a:schemeClr val="bg2"/>
                            </a:solidFill>
                          </a:ln>
                        </pic:spPr>
                      </pic:pic>
                    </a:graphicData>
                  </a:graphic>
                </wp:inline>
              </w:drawing>
            </w:r>
          </w:p>
        </w:tc>
        <w:tc>
          <w:tcPr>
            <w:tcW w:w="4927" w:type="dxa"/>
            <w:vAlign w:val="center"/>
          </w:tcPr>
          <w:p w14:paraId="4B3A3389">
            <w:pPr>
              <w:pStyle w:val="2"/>
              <w:ind w:left="0" w:leftChars="0" w:firstLine="0" w:firstLineChars="0"/>
            </w:pPr>
            <w:r>
              <w:drawing>
                <wp:inline distT="0" distB="0" distL="0" distR="0">
                  <wp:extent cx="2698750" cy="1922145"/>
                  <wp:effectExtent l="19050" t="19050" r="25400" b="20955"/>
                  <wp:docPr id="20" name="图片 20" descr="C:\Users\jhjc\Desktop\新建文件夹 (3)\6-20-土压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jhjc\Desktop\新建文件夹 (3)\6-20-土压力.png"/>
                          <pic:cNvPicPr>
                            <a:picLocks noChangeAspect="1" noChangeArrowheads="1"/>
                          </pic:cNvPicPr>
                        </pic:nvPicPr>
                        <pic:blipFill>
                          <a:blip r:embed="rId357" cstate="print">
                            <a:extLst>
                              <a:ext uri="{28A0092B-C50C-407E-A947-70E740481C1C}">
                                <a14:useLocalDpi xmlns:a14="http://schemas.microsoft.com/office/drawing/2010/main" val="0"/>
                              </a:ext>
                            </a:extLst>
                          </a:blip>
                          <a:srcRect b="1059"/>
                          <a:stretch>
                            <a:fillRect/>
                          </a:stretch>
                        </pic:blipFill>
                        <pic:spPr>
                          <a:xfrm>
                            <a:off x="0" y="0"/>
                            <a:ext cx="2698750" cy="1922145"/>
                          </a:xfrm>
                          <a:prstGeom prst="rect">
                            <a:avLst/>
                          </a:prstGeom>
                          <a:noFill/>
                          <a:ln>
                            <a:solidFill>
                              <a:schemeClr val="bg2"/>
                            </a:solidFill>
                          </a:ln>
                        </pic:spPr>
                      </pic:pic>
                    </a:graphicData>
                  </a:graphic>
                </wp:inline>
              </w:drawing>
            </w:r>
          </w:p>
        </w:tc>
      </w:tr>
      <w:tr w14:paraId="5F4B9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854" w:type="dxa"/>
            <w:gridSpan w:val="2"/>
            <w:vAlign w:val="center"/>
          </w:tcPr>
          <w:p w14:paraId="217FBF4A">
            <w:pPr>
              <w:pStyle w:val="2"/>
              <w:ind w:left="0" w:leftChars="0" w:firstLine="0" w:firstLineChars="0"/>
              <w:jc w:val="center"/>
            </w:pPr>
            <m:oMath>
              <m:r>
                <m:rPr>
                  <m:sty m:val="bi"/>
                </m:rPr>
                <w:rPr>
                  <w:rFonts w:ascii="Cambria Math" w:hAnsi="Cambria Math"/>
                  <w:sz w:val="20"/>
                  <w:szCs w:val="20"/>
                </w:rPr>
                <m:t>θ</m:t>
              </m:r>
              <m:r>
                <m:rPr>
                  <m:sty m:val="p"/>
                </m:rPr>
                <w:rPr>
                  <w:rFonts w:ascii="Cambria Math" w:hAnsi="Cambria Math"/>
                  <w:sz w:val="20"/>
                  <w:szCs w:val="20"/>
                </w:rPr>
                <m:t>=</m:t>
              </m:r>
              <m:r>
                <m:rPr>
                  <m:sty m:val="b"/>
                </m:rPr>
                <w:rPr>
                  <w:rFonts w:ascii="Cambria Math" w:hAnsi="Cambria Math"/>
                  <w:sz w:val="20"/>
                  <w:szCs w:val="20"/>
                </w:rPr>
                <m:t>6.0</m:t>
              </m:r>
              <m:r>
                <m:rPr>
                  <m:sty m:val="p"/>
                </m:rPr>
                <w:rPr>
                  <w:rFonts w:hint="eastAsia" w:ascii="Cambria Math" w:hAnsi="Cambria Math"/>
                  <w:sz w:val="20"/>
                  <w:szCs w:val="20"/>
                </w:rPr>
                <m:t>°</m:t>
              </m:r>
            </m:oMath>
            <w:r>
              <w:rPr>
                <w:sz w:val="20"/>
                <w:szCs w:val="20"/>
              </w:rPr>
              <w:t>c=20kPa</w:t>
            </w:r>
          </w:p>
        </w:tc>
      </w:tr>
      <w:tr w14:paraId="6F6F0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vAlign w:val="center"/>
          </w:tcPr>
          <w:p w14:paraId="6E8811DE">
            <w:pPr>
              <w:pStyle w:val="2"/>
              <w:ind w:left="0" w:leftChars="0" w:firstLine="0" w:firstLineChars="0"/>
            </w:pPr>
            <w:r>
              <w:drawing>
                <wp:inline distT="0" distB="0" distL="0" distR="0">
                  <wp:extent cx="2671445" cy="1936115"/>
                  <wp:effectExtent l="19050" t="19050" r="14605" b="26035"/>
                  <wp:docPr id="81" name="图片 81" descr="C:\Users\jhjc\Desktop\新建文件夹 (3)\9-土压力系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jhjc\Desktop\新建文件夹 (3)\9-土压力系数.png"/>
                          <pic:cNvPicPr>
                            <a:picLocks noChangeAspect="1" noChangeArrowheads="1"/>
                          </pic:cNvPicPr>
                        </pic:nvPicPr>
                        <pic:blipFill>
                          <a:blip r:embed="rId358" cstate="print">
                            <a:extLst>
                              <a:ext uri="{28A0092B-C50C-407E-A947-70E740481C1C}">
                                <a14:useLocalDpi xmlns:a14="http://schemas.microsoft.com/office/drawing/2010/main" val="0"/>
                              </a:ext>
                            </a:extLst>
                          </a:blip>
                          <a:srcRect b="5293"/>
                          <a:stretch>
                            <a:fillRect/>
                          </a:stretch>
                        </pic:blipFill>
                        <pic:spPr>
                          <a:xfrm>
                            <a:off x="0" y="0"/>
                            <a:ext cx="2671445" cy="1936115"/>
                          </a:xfrm>
                          <a:prstGeom prst="rect">
                            <a:avLst/>
                          </a:prstGeom>
                          <a:noFill/>
                          <a:ln>
                            <a:solidFill>
                              <a:schemeClr val="bg2"/>
                            </a:solidFill>
                          </a:ln>
                        </pic:spPr>
                      </pic:pic>
                    </a:graphicData>
                  </a:graphic>
                </wp:inline>
              </w:drawing>
            </w:r>
          </w:p>
        </w:tc>
        <w:tc>
          <w:tcPr>
            <w:tcW w:w="4927" w:type="dxa"/>
            <w:vAlign w:val="center"/>
          </w:tcPr>
          <w:p w14:paraId="5F00A67C">
            <w:pPr>
              <w:pStyle w:val="2"/>
              <w:ind w:left="0" w:leftChars="0" w:firstLine="0" w:firstLineChars="0"/>
            </w:pPr>
            <w:r>
              <w:drawing>
                <wp:inline distT="0" distB="0" distL="0" distR="0">
                  <wp:extent cx="2661285" cy="1929765"/>
                  <wp:effectExtent l="19050" t="19050" r="24765" b="13335"/>
                  <wp:docPr id="82" name="图片 82" descr="C:\Users\jhjc\Desktop\新建文件夹 (3)\9-10-土压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jhjc\Desktop\新建文件夹 (3)\9-10-土压力.png"/>
                          <pic:cNvPicPr>
                            <a:picLocks noChangeAspect="1" noChangeArrowheads="1"/>
                          </pic:cNvPicPr>
                        </pic:nvPicPr>
                        <pic:blipFill>
                          <a:blip r:embed="rId359" cstate="print">
                            <a:extLst>
                              <a:ext uri="{28A0092B-C50C-407E-A947-70E740481C1C}">
                                <a14:useLocalDpi xmlns:a14="http://schemas.microsoft.com/office/drawing/2010/main" val="0"/>
                              </a:ext>
                            </a:extLst>
                          </a:blip>
                          <a:srcRect b="5293"/>
                          <a:stretch>
                            <a:fillRect/>
                          </a:stretch>
                        </pic:blipFill>
                        <pic:spPr>
                          <a:xfrm>
                            <a:off x="0" y="0"/>
                            <a:ext cx="2661285" cy="1929765"/>
                          </a:xfrm>
                          <a:prstGeom prst="rect">
                            <a:avLst/>
                          </a:prstGeom>
                          <a:noFill/>
                          <a:ln>
                            <a:solidFill>
                              <a:schemeClr val="bg2"/>
                            </a:solidFill>
                          </a:ln>
                        </pic:spPr>
                      </pic:pic>
                    </a:graphicData>
                  </a:graphic>
                </wp:inline>
              </w:drawing>
            </w:r>
          </w:p>
        </w:tc>
      </w:tr>
      <w:tr w14:paraId="3A50D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854" w:type="dxa"/>
            <w:gridSpan w:val="2"/>
            <w:vAlign w:val="center"/>
          </w:tcPr>
          <w:p w14:paraId="337D811B">
            <w:pPr>
              <w:pStyle w:val="2"/>
              <w:ind w:left="0" w:leftChars="0" w:firstLine="0" w:firstLineChars="0"/>
              <w:jc w:val="center"/>
            </w:pPr>
            <m:oMath>
              <m:r>
                <m:rPr>
                  <m:sty m:val="bi"/>
                </m:rPr>
                <w:rPr>
                  <w:rFonts w:ascii="Cambria Math" w:hAnsi="Cambria Math"/>
                  <w:sz w:val="20"/>
                  <w:szCs w:val="20"/>
                </w:rPr>
                <m:t>θ</m:t>
              </m:r>
              <m:r>
                <m:rPr>
                  <m:sty m:val="p"/>
                </m:rPr>
                <w:rPr>
                  <w:rFonts w:ascii="Cambria Math" w:hAnsi="Cambria Math"/>
                  <w:sz w:val="20"/>
                  <w:szCs w:val="20"/>
                </w:rPr>
                <m:t>=</m:t>
              </m:r>
              <m:r>
                <m:rPr>
                  <m:sty m:val="b"/>
                </m:rPr>
                <w:rPr>
                  <w:rFonts w:ascii="Cambria Math" w:hAnsi="Cambria Math"/>
                  <w:sz w:val="20"/>
                  <w:szCs w:val="20"/>
                </w:rPr>
                <m:t>9.0</m:t>
              </m:r>
              <m:r>
                <m:rPr>
                  <m:sty m:val="p"/>
                </m:rPr>
                <w:rPr>
                  <w:rFonts w:hint="eastAsia" w:ascii="Cambria Math" w:hAnsi="Cambria Math"/>
                  <w:sz w:val="20"/>
                  <w:szCs w:val="20"/>
                </w:rPr>
                <m:t>°</m:t>
              </m:r>
            </m:oMath>
            <w:r>
              <w:rPr>
                <w:sz w:val="20"/>
                <w:szCs w:val="20"/>
              </w:rPr>
              <w:t>c=10kPa</w:t>
            </w:r>
          </w:p>
        </w:tc>
      </w:tr>
      <w:tr w14:paraId="3246D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854" w:type="dxa"/>
            <w:gridSpan w:val="2"/>
            <w:vAlign w:val="center"/>
          </w:tcPr>
          <w:p w14:paraId="173A6773">
            <w:pPr>
              <w:tabs>
                <w:tab w:val="left" w:pos="672"/>
                <w:tab w:val="left" w:pos="1036"/>
                <w:tab w:val="left" w:pos="1620"/>
                <w:tab w:val="left" w:pos="2160"/>
                <w:tab w:val="left" w:pos="7020"/>
              </w:tabs>
              <w:adjustRightInd w:val="0"/>
              <w:snapToGrid w:val="0"/>
              <w:spacing w:before="120" w:beforeLines="50" w:line="288" w:lineRule="auto"/>
              <w:jc w:val="center"/>
              <w:rPr>
                <w:b/>
                <w:sz w:val="18"/>
                <w:szCs w:val="18"/>
              </w:rPr>
            </w:pPr>
            <w:r>
              <w:rPr>
                <w:rFonts w:hAnsi="宋体"/>
                <w:b/>
                <w:sz w:val="18"/>
                <w:szCs w:val="18"/>
              </w:rPr>
              <w:t>图</w:t>
            </w:r>
            <w:r>
              <w:rPr>
                <w:b/>
                <w:sz w:val="18"/>
                <w:szCs w:val="18"/>
              </w:rPr>
              <w:t xml:space="preserve">9.2.1-1  </w:t>
            </w:r>
            <w:r>
              <w:rPr>
                <w:rFonts w:hint="eastAsia" w:hAnsi="宋体"/>
                <w:b/>
                <w:sz w:val="18"/>
                <w:szCs w:val="18"/>
              </w:rPr>
              <w:t>土压力系数变化曲线与土压力变化曲线</w:t>
            </w:r>
          </w:p>
        </w:tc>
      </w:tr>
    </w:tbl>
    <w:p w14:paraId="646489F0">
      <w:pPr>
        <w:spacing w:line="360" w:lineRule="auto"/>
        <w:ind w:firstLine="480"/>
        <w:jc w:val="left"/>
        <w:rPr>
          <w:sz w:val="20"/>
          <w:szCs w:val="20"/>
        </w:rPr>
      </w:pPr>
      <w:r>
        <w:rPr>
          <w:sz w:val="20"/>
          <w:szCs w:val="20"/>
        </w:rPr>
        <w:t>结果显示，采用上述两种不同的计算方法得到的</w:t>
      </w:r>
      <w:r>
        <w:rPr>
          <w:rFonts w:hint="eastAsia"/>
          <w:sz w:val="20"/>
          <w:szCs w:val="20"/>
        </w:rPr>
        <w:t>土压力差异较小，误差范围多数集中在0</w:t>
      </w:r>
      <w:r>
        <w:rPr>
          <w:sz w:val="20"/>
          <w:szCs w:val="20"/>
        </w:rPr>
        <w:t xml:space="preserve"> kPa -3 kPa</w:t>
      </w:r>
      <w:r>
        <w:rPr>
          <w:rFonts w:hint="eastAsia"/>
          <w:sz w:val="20"/>
          <w:szCs w:val="20"/>
        </w:rPr>
        <w:t>之间，最大差异绝对值也未超过</w:t>
      </w:r>
      <w:r>
        <w:rPr>
          <w:sz w:val="20"/>
          <w:szCs w:val="20"/>
        </w:rPr>
        <w:t>6kPa</w:t>
      </w:r>
      <w:r>
        <w:rPr>
          <w:rFonts w:hint="eastAsia"/>
          <w:sz w:val="20"/>
          <w:szCs w:val="20"/>
        </w:rPr>
        <w:t>，趋势完全一致，故采用朗肯地震折减角方法完全可满足工程应用精度要求。</w:t>
      </w:r>
    </w:p>
    <w:p w14:paraId="263159FE">
      <w:pPr>
        <w:spacing w:line="360" w:lineRule="auto"/>
        <w:ind w:firstLine="480"/>
        <w:jc w:val="left"/>
        <w:rPr>
          <w:sz w:val="20"/>
          <w:szCs w:val="20"/>
        </w:rPr>
      </w:pPr>
      <w:r>
        <w:rPr>
          <w:sz w:val="20"/>
          <w:szCs w:val="20"/>
        </w:rPr>
        <w:t>朗肯公式与库仑公式提出的前提是假设</w:t>
      </w:r>
      <w:r>
        <w:rPr>
          <w:rFonts w:hint="eastAsia"/>
          <w:sz w:val="20"/>
          <w:szCs w:val="20"/>
        </w:rPr>
        <w:t>土体可以被看作是一个均质的固体，太沙基认为这种假设虽然不失为一种有效、实用的方法，但其实是“一个本质性的错误”（摘自《工程艺术大师：卡尔·太沙基》：重归学术）。这两种方法计算挡土结构土压力已成为工程应用中约定俗成的简化方法，基于上述两种方法计算对比结果，故标准中提出了基于</w:t>
      </w:r>
      <w:r>
        <w:rPr>
          <w:sz w:val="20"/>
          <w:szCs w:val="20"/>
        </w:rPr>
        <w:t>朗肯公式与库仑公式</w:t>
      </w:r>
      <w:r>
        <w:rPr>
          <w:rFonts w:hint="eastAsia"/>
          <w:sz w:val="20"/>
          <w:szCs w:val="20"/>
        </w:rPr>
        <w:t>在地震工况下的土压力计算方法。</w:t>
      </w:r>
    </w:p>
    <w:p w14:paraId="129DBA58">
      <w:pPr>
        <w:spacing w:line="360" w:lineRule="auto"/>
        <w:ind w:firstLine="480"/>
        <w:jc w:val="left"/>
        <w:rPr>
          <w:sz w:val="20"/>
          <w:szCs w:val="20"/>
        </w:rPr>
      </w:pPr>
      <w:r>
        <w:rPr>
          <w:sz w:val="20"/>
          <w:szCs w:val="20"/>
        </w:rPr>
        <w:t>与非地震工况下的土压力计算公式相比，本条所采用的计算公式中计算参数引入地震角θ。地震时，墙后土体受地震加速度作用产生惯性力，包括水平方向和竖直方向两个分量。两个惯性力与土楔体重力G组成的合力G’与铅垂线的夹角即为地震角。</w:t>
      </w:r>
    </w:p>
    <w:p w14:paraId="335221EB">
      <w:pPr>
        <w:tabs>
          <w:tab w:val="left" w:pos="720"/>
          <w:tab w:val="left" w:pos="854"/>
          <w:tab w:val="left" w:pos="1620"/>
          <w:tab w:val="left" w:pos="2160"/>
          <w:tab w:val="left" w:pos="3060"/>
          <w:tab w:val="left" w:pos="7020"/>
        </w:tabs>
        <w:adjustRightInd w:val="0"/>
        <w:snapToGrid w:val="0"/>
        <w:spacing w:before="120" w:beforeLines="50" w:after="120" w:afterLines="50" w:line="288" w:lineRule="auto"/>
        <w:jc w:val="center"/>
        <w:rPr>
          <w:b/>
          <w:bCs/>
          <w:sz w:val="20"/>
          <w:szCs w:val="20"/>
        </w:rPr>
      </w:pPr>
      <w:r>
        <w:rPr>
          <w:b/>
          <w:bCs/>
          <w:sz w:val="20"/>
          <w:szCs w:val="20"/>
        </w:rPr>
        <w:object>
          <v:shape id="_x0000_i1178" o:spt="75" type="#_x0000_t75" style="height:227.5pt;width:300.1pt;" o:ole="t" filled="f" o:preferrelative="t" stroked="f" coordsize="21600,21600">
            <v:path/>
            <v:fill on="f" focussize="0,0"/>
            <v:stroke on="f" joinstyle="miter"/>
            <v:imagedata r:id="rId361" cropleft="19580f" croptop="5990f" cropright="19098f" cropbottom="5848f" o:title=""/>
            <o:lock v:ext="edit" aspectratio="f"/>
            <w10:wrap type="none"/>
            <w10:anchorlock/>
          </v:shape>
          <o:OLEObject Type="Embed" ProgID="AutoCAD.Drawing.19" ShapeID="_x0000_i1178" DrawAspect="Content" ObjectID="_1468075882" r:id="rId360">
            <o:LockedField>false</o:LockedField>
          </o:OLEObject>
        </w:object>
      </w:r>
    </w:p>
    <w:p w14:paraId="3B85FDD4">
      <w:pPr>
        <w:tabs>
          <w:tab w:val="left" w:pos="720"/>
          <w:tab w:val="left" w:pos="854"/>
          <w:tab w:val="left" w:pos="1620"/>
          <w:tab w:val="left" w:pos="2160"/>
          <w:tab w:val="left" w:pos="3060"/>
          <w:tab w:val="left" w:pos="7020"/>
        </w:tabs>
        <w:adjustRightInd w:val="0"/>
        <w:snapToGrid w:val="0"/>
        <w:spacing w:before="120" w:beforeLines="50" w:after="120" w:afterLines="50" w:line="288" w:lineRule="auto"/>
        <w:jc w:val="center"/>
        <w:rPr>
          <w:bCs/>
          <w:sz w:val="20"/>
          <w:szCs w:val="20"/>
        </w:rPr>
      </w:pPr>
      <w:r>
        <w:rPr>
          <w:bCs/>
          <w:sz w:val="20"/>
          <w:szCs w:val="20"/>
        </w:rPr>
        <w:t>图9.2.1 地震角</w:t>
      </w:r>
    </w:p>
    <w:p w14:paraId="5E8FB92C">
      <w:pPr>
        <w:adjustRightInd w:val="0"/>
        <w:snapToGrid w:val="0"/>
        <w:spacing w:line="288" w:lineRule="auto"/>
        <w:rPr>
          <w:sz w:val="20"/>
          <w:szCs w:val="20"/>
        </w:rPr>
      </w:pPr>
      <w:r>
        <w:rPr>
          <w:sz w:val="20"/>
          <w:szCs w:val="20"/>
        </w:rPr>
        <w:t>图中：</w:t>
      </w:r>
      <m:oMath>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Eℎ,j</m:t>
            </m:r>
            <m:ctrlPr>
              <w:rPr>
                <w:rFonts w:ascii="Cambria Math" w:hAnsi="Cambria Math"/>
                <w:i/>
                <w:sz w:val="20"/>
                <w:szCs w:val="20"/>
              </w:rPr>
            </m:ctrlPr>
          </m:sub>
        </m:sSub>
      </m:oMath>
      <w:r>
        <w:rPr>
          <w:sz w:val="20"/>
          <w:szCs w:val="20"/>
        </w:rPr>
        <w:t>——作用于墙后土体质心的水平地震惯性力（kN）；</w:t>
      </w:r>
    </w:p>
    <w:p w14:paraId="7E840ECB">
      <w:pPr>
        <w:adjustRightInd w:val="0"/>
        <w:snapToGrid w:val="0"/>
        <w:spacing w:line="288" w:lineRule="auto"/>
        <w:ind w:left="1174" w:leftChars="299" w:hanging="546" w:hangingChars="273"/>
        <w:jc w:val="left"/>
        <w:rPr>
          <w:sz w:val="20"/>
          <w:szCs w:val="20"/>
        </w:rPr>
      </w:pPr>
      <m:oMath>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Ev,j</m:t>
            </m:r>
            <m:ctrlPr>
              <w:rPr>
                <w:rFonts w:ascii="Cambria Math" w:hAnsi="Cambria Math"/>
                <w:i/>
                <w:sz w:val="20"/>
                <w:szCs w:val="20"/>
              </w:rPr>
            </m:ctrlPr>
          </m:sub>
        </m:sSub>
      </m:oMath>
      <w:r>
        <w:rPr>
          <w:sz w:val="20"/>
          <w:szCs w:val="20"/>
        </w:rPr>
        <w:t>——作用于墙后土体质心的竖向地震惯性力（kN），可仅取竖向地震惯性力作用向下，且</w:t>
      </w:r>
      <m:oMath>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Evj</m:t>
            </m:r>
            <m:ctrlPr>
              <w:rPr>
                <w:rFonts w:ascii="Cambria Math" w:hAnsi="Cambria Math"/>
                <w:i/>
                <w:sz w:val="20"/>
                <w:szCs w:val="20"/>
              </w:rPr>
            </m:ctrlPr>
          </m:sub>
        </m:sSub>
        <m:r>
          <m:rPr/>
          <w:rPr>
            <w:rFonts w:ascii="Cambria Math" w:hAnsi="Cambria Math"/>
            <w:sz w:val="20"/>
            <w:szCs w:val="20"/>
          </w:rPr>
          <m:t>=0.5</m:t>
        </m:r>
        <m:sSub>
          <m:sSubPr>
            <m:ctrlPr>
              <w:rPr>
                <w:rFonts w:ascii="Cambria Math" w:hAnsi="Cambria Math"/>
                <w:i/>
                <w:sz w:val="20"/>
                <w:szCs w:val="20"/>
              </w:rPr>
            </m:ctrlPr>
          </m:sSubPr>
          <m:e>
            <m:r>
              <m:rPr/>
              <w:rPr>
                <w:rFonts w:ascii="Cambria Math" w:hAnsi="Cambria Math"/>
                <w:sz w:val="20"/>
                <w:szCs w:val="20"/>
              </w:rPr>
              <m:t>F</m:t>
            </m:r>
            <m:ctrlPr>
              <w:rPr>
                <w:rFonts w:ascii="Cambria Math" w:hAnsi="Cambria Math"/>
                <w:i/>
                <w:sz w:val="20"/>
                <w:szCs w:val="20"/>
              </w:rPr>
            </m:ctrlPr>
          </m:e>
          <m:sub>
            <m:r>
              <m:rPr/>
              <w:rPr>
                <w:rFonts w:ascii="Cambria Math" w:hAnsi="Cambria Math"/>
                <w:sz w:val="20"/>
                <w:szCs w:val="20"/>
              </w:rPr>
              <m:t>Eℎ</m:t>
            </m:r>
            <m:r>
              <m:rPr>
                <m:sty m:val="p"/>
              </m:rPr>
              <w:rPr>
                <w:rFonts w:ascii="Cambria Math" w:hAnsi="Cambria Math"/>
                <w:sz w:val="20"/>
                <w:szCs w:val="20"/>
              </w:rPr>
              <m:t>,</m:t>
            </m:r>
            <m:r>
              <m:rPr/>
              <w:rPr>
                <w:rFonts w:ascii="Cambria Math" w:hAnsi="Cambria Math"/>
                <w:sz w:val="20"/>
                <w:szCs w:val="20"/>
              </w:rPr>
              <m:t>j</m:t>
            </m:r>
            <m:ctrlPr>
              <w:rPr>
                <w:rFonts w:ascii="Cambria Math" w:hAnsi="Cambria Math"/>
                <w:i/>
                <w:sz w:val="20"/>
                <w:szCs w:val="20"/>
              </w:rPr>
            </m:ctrlPr>
          </m:sub>
        </m:sSub>
      </m:oMath>
      <w:r>
        <w:rPr>
          <w:sz w:val="20"/>
          <w:szCs w:val="20"/>
        </w:rPr>
        <w:t>；</w:t>
      </w:r>
    </w:p>
    <w:p w14:paraId="695D25D8">
      <w:pPr>
        <w:spacing w:line="360" w:lineRule="auto"/>
        <w:ind w:firstLine="480"/>
        <w:jc w:val="left"/>
        <w:rPr>
          <w:sz w:val="20"/>
          <w:szCs w:val="20"/>
        </w:rPr>
      </w:pPr>
      <w:r>
        <w:rPr>
          <w:sz w:val="20"/>
          <w:szCs w:val="20"/>
        </w:rPr>
        <w:t>根据地震角的概念，其计算公式如下：</w:t>
      </w:r>
    </w:p>
    <w:p w14:paraId="37889E8B">
      <w:pPr>
        <w:wordWrap w:val="0"/>
        <w:ind w:firstLine="480"/>
        <w:jc w:val="right"/>
        <w:rPr>
          <w:sz w:val="20"/>
          <w:szCs w:val="20"/>
        </w:rPr>
      </w:pPr>
      <w:r>
        <w:rPr>
          <w:sz w:val="20"/>
          <w:szCs w:val="20"/>
        </w:rPr>
        <w:t>地震角</w:t>
      </w:r>
      <m:oMath>
        <m:r>
          <m:rPr/>
          <w:rPr>
            <w:rFonts w:ascii="Cambria Math" w:hAnsi="Cambria Math"/>
            <w:sz w:val="20"/>
            <w:szCs w:val="20"/>
          </w:rPr>
          <m:t>θ</m:t>
        </m:r>
        <m:r>
          <m:rPr>
            <m:sty m:val="p"/>
          </m:rPr>
          <w:rPr>
            <w:rFonts w:ascii="Cambria Math" w:hAnsi="Cambria Math"/>
            <w:sz w:val="20"/>
            <w:szCs w:val="20"/>
          </w:rPr>
          <m:t>=</m:t>
        </m:r>
        <m:func>
          <m:funcPr>
            <m:ctrlPr>
              <w:rPr>
                <w:rFonts w:ascii="Cambria Math" w:hAnsi="Cambria Math"/>
                <w:sz w:val="20"/>
                <w:szCs w:val="20"/>
              </w:rPr>
            </m:ctrlPr>
          </m:funcPr>
          <m:fName>
            <m:sSup>
              <m:sSupPr>
                <m:ctrlPr>
                  <w:rPr>
                    <w:rFonts w:ascii="Cambria Math" w:hAnsi="Cambria Math"/>
                    <w:sz w:val="20"/>
                    <w:szCs w:val="20"/>
                  </w:rPr>
                </m:ctrlPr>
              </m:sSupPr>
              <m:e>
                <m:r>
                  <m:rPr/>
                  <w:rPr>
                    <w:rFonts w:ascii="Cambria Math" w:hAnsi="Cambria Math"/>
                    <w:sz w:val="20"/>
                    <w:szCs w:val="20"/>
                  </w:rPr>
                  <m:t>tan</m:t>
                </m:r>
                <m:ctrlPr>
                  <w:rPr>
                    <w:rFonts w:ascii="Cambria Math" w:hAnsi="Cambria Math"/>
                    <w:sz w:val="20"/>
                    <w:szCs w:val="20"/>
                  </w:rPr>
                </m:ctrlPr>
              </m:e>
              <m:sup>
                <m:r>
                  <m:rPr>
                    <m:sty m:val="p"/>
                  </m:rPr>
                  <w:rPr>
                    <w:rFonts w:ascii="Cambria Math" w:hAnsi="Cambria Math"/>
                    <w:sz w:val="20"/>
                    <w:szCs w:val="20"/>
                  </w:rPr>
                  <m:t>−1</m:t>
                </m:r>
                <m:ctrlPr>
                  <w:rPr>
                    <w:rFonts w:ascii="Cambria Math" w:hAnsi="Cambria Math"/>
                    <w:sz w:val="20"/>
                    <w:szCs w:val="20"/>
                  </w:rPr>
                </m:ctrlPr>
              </m:sup>
            </m:sSup>
            <m:ctrlPr>
              <w:rPr>
                <w:rFonts w:ascii="Cambria Math" w:hAnsi="Cambria Math"/>
                <w:sz w:val="20"/>
                <w:szCs w:val="20"/>
              </w:rPr>
            </m:ctrlPr>
          </m:fName>
          <m:e>
            <m:r>
              <m:rPr>
                <m:sty m:val="p"/>
              </m:rPr>
              <w:rPr>
                <w:rFonts w:ascii="Cambria Math" w:hAnsi="Cambria Math"/>
                <w:sz w:val="20"/>
                <w:szCs w:val="20"/>
              </w:rPr>
              <m:t>（</m:t>
            </m:r>
            <m:r>
              <m:rPr/>
              <w:rPr>
                <w:rFonts w:ascii="Cambria Math" w:hAnsi="Cambria Math"/>
                <w:sz w:val="20"/>
                <w:szCs w:val="20"/>
              </w:rPr>
              <m:t>η</m:t>
            </m:r>
            <m:sSub>
              <m:sSubPr>
                <m:ctrlPr>
                  <w:rPr>
                    <w:rFonts w:ascii="Cambria Math" w:hAnsi="Cambria Math"/>
                    <w:sz w:val="20"/>
                    <w:szCs w:val="20"/>
                  </w:rPr>
                </m:ctrlPr>
              </m:sSubPr>
              <m:e>
                <m:r>
                  <m:rPr/>
                  <w:rPr>
                    <w:rFonts w:ascii="Cambria Math" w:hAnsi="Cambria Math"/>
                    <w:sz w:val="20"/>
                    <w:szCs w:val="20"/>
                  </w:rPr>
                  <m:t>A</m:t>
                </m:r>
                <m:ctrlPr>
                  <w:rPr>
                    <w:rFonts w:ascii="Cambria Math" w:hAnsi="Cambria Math"/>
                    <w:sz w:val="20"/>
                    <w:szCs w:val="20"/>
                  </w:rPr>
                </m:ctrlPr>
              </m:e>
              <m:sub>
                <m:r>
                  <m:rPr/>
                  <w:rPr>
                    <w:rFonts w:ascii="Cambria Math" w:hAnsi="Cambria Math"/>
                    <w:sz w:val="20"/>
                    <w:szCs w:val="20"/>
                  </w:rPr>
                  <m:t>g</m:t>
                </m:r>
                <m:ctrlPr>
                  <w:rPr>
                    <w:rFonts w:ascii="Cambria Math" w:hAnsi="Cambria Math"/>
                    <w:sz w:val="20"/>
                    <w:szCs w:val="20"/>
                  </w:rPr>
                </m:ctrlPr>
              </m:sub>
            </m:sSub>
            <m:r>
              <m:rPr>
                <m:sty m:val="p"/>
              </m:rPr>
              <w:rPr>
                <w:rFonts w:ascii="Cambria Math" w:hAnsi="Cambria Math"/>
                <w:sz w:val="20"/>
                <w:szCs w:val="20"/>
              </w:rPr>
              <m:t>∕</m:t>
            </m:r>
            <m:r>
              <m:rPr/>
              <w:rPr>
                <w:rFonts w:ascii="Cambria Math" w:hAnsi="Cambria Math"/>
                <w:sz w:val="20"/>
                <w:szCs w:val="20"/>
              </w:rPr>
              <m:t>g</m:t>
            </m:r>
            <m:r>
              <m:rPr>
                <m:sty m:val="p"/>
              </m:rPr>
              <w:rPr>
                <w:rFonts w:ascii="Cambria Math" w:hAnsi="Cambria Math"/>
                <w:sz w:val="20"/>
                <w:szCs w:val="20"/>
              </w:rPr>
              <m:t>）</m:t>
            </m:r>
            <m:ctrlPr>
              <w:rPr>
                <w:rFonts w:ascii="Cambria Math" w:hAnsi="Cambria Math"/>
                <w:sz w:val="20"/>
                <w:szCs w:val="20"/>
              </w:rPr>
            </m:ctrlPr>
          </m:e>
        </m:func>
      </m:oMath>
      <w:r>
        <w:rPr>
          <w:sz w:val="20"/>
          <w:szCs w:val="20"/>
        </w:rPr>
        <w:t xml:space="preserve">               （1）</w:t>
      </w:r>
    </w:p>
    <w:p w14:paraId="53507234">
      <w:pPr>
        <w:ind w:firstLine="480"/>
        <w:rPr>
          <w:sz w:val="20"/>
          <w:szCs w:val="20"/>
        </w:rPr>
      </w:pPr>
      <w:r>
        <w:rPr>
          <w:sz w:val="20"/>
          <w:szCs w:val="20"/>
        </w:rPr>
        <w:t>式中：</w:t>
      </w:r>
      <m:oMath>
        <m:r>
          <m:rPr/>
          <w:rPr>
            <w:rFonts w:ascii="Cambria Math" w:hAnsi="Cambria Math"/>
            <w:sz w:val="20"/>
            <w:szCs w:val="20"/>
          </w:rPr>
          <m:t>η</m:t>
        </m:r>
      </m:oMath>
      <w:r>
        <w:rPr>
          <w:sz w:val="20"/>
          <w:szCs w:val="20"/>
        </w:rPr>
        <w:t>为水平地震作用修正系数；Ag为地震动峰值加速度（m/s</w:t>
      </w:r>
      <w:r>
        <w:rPr>
          <w:sz w:val="20"/>
          <w:szCs w:val="20"/>
          <w:vertAlign w:val="superscript"/>
        </w:rPr>
        <w:t>2</w:t>
      </w:r>
      <w:r>
        <w:rPr>
          <w:sz w:val="20"/>
          <w:szCs w:val="20"/>
        </w:rPr>
        <w:t>）。</w:t>
      </w:r>
    </w:p>
    <w:p w14:paraId="780C04BA">
      <w:pPr>
        <w:spacing w:line="360" w:lineRule="auto"/>
        <w:ind w:firstLine="480"/>
        <w:jc w:val="left"/>
        <w:rPr>
          <w:sz w:val="20"/>
          <w:szCs w:val="20"/>
        </w:rPr>
      </w:pPr>
      <w:r>
        <w:rPr>
          <w:sz w:val="20"/>
          <w:szCs w:val="20"/>
        </w:rPr>
        <w:t>表9.2.1为现行各行业规范中普遍采用的地震角取值，是按照式（1）取</w:t>
      </w:r>
      <m:oMath>
        <m:r>
          <m:rPr/>
          <w:rPr>
            <w:rFonts w:ascii="Cambria Math" w:hAnsi="Cambria Math"/>
            <w:sz w:val="20"/>
            <w:szCs w:val="20"/>
          </w:rPr>
          <m:t>η</m:t>
        </m:r>
        <m:r>
          <m:rPr>
            <m:sty m:val="p"/>
          </m:rPr>
          <w:rPr>
            <w:rFonts w:ascii="Cambria Math" w:hAnsi="Cambria Math"/>
            <w:sz w:val="20"/>
            <w:szCs w:val="20"/>
          </w:rPr>
          <m:t>=</m:t>
        </m:r>
        <m:r>
          <m:rPr/>
          <w:rPr>
            <w:rFonts w:ascii="Cambria Math" w:hAnsi="Cambria Math"/>
            <w:sz w:val="20"/>
            <w:szCs w:val="20"/>
          </w:rPr>
          <m:t>0.25</m:t>
        </m:r>
      </m:oMath>
      <w:r>
        <w:rPr>
          <w:sz w:val="20"/>
          <w:szCs w:val="20"/>
        </w:rPr>
        <w:t>计算得到的。但是该修正系数取值并非理论计算得到，而是一个经验系数。该系数取值最早来源于前苏联的《地震区建筑设计规范》，在实践中与宏观震害调查结果接近。在未有进一步研究成果的情况下，本条文仍沿用目前通用的地震角取值。</w:t>
      </w:r>
    </w:p>
    <w:p w14:paraId="45DB7F3B">
      <w:pPr>
        <w:spacing w:line="360" w:lineRule="auto"/>
        <w:ind w:left="-2" w:leftChars="-1" w:firstLine="2"/>
        <w:jc w:val="left"/>
        <w:rPr>
          <w:sz w:val="20"/>
          <w:szCs w:val="20"/>
        </w:rPr>
      </w:pPr>
      <w:r>
        <w:rPr>
          <w:rFonts w:eastAsia="黑体"/>
          <w:b/>
          <w:bCs/>
          <w:kern w:val="0"/>
          <w:sz w:val="20"/>
          <w:szCs w:val="20"/>
        </w:rPr>
        <w:t xml:space="preserve">9.2.2  </w:t>
      </w:r>
      <w:r>
        <w:rPr>
          <w:sz w:val="20"/>
          <w:szCs w:val="20"/>
        </w:rPr>
        <w:t>根据《建筑抗震设计规范》GB50011所采用的“三水准设防、两阶段设计”的思路，支护结构在进行抗震验算时同样只需进行多遇地震和罕遇地震作用下的结构构件验算。</w:t>
      </w:r>
    </w:p>
    <w:p w14:paraId="73AB06D0">
      <w:pPr>
        <w:spacing w:line="360" w:lineRule="auto"/>
        <w:ind w:left="-2" w:leftChars="-1" w:firstLine="2"/>
        <w:jc w:val="left"/>
        <w:rPr>
          <w:sz w:val="20"/>
          <w:szCs w:val="20"/>
        </w:rPr>
      </w:pPr>
      <w:r>
        <w:rPr>
          <w:rFonts w:eastAsia="黑体"/>
          <w:b/>
          <w:bCs/>
          <w:kern w:val="0"/>
          <w:sz w:val="20"/>
          <w:szCs w:val="20"/>
        </w:rPr>
        <w:t xml:space="preserve">9.2.3  </w:t>
      </w:r>
      <w:r>
        <w:rPr>
          <w:sz w:val="20"/>
          <w:szCs w:val="20"/>
        </w:rPr>
        <w:t>本条规定的多遇地震作用下支护结构构件的内力计算公式，沿用《建筑抗震设计规范》GB50011中5.4.1条的计算方法，并根据基坑工程的特点进行适当简化。各分项系数取值也与《建筑抗震设计规范》GB50011保持一致。对基坑支护结构而言，主要作用效应为水平地震作用效应，竖向地震作用仅在采用内支撑且支撑构件长度大于20m或支撑立柱间距大于20m的情况下考虑；</w:t>
      </w:r>
      <w:r>
        <w:rPr>
          <w:i/>
          <w:iCs/>
          <w:sz w:val="20"/>
          <w:szCs w:val="20"/>
        </w:rPr>
        <w:t>S</w:t>
      </w:r>
      <w:r>
        <w:rPr>
          <w:sz w:val="20"/>
          <w:szCs w:val="20"/>
          <w:vertAlign w:val="subscript"/>
        </w:rPr>
        <w:t>GEk</w:t>
      </w:r>
      <w:r>
        <w:rPr>
          <w:sz w:val="20"/>
          <w:szCs w:val="20"/>
        </w:rPr>
        <w:t>为支护结构自重所产生的作用效应，根据支护结构受力特点，仅需在采用内支撑结构时考虑该项作用。</w:t>
      </w:r>
    </w:p>
    <w:p w14:paraId="3846E5A7">
      <w:pPr>
        <w:spacing w:line="360" w:lineRule="auto"/>
        <w:ind w:left="-2" w:leftChars="-1" w:firstLine="2"/>
        <w:jc w:val="left"/>
        <w:rPr>
          <w:sz w:val="20"/>
          <w:szCs w:val="20"/>
        </w:rPr>
      </w:pPr>
      <w:r>
        <w:rPr>
          <w:rFonts w:eastAsia="黑体"/>
          <w:b/>
          <w:bCs/>
          <w:kern w:val="0"/>
          <w:sz w:val="20"/>
          <w:szCs w:val="20"/>
        </w:rPr>
        <w:t xml:space="preserve">9.2.4  </w:t>
      </w:r>
      <w:r>
        <w:rPr>
          <w:sz w:val="20"/>
          <w:szCs w:val="20"/>
        </w:rPr>
        <w:t>本条同样沿用《建筑抗震设计规范》GB50011中5.4.2条截面抗震验算的思路与方法。</w:t>
      </w:r>
      <w:r>
        <w:rPr>
          <w:i/>
          <w:iCs/>
          <w:sz w:val="20"/>
          <w:szCs w:val="20"/>
        </w:rPr>
        <w:t>γ</w:t>
      </w:r>
      <w:r>
        <w:rPr>
          <w:sz w:val="20"/>
          <w:szCs w:val="20"/>
          <w:vertAlign w:val="subscript"/>
        </w:rPr>
        <w:t>RE</w:t>
      </w:r>
      <w:r>
        <w:rPr>
          <w:sz w:val="20"/>
          <w:szCs w:val="20"/>
        </w:rPr>
        <w:t>为抗震设计时的抗力分项系数。本条中支护结构构件的内力和承载力均采用设计值。</w:t>
      </w:r>
    </w:p>
    <w:p w14:paraId="6E5553A2">
      <w:pPr>
        <w:spacing w:line="360" w:lineRule="auto"/>
        <w:ind w:left="-2" w:leftChars="-1" w:firstLine="2"/>
        <w:jc w:val="left"/>
        <w:rPr>
          <w:sz w:val="20"/>
          <w:szCs w:val="20"/>
        </w:rPr>
      </w:pPr>
      <w:r>
        <w:rPr>
          <w:rFonts w:eastAsia="黑体"/>
          <w:b/>
          <w:bCs/>
          <w:kern w:val="0"/>
          <w:sz w:val="20"/>
          <w:szCs w:val="20"/>
        </w:rPr>
        <w:t xml:space="preserve">9.2.5~9.2.6  </w:t>
      </w:r>
      <w:r>
        <w:rPr>
          <w:sz w:val="20"/>
          <w:szCs w:val="20"/>
        </w:rPr>
        <w:t>罕遇地震作用下支护结构抗震验算的目的，在于实现“大震不倒”的设防目标。建筑结构在罕遇地震作用下的验算是通过控制建筑物薄弱层的层间位移角来实现的，而支护结构的破坏模式与建筑结构不同。控制支护结构不发生倒塌，对采用内支撑或锚杆的支护体系而言，关键在于控制支撑或锚杆不屈服或锚杆不被拉断；对悬臂桩或双排桩支护结构而言，关键在于控制悬臂桩或双排桩自身不发生弯曲破坏。罕遇地震作用下验算公式中，地震水平荷载应取标准值而不是设计值，支护结构构件承载力计算中钢筋与型钢应取屈服强度标准值。</w:t>
      </w:r>
    </w:p>
    <w:p w14:paraId="5E35EFB3">
      <w:pPr>
        <w:spacing w:line="360" w:lineRule="auto"/>
        <w:ind w:left="-2" w:leftChars="-1" w:firstLine="2"/>
        <w:jc w:val="left"/>
        <w:rPr>
          <w:sz w:val="20"/>
          <w:szCs w:val="20"/>
        </w:rPr>
      </w:pPr>
      <w:r>
        <w:rPr>
          <w:rFonts w:eastAsia="黑体"/>
          <w:b/>
          <w:bCs/>
          <w:kern w:val="0"/>
          <w:sz w:val="20"/>
          <w:szCs w:val="20"/>
        </w:rPr>
        <w:t xml:space="preserve">9.2.7  </w:t>
      </w:r>
      <w:r>
        <w:rPr>
          <w:sz w:val="20"/>
          <w:szCs w:val="20"/>
        </w:rPr>
        <w:t>地震作用下支护结构整体滑动稳定性的验算方法与本规程7.3.3条相同，计算公式在7.3.3条公式的基础上增加地震作用惯性力的影响。验算时，应取罕遇地震作用下的水平向加速度值计算水平地震惯性力。</w:t>
      </w:r>
    </w:p>
    <w:p w14:paraId="197AF59F">
      <w:pPr>
        <w:spacing w:line="360" w:lineRule="auto"/>
        <w:ind w:left="-2" w:leftChars="-1" w:firstLine="400" w:firstLineChars="200"/>
        <w:jc w:val="left"/>
        <w:rPr>
          <w:sz w:val="20"/>
          <w:szCs w:val="20"/>
        </w:rPr>
      </w:pPr>
      <w:r>
        <w:rPr>
          <w:sz w:val="20"/>
          <w:szCs w:val="20"/>
        </w:rPr>
        <w:t>关于高度增大系数，与基坑底部相比，随着高度的增加，水平地震作用将产生一定的放大作用，垂直开挖且开挖深度较大时，放大作用更加明显。《建筑抗震设计规范》GB50011中4.1.8条要求位于局部突出地形上的建筑需考虑水平地震影响系数的增大系数与此道理相似，在不同规范和文献中，也用动态分布系数、地震加速度分布系数等反映水平地震随高度的放大作用。本条采用的高度增大系数取值源自《水工建筑物抗震设计标准》GB51247。</w:t>
      </w:r>
    </w:p>
    <w:p w14:paraId="53E7AD98">
      <w:pPr>
        <w:adjustRightInd w:val="0"/>
        <w:snapToGrid w:val="0"/>
        <w:spacing w:line="288" w:lineRule="auto"/>
        <w:rPr>
          <w:rFonts w:ascii="宋体" w:hAnsi="宋体"/>
          <w:sz w:val="20"/>
          <w:szCs w:val="20"/>
        </w:rPr>
      </w:pPr>
    </w:p>
    <w:p w14:paraId="268CDDFB">
      <w:pPr>
        <w:pStyle w:val="2"/>
      </w:pPr>
    </w:p>
    <w:p w14:paraId="0041D91C">
      <w:pPr>
        <w:pStyle w:val="2"/>
      </w:pPr>
    </w:p>
    <w:p w14:paraId="36B6475A">
      <w:pPr>
        <w:widowControl/>
        <w:jc w:val="left"/>
        <w:rPr>
          <w:szCs w:val="24"/>
        </w:rPr>
      </w:pPr>
      <w:r>
        <w:br w:type="page"/>
      </w:r>
    </w:p>
    <w:p w14:paraId="2C0A2242">
      <w:pPr>
        <w:pStyle w:val="5"/>
        <w:keepNext w:val="0"/>
        <w:keepLines w:val="0"/>
        <w:adjustRightInd w:val="0"/>
        <w:snapToGrid w:val="0"/>
        <w:spacing w:before="120" w:beforeLines="50" w:after="240" w:afterLines="100" w:line="288" w:lineRule="auto"/>
        <w:jc w:val="center"/>
        <w:rPr>
          <w:rFonts w:ascii="宋体" w:hAnsi="宋体"/>
          <w:b w:val="0"/>
          <w:sz w:val="20"/>
          <w:szCs w:val="20"/>
        </w:rPr>
      </w:pPr>
      <w:bookmarkStart w:id="593" w:name="_Toc466902416"/>
      <w:bookmarkStart w:id="594" w:name="_Toc467515873"/>
      <w:bookmarkStart w:id="595" w:name="_Toc139613825"/>
      <w:bookmarkStart w:id="596" w:name="_Toc131517269"/>
      <w:bookmarkStart w:id="597" w:name="_Toc131060614"/>
      <w:bookmarkStart w:id="598" w:name="_Toc468104775"/>
      <w:bookmarkStart w:id="599" w:name="_Toc437878893"/>
      <w:bookmarkStart w:id="600" w:name="_Toc432233024"/>
      <w:bookmarkStart w:id="601" w:name="_Toc444180197"/>
      <w:bookmarkStart w:id="602" w:name="_Toc417372433"/>
      <w:bookmarkStart w:id="603" w:name="_Toc468104780"/>
      <w:bookmarkStart w:id="604" w:name="_Toc467515878"/>
      <w:bookmarkStart w:id="605" w:name="_Toc131060619"/>
      <w:bookmarkStart w:id="606" w:name="_Toc131517274"/>
      <w:bookmarkStart w:id="607" w:name="_Toc415730056"/>
      <w:bookmarkStart w:id="608" w:name="_Toc437878898"/>
      <w:bookmarkStart w:id="609" w:name="_Toc444180202"/>
      <w:bookmarkStart w:id="610" w:name="_Toc466902421"/>
      <w:bookmarkStart w:id="611" w:name="_Toc427573494"/>
      <w:bookmarkStart w:id="612" w:name="_Toc432233029"/>
      <w:bookmarkStart w:id="613" w:name="_Toc409425824"/>
      <w:r>
        <w:rPr>
          <w:rFonts w:ascii="Times New Roman" w:hAnsi="Times New Roman"/>
          <w:sz w:val="26"/>
          <w:szCs w:val="26"/>
        </w:rPr>
        <w:t>10</w:t>
      </w:r>
      <w:r>
        <w:rPr>
          <w:rFonts w:hint="eastAsia" w:ascii="黑体" w:hAnsi="黑体"/>
          <w:b w:val="0"/>
          <w:sz w:val="26"/>
          <w:szCs w:val="26"/>
        </w:rPr>
        <w:t xml:space="preserve">  基坑开挖</w:t>
      </w:r>
      <w:bookmarkEnd w:id="593"/>
      <w:bookmarkEnd w:id="594"/>
      <w:bookmarkEnd w:id="595"/>
      <w:bookmarkEnd w:id="596"/>
      <w:bookmarkEnd w:id="597"/>
      <w:bookmarkEnd w:id="598"/>
      <w:bookmarkEnd w:id="599"/>
      <w:bookmarkEnd w:id="600"/>
      <w:bookmarkEnd w:id="601"/>
      <w:bookmarkStart w:id="614" w:name="_Toc415730031"/>
      <w:bookmarkStart w:id="615" w:name="_Toc427573469"/>
      <w:bookmarkStart w:id="616" w:name="_Toc417372408"/>
      <w:bookmarkStart w:id="617" w:name="_Toc428777605"/>
      <w:bookmarkStart w:id="618" w:name="_Toc468104776"/>
      <w:bookmarkStart w:id="619" w:name="_Toc437878894"/>
      <w:bookmarkStart w:id="620" w:name="_Toc467515874"/>
      <w:bookmarkStart w:id="621" w:name="_Toc466902417"/>
      <w:bookmarkStart w:id="622" w:name="_Toc432233025"/>
      <w:bookmarkStart w:id="623" w:name="_Toc444180198"/>
    </w:p>
    <w:p w14:paraId="054CFC1B">
      <w:pPr>
        <w:pStyle w:val="7"/>
        <w:keepNext w:val="0"/>
        <w:keepLines w:val="0"/>
        <w:adjustRightInd w:val="0"/>
        <w:snapToGrid w:val="0"/>
        <w:spacing w:before="240" w:beforeLines="100" w:after="240" w:afterLines="100" w:line="288" w:lineRule="auto"/>
        <w:jc w:val="center"/>
        <w:rPr>
          <w:rFonts w:eastAsia="黑体"/>
          <w:b w:val="0"/>
          <w:sz w:val="20"/>
          <w:szCs w:val="20"/>
        </w:rPr>
      </w:pPr>
      <w:bookmarkStart w:id="624" w:name="_Toc131517270"/>
      <w:bookmarkStart w:id="625" w:name="_Toc139613826"/>
      <w:bookmarkStart w:id="626" w:name="_Toc131060615"/>
      <w:r>
        <w:rPr>
          <w:rFonts w:eastAsia="黑体"/>
          <w:sz w:val="20"/>
          <w:szCs w:val="20"/>
        </w:rPr>
        <w:t>10.1</w:t>
      </w:r>
      <w:bookmarkEnd w:id="614"/>
      <w:bookmarkEnd w:id="615"/>
      <w:bookmarkEnd w:id="616"/>
      <w:bookmarkEnd w:id="617"/>
      <w:r>
        <w:rPr>
          <w:rFonts w:eastAsia="黑体"/>
          <w:b w:val="0"/>
          <w:sz w:val="20"/>
          <w:szCs w:val="20"/>
        </w:rPr>
        <w:t xml:space="preserve">  一般规定</w:t>
      </w:r>
      <w:bookmarkEnd w:id="618"/>
      <w:bookmarkEnd w:id="619"/>
      <w:bookmarkEnd w:id="620"/>
      <w:bookmarkEnd w:id="621"/>
      <w:bookmarkEnd w:id="622"/>
      <w:bookmarkEnd w:id="623"/>
      <w:bookmarkEnd w:id="624"/>
      <w:bookmarkEnd w:id="625"/>
      <w:bookmarkEnd w:id="626"/>
    </w:p>
    <w:p w14:paraId="1FCD7986">
      <w:pPr>
        <w:adjustRightInd w:val="0"/>
        <w:snapToGrid w:val="0"/>
        <w:spacing w:line="288" w:lineRule="auto"/>
        <w:rPr>
          <w:rFonts w:ascii="宋体" w:hAnsi="宋体"/>
          <w:sz w:val="20"/>
          <w:szCs w:val="20"/>
        </w:rPr>
      </w:pPr>
      <w:r>
        <w:rPr>
          <w:rFonts w:eastAsia="黑体"/>
          <w:b/>
          <w:bCs/>
          <w:kern w:val="0"/>
          <w:sz w:val="20"/>
          <w:szCs w:val="20"/>
        </w:rPr>
        <w:t>10.1.</w:t>
      </w:r>
      <w:r>
        <w:rPr>
          <w:rFonts w:hint="eastAsia" w:eastAsia="黑体"/>
          <w:b/>
          <w:bCs/>
          <w:kern w:val="0"/>
          <w:sz w:val="20"/>
          <w:szCs w:val="20"/>
        </w:rPr>
        <w:t xml:space="preserve">1  </w:t>
      </w:r>
      <w:r>
        <w:rPr>
          <w:rFonts w:hint="eastAsia" w:ascii="宋体" w:hAnsi="宋体"/>
          <w:sz w:val="20"/>
          <w:szCs w:val="20"/>
        </w:rPr>
        <w:t>本条强调应根据支护结构设计、地下水控制及周边环境要求确定基坑开挖方案，且开挖方案要符合设计条件及要求。</w:t>
      </w:r>
    </w:p>
    <w:p w14:paraId="33CFCD63">
      <w:pPr>
        <w:adjustRightInd w:val="0"/>
        <w:snapToGrid w:val="0"/>
        <w:spacing w:line="288" w:lineRule="auto"/>
        <w:rPr>
          <w:rFonts w:eastAsia="黑体"/>
          <w:sz w:val="20"/>
          <w:szCs w:val="20"/>
        </w:rPr>
      </w:pPr>
      <w:r>
        <w:rPr>
          <w:rFonts w:eastAsia="黑体"/>
          <w:b/>
          <w:bCs/>
          <w:kern w:val="0"/>
          <w:sz w:val="20"/>
          <w:szCs w:val="20"/>
        </w:rPr>
        <w:t>10.1.</w:t>
      </w:r>
      <w:r>
        <w:rPr>
          <w:rFonts w:hint="eastAsia" w:eastAsia="黑体"/>
          <w:b/>
          <w:bCs/>
          <w:kern w:val="0"/>
          <w:sz w:val="20"/>
          <w:szCs w:val="20"/>
        </w:rPr>
        <w:t xml:space="preserve">2  </w:t>
      </w:r>
      <w:r>
        <w:rPr>
          <w:rFonts w:hint="eastAsia" w:ascii="宋体" w:hAnsi="宋体"/>
          <w:sz w:val="20"/>
          <w:szCs w:val="20"/>
        </w:rPr>
        <w:t>基坑周边荷载包括施工材料、设施、设备或车辆荷载等。基坑周边荷载严禁超过设计要求的地面荷载限值，且其分布范围严禁越过设计要求的边界。基坑土方开挖应本着：自上而下分段分层、依次进行，随时作成一定的坡度，以利泄水，避免先挖坡脚，造成坡体失稳。相邻基坑和管沟开挖时，应遵循先深后浅或同时进行的施工顺序。</w:t>
      </w:r>
      <w:bookmarkStart w:id="627" w:name="_Toc468104777"/>
      <w:bookmarkStart w:id="628" w:name="_Toc432233026"/>
      <w:bookmarkStart w:id="629" w:name="_Toc466902418"/>
      <w:bookmarkStart w:id="630" w:name="_Toc444180199"/>
      <w:bookmarkStart w:id="631" w:name="_Toc437878895"/>
      <w:bookmarkStart w:id="632" w:name="_Toc467515875"/>
    </w:p>
    <w:p w14:paraId="16680F28">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633" w:name="_Toc139613827"/>
      <w:bookmarkStart w:id="634" w:name="_Toc131517271"/>
      <w:bookmarkStart w:id="635" w:name="_Toc131060616"/>
      <w:r>
        <w:rPr>
          <w:rFonts w:eastAsia="黑体"/>
          <w:sz w:val="20"/>
          <w:szCs w:val="20"/>
        </w:rPr>
        <w:t>10</w:t>
      </w:r>
      <w:r>
        <w:rPr>
          <w:rFonts w:hint="eastAsia" w:eastAsia="黑体"/>
          <w:sz w:val="20"/>
          <w:szCs w:val="20"/>
        </w:rPr>
        <w:t>.2</w:t>
      </w:r>
      <w:r>
        <w:rPr>
          <w:rFonts w:eastAsia="黑体"/>
          <w:sz w:val="20"/>
          <w:szCs w:val="20"/>
        </w:rPr>
        <w:t xml:space="preserve">  </w:t>
      </w:r>
      <w:r>
        <w:rPr>
          <w:rFonts w:hint="eastAsia" w:eastAsia="黑体"/>
          <w:b w:val="0"/>
          <w:sz w:val="20"/>
          <w:szCs w:val="20"/>
        </w:rPr>
        <w:t>开    挖</w:t>
      </w:r>
      <w:bookmarkEnd w:id="627"/>
      <w:bookmarkEnd w:id="628"/>
      <w:bookmarkEnd w:id="629"/>
      <w:bookmarkEnd w:id="630"/>
      <w:bookmarkEnd w:id="631"/>
      <w:bookmarkEnd w:id="632"/>
      <w:bookmarkEnd w:id="633"/>
      <w:bookmarkEnd w:id="634"/>
      <w:bookmarkEnd w:id="635"/>
    </w:p>
    <w:p w14:paraId="133AC134">
      <w:pPr>
        <w:adjustRightInd w:val="0"/>
        <w:snapToGrid w:val="0"/>
        <w:spacing w:line="288" w:lineRule="auto"/>
        <w:rPr>
          <w:rFonts w:ascii="宋体" w:hAnsi="宋体"/>
          <w:sz w:val="20"/>
          <w:szCs w:val="20"/>
        </w:rPr>
      </w:pPr>
      <w:r>
        <w:rPr>
          <w:rFonts w:hint="eastAsia" w:eastAsia="黑体"/>
          <w:b/>
          <w:bCs/>
          <w:kern w:val="0"/>
          <w:sz w:val="20"/>
          <w:szCs w:val="20"/>
        </w:rPr>
        <w:t xml:space="preserve">10.2.2  </w:t>
      </w:r>
      <w:r>
        <w:rPr>
          <w:rFonts w:hint="eastAsia" w:ascii="宋体" w:hAnsi="宋体"/>
          <w:sz w:val="20"/>
          <w:szCs w:val="20"/>
        </w:rPr>
        <w:t>本条规定了基坑开挖方案应包括的内容，特别强调应考虑与支护结构形式相适应的开挖方式、开挖时间、开挖顺序。</w:t>
      </w:r>
    </w:p>
    <w:p w14:paraId="18D5E077">
      <w:pPr>
        <w:adjustRightInd w:val="0"/>
        <w:snapToGrid w:val="0"/>
        <w:spacing w:line="288" w:lineRule="auto"/>
        <w:rPr>
          <w:rFonts w:ascii="宋体" w:hAnsi="宋体"/>
          <w:sz w:val="20"/>
          <w:szCs w:val="20"/>
        </w:rPr>
      </w:pPr>
      <w:r>
        <w:rPr>
          <w:rFonts w:eastAsia="黑体"/>
          <w:b/>
          <w:bCs/>
          <w:spacing w:val="0"/>
          <w:w w:val="100"/>
          <w:kern w:val="0"/>
          <w:sz w:val="20"/>
          <w:szCs w:val="20"/>
          <w:fitText w:val="503" w:id="1972266832"/>
        </w:rPr>
        <w:t>10.2.4</w:t>
      </w:r>
      <w:r>
        <w:rPr>
          <w:rFonts w:hint="eastAsia" w:eastAsia="黑体"/>
          <w:b/>
          <w:bCs/>
          <w:sz w:val="20"/>
          <w:szCs w:val="20"/>
        </w:rPr>
        <w:t xml:space="preserve"> </w:t>
      </w:r>
      <w:r>
        <w:rPr>
          <w:rFonts w:hint="eastAsia" w:ascii="宋体" w:hAnsi="宋体"/>
          <w:sz w:val="20"/>
          <w:szCs w:val="20"/>
        </w:rPr>
        <w:t xml:space="preserve"> </w:t>
      </w:r>
      <w:r>
        <w:rPr>
          <w:rFonts w:hint="eastAsia" w:ascii="宋体" w:hAnsi="宋体"/>
          <w:spacing w:val="-2"/>
          <w:sz w:val="20"/>
          <w:szCs w:val="20"/>
        </w:rPr>
        <w:t>本条特别强调应考虑冬季、雨季等气候影响因素对开挖的影响。</w:t>
      </w:r>
    </w:p>
    <w:p w14:paraId="7CB41661">
      <w:pPr>
        <w:adjustRightInd w:val="0"/>
        <w:snapToGrid w:val="0"/>
        <w:spacing w:line="288" w:lineRule="auto"/>
        <w:rPr>
          <w:rFonts w:ascii="宋体" w:hAnsi="宋体"/>
          <w:sz w:val="20"/>
          <w:szCs w:val="20"/>
        </w:rPr>
      </w:pPr>
      <w:r>
        <w:rPr>
          <w:rFonts w:eastAsia="黑体"/>
          <w:b/>
          <w:bCs/>
          <w:spacing w:val="0"/>
          <w:w w:val="100"/>
          <w:kern w:val="0"/>
          <w:sz w:val="20"/>
          <w:szCs w:val="20"/>
          <w:fitText w:val="503" w:id="562200388"/>
        </w:rPr>
        <w:t>10.2.5</w:t>
      </w:r>
      <w:r>
        <w:rPr>
          <w:rFonts w:hint="eastAsia" w:eastAsia="黑体"/>
          <w:b/>
          <w:bCs/>
          <w:sz w:val="20"/>
          <w:szCs w:val="20"/>
        </w:rPr>
        <w:t xml:space="preserve"> </w:t>
      </w:r>
      <w:r>
        <w:rPr>
          <w:rFonts w:hint="eastAsia" w:ascii="宋体" w:hAnsi="宋体"/>
          <w:sz w:val="20"/>
          <w:szCs w:val="20"/>
        </w:rPr>
        <w:t xml:space="preserve"> 本条强调了在土方开挖过程中，发生支护结构、周边环境变形超过控制值或发生与原设计条件及设计工况不符现象等异常情况时，应立即停止开挖，采取相应处理措施后方可继续开挖施工。</w:t>
      </w:r>
    </w:p>
    <w:p w14:paraId="7112D89D">
      <w:pPr>
        <w:adjustRightInd w:val="0"/>
        <w:snapToGrid w:val="0"/>
        <w:spacing w:line="288" w:lineRule="auto"/>
        <w:rPr>
          <w:rFonts w:ascii="宋体" w:hAnsi="宋体"/>
          <w:sz w:val="20"/>
          <w:szCs w:val="20"/>
        </w:rPr>
      </w:pPr>
      <w:r>
        <w:rPr>
          <w:rFonts w:eastAsia="黑体"/>
          <w:b/>
          <w:bCs/>
          <w:spacing w:val="0"/>
          <w:w w:val="100"/>
          <w:kern w:val="0"/>
          <w:sz w:val="20"/>
          <w:szCs w:val="20"/>
          <w:fitText w:val="503" w:id="372254355"/>
        </w:rPr>
        <w:t>10.2.6</w:t>
      </w:r>
      <w:r>
        <w:rPr>
          <w:rFonts w:hint="eastAsia" w:eastAsia="黑体"/>
          <w:b/>
          <w:bCs/>
          <w:sz w:val="20"/>
          <w:szCs w:val="20"/>
        </w:rPr>
        <w:t xml:space="preserve"> </w:t>
      </w:r>
      <w:r>
        <w:rPr>
          <w:rFonts w:hint="eastAsia" w:ascii="宋体" w:hAnsi="宋体"/>
          <w:sz w:val="20"/>
          <w:szCs w:val="20"/>
        </w:rPr>
        <w:t xml:space="preserve"> 坑内地下水位指坑内大面积的地下水水位，应低于开挖面</w:t>
      </w:r>
      <w:r>
        <w:rPr>
          <w:sz w:val="20"/>
          <w:szCs w:val="20"/>
        </w:rPr>
        <w:t>0.5m</w:t>
      </w:r>
      <w:r>
        <w:rPr>
          <w:rFonts w:hint="eastAsia" w:ascii="宋体" w:hAnsi="宋体"/>
          <w:sz w:val="20"/>
          <w:szCs w:val="20"/>
        </w:rPr>
        <w:t>以上方可进行土方开挖。</w:t>
      </w:r>
    </w:p>
    <w:p w14:paraId="3103AC7A">
      <w:pPr>
        <w:adjustRightInd w:val="0"/>
        <w:snapToGrid w:val="0"/>
        <w:spacing w:line="288" w:lineRule="auto"/>
        <w:rPr>
          <w:rFonts w:eastAsia="黑体"/>
          <w:sz w:val="20"/>
          <w:szCs w:val="20"/>
        </w:rPr>
      </w:pPr>
      <w:r>
        <w:rPr>
          <w:rFonts w:eastAsia="黑体"/>
          <w:b/>
          <w:bCs/>
          <w:spacing w:val="0"/>
          <w:w w:val="100"/>
          <w:kern w:val="0"/>
          <w:sz w:val="20"/>
          <w:szCs w:val="20"/>
          <w:fitText w:val="503" w:id="378094682"/>
        </w:rPr>
        <w:t>10.2.8</w:t>
      </w:r>
      <w:r>
        <w:rPr>
          <w:rFonts w:hint="eastAsia" w:ascii="宋体" w:hAnsi="宋体"/>
          <w:sz w:val="20"/>
          <w:szCs w:val="20"/>
        </w:rPr>
        <w:t xml:space="preserve">  对基坑土方开挖时的支护结构、工程桩和槽底的防护及保护提出了基本要求。</w:t>
      </w:r>
      <w:bookmarkStart w:id="636" w:name="_Toc432233027"/>
      <w:bookmarkStart w:id="637" w:name="_Toc466902419"/>
      <w:bookmarkStart w:id="638" w:name="_Toc437878896"/>
      <w:bookmarkStart w:id="639" w:name="_Toc468104778"/>
      <w:bookmarkStart w:id="640" w:name="_Toc467515876"/>
      <w:bookmarkStart w:id="641" w:name="_Toc444180200"/>
    </w:p>
    <w:p w14:paraId="792C6E8C">
      <w:pPr>
        <w:pStyle w:val="7"/>
        <w:keepNext w:val="0"/>
        <w:keepLines w:val="0"/>
        <w:adjustRightInd w:val="0"/>
        <w:snapToGrid w:val="0"/>
        <w:spacing w:before="192" w:beforeLines="80" w:after="192" w:afterLines="80" w:line="288" w:lineRule="auto"/>
        <w:jc w:val="center"/>
        <w:rPr>
          <w:rFonts w:ascii="宋体" w:hAnsi="宋体" w:eastAsia="黑体"/>
          <w:b w:val="0"/>
          <w:sz w:val="20"/>
          <w:szCs w:val="20"/>
        </w:rPr>
      </w:pPr>
      <w:bookmarkStart w:id="642" w:name="_Toc131517272"/>
      <w:bookmarkStart w:id="643" w:name="_Toc131060617"/>
      <w:bookmarkStart w:id="644" w:name="_Toc139613828"/>
      <w:r>
        <w:rPr>
          <w:rFonts w:eastAsia="黑体"/>
          <w:sz w:val="20"/>
          <w:szCs w:val="20"/>
        </w:rPr>
        <w:t>10</w:t>
      </w:r>
      <w:r>
        <w:rPr>
          <w:rFonts w:hint="eastAsia" w:eastAsia="黑体"/>
          <w:sz w:val="20"/>
          <w:szCs w:val="20"/>
        </w:rPr>
        <w:t>.3</w:t>
      </w:r>
      <w:r>
        <w:rPr>
          <w:rFonts w:eastAsia="黑体"/>
          <w:sz w:val="20"/>
          <w:szCs w:val="20"/>
        </w:rPr>
        <w:t xml:space="preserve">  </w:t>
      </w:r>
      <w:bookmarkEnd w:id="636"/>
      <w:bookmarkEnd w:id="637"/>
      <w:bookmarkEnd w:id="638"/>
      <w:bookmarkEnd w:id="639"/>
      <w:bookmarkEnd w:id="640"/>
      <w:bookmarkEnd w:id="641"/>
      <w:bookmarkEnd w:id="642"/>
      <w:bookmarkEnd w:id="643"/>
      <w:r>
        <w:rPr>
          <w:rFonts w:hint="eastAsia" w:ascii="黑体" w:hAnsi="黑体" w:eastAsia="黑体"/>
          <w:b w:val="0"/>
          <w:sz w:val="20"/>
          <w:szCs w:val="20"/>
        </w:rPr>
        <w:t>基坑防排水</w:t>
      </w:r>
      <w:bookmarkEnd w:id="644"/>
    </w:p>
    <w:p w14:paraId="7C7F1CB6">
      <w:pPr>
        <w:adjustRightInd w:val="0"/>
        <w:snapToGrid w:val="0"/>
        <w:spacing w:line="288" w:lineRule="auto"/>
        <w:rPr>
          <w:rFonts w:ascii="宋体" w:hAnsi="宋体"/>
          <w:sz w:val="20"/>
          <w:szCs w:val="20"/>
        </w:rPr>
      </w:pPr>
      <w:r>
        <w:rPr>
          <w:rFonts w:eastAsia="黑体"/>
          <w:b/>
          <w:bCs/>
          <w:kern w:val="0"/>
          <w:sz w:val="20"/>
          <w:szCs w:val="20"/>
        </w:rPr>
        <w:t>10.3.</w:t>
      </w:r>
      <w:r>
        <w:rPr>
          <w:rFonts w:hint="eastAsia" w:eastAsia="黑体"/>
          <w:b/>
          <w:bCs/>
          <w:kern w:val="0"/>
          <w:sz w:val="20"/>
          <w:szCs w:val="20"/>
        </w:rPr>
        <w:t xml:space="preserve">1  </w:t>
      </w:r>
      <w:r>
        <w:rPr>
          <w:rFonts w:hint="eastAsia" w:ascii="宋体" w:hAnsi="宋体"/>
          <w:sz w:val="20"/>
          <w:szCs w:val="20"/>
        </w:rPr>
        <w:t>基坑安全事故多数是由于水的原因造成的，本条强调对基坑周边地面、槽底采取截排水措施，使基坑内不积水，在放坡开挖时应对坡顶、坡面、坡脚采取保护措施，防止地表水流入坑壁后土体以确保基坑的稳定性与安全性。</w:t>
      </w:r>
    </w:p>
    <w:p w14:paraId="5AD716BB">
      <w:pPr>
        <w:adjustRightInd w:val="0"/>
        <w:snapToGrid w:val="0"/>
        <w:spacing w:line="288" w:lineRule="auto"/>
        <w:rPr>
          <w:rFonts w:ascii="宋体" w:hAnsi="宋体"/>
          <w:sz w:val="20"/>
          <w:szCs w:val="20"/>
        </w:rPr>
      </w:pPr>
      <w:r>
        <w:rPr>
          <w:rFonts w:eastAsia="黑体"/>
          <w:b/>
          <w:bCs/>
          <w:kern w:val="0"/>
          <w:sz w:val="20"/>
          <w:szCs w:val="20"/>
        </w:rPr>
        <w:t>10.3.</w:t>
      </w:r>
      <w:r>
        <w:rPr>
          <w:rFonts w:hint="eastAsia" w:eastAsia="黑体"/>
          <w:b/>
          <w:bCs/>
          <w:kern w:val="0"/>
          <w:sz w:val="20"/>
          <w:szCs w:val="20"/>
        </w:rPr>
        <w:t xml:space="preserve">2  </w:t>
      </w:r>
      <w:r>
        <w:rPr>
          <w:rFonts w:hint="eastAsia" w:ascii="宋体" w:hAnsi="宋体"/>
          <w:sz w:val="20"/>
          <w:szCs w:val="20"/>
        </w:rPr>
        <w:t>本条强调在土方开挖过程中如发现基坑侧壁出现渗水或漏水时，应立即停止开挖，及时查明原因，采取封堵、明排等措施，避免造成坑壁后土体流失，从而影响支护结构稳定性。</w:t>
      </w:r>
      <w:bookmarkStart w:id="645" w:name="_Toc467515877"/>
      <w:bookmarkStart w:id="646" w:name="_Toc466902420"/>
      <w:bookmarkStart w:id="647" w:name="_Toc444180201"/>
      <w:bookmarkStart w:id="648" w:name="_Toc432233028"/>
      <w:bookmarkStart w:id="649" w:name="_Toc437878897"/>
      <w:bookmarkStart w:id="650" w:name="_Toc468104779"/>
    </w:p>
    <w:p w14:paraId="545280FD">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651" w:name="_Toc131060618"/>
      <w:bookmarkStart w:id="652" w:name="_Toc139613829"/>
      <w:bookmarkStart w:id="653" w:name="_Toc131517273"/>
      <w:r>
        <w:rPr>
          <w:rFonts w:eastAsia="黑体"/>
          <w:sz w:val="20"/>
          <w:szCs w:val="20"/>
        </w:rPr>
        <w:t>10.</w:t>
      </w:r>
      <w:r>
        <w:rPr>
          <w:rFonts w:hint="eastAsia" w:eastAsia="黑体"/>
          <w:sz w:val="20"/>
          <w:szCs w:val="20"/>
        </w:rPr>
        <w:t>4</w:t>
      </w:r>
      <w:r>
        <w:rPr>
          <w:rFonts w:eastAsia="黑体"/>
          <w:sz w:val="20"/>
          <w:szCs w:val="20"/>
        </w:rPr>
        <w:t xml:space="preserve">  </w:t>
      </w:r>
      <w:r>
        <w:rPr>
          <w:rFonts w:hint="eastAsia" w:ascii="黑体" w:hAnsi="黑体" w:eastAsia="黑体"/>
          <w:b w:val="0"/>
          <w:sz w:val="20"/>
          <w:szCs w:val="20"/>
        </w:rPr>
        <w:t>封底及回填</w:t>
      </w:r>
      <w:bookmarkEnd w:id="645"/>
      <w:bookmarkEnd w:id="646"/>
      <w:bookmarkEnd w:id="647"/>
      <w:bookmarkEnd w:id="648"/>
      <w:bookmarkEnd w:id="649"/>
      <w:bookmarkEnd w:id="650"/>
      <w:bookmarkEnd w:id="651"/>
      <w:bookmarkEnd w:id="652"/>
      <w:bookmarkEnd w:id="653"/>
    </w:p>
    <w:p w14:paraId="0E8BCBF6">
      <w:pPr>
        <w:adjustRightInd w:val="0"/>
        <w:snapToGrid w:val="0"/>
        <w:spacing w:line="288" w:lineRule="auto"/>
        <w:rPr>
          <w:rFonts w:ascii="宋体" w:hAnsi="宋体"/>
          <w:sz w:val="20"/>
          <w:szCs w:val="20"/>
        </w:rPr>
      </w:pPr>
      <w:r>
        <w:rPr>
          <w:rFonts w:eastAsia="黑体"/>
          <w:b/>
          <w:bCs/>
          <w:kern w:val="0"/>
          <w:sz w:val="20"/>
          <w:szCs w:val="20"/>
        </w:rPr>
        <w:t>10.4.</w:t>
      </w:r>
      <w:r>
        <w:rPr>
          <w:rFonts w:hint="eastAsia" w:eastAsia="黑体"/>
          <w:b/>
          <w:bCs/>
          <w:kern w:val="0"/>
          <w:sz w:val="20"/>
          <w:szCs w:val="20"/>
        </w:rPr>
        <w:t>1～</w:t>
      </w:r>
      <w:r>
        <w:rPr>
          <w:rFonts w:eastAsia="黑体"/>
          <w:b/>
          <w:bCs/>
          <w:kern w:val="0"/>
          <w:sz w:val="20"/>
          <w:szCs w:val="20"/>
        </w:rPr>
        <w:t>10.4.</w:t>
      </w:r>
      <w:r>
        <w:rPr>
          <w:rFonts w:hint="eastAsia" w:eastAsia="黑体"/>
          <w:b/>
          <w:bCs/>
          <w:kern w:val="0"/>
          <w:sz w:val="20"/>
          <w:szCs w:val="20"/>
        </w:rPr>
        <w:t xml:space="preserve">2  </w:t>
      </w:r>
      <w:r>
        <w:rPr>
          <w:rFonts w:hint="eastAsia" w:ascii="宋体" w:hAnsi="宋体"/>
          <w:sz w:val="20"/>
          <w:szCs w:val="20"/>
        </w:rPr>
        <w:t>本条强调在基坑开挖完成后，要及时对槽底的地基土进行防护和保护。在深厚软土中，当基坑开挖较深时，基底土的回弹可引起桩身上浮、桩身开裂，影响单桩承载力和桩身耐久性，应引起高度重视，尤其对于深度超过15米的，基坑宜设坑底土回弹监测点，回弹隆起是随着卸荷逐步发生的，因此，应尽快补充失去的土荷载。</w:t>
      </w:r>
    </w:p>
    <w:p w14:paraId="7230A2B8">
      <w:pPr>
        <w:adjustRightInd w:val="0"/>
        <w:snapToGrid w:val="0"/>
        <w:spacing w:line="288" w:lineRule="auto"/>
        <w:rPr>
          <w:rFonts w:ascii="宋体" w:hAnsi="宋体"/>
          <w:sz w:val="20"/>
          <w:szCs w:val="20"/>
        </w:rPr>
      </w:pPr>
      <w:r>
        <w:rPr>
          <w:rFonts w:eastAsia="黑体"/>
          <w:b/>
          <w:bCs/>
          <w:kern w:val="0"/>
          <w:sz w:val="20"/>
          <w:szCs w:val="20"/>
        </w:rPr>
        <w:t>10.4.</w:t>
      </w:r>
      <w:r>
        <w:rPr>
          <w:rFonts w:hint="eastAsia" w:eastAsia="黑体"/>
          <w:b/>
          <w:bCs/>
          <w:kern w:val="0"/>
          <w:sz w:val="20"/>
          <w:szCs w:val="20"/>
        </w:rPr>
        <w:t xml:space="preserve">3 </w:t>
      </w:r>
      <w:r>
        <w:rPr>
          <w:rFonts w:eastAsia="黑体"/>
          <w:b/>
          <w:bCs/>
          <w:kern w:val="0"/>
          <w:sz w:val="20"/>
          <w:szCs w:val="20"/>
        </w:rPr>
        <w:t xml:space="preserve"> </w:t>
      </w:r>
      <w:r>
        <w:rPr>
          <w:rFonts w:hint="eastAsia" w:ascii="宋体" w:hAnsi="宋体"/>
          <w:sz w:val="20"/>
          <w:szCs w:val="20"/>
        </w:rPr>
        <w:t>回填土不得用腐植土、冻土及含水量大的土。</w:t>
      </w:r>
    </w:p>
    <w:p w14:paraId="3EA6EF58">
      <w:pPr>
        <w:adjustRightInd w:val="0"/>
        <w:snapToGrid w:val="0"/>
        <w:spacing w:line="288" w:lineRule="auto"/>
        <w:ind w:firstLine="400" w:firstLineChars="200"/>
        <w:rPr>
          <w:rFonts w:ascii="宋体" w:hAnsi="宋体"/>
          <w:sz w:val="20"/>
          <w:szCs w:val="20"/>
        </w:rPr>
      </w:pPr>
      <w:r>
        <w:rPr>
          <w:rFonts w:hint="eastAsia" w:ascii="宋体" w:hAnsi="宋体"/>
          <w:sz w:val="20"/>
          <w:szCs w:val="20"/>
        </w:rPr>
        <w:t>目前大部分工程肥槽回填均采用土方车或铲车直接倒入填土方式，监理也疏于管理，导致肥槽回填质量极差。以北京某大厦肥槽回填为例，采用该方法回填后不到两年时间，由于水的浸泡，导致肥槽部位填土沉降陷落，进而导致该部位埋设的多种管线折断，造成该大厦停电停水停气等严重后果。为了修复肥槽填土密实，采用了小型设备单管旋喷钻机进行高压旋喷注浆，造价超过300万元。建设方被迫起诉施工方，金额巨大。这是一起典型的由于肥槽回填施工质量引起的合同纠纷的案例。</w:t>
      </w:r>
    </w:p>
    <w:p w14:paraId="5D98CC29">
      <w:pPr>
        <w:adjustRightInd w:val="0"/>
        <w:snapToGrid w:val="0"/>
        <w:spacing w:line="288" w:lineRule="auto"/>
        <w:ind w:firstLine="400" w:firstLineChars="200"/>
        <w:rPr>
          <w:rFonts w:ascii="宋体" w:hAnsi="宋体"/>
          <w:sz w:val="20"/>
          <w:szCs w:val="20"/>
        </w:rPr>
      </w:pPr>
      <w:r>
        <w:rPr>
          <w:rFonts w:hint="eastAsia" w:ascii="宋体" w:hAnsi="宋体"/>
          <w:sz w:val="20"/>
          <w:szCs w:val="20"/>
        </w:rPr>
        <w:t>还有因肥槽狭窄，无法实施回填土分层夯实，嫌低标号混凝土和砂浆贵，选择了级配砂石作回填料，相应采用了“水夯法”，即边填料边用水冲使之密实，这种做法也是不可取的。</w:t>
      </w:r>
    </w:p>
    <w:p w14:paraId="77C6A7D9">
      <w:pPr>
        <w:adjustRightInd w:val="0"/>
        <w:snapToGrid w:val="0"/>
        <w:spacing w:line="288" w:lineRule="auto"/>
        <w:ind w:firstLine="400" w:firstLineChars="200"/>
        <w:rPr>
          <w:rFonts w:ascii="宋体" w:hAnsi="宋体"/>
          <w:sz w:val="20"/>
          <w:szCs w:val="20"/>
        </w:rPr>
      </w:pPr>
      <w:r>
        <w:rPr>
          <w:rFonts w:hint="eastAsia" w:ascii="宋体" w:hAnsi="宋体"/>
          <w:sz w:val="20"/>
          <w:szCs w:val="20"/>
        </w:rPr>
        <w:t>一种情况底板上设后浇带，尚可通过坑内的抽水井将该部分水抽出；另一种情况则是未设后浇带，这些水对该部分建构筑物浮力不可忽视，某工程由于采用水夯法回填肥槽导致底板开裂即是案例。</w:t>
      </w:r>
    </w:p>
    <w:p w14:paraId="4B3389B4">
      <w:pPr>
        <w:adjustRightInd w:val="0"/>
        <w:snapToGrid w:val="0"/>
        <w:spacing w:line="288" w:lineRule="auto"/>
        <w:ind w:firstLine="400" w:firstLineChars="200"/>
        <w:rPr>
          <w:rFonts w:ascii="宋体" w:hAnsi="宋体"/>
          <w:sz w:val="20"/>
          <w:szCs w:val="20"/>
        </w:rPr>
      </w:pPr>
      <w:r>
        <w:rPr>
          <w:rFonts w:hint="eastAsia" w:ascii="宋体" w:hAnsi="宋体"/>
          <w:sz w:val="20"/>
          <w:szCs w:val="20"/>
        </w:rPr>
        <w:t>尤其当有不良地质情况时及时回填是十分必要的，又由于肥槽狭窄若采用水夯法，其后果将是很严重的，例如有顺向基坑的煤层，大量水的灌入可能导致临近建筑物地基基础水浸、开裂。</w:t>
      </w:r>
    </w:p>
    <w:p w14:paraId="2F38EB8C">
      <w:pPr>
        <w:adjustRightInd w:val="0"/>
        <w:snapToGrid w:val="0"/>
        <w:spacing w:line="288" w:lineRule="auto"/>
        <w:ind w:firstLine="400" w:firstLineChars="200"/>
        <w:rPr>
          <w:rFonts w:ascii="宋体" w:hAnsi="宋体"/>
          <w:sz w:val="20"/>
          <w:szCs w:val="20"/>
        </w:rPr>
      </w:pPr>
      <w:r>
        <w:rPr>
          <w:rFonts w:hint="eastAsia" w:ascii="宋体" w:hAnsi="宋体"/>
          <w:sz w:val="20"/>
          <w:szCs w:val="20"/>
        </w:rPr>
        <w:t>因此要求施工方采用合适的材料及方法进行回填，既可保证质量安全快捷又经济环保。</w:t>
      </w:r>
    </w:p>
    <w:p w14:paraId="7EB6E8D2">
      <w:pPr>
        <w:pStyle w:val="5"/>
        <w:keepNext w:val="0"/>
        <w:keepLines w:val="0"/>
        <w:adjustRightInd w:val="0"/>
        <w:snapToGrid w:val="0"/>
        <w:spacing w:before="120" w:beforeLines="50" w:after="240" w:afterLines="100" w:line="288" w:lineRule="auto"/>
        <w:jc w:val="center"/>
        <w:rPr>
          <w:rFonts w:ascii="宋体" w:hAnsi="宋体"/>
          <w:b w:val="0"/>
          <w:sz w:val="20"/>
          <w:szCs w:val="20"/>
        </w:rPr>
      </w:pPr>
      <w:r>
        <w:rPr>
          <w:sz w:val="26"/>
          <w:szCs w:val="26"/>
        </w:rPr>
        <w:br w:type="page"/>
      </w:r>
      <w:bookmarkStart w:id="654" w:name="_Toc139613830"/>
      <w:r>
        <w:rPr>
          <w:rFonts w:ascii="Times New Roman" w:hAnsi="Times New Roman" w:eastAsia="宋体"/>
          <w:sz w:val="26"/>
          <w:szCs w:val="26"/>
        </w:rPr>
        <w:t>11</w:t>
      </w:r>
      <w:r>
        <w:rPr>
          <w:rFonts w:hint="eastAsia" w:ascii="宋体" w:hAnsi="宋体" w:eastAsia="宋体"/>
          <w:b w:val="0"/>
          <w:sz w:val="26"/>
          <w:szCs w:val="26"/>
        </w:rPr>
        <w:t xml:space="preserve">  </w:t>
      </w:r>
      <w:r>
        <w:rPr>
          <w:rFonts w:hint="eastAsia" w:ascii="黑体" w:hAnsi="黑体"/>
          <w:b w:val="0"/>
          <w:sz w:val="26"/>
          <w:szCs w:val="26"/>
        </w:rPr>
        <w:t>监    测</w:t>
      </w:r>
      <w:bookmarkEnd w:id="654"/>
      <w:bookmarkStart w:id="655" w:name="_Toc409425825"/>
      <w:bookmarkStart w:id="656" w:name="_Toc437878899"/>
      <w:bookmarkStart w:id="657" w:name="_Toc432233030"/>
      <w:bookmarkStart w:id="658" w:name="_Toc427573495"/>
      <w:bookmarkStart w:id="659" w:name="_Toc467515879"/>
      <w:bookmarkStart w:id="660" w:name="_Toc417372434"/>
      <w:bookmarkStart w:id="661" w:name="_Toc466902422"/>
      <w:bookmarkStart w:id="662" w:name="_Toc468104781"/>
      <w:bookmarkStart w:id="663" w:name="_Toc444180203"/>
      <w:bookmarkStart w:id="664" w:name="_Toc415730057"/>
    </w:p>
    <w:p w14:paraId="7D5D6807">
      <w:pPr>
        <w:pStyle w:val="7"/>
        <w:keepNext w:val="0"/>
        <w:keepLines w:val="0"/>
        <w:adjustRightInd w:val="0"/>
        <w:snapToGrid w:val="0"/>
        <w:spacing w:before="240" w:beforeLines="100" w:after="240" w:afterLines="100" w:line="288" w:lineRule="auto"/>
        <w:jc w:val="center"/>
        <w:rPr>
          <w:rFonts w:eastAsia="黑体"/>
          <w:b w:val="0"/>
          <w:sz w:val="20"/>
          <w:szCs w:val="20"/>
        </w:rPr>
      </w:pPr>
      <w:bookmarkStart w:id="665" w:name="_Toc131517275"/>
      <w:bookmarkStart w:id="666" w:name="_Toc139613831"/>
      <w:bookmarkStart w:id="667" w:name="_Toc131060620"/>
      <w:r>
        <w:rPr>
          <w:rFonts w:eastAsia="黑体"/>
          <w:sz w:val="20"/>
          <w:szCs w:val="20"/>
        </w:rPr>
        <w:t>11.1</w:t>
      </w:r>
      <w:r>
        <w:rPr>
          <w:rFonts w:eastAsia="黑体"/>
          <w:b w:val="0"/>
          <w:sz w:val="20"/>
          <w:szCs w:val="20"/>
        </w:rPr>
        <w:t xml:space="preserve">  一般规定</w:t>
      </w:r>
      <w:bookmarkEnd w:id="655"/>
      <w:bookmarkEnd w:id="656"/>
      <w:bookmarkEnd w:id="657"/>
      <w:bookmarkEnd w:id="658"/>
      <w:bookmarkEnd w:id="659"/>
      <w:bookmarkEnd w:id="660"/>
      <w:bookmarkEnd w:id="661"/>
      <w:bookmarkEnd w:id="662"/>
      <w:bookmarkEnd w:id="663"/>
      <w:bookmarkEnd w:id="664"/>
      <w:bookmarkEnd w:id="665"/>
      <w:bookmarkEnd w:id="666"/>
      <w:bookmarkEnd w:id="667"/>
    </w:p>
    <w:p w14:paraId="591143D0">
      <w:pPr>
        <w:adjustRightInd w:val="0"/>
        <w:snapToGrid w:val="0"/>
        <w:spacing w:line="288" w:lineRule="auto"/>
        <w:rPr>
          <w:rFonts w:ascii="宋体" w:hAnsi="宋体"/>
          <w:sz w:val="20"/>
          <w:szCs w:val="20"/>
        </w:rPr>
      </w:pPr>
      <w:r>
        <w:rPr>
          <w:rFonts w:eastAsia="黑体"/>
          <w:b/>
          <w:bCs/>
          <w:kern w:val="0"/>
          <w:sz w:val="20"/>
          <w:szCs w:val="20"/>
        </w:rPr>
        <w:t>11.1.</w:t>
      </w:r>
      <w:r>
        <w:rPr>
          <w:rFonts w:hint="eastAsia" w:eastAsia="黑体"/>
          <w:b/>
          <w:bCs/>
          <w:kern w:val="0"/>
          <w:sz w:val="20"/>
          <w:szCs w:val="20"/>
        </w:rPr>
        <w:t xml:space="preserve">5  </w:t>
      </w:r>
      <w:r>
        <w:rPr>
          <w:rFonts w:hint="eastAsia" w:ascii="宋体" w:hAnsi="宋体"/>
          <w:sz w:val="20"/>
          <w:szCs w:val="20"/>
        </w:rPr>
        <w:t>监测单位应严格依据监测方案进行监测，并及时处理、分析监测数据，而不是仅仅提供实际监测数据，这样才能为基坑工程实施动态设计和信息化施工提供可靠依据。当监测数据达到监测预警值时，监测单位必须立即通报建设方及相关单位，以便建设单位和有关各方及时分析原因并采取相应措施。</w:t>
      </w:r>
    </w:p>
    <w:p w14:paraId="4D124AE5">
      <w:pPr>
        <w:adjustRightInd w:val="0"/>
        <w:snapToGrid w:val="0"/>
        <w:spacing w:line="288" w:lineRule="auto"/>
        <w:rPr>
          <w:rFonts w:eastAsia="黑体"/>
          <w:sz w:val="20"/>
          <w:szCs w:val="20"/>
        </w:rPr>
      </w:pPr>
      <w:r>
        <w:rPr>
          <w:rFonts w:eastAsia="黑体"/>
          <w:b/>
          <w:bCs/>
          <w:kern w:val="0"/>
          <w:sz w:val="20"/>
          <w:szCs w:val="20"/>
        </w:rPr>
        <w:t>11.1.</w:t>
      </w:r>
      <w:r>
        <w:rPr>
          <w:rFonts w:hint="eastAsia" w:eastAsia="黑体"/>
          <w:b/>
          <w:bCs/>
          <w:kern w:val="0"/>
          <w:sz w:val="20"/>
          <w:szCs w:val="20"/>
        </w:rPr>
        <w:t xml:space="preserve">6  </w:t>
      </w:r>
      <w:r>
        <w:rPr>
          <w:rFonts w:hint="eastAsia" w:ascii="宋体" w:hAnsi="宋体"/>
          <w:sz w:val="20"/>
          <w:szCs w:val="20"/>
        </w:rPr>
        <w:t>仪器监测有其局限性，不能显示基坑及周边环境所有的变化情况，也很难做到实时监测，而现场巡视检查具有很强的时效性和灵活性，能够及时发现安全隐患，弥补仪器监测的不足，同时也是预防基坑工程事故既经济又有效的方法。</w:t>
      </w:r>
      <w:bookmarkStart w:id="668" w:name="_Toc427573496"/>
      <w:bookmarkStart w:id="669" w:name="_Toc437878900"/>
      <w:bookmarkStart w:id="670" w:name="_Toc466902423"/>
      <w:bookmarkStart w:id="671" w:name="_Toc467515880"/>
      <w:bookmarkStart w:id="672" w:name="_Toc468104782"/>
      <w:bookmarkStart w:id="673" w:name="_Toc415730058"/>
      <w:bookmarkStart w:id="674" w:name="_Toc432233031"/>
      <w:bookmarkStart w:id="675" w:name="_Toc444180204"/>
      <w:bookmarkStart w:id="676" w:name="_Toc417372435"/>
      <w:bookmarkStart w:id="677" w:name="_Toc409425826"/>
    </w:p>
    <w:p w14:paraId="594669B3">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678" w:name="_Toc131060621"/>
      <w:bookmarkStart w:id="679" w:name="_Toc131517276"/>
      <w:bookmarkStart w:id="680" w:name="_Toc139613832"/>
      <w:r>
        <w:rPr>
          <w:rFonts w:eastAsia="黑体"/>
          <w:sz w:val="20"/>
          <w:szCs w:val="20"/>
        </w:rPr>
        <w:t>11</w:t>
      </w:r>
      <w:r>
        <w:rPr>
          <w:rFonts w:hint="eastAsia" w:eastAsia="黑体"/>
          <w:sz w:val="20"/>
          <w:szCs w:val="20"/>
        </w:rPr>
        <w:t>.2</w:t>
      </w:r>
      <w:r>
        <w:rPr>
          <w:rFonts w:eastAsia="黑体"/>
          <w:sz w:val="20"/>
          <w:szCs w:val="20"/>
        </w:rPr>
        <w:t xml:space="preserve">  </w:t>
      </w:r>
      <w:r>
        <w:rPr>
          <w:rFonts w:hint="eastAsia" w:ascii="黑体" w:hAnsi="黑体" w:eastAsia="黑体"/>
          <w:b w:val="0"/>
          <w:sz w:val="20"/>
          <w:szCs w:val="20"/>
        </w:rPr>
        <w:t>监测项目</w:t>
      </w:r>
      <w:bookmarkEnd w:id="668"/>
      <w:bookmarkEnd w:id="669"/>
      <w:bookmarkEnd w:id="670"/>
      <w:bookmarkEnd w:id="671"/>
      <w:bookmarkEnd w:id="672"/>
      <w:bookmarkEnd w:id="673"/>
      <w:bookmarkEnd w:id="674"/>
      <w:bookmarkEnd w:id="675"/>
      <w:bookmarkEnd w:id="676"/>
      <w:bookmarkEnd w:id="677"/>
      <w:bookmarkEnd w:id="678"/>
      <w:bookmarkEnd w:id="679"/>
      <w:bookmarkEnd w:id="680"/>
    </w:p>
    <w:p w14:paraId="67C0C57C">
      <w:pPr>
        <w:adjustRightInd w:val="0"/>
        <w:snapToGrid w:val="0"/>
        <w:spacing w:line="288" w:lineRule="auto"/>
        <w:rPr>
          <w:rFonts w:ascii="宋体" w:hAnsi="宋体"/>
          <w:sz w:val="20"/>
          <w:szCs w:val="20"/>
        </w:rPr>
      </w:pPr>
      <w:r>
        <w:rPr>
          <w:rFonts w:eastAsia="黑体"/>
          <w:b/>
          <w:bCs/>
          <w:kern w:val="0"/>
          <w:sz w:val="20"/>
          <w:szCs w:val="20"/>
        </w:rPr>
        <w:t>11.2.</w:t>
      </w:r>
      <w:r>
        <w:rPr>
          <w:rFonts w:hint="eastAsia" w:eastAsia="黑体"/>
          <w:b/>
          <w:bCs/>
          <w:kern w:val="0"/>
          <w:sz w:val="20"/>
          <w:szCs w:val="20"/>
        </w:rPr>
        <w:t xml:space="preserve">1  </w:t>
      </w:r>
      <w:r>
        <w:rPr>
          <w:rFonts w:hint="eastAsia" w:ascii="宋体" w:hAnsi="宋体"/>
          <w:sz w:val="20"/>
          <w:szCs w:val="20"/>
        </w:rPr>
        <w:t>基坑工程监测是一个系统，系统内的各监测项目有必然的、内在的联系。限于监测手段、精度及现场条件，某一单项的监测结果往往不能揭示和反映基坑工程的整体情况，必须根据工程现场实际情况，形成一个有效的、完整的与设计及施工情况相适应的监测系统并进行监测，才能提供完整、系统的监测数据和资料，才能通过监测项目之间的内在联系作出准确地分析、判断，为优化设计和信息化施工提供可靠的依据。</w:t>
      </w:r>
    </w:p>
    <w:p w14:paraId="774B5ECC">
      <w:pPr>
        <w:adjustRightInd w:val="0"/>
        <w:snapToGrid w:val="0"/>
        <w:spacing w:line="288" w:lineRule="auto"/>
        <w:rPr>
          <w:rFonts w:ascii="宋体" w:hAnsi="宋体"/>
          <w:sz w:val="20"/>
          <w:szCs w:val="20"/>
        </w:rPr>
      </w:pPr>
      <w:r>
        <w:rPr>
          <w:rFonts w:eastAsia="黑体"/>
          <w:b/>
          <w:bCs/>
          <w:kern w:val="0"/>
          <w:sz w:val="20"/>
          <w:szCs w:val="20"/>
        </w:rPr>
        <w:t>11.2.</w:t>
      </w:r>
      <w:r>
        <w:rPr>
          <w:rFonts w:hint="eastAsia" w:eastAsia="黑体"/>
          <w:b/>
          <w:bCs/>
          <w:kern w:val="0"/>
          <w:sz w:val="20"/>
          <w:szCs w:val="20"/>
        </w:rPr>
        <w:t xml:space="preserve">2  </w:t>
      </w:r>
      <w:r>
        <w:rPr>
          <w:rFonts w:hint="eastAsia" w:ascii="宋体" w:hAnsi="宋体"/>
          <w:sz w:val="20"/>
          <w:szCs w:val="20"/>
        </w:rPr>
        <w:t>基坑监测项目应依据基坑侧壁安全等级做适当选择，安全等级越高“应测”项目越多，反之亦然。同时，基坑监测又是一项耗时费钱的工作，在能够满足信息化施工要求、确保基坑安全的前提下，尽可能减少监测项目。本条借鉴了相关规范，并结合了北京地区基坑工程监测实际需要。</w:t>
      </w:r>
    </w:p>
    <w:p w14:paraId="7E8F21C5">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681" w:name="_Toc444180205"/>
      <w:bookmarkStart w:id="682" w:name="_Toc466902424"/>
      <w:bookmarkStart w:id="683" w:name="_Toc467515881"/>
      <w:bookmarkStart w:id="684" w:name="_Toc131060622"/>
      <w:bookmarkStart w:id="685" w:name="_Toc432233032"/>
      <w:bookmarkStart w:id="686" w:name="_Toc139613833"/>
      <w:bookmarkStart w:id="687" w:name="_Toc468104783"/>
      <w:bookmarkStart w:id="688" w:name="_Toc131517277"/>
      <w:bookmarkStart w:id="689" w:name="_Toc437878901"/>
      <w:bookmarkStart w:id="690" w:name="_Toc417372436"/>
      <w:bookmarkStart w:id="691" w:name="_Toc427573497"/>
      <w:bookmarkStart w:id="692" w:name="_Toc415730059"/>
      <w:bookmarkStart w:id="693" w:name="_Toc409425827"/>
      <w:r>
        <w:rPr>
          <w:rFonts w:eastAsia="黑体"/>
          <w:sz w:val="20"/>
          <w:szCs w:val="20"/>
        </w:rPr>
        <w:t>11</w:t>
      </w:r>
      <w:r>
        <w:rPr>
          <w:rFonts w:hint="eastAsia" w:eastAsia="黑体"/>
          <w:sz w:val="20"/>
          <w:szCs w:val="20"/>
        </w:rPr>
        <w:t>.3</w:t>
      </w:r>
      <w:r>
        <w:rPr>
          <w:rFonts w:eastAsia="黑体"/>
          <w:sz w:val="20"/>
          <w:szCs w:val="20"/>
        </w:rPr>
        <w:t xml:space="preserve">  </w:t>
      </w:r>
      <w:r>
        <w:rPr>
          <w:rFonts w:hint="eastAsia" w:ascii="黑体" w:hAnsi="黑体" w:eastAsia="黑体"/>
          <w:b w:val="0"/>
          <w:sz w:val="20"/>
          <w:szCs w:val="20"/>
        </w:rPr>
        <w:t>巡视检查</w:t>
      </w:r>
      <w:bookmarkEnd w:id="681"/>
      <w:bookmarkEnd w:id="682"/>
      <w:bookmarkEnd w:id="683"/>
      <w:bookmarkEnd w:id="684"/>
      <w:bookmarkEnd w:id="685"/>
      <w:bookmarkEnd w:id="686"/>
      <w:bookmarkEnd w:id="687"/>
      <w:bookmarkEnd w:id="688"/>
      <w:bookmarkEnd w:id="689"/>
    </w:p>
    <w:p w14:paraId="2A5699B5">
      <w:pPr>
        <w:adjustRightInd w:val="0"/>
        <w:snapToGrid w:val="0"/>
        <w:spacing w:line="288" w:lineRule="auto"/>
        <w:rPr>
          <w:rFonts w:ascii="宋体" w:hAnsi="宋体"/>
          <w:sz w:val="20"/>
          <w:szCs w:val="20"/>
        </w:rPr>
      </w:pPr>
      <w:r>
        <w:rPr>
          <w:rFonts w:eastAsia="黑体"/>
          <w:b/>
          <w:bCs/>
          <w:kern w:val="0"/>
          <w:sz w:val="20"/>
          <w:szCs w:val="20"/>
        </w:rPr>
        <w:t>11.3.</w:t>
      </w:r>
      <w:r>
        <w:rPr>
          <w:rFonts w:hint="eastAsia" w:eastAsia="黑体"/>
          <w:b/>
          <w:bCs/>
          <w:kern w:val="0"/>
          <w:sz w:val="20"/>
          <w:szCs w:val="20"/>
        </w:rPr>
        <w:t xml:space="preserve">1  </w:t>
      </w:r>
      <w:r>
        <w:rPr>
          <w:rFonts w:hint="eastAsia" w:ascii="宋体" w:hAnsi="宋体"/>
          <w:sz w:val="20"/>
          <w:szCs w:val="20"/>
        </w:rPr>
        <w:t>本条强调在基坑工程的施工和使用期内，应由有经验的监测人员每天对基坑工程进行巡视检查。基坑工程施工期间的各种变化具有时效性和突发性，加强巡视检查是预防基坑工程事故非常简便、经济而又有效的方法。</w:t>
      </w:r>
    </w:p>
    <w:p w14:paraId="572AD263">
      <w:pPr>
        <w:adjustRightInd w:val="0"/>
        <w:snapToGrid w:val="0"/>
        <w:spacing w:line="288" w:lineRule="auto"/>
        <w:rPr>
          <w:rFonts w:ascii="宋体" w:hAnsi="宋体"/>
          <w:sz w:val="20"/>
          <w:szCs w:val="20"/>
        </w:rPr>
      </w:pPr>
      <w:r>
        <w:rPr>
          <w:rFonts w:eastAsia="黑体"/>
          <w:b/>
          <w:bCs/>
          <w:kern w:val="0"/>
          <w:sz w:val="20"/>
          <w:szCs w:val="20"/>
        </w:rPr>
        <w:t>11.3.</w:t>
      </w:r>
      <w:r>
        <w:rPr>
          <w:rFonts w:hint="eastAsia" w:eastAsia="黑体"/>
          <w:b/>
          <w:bCs/>
          <w:kern w:val="0"/>
          <w:sz w:val="20"/>
          <w:szCs w:val="20"/>
        </w:rPr>
        <w:t xml:space="preserve">2  </w:t>
      </w:r>
      <w:r>
        <w:rPr>
          <w:rFonts w:hint="eastAsia" w:ascii="宋体" w:hAnsi="宋体"/>
          <w:sz w:val="20"/>
          <w:szCs w:val="20"/>
        </w:rPr>
        <w:t>本条从五个方面列出了巡视检查的主要内容，这些项目都是结合工程实践总结出来的，具有很好的参考价值。</w:t>
      </w:r>
    </w:p>
    <w:p w14:paraId="19516AB1">
      <w:pPr>
        <w:adjustRightInd w:val="0"/>
        <w:snapToGrid w:val="0"/>
        <w:spacing w:line="288" w:lineRule="auto"/>
        <w:rPr>
          <w:rFonts w:eastAsia="黑体"/>
          <w:sz w:val="20"/>
          <w:szCs w:val="20"/>
        </w:rPr>
      </w:pPr>
      <w:r>
        <w:rPr>
          <w:rFonts w:eastAsia="黑体"/>
          <w:b/>
          <w:bCs/>
          <w:kern w:val="0"/>
          <w:sz w:val="20"/>
          <w:szCs w:val="20"/>
        </w:rPr>
        <w:t>11.3.</w:t>
      </w:r>
      <w:r>
        <w:rPr>
          <w:rFonts w:hint="eastAsia" w:eastAsia="黑体"/>
          <w:b/>
          <w:bCs/>
          <w:kern w:val="0"/>
          <w:sz w:val="20"/>
          <w:szCs w:val="20"/>
        </w:rPr>
        <w:t>3～</w:t>
      </w:r>
      <w:r>
        <w:rPr>
          <w:rFonts w:eastAsia="黑体"/>
          <w:b/>
          <w:bCs/>
          <w:kern w:val="0"/>
          <w:sz w:val="20"/>
          <w:szCs w:val="20"/>
        </w:rPr>
        <w:t>11.3.</w:t>
      </w:r>
      <w:r>
        <w:rPr>
          <w:rFonts w:hint="eastAsia" w:eastAsia="黑体"/>
          <w:b/>
          <w:bCs/>
          <w:kern w:val="0"/>
          <w:sz w:val="20"/>
          <w:szCs w:val="20"/>
        </w:rPr>
        <w:t xml:space="preserve">4  </w:t>
      </w:r>
      <w:r>
        <w:rPr>
          <w:rFonts w:hint="eastAsia" w:ascii="宋体" w:hAnsi="宋体"/>
          <w:sz w:val="20"/>
          <w:szCs w:val="20"/>
        </w:rPr>
        <w:t>各巡视检查项目之间大多存在着内在的联系，每个项目的巡视检查结果都必须做好详细的记录，从而为基坑工程监测分析工作提供完整的资料。巡视检查主要以目测为主，必要时可配以巡查照片，这样的检查发现速度快、周期短，可以弥补仪器监测的不足。巡视检查的任何异常情况都可能是事故发生的预兆，必须引起足够重视，发现问题要及时汇报给建设方及相关单位，以便尽早作出判断和处理，避免引起严重后果。</w:t>
      </w:r>
      <w:bookmarkStart w:id="694" w:name="_Toc432233033"/>
      <w:bookmarkStart w:id="695" w:name="_Toc437878902"/>
      <w:bookmarkStart w:id="696" w:name="_Toc466902425"/>
      <w:bookmarkStart w:id="697" w:name="_Toc444180206"/>
      <w:bookmarkStart w:id="698" w:name="_Toc467515882"/>
      <w:bookmarkStart w:id="699" w:name="_Toc468104784"/>
    </w:p>
    <w:p w14:paraId="2E1B21E0">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700" w:name="_Toc131060623"/>
      <w:bookmarkStart w:id="701" w:name="_Toc131517278"/>
      <w:bookmarkStart w:id="702" w:name="_Toc139613834"/>
      <w:r>
        <w:rPr>
          <w:rFonts w:eastAsia="黑体"/>
          <w:sz w:val="20"/>
          <w:szCs w:val="20"/>
        </w:rPr>
        <w:t>11</w:t>
      </w:r>
      <w:r>
        <w:rPr>
          <w:rFonts w:hint="eastAsia" w:eastAsia="黑体"/>
          <w:sz w:val="20"/>
          <w:szCs w:val="20"/>
        </w:rPr>
        <w:t>.4</w:t>
      </w:r>
      <w:r>
        <w:rPr>
          <w:rFonts w:eastAsia="黑体"/>
          <w:sz w:val="20"/>
          <w:szCs w:val="20"/>
        </w:rPr>
        <w:t xml:space="preserve">  </w:t>
      </w:r>
      <w:r>
        <w:rPr>
          <w:rFonts w:hint="eastAsia" w:ascii="黑体" w:hAnsi="黑体" w:eastAsia="黑体"/>
          <w:b w:val="0"/>
          <w:sz w:val="20"/>
          <w:szCs w:val="20"/>
        </w:rPr>
        <w:t>监测点布置</w:t>
      </w:r>
      <w:bookmarkEnd w:id="694"/>
      <w:bookmarkEnd w:id="695"/>
      <w:bookmarkEnd w:id="696"/>
      <w:bookmarkEnd w:id="697"/>
      <w:bookmarkEnd w:id="698"/>
      <w:bookmarkEnd w:id="699"/>
      <w:bookmarkEnd w:id="700"/>
      <w:bookmarkEnd w:id="701"/>
      <w:bookmarkEnd w:id="702"/>
    </w:p>
    <w:p w14:paraId="701E7098">
      <w:pPr>
        <w:adjustRightInd w:val="0"/>
        <w:snapToGrid w:val="0"/>
        <w:spacing w:line="288" w:lineRule="auto"/>
        <w:rPr>
          <w:rFonts w:eastAsia="黑体"/>
          <w:sz w:val="20"/>
          <w:szCs w:val="20"/>
        </w:rPr>
      </w:pPr>
      <w:r>
        <w:rPr>
          <w:rFonts w:eastAsia="黑体"/>
          <w:b/>
          <w:bCs/>
          <w:kern w:val="0"/>
          <w:sz w:val="20"/>
          <w:szCs w:val="20"/>
        </w:rPr>
        <w:t>11.4.</w:t>
      </w:r>
      <w:r>
        <w:rPr>
          <w:rFonts w:hint="eastAsia" w:eastAsia="黑体"/>
          <w:b/>
          <w:bCs/>
          <w:kern w:val="0"/>
          <w:sz w:val="20"/>
          <w:szCs w:val="20"/>
        </w:rPr>
        <w:t xml:space="preserve">1  </w:t>
      </w:r>
      <w:r>
        <w:rPr>
          <w:rFonts w:hint="eastAsia" w:ascii="宋体" w:hAnsi="宋体"/>
          <w:sz w:val="20"/>
          <w:szCs w:val="20"/>
        </w:rPr>
        <w:t>监测点的位置应尽可能地反映监测对象的实际受力、变形状态，以保证对监测对象的状况作出准确的判断。在监测对象内力和变形变化大的代表性部位及周边环境重点监护部位，监测点应适当加密，以便更加准确地反映监测对象的受力和变形特征。</w:t>
      </w:r>
      <w:bookmarkStart w:id="703" w:name="_Toc468104785"/>
      <w:bookmarkStart w:id="704" w:name="_Toc437878903"/>
      <w:bookmarkStart w:id="705" w:name="_Toc466902426"/>
      <w:bookmarkStart w:id="706" w:name="_Toc444180207"/>
      <w:bookmarkStart w:id="707" w:name="_Toc432233034"/>
      <w:bookmarkStart w:id="708" w:name="_Toc467515883"/>
    </w:p>
    <w:p w14:paraId="0E6454BF">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709" w:name="_Toc139613835"/>
      <w:bookmarkStart w:id="710" w:name="_Toc131060624"/>
      <w:bookmarkStart w:id="711" w:name="_Toc131517279"/>
      <w:r>
        <w:rPr>
          <w:rFonts w:eastAsia="黑体"/>
          <w:sz w:val="20"/>
          <w:szCs w:val="20"/>
        </w:rPr>
        <w:t>11</w:t>
      </w:r>
      <w:r>
        <w:rPr>
          <w:rFonts w:hint="eastAsia" w:eastAsia="黑体"/>
          <w:sz w:val="20"/>
          <w:szCs w:val="20"/>
        </w:rPr>
        <w:t>.5</w:t>
      </w:r>
      <w:r>
        <w:rPr>
          <w:rFonts w:eastAsia="黑体"/>
          <w:sz w:val="20"/>
          <w:szCs w:val="20"/>
        </w:rPr>
        <w:t xml:space="preserve"> </w:t>
      </w:r>
      <w:r>
        <w:rPr>
          <w:rFonts w:ascii="黑体" w:hAnsi="黑体" w:eastAsia="黑体"/>
          <w:sz w:val="20"/>
          <w:szCs w:val="20"/>
        </w:rPr>
        <w:t xml:space="preserve"> </w:t>
      </w:r>
      <w:r>
        <w:rPr>
          <w:rFonts w:hint="eastAsia" w:ascii="黑体" w:hAnsi="黑体" w:eastAsia="黑体"/>
          <w:b w:val="0"/>
          <w:sz w:val="20"/>
          <w:szCs w:val="20"/>
        </w:rPr>
        <w:t>监测频率</w:t>
      </w:r>
      <w:bookmarkEnd w:id="690"/>
      <w:bookmarkEnd w:id="691"/>
      <w:bookmarkEnd w:id="692"/>
      <w:bookmarkEnd w:id="693"/>
      <w:bookmarkEnd w:id="703"/>
      <w:bookmarkEnd w:id="704"/>
      <w:bookmarkEnd w:id="705"/>
      <w:bookmarkEnd w:id="706"/>
      <w:bookmarkEnd w:id="707"/>
      <w:bookmarkEnd w:id="708"/>
      <w:bookmarkEnd w:id="709"/>
      <w:bookmarkEnd w:id="710"/>
      <w:bookmarkEnd w:id="711"/>
    </w:p>
    <w:p w14:paraId="6E663384">
      <w:pPr>
        <w:adjustRightInd w:val="0"/>
        <w:snapToGrid w:val="0"/>
        <w:spacing w:line="288" w:lineRule="auto"/>
        <w:rPr>
          <w:rFonts w:ascii="宋体" w:hAnsi="宋体"/>
          <w:sz w:val="20"/>
          <w:szCs w:val="20"/>
        </w:rPr>
      </w:pPr>
      <w:r>
        <w:rPr>
          <w:rFonts w:eastAsia="黑体"/>
          <w:b/>
          <w:bCs/>
          <w:kern w:val="0"/>
          <w:sz w:val="20"/>
          <w:szCs w:val="20"/>
        </w:rPr>
        <w:t>11.5.</w:t>
      </w:r>
      <w:r>
        <w:rPr>
          <w:rFonts w:hint="eastAsia" w:eastAsia="黑体"/>
          <w:b/>
          <w:bCs/>
          <w:kern w:val="0"/>
          <w:sz w:val="20"/>
          <w:szCs w:val="20"/>
        </w:rPr>
        <w:t xml:space="preserve">2  </w:t>
      </w:r>
      <w:r>
        <w:rPr>
          <w:rFonts w:hint="eastAsia" w:ascii="宋体" w:hAnsi="宋体"/>
          <w:sz w:val="20"/>
          <w:szCs w:val="20"/>
        </w:rPr>
        <w:t>监测频率与监测项目相关，监测项目的数据变化与基坑安全关联直接的，其监测频率要高一些。监测频率与基坑施工阶段关系更大，基坑开挖见底时监测频率要大一些，反之则可以小些。对于采用</w:t>
      </w:r>
      <w:r>
        <w:rPr>
          <w:rFonts w:hint="eastAsia" w:hAnsi="宋体"/>
          <w:sz w:val="20"/>
          <w:szCs w:val="20"/>
        </w:rPr>
        <w:t>锚拉式</w:t>
      </w:r>
      <w:r>
        <w:rPr>
          <w:rFonts w:hint="eastAsia" w:ascii="宋体" w:hAnsi="宋体"/>
          <w:sz w:val="20"/>
          <w:szCs w:val="20"/>
        </w:rPr>
        <w:t>支护的基坑工程，当基坑开挖深度小于总深度的1/2时，支护结构的安全系数较大，适当减小监测频率是合理的。本条借鉴了相关规范，并结合了北京地区基坑工程监测实际需要。</w:t>
      </w:r>
    </w:p>
    <w:p w14:paraId="447769A8">
      <w:pPr>
        <w:adjustRightInd w:val="0"/>
        <w:snapToGrid w:val="0"/>
        <w:spacing w:line="288" w:lineRule="auto"/>
        <w:rPr>
          <w:rFonts w:eastAsia="黑体"/>
          <w:sz w:val="20"/>
          <w:szCs w:val="20"/>
        </w:rPr>
      </w:pPr>
      <w:r>
        <w:rPr>
          <w:rFonts w:eastAsia="黑体"/>
          <w:b/>
          <w:bCs/>
          <w:kern w:val="0"/>
          <w:sz w:val="20"/>
          <w:szCs w:val="20"/>
        </w:rPr>
        <w:t>11.5.</w:t>
      </w:r>
      <w:r>
        <w:rPr>
          <w:rFonts w:hint="eastAsia" w:eastAsia="黑体"/>
          <w:b/>
          <w:bCs/>
          <w:kern w:val="0"/>
          <w:sz w:val="20"/>
          <w:szCs w:val="20"/>
        </w:rPr>
        <w:t xml:space="preserve">3  </w:t>
      </w:r>
      <w:r>
        <w:rPr>
          <w:rFonts w:hint="eastAsia" w:ascii="宋体" w:hAnsi="宋体"/>
          <w:sz w:val="20"/>
          <w:szCs w:val="20"/>
        </w:rPr>
        <w:t xml:space="preserve">基坑工程动工前开始观测基坑周边环境的沉降，可测得支护结构施工扰动对周边环境的影响，对某些敏感地层是非常必要的。对于多数监测项目而言，应当于基坑开挖前测得初始值，但有些与支护方法及施工工艺关系密切的监测项目，其初始值不能够于基坑开挖前取得，如土钉墙支护时位于坡顶的水平位移和沉降初始值。 </w:t>
      </w:r>
      <w:bookmarkStart w:id="712" w:name="_Toc437878904"/>
      <w:bookmarkStart w:id="713" w:name="_Toc427573498"/>
      <w:bookmarkStart w:id="714" w:name="_Toc417372437"/>
      <w:bookmarkStart w:id="715" w:name="_Toc466902427"/>
      <w:bookmarkStart w:id="716" w:name="_Toc409425828"/>
      <w:bookmarkStart w:id="717" w:name="_Toc444180208"/>
      <w:bookmarkStart w:id="718" w:name="_Toc415730060"/>
      <w:bookmarkStart w:id="719" w:name="_Toc468104786"/>
      <w:bookmarkStart w:id="720" w:name="_Toc467515884"/>
      <w:bookmarkStart w:id="721" w:name="_Toc432233035"/>
    </w:p>
    <w:p w14:paraId="667A0410">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722" w:name="_Toc131060625"/>
      <w:bookmarkStart w:id="723" w:name="_Toc139613836"/>
      <w:bookmarkStart w:id="724" w:name="_Toc131517280"/>
      <w:r>
        <w:rPr>
          <w:rFonts w:eastAsia="黑体"/>
          <w:sz w:val="20"/>
          <w:szCs w:val="20"/>
        </w:rPr>
        <w:t>11</w:t>
      </w:r>
      <w:r>
        <w:rPr>
          <w:rFonts w:hint="eastAsia" w:eastAsia="黑体"/>
          <w:sz w:val="20"/>
          <w:szCs w:val="20"/>
        </w:rPr>
        <w:t>.6</w:t>
      </w:r>
      <w:r>
        <w:rPr>
          <w:rFonts w:eastAsia="黑体"/>
          <w:sz w:val="20"/>
          <w:szCs w:val="20"/>
        </w:rPr>
        <w:t xml:space="preserve">  </w:t>
      </w:r>
      <w:r>
        <w:rPr>
          <w:rFonts w:hint="eastAsia" w:ascii="黑体" w:hAnsi="黑体" w:eastAsia="黑体"/>
          <w:b w:val="0"/>
          <w:sz w:val="20"/>
          <w:szCs w:val="20"/>
        </w:rPr>
        <w:t>监测报警</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692B6E6F">
      <w:pPr>
        <w:adjustRightInd w:val="0"/>
        <w:snapToGrid w:val="0"/>
        <w:spacing w:line="288" w:lineRule="auto"/>
        <w:rPr>
          <w:rFonts w:ascii="宋体" w:hAnsi="宋体"/>
          <w:sz w:val="20"/>
          <w:szCs w:val="20"/>
        </w:rPr>
      </w:pPr>
      <w:r>
        <w:rPr>
          <w:rFonts w:eastAsia="黑体"/>
          <w:b/>
          <w:bCs/>
          <w:kern w:val="0"/>
          <w:sz w:val="20"/>
          <w:szCs w:val="20"/>
        </w:rPr>
        <w:t>11.6.</w:t>
      </w:r>
      <w:r>
        <w:rPr>
          <w:rFonts w:hint="eastAsia" w:eastAsia="黑体"/>
          <w:b/>
          <w:bCs/>
          <w:kern w:val="0"/>
          <w:sz w:val="20"/>
          <w:szCs w:val="20"/>
        </w:rPr>
        <w:t xml:space="preserve">1  </w:t>
      </w:r>
      <w:r>
        <w:rPr>
          <w:rFonts w:hint="eastAsia" w:ascii="宋体" w:hAnsi="宋体"/>
          <w:sz w:val="20"/>
          <w:szCs w:val="20"/>
        </w:rPr>
        <w:t>监测报警是建筑基坑工程实施监测的目的之一，同时也是预防基坑工程事故发生、确保基坑及周边环境安全的重要措施。监测预警值是监测工作的实施前提，是监测期间对基坑工程安全状态进行判定的重要依据，因此基坑工程监测必须确定监测预警值。监测预警值应由基坑工程设计方根据基坑工程设计计算结果、周边环境中被保护对象的控制要求等确定，如基坑支护结构作为地下主体结构的一部分，地下结构设计要求也应予以考虑，为此本条明确规定了监测预警值应有基坑工程设计方确定。</w:t>
      </w:r>
    </w:p>
    <w:p w14:paraId="09914C75">
      <w:pPr>
        <w:adjustRightInd w:val="0"/>
        <w:snapToGrid w:val="0"/>
        <w:spacing w:line="288" w:lineRule="auto"/>
        <w:rPr>
          <w:rFonts w:ascii="宋体" w:hAnsi="宋体"/>
          <w:sz w:val="20"/>
          <w:szCs w:val="20"/>
        </w:rPr>
      </w:pPr>
      <w:r>
        <w:rPr>
          <w:rFonts w:eastAsia="黑体"/>
          <w:b/>
          <w:bCs/>
          <w:kern w:val="0"/>
          <w:sz w:val="20"/>
          <w:szCs w:val="20"/>
        </w:rPr>
        <w:t>11.6.</w:t>
      </w:r>
      <w:r>
        <w:rPr>
          <w:rFonts w:hint="eastAsia" w:eastAsia="黑体"/>
          <w:b/>
          <w:bCs/>
          <w:kern w:val="0"/>
          <w:sz w:val="20"/>
          <w:szCs w:val="20"/>
        </w:rPr>
        <w:t xml:space="preserve">3  </w:t>
      </w:r>
      <w:r>
        <w:rPr>
          <w:rFonts w:hint="eastAsia" w:ascii="宋体" w:hAnsi="宋体"/>
          <w:sz w:val="20"/>
          <w:szCs w:val="20"/>
        </w:rPr>
        <w:t>表</w:t>
      </w:r>
      <w:r>
        <w:rPr>
          <w:sz w:val="20"/>
          <w:szCs w:val="20"/>
        </w:rPr>
        <w:t>11.6.3</w:t>
      </w:r>
      <w:r>
        <w:rPr>
          <w:rFonts w:hint="eastAsia" w:ascii="宋体" w:hAnsi="宋体"/>
          <w:sz w:val="20"/>
          <w:szCs w:val="20"/>
        </w:rPr>
        <w:t>对基坑周边环境中的管线、建筑的预警值给出了一个范围，实际过程中可根据需保护对象建造年代、结构类型和现状、离基坑的距离等确定，建造年代久远、结构较差、离基坑较近的可取下限，而对较新的、结构较好、离基坑较远的可取上限。</w:t>
      </w:r>
    </w:p>
    <w:p w14:paraId="225934AA">
      <w:pPr>
        <w:adjustRightInd w:val="0"/>
        <w:snapToGrid w:val="0"/>
        <w:spacing w:line="288" w:lineRule="auto"/>
        <w:rPr>
          <w:rFonts w:eastAsia="黑体"/>
          <w:sz w:val="20"/>
          <w:szCs w:val="20"/>
        </w:rPr>
      </w:pPr>
      <w:r>
        <w:rPr>
          <w:rFonts w:eastAsia="黑体"/>
          <w:b/>
          <w:bCs/>
          <w:kern w:val="0"/>
          <w:sz w:val="20"/>
          <w:szCs w:val="20"/>
        </w:rPr>
        <w:t>11.6.</w:t>
      </w:r>
      <w:r>
        <w:rPr>
          <w:rFonts w:hint="eastAsia" w:eastAsia="黑体"/>
          <w:b/>
          <w:bCs/>
          <w:kern w:val="0"/>
          <w:sz w:val="20"/>
          <w:szCs w:val="20"/>
        </w:rPr>
        <w:t xml:space="preserve">4  </w:t>
      </w:r>
      <w:r>
        <w:rPr>
          <w:rFonts w:hint="eastAsia" w:ascii="宋体" w:hAnsi="宋体"/>
          <w:sz w:val="20"/>
          <w:szCs w:val="20"/>
        </w:rPr>
        <w:t>本条列出的都是在工程实践中总结出来的基坑及周边环境出现的危险情况，一旦出现这些情况，将可能严重威胁基坑及周边环境中被保护对象的安全，必须立即发出危险报警，通知建设、设计、施工、监理及其他相关单位及时采取措施，保证基坑及周边环境的安全。</w:t>
      </w:r>
      <w:bookmarkStart w:id="725" w:name="_Toc468104787"/>
      <w:bookmarkStart w:id="726" w:name="_Toc467515885"/>
      <w:bookmarkStart w:id="727" w:name="_Toc409425831"/>
      <w:bookmarkStart w:id="728" w:name="_Toc437878905"/>
      <w:bookmarkStart w:id="729" w:name="_Toc466902428"/>
      <w:bookmarkStart w:id="730" w:name="_Toc417372440"/>
      <w:bookmarkStart w:id="731" w:name="_Toc415730063"/>
      <w:bookmarkStart w:id="732" w:name="_Toc427573501"/>
      <w:bookmarkStart w:id="733" w:name="_Toc444180209"/>
    </w:p>
    <w:p w14:paraId="0D91779C">
      <w:pPr>
        <w:pStyle w:val="7"/>
        <w:keepNext w:val="0"/>
        <w:keepLines w:val="0"/>
        <w:adjustRightInd w:val="0"/>
        <w:snapToGrid w:val="0"/>
        <w:spacing w:before="240" w:beforeLines="100" w:after="240" w:afterLines="100" w:line="288" w:lineRule="auto"/>
        <w:jc w:val="center"/>
        <w:rPr>
          <w:rFonts w:ascii="宋体" w:hAnsi="宋体"/>
          <w:b w:val="0"/>
          <w:sz w:val="20"/>
          <w:szCs w:val="20"/>
        </w:rPr>
      </w:pPr>
      <w:bookmarkStart w:id="734" w:name="_Toc139613837"/>
      <w:bookmarkStart w:id="735" w:name="_Toc131060626"/>
      <w:bookmarkStart w:id="736" w:name="_Toc131517281"/>
      <w:r>
        <w:rPr>
          <w:rFonts w:eastAsia="黑体"/>
          <w:sz w:val="20"/>
          <w:szCs w:val="20"/>
        </w:rPr>
        <w:t>11</w:t>
      </w:r>
      <w:r>
        <w:rPr>
          <w:rFonts w:hint="eastAsia" w:eastAsia="黑体"/>
          <w:sz w:val="20"/>
          <w:szCs w:val="20"/>
        </w:rPr>
        <w:t>.7</w:t>
      </w:r>
      <w:r>
        <w:rPr>
          <w:rFonts w:eastAsia="黑体"/>
          <w:sz w:val="20"/>
          <w:szCs w:val="20"/>
        </w:rPr>
        <w:t xml:space="preserve">  </w:t>
      </w:r>
      <w:r>
        <w:rPr>
          <w:rFonts w:hint="eastAsia" w:ascii="黑体" w:hAnsi="黑体" w:eastAsia="黑体"/>
          <w:b w:val="0"/>
          <w:sz w:val="20"/>
          <w:szCs w:val="20"/>
        </w:rPr>
        <w:t>监测成果</w:t>
      </w:r>
      <w:bookmarkEnd w:id="725"/>
      <w:bookmarkEnd w:id="726"/>
      <w:bookmarkEnd w:id="727"/>
      <w:bookmarkEnd w:id="728"/>
      <w:bookmarkEnd w:id="729"/>
      <w:bookmarkEnd w:id="730"/>
      <w:bookmarkEnd w:id="731"/>
      <w:bookmarkEnd w:id="732"/>
      <w:bookmarkEnd w:id="733"/>
      <w:bookmarkEnd w:id="734"/>
      <w:bookmarkEnd w:id="735"/>
      <w:bookmarkEnd w:id="736"/>
    </w:p>
    <w:p w14:paraId="717EE370">
      <w:pPr>
        <w:adjustRightInd w:val="0"/>
        <w:snapToGrid w:val="0"/>
        <w:spacing w:line="288" w:lineRule="auto"/>
        <w:rPr>
          <w:rFonts w:ascii="宋体" w:hAnsi="宋体"/>
          <w:sz w:val="20"/>
          <w:szCs w:val="20"/>
        </w:rPr>
      </w:pPr>
      <w:r>
        <w:rPr>
          <w:rFonts w:eastAsia="黑体"/>
          <w:b/>
          <w:bCs/>
          <w:kern w:val="0"/>
          <w:sz w:val="20"/>
          <w:szCs w:val="20"/>
        </w:rPr>
        <w:t>11.7.</w:t>
      </w:r>
      <w:r>
        <w:rPr>
          <w:rFonts w:hint="eastAsia" w:eastAsia="黑体"/>
          <w:b/>
          <w:bCs/>
          <w:kern w:val="0"/>
          <w:sz w:val="20"/>
          <w:szCs w:val="20"/>
        </w:rPr>
        <w:t xml:space="preserve">1  </w:t>
      </w:r>
      <w:r>
        <w:rPr>
          <w:rFonts w:hint="eastAsia" w:ascii="宋体" w:hAnsi="宋体"/>
          <w:sz w:val="20"/>
          <w:szCs w:val="20"/>
        </w:rPr>
        <w:t>为了确保监测工作质量，保证基坑及周边环境的安全和正常使用，防止监测工作中的弄虚作假，本条强调基坑工程监测成果资料必须完整、清晰、签字必须齐全。</w:t>
      </w:r>
    </w:p>
    <w:p w14:paraId="07C116C1">
      <w:pPr>
        <w:adjustRightInd w:val="0"/>
        <w:snapToGrid w:val="0"/>
        <w:spacing w:line="288" w:lineRule="auto"/>
        <w:rPr>
          <w:rFonts w:ascii="宋体" w:hAnsi="宋体"/>
          <w:sz w:val="20"/>
          <w:szCs w:val="20"/>
        </w:rPr>
      </w:pPr>
      <w:r>
        <w:rPr>
          <w:rFonts w:eastAsia="黑体"/>
          <w:b/>
          <w:bCs/>
          <w:kern w:val="0"/>
          <w:sz w:val="20"/>
          <w:szCs w:val="20"/>
        </w:rPr>
        <w:t>11.7.</w:t>
      </w:r>
      <w:r>
        <w:rPr>
          <w:rFonts w:hint="eastAsia" w:eastAsia="黑体"/>
          <w:b/>
          <w:bCs/>
          <w:kern w:val="0"/>
          <w:sz w:val="20"/>
          <w:szCs w:val="20"/>
        </w:rPr>
        <w:t xml:space="preserve">6  </w:t>
      </w:r>
      <w:r>
        <w:rPr>
          <w:rFonts w:hint="eastAsia" w:ascii="宋体" w:hAnsi="宋体"/>
          <w:sz w:val="20"/>
          <w:szCs w:val="20"/>
        </w:rPr>
        <w:t>当日报表是信息化施工的重要依据。每次监测完成后，监测人员应及时进行数据处理和分析，形成当日报表，提供给委托单位和相关单位。当日报表强调及时性和准确性，对监测项目应有警示状态的判断性结论。</w:t>
      </w:r>
    </w:p>
    <w:p w14:paraId="254AFDBF">
      <w:pPr>
        <w:adjustRightInd w:val="0"/>
        <w:snapToGrid w:val="0"/>
        <w:spacing w:line="288" w:lineRule="auto"/>
        <w:ind w:firstLine="400" w:firstLineChars="200"/>
        <w:rPr>
          <w:rFonts w:ascii="宋体" w:hAnsi="宋体"/>
          <w:sz w:val="20"/>
          <w:szCs w:val="20"/>
        </w:rPr>
      </w:pPr>
      <w:r>
        <w:rPr>
          <w:rFonts w:hint="eastAsia" w:ascii="宋体" w:hAnsi="宋体"/>
          <w:sz w:val="20"/>
          <w:szCs w:val="20"/>
        </w:rPr>
        <w:t>阶段性报告是经过一段时间的监测后，监测单位通过对以往监测数据和相关资料、工况的综合分析，总结出的各监测项目以及整个监测系统的变化规律、发展趋势及其评价，用于总结经验、优化设计和指导下一步的施工。阶段性监测报告可以是周报、月报或根据工程的需要确定。报告的形式是文字叙述和图形曲线相结合，对于监测项目监测值的变化过程和发展趋势应以过程曲线表示为宜。阶段性监测报告强调分析和预测的科学性、准确性，报告的结论要求依据充分。</w:t>
      </w:r>
    </w:p>
    <w:p w14:paraId="6914464D">
      <w:pPr>
        <w:snapToGrid w:val="0"/>
        <w:spacing w:line="288" w:lineRule="auto"/>
        <w:ind w:firstLine="354" w:firstLineChars="177"/>
        <w:rPr>
          <w:rFonts w:ascii="宋体" w:hAnsi="宋体"/>
          <w:sz w:val="20"/>
          <w:szCs w:val="20"/>
        </w:rPr>
      </w:pPr>
      <w:r>
        <w:rPr>
          <w:rFonts w:hint="eastAsia" w:ascii="宋体" w:hAnsi="宋体"/>
          <w:sz w:val="20"/>
          <w:szCs w:val="20"/>
        </w:rPr>
        <w:t>总结报告是基坑工程监测工作全部完成后监测单位提交给委托单位的竣工报告。总结报告应提供完整的监测过程资料，对整个监测过程中所做的工作、监测成果及一些工作程序文件均应有详细的说明。</w:t>
      </w:r>
    </w:p>
    <w:bookmarkEnd w:id="602"/>
    <w:bookmarkEnd w:id="603"/>
    <w:bookmarkEnd w:id="604"/>
    <w:bookmarkEnd w:id="605"/>
    <w:bookmarkEnd w:id="606"/>
    <w:bookmarkEnd w:id="607"/>
    <w:bookmarkEnd w:id="608"/>
    <w:bookmarkEnd w:id="609"/>
    <w:bookmarkEnd w:id="610"/>
    <w:bookmarkEnd w:id="611"/>
    <w:bookmarkEnd w:id="612"/>
    <w:bookmarkEnd w:id="613"/>
    <w:p w14:paraId="65EB7DF0">
      <w:pPr>
        <w:widowControl/>
        <w:jc w:val="left"/>
        <w:rPr>
          <w:b/>
          <w:bCs/>
          <w:sz w:val="26"/>
          <w:szCs w:val="26"/>
        </w:rPr>
      </w:pPr>
      <w:r>
        <w:rPr>
          <w:sz w:val="26"/>
          <w:szCs w:val="26"/>
        </w:rPr>
        <w:br w:type="page"/>
      </w:r>
    </w:p>
    <w:p w14:paraId="2DE59144">
      <w:pPr>
        <w:pStyle w:val="5"/>
        <w:keepNext w:val="0"/>
        <w:keepLines w:val="0"/>
        <w:adjustRightInd w:val="0"/>
        <w:snapToGrid w:val="0"/>
        <w:spacing w:before="120" w:beforeLines="50" w:after="240" w:afterLines="100" w:line="288" w:lineRule="auto"/>
        <w:jc w:val="center"/>
        <w:rPr>
          <w:rFonts w:ascii="Times New Roman" w:hAnsi="Times New Roman" w:eastAsia="宋体"/>
          <w:sz w:val="26"/>
          <w:szCs w:val="26"/>
        </w:rPr>
      </w:pPr>
      <w:bookmarkStart w:id="737" w:name="_Toc139613838"/>
      <w:r>
        <w:rPr>
          <w:rFonts w:ascii="Times New Roman" w:hAnsi="Times New Roman" w:eastAsia="宋体"/>
          <w:sz w:val="26"/>
          <w:szCs w:val="26"/>
        </w:rPr>
        <w:t>12</w:t>
      </w:r>
      <w:r>
        <w:rPr>
          <w:rFonts w:hint="eastAsia" w:ascii="Times New Roman" w:hAnsi="Times New Roman" w:eastAsia="宋体"/>
          <w:sz w:val="26"/>
          <w:szCs w:val="26"/>
        </w:rPr>
        <w:t xml:space="preserve">  </w:t>
      </w:r>
      <w:r>
        <w:rPr>
          <w:rFonts w:hint="eastAsia" w:ascii="Times New Roman" w:hAnsi="Times New Roman" w:eastAsia="宋体"/>
          <w:b w:val="0"/>
          <w:bCs w:val="0"/>
          <w:sz w:val="26"/>
          <w:szCs w:val="26"/>
        </w:rPr>
        <w:t>碳排放量计算</w:t>
      </w:r>
      <w:bookmarkEnd w:id="737"/>
    </w:p>
    <w:p w14:paraId="43AC4F6F">
      <w:pPr>
        <w:pStyle w:val="7"/>
        <w:keepNext w:val="0"/>
        <w:keepLines w:val="0"/>
        <w:adjustRightInd w:val="0"/>
        <w:snapToGrid w:val="0"/>
        <w:spacing w:before="240" w:beforeLines="100" w:after="240" w:afterLines="100" w:line="288" w:lineRule="auto"/>
        <w:jc w:val="center"/>
        <w:rPr>
          <w:rFonts w:eastAsia="黑体"/>
          <w:sz w:val="20"/>
          <w:szCs w:val="20"/>
        </w:rPr>
      </w:pPr>
      <w:bookmarkStart w:id="738" w:name="_Toc139613839"/>
      <w:bookmarkStart w:id="739" w:name="_Toc131517237"/>
      <w:r>
        <w:rPr>
          <w:rFonts w:eastAsia="黑体"/>
          <w:sz w:val="20"/>
          <w:szCs w:val="20"/>
        </w:rPr>
        <w:t xml:space="preserve">12.1 </w:t>
      </w:r>
      <w:r>
        <w:rPr>
          <w:rFonts w:hint="eastAsia" w:eastAsia="黑体"/>
          <w:b w:val="0"/>
          <w:bCs w:val="0"/>
          <w:sz w:val="20"/>
          <w:szCs w:val="20"/>
        </w:rPr>
        <w:t>一般规定</w:t>
      </w:r>
      <w:bookmarkEnd w:id="738"/>
      <w:bookmarkEnd w:id="739"/>
      <w:r>
        <w:rPr>
          <w:rFonts w:hint="eastAsia" w:eastAsia="黑体"/>
          <w:sz w:val="20"/>
          <w:szCs w:val="20"/>
        </w:rPr>
        <w:t xml:space="preserve"> </w:t>
      </w:r>
    </w:p>
    <w:p w14:paraId="5562FD98">
      <w:pPr>
        <w:spacing w:line="288" w:lineRule="auto"/>
        <w:rPr>
          <w:sz w:val="20"/>
          <w:szCs w:val="20"/>
        </w:rPr>
      </w:pPr>
      <w:r>
        <w:rPr>
          <w:rFonts w:eastAsia="黑体"/>
          <w:b/>
          <w:bCs/>
          <w:kern w:val="0"/>
          <w:sz w:val="20"/>
          <w:szCs w:val="20"/>
        </w:rPr>
        <w:t xml:space="preserve">12.1.1  </w:t>
      </w:r>
      <w:r>
        <w:rPr>
          <w:sz w:val="20"/>
          <w:szCs w:val="20"/>
        </w:rPr>
        <w:t>碳排放量计算应在设计阶段完成，</w:t>
      </w:r>
      <w:r>
        <w:rPr>
          <w:rFonts w:hint="eastAsia"/>
          <w:sz w:val="20"/>
          <w:szCs w:val="20"/>
        </w:rPr>
        <w:t>对</w:t>
      </w:r>
      <w:r>
        <w:rPr>
          <w:sz w:val="20"/>
          <w:szCs w:val="20"/>
        </w:rPr>
        <w:t>工程施工</w:t>
      </w:r>
      <w:r>
        <w:rPr>
          <w:rFonts w:hint="eastAsia"/>
          <w:sz w:val="20"/>
          <w:szCs w:val="20"/>
        </w:rPr>
        <w:t>过程</w:t>
      </w:r>
      <w:r>
        <w:rPr>
          <w:sz w:val="20"/>
          <w:szCs w:val="20"/>
        </w:rPr>
        <w:t>进行分步分项</w:t>
      </w:r>
      <w:r>
        <w:rPr>
          <w:rFonts w:hint="eastAsia"/>
          <w:sz w:val="20"/>
          <w:szCs w:val="20"/>
        </w:rPr>
        <w:t>划分</w:t>
      </w:r>
      <w:r>
        <w:rPr>
          <w:sz w:val="20"/>
          <w:szCs w:val="20"/>
        </w:rPr>
        <w:t>后，将所有工序包括在计算范围内。</w:t>
      </w:r>
    </w:p>
    <w:p w14:paraId="66EED083">
      <w:pPr>
        <w:spacing w:line="288" w:lineRule="auto"/>
        <w:rPr>
          <w:sz w:val="20"/>
          <w:szCs w:val="20"/>
        </w:rPr>
      </w:pPr>
      <w:r>
        <w:rPr>
          <w:rFonts w:eastAsia="黑体"/>
          <w:b/>
          <w:bCs/>
          <w:kern w:val="0"/>
          <w:sz w:val="20"/>
          <w:szCs w:val="20"/>
        </w:rPr>
        <w:t xml:space="preserve">12.1.2  </w:t>
      </w:r>
      <w:r>
        <w:rPr>
          <w:sz w:val="20"/>
          <w:szCs w:val="20"/>
        </w:rPr>
        <w:t>基坑工程的碳排放量包括计算范围内工程消耗的机械、材料和人工产生的碳排放量。推荐按照</w:t>
      </w:r>
      <w:r>
        <w:rPr>
          <w:rFonts w:hint="eastAsia"/>
          <w:sz w:val="20"/>
          <w:szCs w:val="20"/>
        </w:rPr>
        <w:t>本</w:t>
      </w:r>
      <w:r>
        <w:rPr>
          <w:sz w:val="20"/>
          <w:szCs w:val="20"/>
        </w:rPr>
        <w:t>规</w:t>
      </w:r>
      <w:r>
        <w:rPr>
          <w:rFonts w:hint="eastAsia"/>
          <w:sz w:val="20"/>
          <w:szCs w:val="20"/>
        </w:rPr>
        <w:t>程</w:t>
      </w:r>
      <w:r>
        <w:rPr>
          <w:sz w:val="20"/>
          <w:szCs w:val="20"/>
        </w:rPr>
        <w:t>附录D进行查表和计算。对于表格中未包含的特殊情况，可按照分步分项拆分后，采用附录D说明中的计算公式，同时查取附录E中的碳排放因子，计算</w:t>
      </w:r>
      <w:r>
        <w:rPr>
          <w:rFonts w:hint="eastAsia"/>
          <w:sz w:val="20"/>
          <w:szCs w:val="20"/>
        </w:rPr>
        <w:t>施工中使用的</w:t>
      </w:r>
      <w:r>
        <w:rPr>
          <w:sz w:val="20"/>
          <w:szCs w:val="20"/>
        </w:rPr>
        <w:t>机械、材料和人工产生的碳排放量总和，按照公式</w:t>
      </w:r>
      <w:r>
        <w:rPr>
          <w:rFonts w:hint="eastAsia"/>
          <w:sz w:val="20"/>
          <w:szCs w:val="20"/>
        </w:rPr>
        <w:t>1</w:t>
      </w:r>
      <w:r>
        <w:rPr>
          <w:sz w:val="20"/>
          <w:szCs w:val="20"/>
        </w:rPr>
        <w:t>2.2.1中的公式累计。</w:t>
      </w:r>
    </w:p>
    <w:sectPr>
      <w:headerReference r:id="rId7" w:type="default"/>
      <w:footerReference r:id="rId8" w:type="default"/>
      <w:pgSz w:w="11906" w:h="16838"/>
      <w:pgMar w:top="1361" w:right="1021" w:bottom="1134" w:left="1021" w:header="102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ongti SC">
    <w:altName w:val="宋体"/>
    <w:panose1 w:val="00000000000000000000"/>
    <w:charset w:val="86"/>
    <w:family w:val="auto"/>
    <w:pitch w:val="default"/>
    <w:sig w:usb0="00000000" w:usb1="00000000" w:usb2="00000010" w:usb3="00000000" w:csb0="0004009F" w:csb1="00000000"/>
  </w:font>
  <w:font w:name="Times New Roman (正文 CS 字体)">
    <w:altName w:val="宋体"/>
    <w:panose1 w:val="00000000000000000000"/>
    <w:charset w:val="86"/>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FZSSK--GBK1-0">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E-BZ">
    <w:altName w:val="Segoe Print"/>
    <w:panose1 w:val="00000000000000000000"/>
    <w:charset w:val="00"/>
    <w:family w:val="roman"/>
    <w:pitch w:val="default"/>
    <w:sig w:usb0="00000000" w:usb1="00000000" w:usb2="00000000" w:usb3="00000000" w:csb0="00000000" w:csb1="00000000"/>
  </w:font>
  <w:font w:name="Adobe 黑体 Std R">
    <w:altName w:val="黑体"/>
    <w:panose1 w:val="00000000000000000000"/>
    <w:charset w:val="86"/>
    <w:family w:val="swiss"/>
    <w:pitch w:val="default"/>
    <w:sig w:usb0="00000000" w:usb1="00000000" w:usb2="00000016" w:usb3="00000000" w:csb0="00060007" w:csb1="00000000"/>
  </w:font>
  <w:font w:name="Plotter">
    <w:altName w:val="DejaVu Math TeX Gyre"/>
    <w:panose1 w:val="00000000000000000000"/>
    <w:charset w:val="00"/>
    <w:family w:val="moder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新宋体-18030">
    <w:altName w:val="微软雅黑"/>
    <w:panose1 w:val="00000000000000000000"/>
    <w:charset w:val="86"/>
    <w:family w:val="modern"/>
    <w:pitch w:val="default"/>
    <w:sig w:usb0="00000000" w:usb1="00000000" w:usb2="000A005E"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0114485"/>
    </w:sdtPr>
    <w:sdtContent>
      <w:p w14:paraId="34BFF585">
        <w:pPr>
          <w:pStyle w:val="21"/>
          <w:jc w:val="center"/>
        </w:pPr>
        <w:r>
          <w:fldChar w:fldCharType="begin"/>
        </w:r>
        <w:r>
          <w:instrText xml:space="preserve">PAGE   \* MERGEFORMAT</w:instrText>
        </w:r>
        <w:r>
          <w:fldChar w:fldCharType="separate"/>
        </w:r>
        <w:r>
          <w:rPr>
            <w:lang w:val="zh-CN"/>
          </w:rPr>
          <w:t>35</w:t>
        </w:r>
        <w:r>
          <w:fldChar w:fldCharType="end"/>
        </w:r>
      </w:p>
    </w:sdtContent>
  </w:sdt>
  <w:p w14:paraId="4BD4D27A">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9533888"/>
    </w:sdtPr>
    <w:sdtContent>
      <w:p w14:paraId="05D076F8">
        <w:pPr>
          <w:pStyle w:val="21"/>
          <w:jc w:val="center"/>
        </w:pPr>
        <w:r>
          <w:fldChar w:fldCharType="begin"/>
        </w:r>
        <w:r>
          <w:instrText xml:space="preserve">PAGE   \* MERGEFORMAT</w:instrText>
        </w:r>
        <w:r>
          <w:fldChar w:fldCharType="separate"/>
        </w:r>
        <w:r>
          <w:rPr>
            <w:lang w:val="zh-CN"/>
          </w:rPr>
          <w:t>36</w:t>
        </w:r>
        <w:r>
          <w:fldChar w:fldCharType="end"/>
        </w:r>
      </w:p>
    </w:sdtContent>
  </w:sdt>
  <w:p w14:paraId="45F9040E">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3863827"/>
    </w:sdtPr>
    <w:sdtContent>
      <w:p w14:paraId="30CA97E2">
        <w:pPr>
          <w:pStyle w:val="21"/>
          <w:jc w:val="center"/>
        </w:pPr>
        <w:r>
          <w:fldChar w:fldCharType="begin"/>
        </w:r>
        <w:r>
          <w:instrText xml:space="preserve">PAGE   \* MERGEFORMAT</w:instrText>
        </w:r>
        <w:r>
          <w:fldChar w:fldCharType="separate"/>
        </w:r>
        <w:r>
          <w:rPr>
            <w:lang w:val="zh-CN"/>
          </w:rPr>
          <w:t>99</w:t>
        </w:r>
        <w:r>
          <w:fldChar w:fldCharType="end"/>
        </w:r>
      </w:p>
    </w:sdtContent>
  </w:sdt>
  <w:p w14:paraId="5CA1D67F">
    <w:pPr>
      <w:pStyle w:val="21"/>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F7BAE">
    <w:pPr>
      <w:pStyle w:val="22"/>
      <w:pBdr>
        <w:bottom w:val="none" w:color="auto" w:sz="0" w:space="0"/>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4E613">
    <w:pPr>
      <w:pStyle w:val="22"/>
      <w:pBdr>
        <w:bottom w:val="none" w:color="auto" w:sz="0" w:space="0"/>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0E31F">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8E72A7"/>
    <w:multiLevelType w:val="multilevel"/>
    <w:tmpl w:val="088E72A7"/>
    <w:lvl w:ilvl="0" w:tentative="0">
      <w:start w:val="1"/>
      <w:numFmt w:val="decimal"/>
      <w:lvlText w:val="%1"/>
      <w:lvlJc w:val="left"/>
      <w:pPr>
        <w:tabs>
          <w:tab w:val="left" w:pos="375"/>
        </w:tabs>
        <w:ind w:left="375" w:hanging="375"/>
      </w:pPr>
      <w:rPr>
        <w:rFonts w:hint="default" w:ascii="Times New Roman" w:hAnsi="Times New Roman" w:cs="Times New Roman"/>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hideSpellingErrors/>
  <w:documentProtection w:enforcement="0"/>
  <w:defaultTabStop w:val="420"/>
  <w:doNotHyphenateCaps/>
  <w:evenAndOddHeaders w:val="1"/>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VlYzRlZjMyMmFmMGQxNDVjYTMxOWMzYTFjZTEzOWYifQ=="/>
  </w:docVars>
  <w:rsids>
    <w:rsidRoot w:val="00036D0F"/>
    <w:rsid w:val="00000741"/>
    <w:rsid w:val="0000094F"/>
    <w:rsid w:val="00000BBF"/>
    <w:rsid w:val="00001194"/>
    <w:rsid w:val="00001C2E"/>
    <w:rsid w:val="00001E98"/>
    <w:rsid w:val="00002CF5"/>
    <w:rsid w:val="00002D9C"/>
    <w:rsid w:val="000036B8"/>
    <w:rsid w:val="00003CB4"/>
    <w:rsid w:val="00003FE2"/>
    <w:rsid w:val="0000481F"/>
    <w:rsid w:val="00004A97"/>
    <w:rsid w:val="000051C6"/>
    <w:rsid w:val="0000535F"/>
    <w:rsid w:val="00005966"/>
    <w:rsid w:val="00005C69"/>
    <w:rsid w:val="00005CF6"/>
    <w:rsid w:val="00006265"/>
    <w:rsid w:val="00006A00"/>
    <w:rsid w:val="00006AC6"/>
    <w:rsid w:val="000075D3"/>
    <w:rsid w:val="000076A7"/>
    <w:rsid w:val="00007C49"/>
    <w:rsid w:val="00010397"/>
    <w:rsid w:val="000106F7"/>
    <w:rsid w:val="00010709"/>
    <w:rsid w:val="00010893"/>
    <w:rsid w:val="000108B1"/>
    <w:rsid w:val="000109BF"/>
    <w:rsid w:val="00010F76"/>
    <w:rsid w:val="000116B1"/>
    <w:rsid w:val="00011857"/>
    <w:rsid w:val="00011A5F"/>
    <w:rsid w:val="00011AB9"/>
    <w:rsid w:val="00012711"/>
    <w:rsid w:val="0001277F"/>
    <w:rsid w:val="00012A33"/>
    <w:rsid w:val="00012E09"/>
    <w:rsid w:val="00013236"/>
    <w:rsid w:val="00013F49"/>
    <w:rsid w:val="00013F8E"/>
    <w:rsid w:val="00014A22"/>
    <w:rsid w:val="000157D9"/>
    <w:rsid w:val="000157EB"/>
    <w:rsid w:val="00015C0D"/>
    <w:rsid w:val="00016895"/>
    <w:rsid w:val="00020B3B"/>
    <w:rsid w:val="00020B72"/>
    <w:rsid w:val="00020CE5"/>
    <w:rsid w:val="00021EF2"/>
    <w:rsid w:val="000225E8"/>
    <w:rsid w:val="00022D66"/>
    <w:rsid w:val="00023182"/>
    <w:rsid w:val="00023D45"/>
    <w:rsid w:val="00024027"/>
    <w:rsid w:val="00025090"/>
    <w:rsid w:val="00025486"/>
    <w:rsid w:val="00025626"/>
    <w:rsid w:val="00026503"/>
    <w:rsid w:val="000268D4"/>
    <w:rsid w:val="000275E1"/>
    <w:rsid w:val="0002764A"/>
    <w:rsid w:val="00027657"/>
    <w:rsid w:val="000276C5"/>
    <w:rsid w:val="00027B6A"/>
    <w:rsid w:val="00027B7A"/>
    <w:rsid w:val="00030129"/>
    <w:rsid w:val="000303D3"/>
    <w:rsid w:val="00031E45"/>
    <w:rsid w:val="00031F09"/>
    <w:rsid w:val="00032253"/>
    <w:rsid w:val="0003260C"/>
    <w:rsid w:val="00032BE6"/>
    <w:rsid w:val="00032E8A"/>
    <w:rsid w:val="00033964"/>
    <w:rsid w:val="0003410A"/>
    <w:rsid w:val="0003421E"/>
    <w:rsid w:val="000351A3"/>
    <w:rsid w:val="000355B2"/>
    <w:rsid w:val="00035BA9"/>
    <w:rsid w:val="00035E51"/>
    <w:rsid w:val="00036908"/>
    <w:rsid w:val="00036D0F"/>
    <w:rsid w:val="00037349"/>
    <w:rsid w:val="00037BCF"/>
    <w:rsid w:val="00037D33"/>
    <w:rsid w:val="00040042"/>
    <w:rsid w:val="00040709"/>
    <w:rsid w:val="0004102F"/>
    <w:rsid w:val="00041067"/>
    <w:rsid w:val="00041EA7"/>
    <w:rsid w:val="00041FC2"/>
    <w:rsid w:val="00042032"/>
    <w:rsid w:val="000423F2"/>
    <w:rsid w:val="000428CE"/>
    <w:rsid w:val="000434B3"/>
    <w:rsid w:val="00043541"/>
    <w:rsid w:val="00043B25"/>
    <w:rsid w:val="00044129"/>
    <w:rsid w:val="000448B1"/>
    <w:rsid w:val="00044956"/>
    <w:rsid w:val="00045486"/>
    <w:rsid w:val="000457AC"/>
    <w:rsid w:val="00045C0C"/>
    <w:rsid w:val="0004616C"/>
    <w:rsid w:val="00046953"/>
    <w:rsid w:val="00046D9C"/>
    <w:rsid w:val="00047672"/>
    <w:rsid w:val="00050168"/>
    <w:rsid w:val="00050DC0"/>
    <w:rsid w:val="0005249D"/>
    <w:rsid w:val="0005256C"/>
    <w:rsid w:val="00052CDF"/>
    <w:rsid w:val="00053284"/>
    <w:rsid w:val="0005329E"/>
    <w:rsid w:val="00053A35"/>
    <w:rsid w:val="00053BFB"/>
    <w:rsid w:val="00054337"/>
    <w:rsid w:val="00054516"/>
    <w:rsid w:val="00055464"/>
    <w:rsid w:val="0005583C"/>
    <w:rsid w:val="00055B8B"/>
    <w:rsid w:val="0005612C"/>
    <w:rsid w:val="00056AB4"/>
    <w:rsid w:val="000577A7"/>
    <w:rsid w:val="00057C23"/>
    <w:rsid w:val="00060021"/>
    <w:rsid w:val="000600CB"/>
    <w:rsid w:val="00060996"/>
    <w:rsid w:val="00060D34"/>
    <w:rsid w:val="0006116D"/>
    <w:rsid w:val="00061362"/>
    <w:rsid w:val="00061E1F"/>
    <w:rsid w:val="00063920"/>
    <w:rsid w:val="00063C79"/>
    <w:rsid w:val="00063ED2"/>
    <w:rsid w:val="00063F00"/>
    <w:rsid w:val="00064317"/>
    <w:rsid w:val="000643DC"/>
    <w:rsid w:val="00065104"/>
    <w:rsid w:val="000653A6"/>
    <w:rsid w:val="0006542E"/>
    <w:rsid w:val="000655D6"/>
    <w:rsid w:val="00065852"/>
    <w:rsid w:val="0006663A"/>
    <w:rsid w:val="00066D98"/>
    <w:rsid w:val="0007064B"/>
    <w:rsid w:val="000709A5"/>
    <w:rsid w:val="00070A6C"/>
    <w:rsid w:val="0007144F"/>
    <w:rsid w:val="00071513"/>
    <w:rsid w:val="00071753"/>
    <w:rsid w:val="00071E3C"/>
    <w:rsid w:val="00072040"/>
    <w:rsid w:val="000723B2"/>
    <w:rsid w:val="00072A6C"/>
    <w:rsid w:val="00072F54"/>
    <w:rsid w:val="000739D9"/>
    <w:rsid w:val="00073C97"/>
    <w:rsid w:val="0007425B"/>
    <w:rsid w:val="00074889"/>
    <w:rsid w:val="0007513B"/>
    <w:rsid w:val="0007595C"/>
    <w:rsid w:val="00075FED"/>
    <w:rsid w:val="00076210"/>
    <w:rsid w:val="00076337"/>
    <w:rsid w:val="000768E8"/>
    <w:rsid w:val="00076D62"/>
    <w:rsid w:val="00077299"/>
    <w:rsid w:val="00077AA1"/>
    <w:rsid w:val="00077D4C"/>
    <w:rsid w:val="00077F30"/>
    <w:rsid w:val="000801C6"/>
    <w:rsid w:val="00080B30"/>
    <w:rsid w:val="00081207"/>
    <w:rsid w:val="0008167A"/>
    <w:rsid w:val="00082343"/>
    <w:rsid w:val="0008252F"/>
    <w:rsid w:val="000829F8"/>
    <w:rsid w:val="00083090"/>
    <w:rsid w:val="00083B3C"/>
    <w:rsid w:val="0008487D"/>
    <w:rsid w:val="00084BE0"/>
    <w:rsid w:val="00085590"/>
    <w:rsid w:val="00085753"/>
    <w:rsid w:val="00086814"/>
    <w:rsid w:val="000876F7"/>
    <w:rsid w:val="00087C09"/>
    <w:rsid w:val="00087DA8"/>
    <w:rsid w:val="00090279"/>
    <w:rsid w:val="0009065D"/>
    <w:rsid w:val="00090DBD"/>
    <w:rsid w:val="000911A9"/>
    <w:rsid w:val="00092009"/>
    <w:rsid w:val="0009224E"/>
    <w:rsid w:val="00092A6B"/>
    <w:rsid w:val="00093072"/>
    <w:rsid w:val="00093304"/>
    <w:rsid w:val="00093648"/>
    <w:rsid w:val="00093E90"/>
    <w:rsid w:val="000958C8"/>
    <w:rsid w:val="00096269"/>
    <w:rsid w:val="0009766B"/>
    <w:rsid w:val="000A0047"/>
    <w:rsid w:val="000A0D68"/>
    <w:rsid w:val="000A0E44"/>
    <w:rsid w:val="000A2481"/>
    <w:rsid w:val="000A2980"/>
    <w:rsid w:val="000A39AC"/>
    <w:rsid w:val="000A39E7"/>
    <w:rsid w:val="000A3AD1"/>
    <w:rsid w:val="000A41D2"/>
    <w:rsid w:val="000A41E2"/>
    <w:rsid w:val="000A4528"/>
    <w:rsid w:val="000A46B3"/>
    <w:rsid w:val="000A475B"/>
    <w:rsid w:val="000A5239"/>
    <w:rsid w:val="000A652E"/>
    <w:rsid w:val="000A66DC"/>
    <w:rsid w:val="000A6F04"/>
    <w:rsid w:val="000A7923"/>
    <w:rsid w:val="000A7AE2"/>
    <w:rsid w:val="000B0074"/>
    <w:rsid w:val="000B2027"/>
    <w:rsid w:val="000B20D7"/>
    <w:rsid w:val="000B2586"/>
    <w:rsid w:val="000B25B1"/>
    <w:rsid w:val="000B2789"/>
    <w:rsid w:val="000B2B52"/>
    <w:rsid w:val="000B2E48"/>
    <w:rsid w:val="000B309B"/>
    <w:rsid w:val="000B37DD"/>
    <w:rsid w:val="000B37E5"/>
    <w:rsid w:val="000B4301"/>
    <w:rsid w:val="000B481E"/>
    <w:rsid w:val="000B4B7C"/>
    <w:rsid w:val="000B52E9"/>
    <w:rsid w:val="000B5931"/>
    <w:rsid w:val="000B59D1"/>
    <w:rsid w:val="000B5C34"/>
    <w:rsid w:val="000B5C5B"/>
    <w:rsid w:val="000B6724"/>
    <w:rsid w:val="000B6ABC"/>
    <w:rsid w:val="000B7665"/>
    <w:rsid w:val="000B7707"/>
    <w:rsid w:val="000B7C34"/>
    <w:rsid w:val="000B7DC6"/>
    <w:rsid w:val="000C0EA9"/>
    <w:rsid w:val="000C10D3"/>
    <w:rsid w:val="000C2602"/>
    <w:rsid w:val="000C29C5"/>
    <w:rsid w:val="000C2C97"/>
    <w:rsid w:val="000C3129"/>
    <w:rsid w:val="000C33DE"/>
    <w:rsid w:val="000C3E65"/>
    <w:rsid w:val="000C3E68"/>
    <w:rsid w:val="000C49C4"/>
    <w:rsid w:val="000C4FC5"/>
    <w:rsid w:val="000C5B4A"/>
    <w:rsid w:val="000C64BF"/>
    <w:rsid w:val="000C6891"/>
    <w:rsid w:val="000C6938"/>
    <w:rsid w:val="000C763E"/>
    <w:rsid w:val="000C7656"/>
    <w:rsid w:val="000C7687"/>
    <w:rsid w:val="000C7889"/>
    <w:rsid w:val="000D0457"/>
    <w:rsid w:val="000D1AFB"/>
    <w:rsid w:val="000D2E6A"/>
    <w:rsid w:val="000D4063"/>
    <w:rsid w:val="000D5715"/>
    <w:rsid w:val="000D5EF5"/>
    <w:rsid w:val="000D65F8"/>
    <w:rsid w:val="000D7160"/>
    <w:rsid w:val="000D7AE5"/>
    <w:rsid w:val="000D7C24"/>
    <w:rsid w:val="000D7D2A"/>
    <w:rsid w:val="000D7F59"/>
    <w:rsid w:val="000E05EA"/>
    <w:rsid w:val="000E070A"/>
    <w:rsid w:val="000E131D"/>
    <w:rsid w:val="000E15BF"/>
    <w:rsid w:val="000E1A95"/>
    <w:rsid w:val="000E1BAB"/>
    <w:rsid w:val="000E2888"/>
    <w:rsid w:val="000E407B"/>
    <w:rsid w:val="000E41C0"/>
    <w:rsid w:val="000E42E3"/>
    <w:rsid w:val="000E4BFB"/>
    <w:rsid w:val="000E50F8"/>
    <w:rsid w:val="000E58E8"/>
    <w:rsid w:val="000E5C63"/>
    <w:rsid w:val="000E654A"/>
    <w:rsid w:val="000E6610"/>
    <w:rsid w:val="000E6694"/>
    <w:rsid w:val="000E70C6"/>
    <w:rsid w:val="000E7417"/>
    <w:rsid w:val="000E742C"/>
    <w:rsid w:val="000E7469"/>
    <w:rsid w:val="000E7EBB"/>
    <w:rsid w:val="000F0387"/>
    <w:rsid w:val="000F0688"/>
    <w:rsid w:val="000F089E"/>
    <w:rsid w:val="000F1FEB"/>
    <w:rsid w:val="000F24E1"/>
    <w:rsid w:val="000F27E7"/>
    <w:rsid w:val="000F386F"/>
    <w:rsid w:val="000F3891"/>
    <w:rsid w:val="000F39AE"/>
    <w:rsid w:val="000F40F7"/>
    <w:rsid w:val="000F4440"/>
    <w:rsid w:val="000F4ABC"/>
    <w:rsid w:val="000F4FDF"/>
    <w:rsid w:val="000F568E"/>
    <w:rsid w:val="000F5A7E"/>
    <w:rsid w:val="000F60F3"/>
    <w:rsid w:val="000F62EB"/>
    <w:rsid w:val="000F635B"/>
    <w:rsid w:val="000F69C9"/>
    <w:rsid w:val="000F6D96"/>
    <w:rsid w:val="000F755C"/>
    <w:rsid w:val="000F7F75"/>
    <w:rsid w:val="00100761"/>
    <w:rsid w:val="001014FA"/>
    <w:rsid w:val="00101FEE"/>
    <w:rsid w:val="0010255B"/>
    <w:rsid w:val="00103344"/>
    <w:rsid w:val="001034F0"/>
    <w:rsid w:val="0010364E"/>
    <w:rsid w:val="00103833"/>
    <w:rsid w:val="001040C5"/>
    <w:rsid w:val="001045F3"/>
    <w:rsid w:val="001046EC"/>
    <w:rsid w:val="00104DF9"/>
    <w:rsid w:val="00105B95"/>
    <w:rsid w:val="00106665"/>
    <w:rsid w:val="00106EEC"/>
    <w:rsid w:val="00107447"/>
    <w:rsid w:val="001078AF"/>
    <w:rsid w:val="001102A2"/>
    <w:rsid w:val="00110C05"/>
    <w:rsid w:val="00110EB8"/>
    <w:rsid w:val="00111156"/>
    <w:rsid w:val="00111AC2"/>
    <w:rsid w:val="00111C13"/>
    <w:rsid w:val="00111D5B"/>
    <w:rsid w:val="001121E2"/>
    <w:rsid w:val="001132B1"/>
    <w:rsid w:val="00113831"/>
    <w:rsid w:val="001141DB"/>
    <w:rsid w:val="001145C2"/>
    <w:rsid w:val="00114CC3"/>
    <w:rsid w:val="0011503C"/>
    <w:rsid w:val="00115444"/>
    <w:rsid w:val="00115838"/>
    <w:rsid w:val="00115A17"/>
    <w:rsid w:val="00115B59"/>
    <w:rsid w:val="001162EC"/>
    <w:rsid w:val="00116595"/>
    <w:rsid w:val="0011661F"/>
    <w:rsid w:val="001168A5"/>
    <w:rsid w:val="00116AE7"/>
    <w:rsid w:val="00116EF2"/>
    <w:rsid w:val="0011718E"/>
    <w:rsid w:val="0011724F"/>
    <w:rsid w:val="00117F11"/>
    <w:rsid w:val="00120655"/>
    <w:rsid w:val="00120833"/>
    <w:rsid w:val="00120EAC"/>
    <w:rsid w:val="00120ED8"/>
    <w:rsid w:val="00121163"/>
    <w:rsid w:val="0012176D"/>
    <w:rsid w:val="00121DF4"/>
    <w:rsid w:val="00121E86"/>
    <w:rsid w:val="0012222B"/>
    <w:rsid w:val="00122824"/>
    <w:rsid w:val="00122F0A"/>
    <w:rsid w:val="00123089"/>
    <w:rsid w:val="001231A7"/>
    <w:rsid w:val="0012372F"/>
    <w:rsid w:val="00124923"/>
    <w:rsid w:val="0012628C"/>
    <w:rsid w:val="00126364"/>
    <w:rsid w:val="001275FD"/>
    <w:rsid w:val="00130259"/>
    <w:rsid w:val="00130BF3"/>
    <w:rsid w:val="0013104B"/>
    <w:rsid w:val="00131EBF"/>
    <w:rsid w:val="001322FE"/>
    <w:rsid w:val="001323F7"/>
    <w:rsid w:val="00132797"/>
    <w:rsid w:val="00132966"/>
    <w:rsid w:val="00132B06"/>
    <w:rsid w:val="00132D99"/>
    <w:rsid w:val="0013347F"/>
    <w:rsid w:val="0013363D"/>
    <w:rsid w:val="0013369B"/>
    <w:rsid w:val="00134807"/>
    <w:rsid w:val="00134C4D"/>
    <w:rsid w:val="0013527C"/>
    <w:rsid w:val="0013569A"/>
    <w:rsid w:val="00135877"/>
    <w:rsid w:val="001360E3"/>
    <w:rsid w:val="001362A1"/>
    <w:rsid w:val="0013645B"/>
    <w:rsid w:val="001369E9"/>
    <w:rsid w:val="0013759D"/>
    <w:rsid w:val="001377D1"/>
    <w:rsid w:val="00137839"/>
    <w:rsid w:val="00140097"/>
    <w:rsid w:val="001400FD"/>
    <w:rsid w:val="001402E4"/>
    <w:rsid w:val="00140CB9"/>
    <w:rsid w:val="00140FFE"/>
    <w:rsid w:val="001411F2"/>
    <w:rsid w:val="00141443"/>
    <w:rsid w:val="00141AF5"/>
    <w:rsid w:val="00141D9B"/>
    <w:rsid w:val="001429D1"/>
    <w:rsid w:val="00142B2C"/>
    <w:rsid w:val="001431D0"/>
    <w:rsid w:val="00143392"/>
    <w:rsid w:val="00143ECB"/>
    <w:rsid w:val="0014454D"/>
    <w:rsid w:val="00144828"/>
    <w:rsid w:val="001449C8"/>
    <w:rsid w:val="001454D5"/>
    <w:rsid w:val="00146F63"/>
    <w:rsid w:val="0014740C"/>
    <w:rsid w:val="00147768"/>
    <w:rsid w:val="00150E48"/>
    <w:rsid w:val="0015129B"/>
    <w:rsid w:val="0015179B"/>
    <w:rsid w:val="00151F1F"/>
    <w:rsid w:val="0015215A"/>
    <w:rsid w:val="001522A8"/>
    <w:rsid w:val="001534DF"/>
    <w:rsid w:val="0015352C"/>
    <w:rsid w:val="00153A0A"/>
    <w:rsid w:val="00153D1E"/>
    <w:rsid w:val="00153ED0"/>
    <w:rsid w:val="00154718"/>
    <w:rsid w:val="001549E0"/>
    <w:rsid w:val="00154E44"/>
    <w:rsid w:val="00154FA8"/>
    <w:rsid w:val="0015559B"/>
    <w:rsid w:val="00155EA5"/>
    <w:rsid w:val="001560D6"/>
    <w:rsid w:val="001566D4"/>
    <w:rsid w:val="00156A4F"/>
    <w:rsid w:val="00156C68"/>
    <w:rsid w:val="001571FC"/>
    <w:rsid w:val="001573FB"/>
    <w:rsid w:val="00157C71"/>
    <w:rsid w:val="00157C7A"/>
    <w:rsid w:val="001602D3"/>
    <w:rsid w:val="00160810"/>
    <w:rsid w:val="00160C0C"/>
    <w:rsid w:val="00160E46"/>
    <w:rsid w:val="001614C7"/>
    <w:rsid w:val="00161EFB"/>
    <w:rsid w:val="001627DA"/>
    <w:rsid w:val="00163082"/>
    <w:rsid w:val="00163571"/>
    <w:rsid w:val="001635FF"/>
    <w:rsid w:val="00163854"/>
    <w:rsid w:val="00163A09"/>
    <w:rsid w:val="00164757"/>
    <w:rsid w:val="0016521C"/>
    <w:rsid w:val="0016532E"/>
    <w:rsid w:val="001656F3"/>
    <w:rsid w:val="00166511"/>
    <w:rsid w:val="00167DF8"/>
    <w:rsid w:val="00170B2C"/>
    <w:rsid w:val="00171141"/>
    <w:rsid w:val="00171638"/>
    <w:rsid w:val="00171AFE"/>
    <w:rsid w:val="00171EB4"/>
    <w:rsid w:val="00172C2F"/>
    <w:rsid w:val="00172F5A"/>
    <w:rsid w:val="00173148"/>
    <w:rsid w:val="00173424"/>
    <w:rsid w:val="00173500"/>
    <w:rsid w:val="0017393E"/>
    <w:rsid w:val="00173E5E"/>
    <w:rsid w:val="00174129"/>
    <w:rsid w:val="00174349"/>
    <w:rsid w:val="001753A0"/>
    <w:rsid w:val="00175593"/>
    <w:rsid w:val="00175811"/>
    <w:rsid w:val="001758A4"/>
    <w:rsid w:val="001759EF"/>
    <w:rsid w:val="00175A16"/>
    <w:rsid w:val="00175BC4"/>
    <w:rsid w:val="00175E4F"/>
    <w:rsid w:val="00176089"/>
    <w:rsid w:val="00176550"/>
    <w:rsid w:val="00176887"/>
    <w:rsid w:val="0017688D"/>
    <w:rsid w:val="0017781D"/>
    <w:rsid w:val="00181445"/>
    <w:rsid w:val="00181B2C"/>
    <w:rsid w:val="001822E5"/>
    <w:rsid w:val="00183128"/>
    <w:rsid w:val="00183AF7"/>
    <w:rsid w:val="00184215"/>
    <w:rsid w:val="00184583"/>
    <w:rsid w:val="00184922"/>
    <w:rsid w:val="001852E6"/>
    <w:rsid w:val="001854B9"/>
    <w:rsid w:val="001855C4"/>
    <w:rsid w:val="00185AD5"/>
    <w:rsid w:val="0018666E"/>
    <w:rsid w:val="0018700D"/>
    <w:rsid w:val="00187170"/>
    <w:rsid w:val="00187596"/>
    <w:rsid w:val="00190341"/>
    <w:rsid w:val="00190B82"/>
    <w:rsid w:val="00191552"/>
    <w:rsid w:val="00191835"/>
    <w:rsid w:val="00191C3F"/>
    <w:rsid w:val="00192236"/>
    <w:rsid w:val="001935F9"/>
    <w:rsid w:val="00193D38"/>
    <w:rsid w:val="001947D1"/>
    <w:rsid w:val="00194EA3"/>
    <w:rsid w:val="00195698"/>
    <w:rsid w:val="00197027"/>
    <w:rsid w:val="001A05F2"/>
    <w:rsid w:val="001A1055"/>
    <w:rsid w:val="001A1903"/>
    <w:rsid w:val="001A1F1D"/>
    <w:rsid w:val="001A1FC1"/>
    <w:rsid w:val="001A2640"/>
    <w:rsid w:val="001A2863"/>
    <w:rsid w:val="001A4066"/>
    <w:rsid w:val="001A4D4E"/>
    <w:rsid w:val="001A4F2C"/>
    <w:rsid w:val="001A5846"/>
    <w:rsid w:val="001A5AE9"/>
    <w:rsid w:val="001A695F"/>
    <w:rsid w:val="001A7046"/>
    <w:rsid w:val="001A71D8"/>
    <w:rsid w:val="001A7A9F"/>
    <w:rsid w:val="001A7C21"/>
    <w:rsid w:val="001B109C"/>
    <w:rsid w:val="001B1819"/>
    <w:rsid w:val="001B1943"/>
    <w:rsid w:val="001B23B6"/>
    <w:rsid w:val="001B2C5A"/>
    <w:rsid w:val="001B3DC0"/>
    <w:rsid w:val="001B40F6"/>
    <w:rsid w:val="001B4189"/>
    <w:rsid w:val="001B505F"/>
    <w:rsid w:val="001B5C6D"/>
    <w:rsid w:val="001B5E57"/>
    <w:rsid w:val="001B6154"/>
    <w:rsid w:val="001B64F2"/>
    <w:rsid w:val="001B6737"/>
    <w:rsid w:val="001B68F0"/>
    <w:rsid w:val="001B7778"/>
    <w:rsid w:val="001B7DBA"/>
    <w:rsid w:val="001C0E77"/>
    <w:rsid w:val="001C1658"/>
    <w:rsid w:val="001C2C88"/>
    <w:rsid w:val="001C2EAA"/>
    <w:rsid w:val="001C34E7"/>
    <w:rsid w:val="001C39C3"/>
    <w:rsid w:val="001C3C10"/>
    <w:rsid w:val="001C3DC0"/>
    <w:rsid w:val="001C406D"/>
    <w:rsid w:val="001C493B"/>
    <w:rsid w:val="001C498F"/>
    <w:rsid w:val="001C540C"/>
    <w:rsid w:val="001C5523"/>
    <w:rsid w:val="001C5AA7"/>
    <w:rsid w:val="001C5D28"/>
    <w:rsid w:val="001C5E83"/>
    <w:rsid w:val="001C6763"/>
    <w:rsid w:val="001C6A10"/>
    <w:rsid w:val="001C6A93"/>
    <w:rsid w:val="001C6D45"/>
    <w:rsid w:val="001C6D50"/>
    <w:rsid w:val="001C6FF1"/>
    <w:rsid w:val="001C7C5A"/>
    <w:rsid w:val="001C7DE1"/>
    <w:rsid w:val="001C7FE2"/>
    <w:rsid w:val="001D0D9C"/>
    <w:rsid w:val="001D1A4F"/>
    <w:rsid w:val="001D23DA"/>
    <w:rsid w:val="001D3C14"/>
    <w:rsid w:val="001D3D17"/>
    <w:rsid w:val="001D4CEB"/>
    <w:rsid w:val="001D4CED"/>
    <w:rsid w:val="001D4CEF"/>
    <w:rsid w:val="001D563F"/>
    <w:rsid w:val="001D5B13"/>
    <w:rsid w:val="001D63B6"/>
    <w:rsid w:val="001D7003"/>
    <w:rsid w:val="001D72AF"/>
    <w:rsid w:val="001E081E"/>
    <w:rsid w:val="001E091B"/>
    <w:rsid w:val="001E0BB0"/>
    <w:rsid w:val="001E1254"/>
    <w:rsid w:val="001E1A7A"/>
    <w:rsid w:val="001E1DEB"/>
    <w:rsid w:val="001E2001"/>
    <w:rsid w:val="001E20D0"/>
    <w:rsid w:val="001E23E2"/>
    <w:rsid w:val="001E380B"/>
    <w:rsid w:val="001E3935"/>
    <w:rsid w:val="001E3BD2"/>
    <w:rsid w:val="001E4312"/>
    <w:rsid w:val="001E4BCB"/>
    <w:rsid w:val="001E4EDD"/>
    <w:rsid w:val="001E5F0A"/>
    <w:rsid w:val="001E5F1B"/>
    <w:rsid w:val="001E6E48"/>
    <w:rsid w:val="001E77CE"/>
    <w:rsid w:val="001E78B7"/>
    <w:rsid w:val="001E7F7D"/>
    <w:rsid w:val="001F0292"/>
    <w:rsid w:val="001F099F"/>
    <w:rsid w:val="001F0CC6"/>
    <w:rsid w:val="001F0F83"/>
    <w:rsid w:val="001F13CD"/>
    <w:rsid w:val="001F183F"/>
    <w:rsid w:val="001F1C92"/>
    <w:rsid w:val="001F1CF8"/>
    <w:rsid w:val="001F23C5"/>
    <w:rsid w:val="001F2F41"/>
    <w:rsid w:val="001F3F70"/>
    <w:rsid w:val="001F3FE4"/>
    <w:rsid w:val="001F44F4"/>
    <w:rsid w:val="001F45B0"/>
    <w:rsid w:val="001F5283"/>
    <w:rsid w:val="001F569B"/>
    <w:rsid w:val="001F5762"/>
    <w:rsid w:val="001F61AF"/>
    <w:rsid w:val="001F61BE"/>
    <w:rsid w:val="001F6DC7"/>
    <w:rsid w:val="001F6E80"/>
    <w:rsid w:val="001F6E9F"/>
    <w:rsid w:val="001F714F"/>
    <w:rsid w:val="00200CC3"/>
    <w:rsid w:val="00200F42"/>
    <w:rsid w:val="0020204A"/>
    <w:rsid w:val="00202195"/>
    <w:rsid w:val="00202B98"/>
    <w:rsid w:val="00202C95"/>
    <w:rsid w:val="002032D2"/>
    <w:rsid w:val="0020386A"/>
    <w:rsid w:val="00203DDF"/>
    <w:rsid w:val="00203F65"/>
    <w:rsid w:val="00204BFF"/>
    <w:rsid w:val="002052C0"/>
    <w:rsid w:val="00206789"/>
    <w:rsid w:val="00206802"/>
    <w:rsid w:val="002079D7"/>
    <w:rsid w:val="00207DCC"/>
    <w:rsid w:val="00207E59"/>
    <w:rsid w:val="002104FA"/>
    <w:rsid w:val="00210A8D"/>
    <w:rsid w:val="00210AC4"/>
    <w:rsid w:val="00210D59"/>
    <w:rsid w:val="00211B22"/>
    <w:rsid w:val="00211F6C"/>
    <w:rsid w:val="0021316B"/>
    <w:rsid w:val="00213258"/>
    <w:rsid w:val="002133B3"/>
    <w:rsid w:val="00213654"/>
    <w:rsid w:val="00213E1D"/>
    <w:rsid w:val="00213F71"/>
    <w:rsid w:val="00215101"/>
    <w:rsid w:val="002153CC"/>
    <w:rsid w:val="002156A5"/>
    <w:rsid w:val="00215B61"/>
    <w:rsid w:val="00216492"/>
    <w:rsid w:val="00216798"/>
    <w:rsid w:val="00216F39"/>
    <w:rsid w:val="00217606"/>
    <w:rsid w:val="002176BD"/>
    <w:rsid w:val="002201BE"/>
    <w:rsid w:val="002202B5"/>
    <w:rsid w:val="002202BF"/>
    <w:rsid w:val="00220DF1"/>
    <w:rsid w:val="00221405"/>
    <w:rsid w:val="002216C3"/>
    <w:rsid w:val="00221E94"/>
    <w:rsid w:val="002221E3"/>
    <w:rsid w:val="00222306"/>
    <w:rsid w:val="00222402"/>
    <w:rsid w:val="00222803"/>
    <w:rsid w:val="002233F9"/>
    <w:rsid w:val="00223812"/>
    <w:rsid w:val="002240BD"/>
    <w:rsid w:val="00224C14"/>
    <w:rsid w:val="00224D5D"/>
    <w:rsid w:val="002250F9"/>
    <w:rsid w:val="002254C0"/>
    <w:rsid w:val="0022557A"/>
    <w:rsid w:val="00225DFF"/>
    <w:rsid w:val="002273E4"/>
    <w:rsid w:val="00230752"/>
    <w:rsid w:val="00230E3D"/>
    <w:rsid w:val="002319BF"/>
    <w:rsid w:val="00231BE3"/>
    <w:rsid w:val="00231C2A"/>
    <w:rsid w:val="00231C69"/>
    <w:rsid w:val="00232214"/>
    <w:rsid w:val="00232CE0"/>
    <w:rsid w:val="00232F4C"/>
    <w:rsid w:val="0023331A"/>
    <w:rsid w:val="00233B0B"/>
    <w:rsid w:val="00233B2A"/>
    <w:rsid w:val="002344F2"/>
    <w:rsid w:val="00234B79"/>
    <w:rsid w:val="00234DB3"/>
    <w:rsid w:val="00234E13"/>
    <w:rsid w:val="00234F18"/>
    <w:rsid w:val="0023528E"/>
    <w:rsid w:val="00235335"/>
    <w:rsid w:val="00235BAE"/>
    <w:rsid w:val="00236941"/>
    <w:rsid w:val="00236AF2"/>
    <w:rsid w:val="00236C06"/>
    <w:rsid w:val="00236E3B"/>
    <w:rsid w:val="00237AE5"/>
    <w:rsid w:val="00237CAD"/>
    <w:rsid w:val="002407D1"/>
    <w:rsid w:val="002409E2"/>
    <w:rsid w:val="0024161E"/>
    <w:rsid w:val="002421BD"/>
    <w:rsid w:val="0024235F"/>
    <w:rsid w:val="00242F25"/>
    <w:rsid w:val="00243135"/>
    <w:rsid w:val="00243B76"/>
    <w:rsid w:val="00243D55"/>
    <w:rsid w:val="00243D82"/>
    <w:rsid w:val="0024417A"/>
    <w:rsid w:val="002452B5"/>
    <w:rsid w:val="002457AC"/>
    <w:rsid w:val="002457DE"/>
    <w:rsid w:val="00246080"/>
    <w:rsid w:val="00246C96"/>
    <w:rsid w:val="002478D5"/>
    <w:rsid w:val="002479BB"/>
    <w:rsid w:val="0025012D"/>
    <w:rsid w:val="00250640"/>
    <w:rsid w:val="002514EC"/>
    <w:rsid w:val="00251693"/>
    <w:rsid w:val="002519D6"/>
    <w:rsid w:val="002523B8"/>
    <w:rsid w:val="00254036"/>
    <w:rsid w:val="002541A5"/>
    <w:rsid w:val="002541FB"/>
    <w:rsid w:val="00254765"/>
    <w:rsid w:val="0025488D"/>
    <w:rsid w:val="00254DA3"/>
    <w:rsid w:val="00254E19"/>
    <w:rsid w:val="00254F60"/>
    <w:rsid w:val="002551B0"/>
    <w:rsid w:val="00255339"/>
    <w:rsid w:val="00255340"/>
    <w:rsid w:val="002556A3"/>
    <w:rsid w:val="00255A30"/>
    <w:rsid w:val="00255B2E"/>
    <w:rsid w:val="00255BF9"/>
    <w:rsid w:val="002564BB"/>
    <w:rsid w:val="002565CA"/>
    <w:rsid w:val="00256C8C"/>
    <w:rsid w:val="00256DC5"/>
    <w:rsid w:val="0025726B"/>
    <w:rsid w:val="0025764E"/>
    <w:rsid w:val="00260F0C"/>
    <w:rsid w:val="00260F2C"/>
    <w:rsid w:val="00261660"/>
    <w:rsid w:val="00261A6A"/>
    <w:rsid w:val="002622F5"/>
    <w:rsid w:val="00262F92"/>
    <w:rsid w:val="002630AE"/>
    <w:rsid w:val="00263652"/>
    <w:rsid w:val="00263C2E"/>
    <w:rsid w:val="00263F2B"/>
    <w:rsid w:val="00264550"/>
    <w:rsid w:val="002651F6"/>
    <w:rsid w:val="0026547D"/>
    <w:rsid w:val="00265DFE"/>
    <w:rsid w:val="00266101"/>
    <w:rsid w:val="002661E9"/>
    <w:rsid w:val="00266465"/>
    <w:rsid w:val="0026678B"/>
    <w:rsid w:val="00266C86"/>
    <w:rsid w:val="002672D4"/>
    <w:rsid w:val="00267640"/>
    <w:rsid w:val="00267D38"/>
    <w:rsid w:val="00270633"/>
    <w:rsid w:val="00270860"/>
    <w:rsid w:val="00270D69"/>
    <w:rsid w:val="00270FBD"/>
    <w:rsid w:val="00271A0A"/>
    <w:rsid w:val="00271E91"/>
    <w:rsid w:val="002723D9"/>
    <w:rsid w:val="00272B0D"/>
    <w:rsid w:val="0027455D"/>
    <w:rsid w:val="002746AF"/>
    <w:rsid w:val="002751D1"/>
    <w:rsid w:val="002752E5"/>
    <w:rsid w:val="0027569D"/>
    <w:rsid w:val="00275A1B"/>
    <w:rsid w:val="00275BFF"/>
    <w:rsid w:val="00275D68"/>
    <w:rsid w:val="00275F5A"/>
    <w:rsid w:val="00277BDD"/>
    <w:rsid w:val="00277E3A"/>
    <w:rsid w:val="00277F5D"/>
    <w:rsid w:val="00280369"/>
    <w:rsid w:val="002809FE"/>
    <w:rsid w:val="00281723"/>
    <w:rsid w:val="002820C2"/>
    <w:rsid w:val="0028223E"/>
    <w:rsid w:val="002828AF"/>
    <w:rsid w:val="002828FF"/>
    <w:rsid w:val="00283967"/>
    <w:rsid w:val="0028396E"/>
    <w:rsid w:val="00283E35"/>
    <w:rsid w:val="00283F08"/>
    <w:rsid w:val="002846F9"/>
    <w:rsid w:val="002847F8"/>
    <w:rsid w:val="00285274"/>
    <w:rsid w:val="002852DB"/>
    <w:rsid w:val="002857D9"/>
    <w:rsid w:val="00285800"/>
    <w:rsid w:val="00285D8E"/>
    <w:rsid w:val="00285EB8"/>
    <w:rsid w:val="002870B6"/>
    <w:rsid w:val="00287511"/>
    <w:rsid w:val="0028790E"/>
    <w:rsid w:val="0029020D"/>
    <w:rsid w:val="0029072F"/>
    <w:rsid w:val="00290FAB"/>
    <w:rsid w:val="00291A48"/>
    <w:rsid w:val="0029266D"/>
    <w:rsid w:val="00293634"/>
    <w:rsid w:val="00293E18"/>
    <w:rsid w:val="002942CD"/>
    <w:rsid w:val="002949FD"/>
    <w:rsid w:val="00294D5D"/>
    <w:rsid w:val="002950BA"/>
    <w:rsid w:val="00295E20"/>
    <w:rsid w:val="00295F2D"/>
    <w:rsid w:val="00296207"/>
    <w:rsid w:val="002963B9"/>
    <w:rsid w:val="0029661B"/>
    <w:rsid w:val="002968CE"/>
    <w:rsid w:val="0029701A"/>
    <w:rsid w:val="002970EC"/>
    <w:rsid w:val="00297FA8"/>
    <w:rsid w:val="002A06EF"/>
    <w:rsid w:val="002A0965"/>
    <w:rsid w:val="002A1390"/>
    <w:rsid w:val="002A16D9"/>
    <w:rsid w:val="002A2085"/>
    <w:rsid w:val="002A2AB3"/>
    <w:rsid w:val="002A33D4"/>
    <w:rsid w:val="002A3762"/>
    <w:rsid w:val="002A3A00"/>
    <w:rsid w:val="002A3BC3"/>
    <w:rsid w:val="002A4E8E"/>
    <w:rsid w:val="002A534E"/>
    <w:rsid w:val="002A5B4C"/>
    <w:rsid w:val="002A63DE"/>
    <w:rsid w:val="002A6C87"/>
    <w:rsid w:val="002A70D3"/>
    <w:rsid w:val="002A723C"/>
    <w:rsid w:val="002B03CE"/>
    <w:rsid w:val="002B0A43"/>
    <w:rsid w:val="002B1166"/>
    <w:rsid w:val="002B1905"/>
    <w:rsid w:val="002B1BDD"/>
    <w:rsid w:val="002B2639"/>
    <w:rsid w:val="002B3193"/>
    <w:rsid w:val="002B3596"/>
    <w:rsid w:val="002B3EBD"/>
    <w:rsid w:val="002B4171"/>
    <w:rsid w:val="002B4940"/>
    <w:rsid w:val="002B51D7"/>
    <w:rsid w:val="002B51DF"/>
    <w:rsid w:val="002B5661"/>
    <w:rsid w:val="002B6B45"/>
    <w:rsid w:val="002B6FDF"/>
    <w:rsid w:val="002B7149"/>
    <w:rsid w:val="002B7B24"/>
    <w:rsid w:val="002C11DA"/>
    <w:rsid w:val="002C1306"/>
    <w:rsid w:val="002C1360"/>
    <w:rsid w:val="002C2952"/>
    <w:rsid w:val="002C2EBC"/>
    <w:rsid w:val="002C3C7B"/>
    <w:rsid w:val="002C4907"/>
    <w:rsid w:val="002C4E21"/>
    <w:rsid w:val="002C54B6"/>
    <w:rsid w:val="002C557A"/>
    <w:rsid w:val="002C59F2"/>
    <w:rsid w:val="002C5BF7"/>
    <w:rsid w:val="002C5E6E"/>
    <w:rsid w:val="002C682E"/>
    <w:rsid w:val="002C6B15"/>
    <w:rsid w:val="002C6E8F"/>
    <w:rsid w:val="002C7D6F"/>
    <w:rsid w:val="002D1498"/>
    <w:rsid w:val="002D226B"/>
    <w:rsid w:val="002D27CF"/>
    <w:rsid w:val="002D3242"/>
    <w:rsid w:val="002D351A"/>
    <w:rsid w:val="002D3693"/>
    <w:rsid w:val="002D37A6"/>
    <w:rsid w:val="002D58A8"/>
    <w:rsid w:val="002D6C7B"/>
    <w:rsid w:val="002D731B"/>
    <w:rsid w:val="002E0C2D"/>
    <w:rsid w:val="002E140A"/>
    <w:rsid w:val="002E164F"/>
    <w:rsid w:val="002E1BE3"/>
    <w:rsid w:val="002E1C89"/>
    <w:rsid w:val="002E2C9F"/>
    <w:rsid w:val="002E34CF"/>
    <w:rsid w:val="002E3852"/>
    <w:rsid w:val="002E38F4"/>
    <w:rsid w:val="002E3BDA"/>
    <w:rsid w:val="002E4496"/>
    <w:rsid w:val="002E4C50"/>
    <w:rsid w:val="002E5531"/>
    <w:rsid w:val="002E6522"/>
    <w:rsid w:val="002E6991"/>
    <w:rsid w:val="002E79D3"/>
    <w:rsid w:val="002E7A8B"/>
    <w:rsid w:val="002F0371"/>
    <w:rsid w:val="002F0AB4"/>
    <w:rsid w:val="002F0C7A"/>
    <w:rsid w:val="002F176D"/>
    <w:rsid w:val="002F1DDD"/>
    <w:rsid w:val="002F2EBA"/>
    <w:rsid w:val="002F3030"/>
    <w:rsid w:val="002F3714"/>
    <w:rsid w:val="002F3C63"/>
    <w:rsid w:val="002F4076"/>
    <w:rsid w:val="002F4225"/>
    <w:rsid w:val="002F480F"/>
    <w:rsid w:val="002F536A"/>
    <w:rsid w:val="002F54F1"/>
    <w:rsid w:val="002F5FF4"/>
    <w:rsid w:val="002F61BC"/>
    <w:rsid w:val="002F64A1"/>
    <w:rsid w:val="002F6FBB"/>
    <w:rsid w:val="002F7170"/>
    <w:rsid w:val="002F71CF"/>
    <w:rsid w:val="002F7AED"/>
    <w:rsid w:val="0030053B"/>
    <w:rsid w:val="003009FC"/>
    <w:rsid w:val="00300F3A"/>
    <w:rsid w:val="003010A9"/>
    <w:rsid w:val="00301108"/>
    <w:rsid w:val="0030155D"/>
    <w:rsid w:val="00303387"/>
    <w:rsid w:val="00303916"/>
    <w:rsid w:val="003039A5"/>
    <w:rsid w:val="0030493D"/>
    <w:rsid w:val="0030494C"/>
    <w:rsid w:val="00304FEA"/>
    <w:rsid w:val="00305034"/>
    <w:rsid w:val="00305C3E"/>
    <w:rsid w:val="00305C69"/>
    <w:rsid w:val="00307317"/>
    <w:rsid w:val="003074F7"/>
    <w:rsid w:val="003075D7"/>
    <w:rsid w:val="00310C53"/>
    <w:rsid w:val="00310EB9"/>
    <w:rsid w:val="00310FB5"/>
    <w:rsid w:val="003119CD"/>
    <w:rsid w:val="00312027"/>
    <w:rsid w:val="00312C88"/>
    <w:rsid w:val="00312CFA"/>
    <w:rsid w:val="00312E2F"/>
    <w:rsid w:val="00313A2D"/>
    <w:rsid w:val="00313D8E"/>
    <w:rsid w:val="00314270"/>
    <w:rsid w:val="00314B6D"/>
    <w:rsid w:val="0031521A"/>
    <w:rsid w:val="0031555A"/>
    <w:rsid w:val="003156E6"/>
    <w:rsid w:val="00316EC3"/>
    <w:rsid w:val="00317B29"/>
    <w:rsid w:val="00317F44"/>
    <w:rsid w:val="0032048E"/>
    <w:rsid w:val="0032135D"/>
    <w:rsid w:val="003215A7"/>
    <w:rsid w:val="00323763"/>
    <w:rsid w:val="00325C04"/>
    <w:rsid w:val="00325CFA"/>
    <w:rsid w:val="00326335"/>
    <w:rsid w:val="00326B58"/>
    <w:rsid w:val="003274A2"/>
    <w:rsid w:val="00327D45"/>
    <w:rsid w:val="003302C1"/>
    <w:rsid w:val="00331889"/>
    <w:rsid w:val="003318D7"/>
    <w:rsid w:val="003319F1"/>
    <w:rsid w:val="00331E9C"/>
    <w:rsid w:val="0033208D"/>
    <w:rsid w:val="003327F6"/>
    <w:rsid w:val="00332BEA"/>
    <w:rsid w:val="00332F1F"/>
    <w:rsid w:val="00333148"/>
    <w:rsid w:val="003340C9"/>
    <w:rsid w:val="00334274"/>
    <w:rsid w:val="00334617"/>
    <w:rsid w:val="0033483B"/>
    <w:rsid w:val="00334FA5"/>
    <w:rsid w:val="0033503F"/>
    <w:rsid w:val="00335F21"/>
    <w:rsid w:val="00336557"/>
    <w:rsid w:val="00336B9A"/>
    <w:rsid w:val="00340685"/>
    <w:rsid w:val="003410BE"/>
    <w:rsid w:val="00341494"/>
    <w:rsid w:val="00341D2E"/>
    <w:rsid w:val="00343085"/>
    <w:rsid w:val="003440FA"/>
    <w:rsid w:val="00344104"/>
    <w:rsid w:val="00344231"/>
    <w:rsid w:val="00344540"/>
    <w:rsid w:val="00344811"/>
    <w:rsid w:val="00344F13"/>
    <w:rsid w:val="00344FD9"/>
    <w:rsid w:val="0034504A"/>
    <w:rsid w:val="003450E1"/>
    <w:rsid w:val="00345384"/>
    <w:rsid w:val="003456ED"/>
    <w:rsid w:val="00345A1B"/>
    <w:rsid w:val="00345ACB"/>
    <w:rsid w:val="00345E35"/>
    <w:rsid w:val="00346675"/>
    <w:rsid w:val="00346E07"/>
    <w:rsid w:val="00347745"/>
    <w:rsid w:val="00347CF8"/>
    <w:rsid w:val="00347F15"/>
    <w:rsid w:val="00350071"/>
    <w:rsid w:val="0035009B"/>
    <w:rsid w:val="00350411"/>
    <w:rsid w:val="00351578"/>
    <w:rsid w:val="00351F68"/>
    <w:rsid w:val="00351FA2"/>
    <w:rsid w:val="0035211C"/>
    <w:rsid w:val="00352D2C"/>
    <w:rsid w:val="00353516"/>
    <w:rsid w:val="003539DB"/>
    <w:rsid w:val="00353AA4"/>
    <w:rsid w:val="00353BA4"/>
    <w:rsid w:val="00354234"/>
    <w:rsid w:val="00354790"/>
    <w:rsid w:val="003548BA"/>
    <w:rsid w:val="00355CF7"/>
    <w:rsid w:val="00356A52"/>
    <w:rsid w:val="00357D90"/>
    <w:rsid w:val="003609CE"/>
    <w:rsid w:val="003609D4"/>
    <w:rsid w:val="003612FC"/>
    <w:rsid w:val="00361555"/>
    <w:rsid w:val="00362500"/>
    <w:rsid w:val="003627E3"/>
    <w:rsid w:val="00362B23"/>
    <w:rsid w:val="00362D05"/>
    <w:rsid w:val="00362EF4"/>
    <w:rsid w:val="00363083"/>
    <w:rsid w:val="003633A0"/>
    <w:rsid w:val="00363B0C"/>
    <w:rsid w:val="00363B71"/>
    <w:rsid w:val="00364DEF"/>
    <w:rsid w:val="00364F08"/>
    <w:rsid w:val="003651FC"/>
    <w:rsid w:val="00365FE2"/>
    <w:rsid w:val="00366832"/>
    <w:rsid w:val="00366E8C"/>
    <w:rsid w:val="003672A5"/>
    <w:rsid w:val="0036736E"/>
    <w:rsid w:val="00367400"/>
    <w:rsid w:val="00367719"/>
    <w:rsid w:val="00367867"/>
    <w:rsid w:val="00370DAF"/>
    <w:rsid w:val="003715BD"/>
    <w:rsid w:val="003717B8"/>
    <w:rsid w:val="003722EE"/>
    <w:rsid w:val="0037377F"/>
    <w:rsid w:val="003739AE"/>
    <w:rsid w:val="00373E98"/>
    <w:rsid w:val="00374C02"/>
    <w:rsid w:val="00374EE3"/>
    <w:rsid w:val="00375589"/>
    <w:rsid w:val="003758FD"/>
    <w:rsid w:val="00376E69"/>
    <w:rsid w:val="00377747"/>
    <w:rsid w:val="003778B7"/>
    <w:rsid w:val="003779FA"/>
    <w:rsid w:val="003809F1"/>
    <w:rsid w:val="00380E51"/>
    <w:rsid w:val="00381576"/>
    <w:rsid w:val="00381C37"/>
    <w:rsid w:val="0038220D"/>
    <w:rsid w:val="003828FC"/>
    <w:rsid w:val="003829F7"/>
    <w:rsid w:val="00382AD5"/>
    <w:rsid w:val="00382CC9"/>
    <w:rsid w:val="0038331C"/>
    <w:rsid w:val="00383466"/>
    <w:rsid w:val="00383AF3"/>
    <w:rsid w:val="00383D25"/>
    <w:rsid w:val="00383DCF"/>
    <w:rsid w:val="0038488D"/>
    <w:rsid w:val="00386819"/>
    <w:rsid w:val="00387112"/>
    <w:rsid w:val="0038711D"/>
    <w:rsid w:val="00387245"/>
    <w:rsid w:val="00387AE3"/>
    <w:rsid w:val="003902AC"/>
    <w:rsid w:val="00390329"/>
    <w:rsid w:val="003904D3"/>
    <w:rsid w:val="003918F2"/>
    <w:rsid w:val="00391C0C"/>
    <w:rsid w:val="00391D41"/>
    <w:rsid w:val="00391DA4"/>
    <w:rsid w:val="00392756"/>
    <w:rsid w:val="00392796"/>
    <w:rsid w:val="003927C3"/>
    <w:rsid w:val="00392B5A"/>
    <w:rsid w:val="0039347C"/>
    <w:rsid w:val="00393A9B"/>
    <w:rsid w:val="00394263"/>
    <w:rsid w:val="003946FE"/>
    <w:rsid w:val="00394733"/>
    <w:rsid w:val="0039555D"/>
    <w:rsid w:val="0039581C"/>
    <w:rsid w:val="00395F58"/>
    <w:rsid w:val="00396265"/>
    <w:rsid w:val="0039683B"/>
    <w:rsid w:val="00397086"/>
    <w:rsid w:val="00397709"/>
    <w:rsid w:val="003A17EA"/>
    <w:rsid w:val="003A20ED"/>
    <w:rsid w:val="003A220E"/>
    <w:rsid w:val="003A2499"/>
    <w:rsid w:val="003A2986"/>
    <w:rsid w:val="003A2BE8"/>
    <w:rsid w:val="003A2D71"/>
    <w:rsid w:val="003A2E43"/>
    <w:rsid w:val="003A3640"/>
    <w:rsid w:val="003A3B16"/>
    <w:rsid w:val="003A492C"/>
    <w:rsid w:val="003A5EDD"/>
    <w:rsid w:val="003A669B"/>
    <w:rsid w:val="003A75D6"/>
    <w:rsid w:val="003A7893"/>
    <w:rsid w:val="003A7919"/>
    <w:rsid w:val="003A7CCC"/>
    <w:rsid w:val="003B002B"/>
    <w:rsid w:val="003B0296"/>
    <w:rsid w:val="003B08D8"/>
    <w:rsid w:val="003B0E7A"/>
    <w:rsid w:val="003B0ED5"/>
    <w:rsid w:val="003B13E5"/>
    <w:rsid w:val="003B1C5E"/>
    <w:rsid w:val="003B1DBC"/>
    <w:rsid w:val="003B1E8A"/>
    <w:rsid w:val="003B2276"/>
    <w:rsid w:val="003B307C"/>
    <w:rsid w:val="003B31E2"/>
    <w:rsid w:val="003B3E2A"/>
    <w:rsid w:val="003B3E4C"/>
    <w:rsid w:val="003B4227"/>
    <w:rsid w:val="003B4504"/>
    <w:rsid w:val="003B59CB"/>
    <w:rsid w:val="003B5ABB"/>
    <w:rsid w:val="003B5E50"/>
    <w:rsid w:val="003B5FD3"/>
    <w:rsid w:val="003B60C8"/>
    <w:rsid w:val="003B669F"/>
    <w:rsid w:val="003B6EA3"/>
    <w:rsid w:val="003B7299"/>
    <w:rsid w:val="003B7C1D"/>
    <w:rsid w:val="003B7ED5"/>
    <w:rsid w:val="003C023F"/>
    <w:rsid w:val="003C13B7"/>
    <w:rsid w:val="003C19C7"/>
    <w:rsid w:val="003C221A"/>
    <w:rsid w:val="003C2A14"/>
    <w:rsid w:val="003C371D"/>
    <w:rsid w:val="003C47F8"/>
    <w:rsid w:val="003C4AFD"/>
    <w:rsid w:val="003C4FA2"/>
    <w:rsid w:val="003C5CB2"/>
    <w:rsid w:val="003C5D05"/>
    <w:rsid w:val="003C6404"/>
    <w:rsid w:val="003C6B08"/>
    <w:rsid w:val="003C7CBF"/>
    <w:rsid w:val="003C7D17"/>
    <w:rsid w:val="003D068C"/>
    <w:rsid w:val="003D099C"/>
    <w:rsid w:val="003D1356"/>
    <w:rsid w:val="003D15A3"/>
    <w:rsid w:val="003D187F"/>
    <w:rsid w:val="003D2BAF"/>
    <w:rsid w:val="003D3B8F"/>
    <w:rsid w:val="003D46E6"/>
    <w:rsid w:val="003D4713"/>
    <w:rsid w:val="003D4B44"/>
    <w:rsid w:val="003D5DB9"/>
    <w:rsid w:val="003D5ED5"/>
    <w:rsid w:val="003D714A"/>
    <w:rsid w:val="003D798F"/>
    <w:rsid w:val="003E0818"/>
    <w:rsid w:val="003E0E45"/>
    <w:rsid w:val="003E1B39"/>
    <w:rsid w:val="003E1C43"/>
    <w:rsid w:val="003E1D9B"/>
    <w:rsid w:val="003E1F48"/>
    <w:rsid w:val="003E201D"/>
    <w:rsid w:val="003E25B0"/>
    <w:rsid w:val="003E2D9F"/>
    <w:rsid w:val="003E3E4C"/>
    <w:rsid w:val="003E418F"/>
    <w:rsid w:val="003E4408"/>
    <w:rsid w:val="003E4BAB"/>
    <w:rsid w:val="003E6C17"/>
    <w:rsid w:val="003E6C91"/>
    <w:rsid w:val="003E760A"/>
    <w:rsid w:val="003F0585"/>
    <w:rsid w:val="003F08AF"/>
    <w:rsid w:val="003F0BC4"/>
    <w:rsid w:val="003F1122"/>
    <w:rsid w:val="003F1796"/>
    <w:rsid w:val="003F1E1F"/>
    <w:rsid w:val="003F2C57"/>
    <w:rsid w:val="003F2D3F"/>
    <w:rsid w:val="003F3180"/>
    <w:rsid w:val="003F320C"/>
    <w:rsid w:val="003F3740"/>
    <w:rsid w:val="003F3AB2"/>
    <w:rsid w:val="003F3D9F"/>
    <w:rsid w:val="003F3F72"/>
    <w:rsid w:val="003F42A0"/>
    <w:rsid w:val="003F4784"/>
    <w:rsid w:val="003F4C9C"/>
    <w:rsid w:val="003F4F18"/>
    <w:rsid w:val="003F6700"/>
    <w:rsid w:val="003F7010"/>
    <w:rsid w:val="003F7460"/>
    <w:rsid w:val="003F7832"/>
    <w:rsid w:val="003F7B90"/>
    <w:rsid w:val="003F7C4C"/>
    <w:rsid w:val="00401C28"/>
    <w:rsid w:val="00401FDB"/>
    <w:rsid w:val="00402020"/>
    <w:rsid w:val="00403B2C"/>
    <w:rsid w:val="00403E81"/>
    <w:rsid w:val="0040416A"/>
    <w:rsid w:val="00404B6D"/>
    <w:rsid w:val="004050C3"/>
    <w:rsid w:val="004051D3"/>
    <w:rsid w:val="004056F1"/>
    <w:rsid w:val="00405A2E"/>
    <w:rsid w:val="00405A5C"/>
    <w:rsid w:val="00406BBE"/>
    <w:rsid w:val="00410878"/>
    <w:rsid w:val="00410D37"/>
    <w:rsid w:val="00411067"/>
    <w:rsid w:val="004110D9"/>
    <w:rsid w:val="004113E4"/>
    <w:rsid w:val="00411B24"/>
    <w:rsid w:val="00411B9D"/>
    <w:rsid w:val="00412439"/>
    <w:rsid w:val="00412A78"/>
    <w:rsid w:val="00412E0F"/>
    <w:rsid w:val="0041336A"/>
    <w:rsid w:val="00413599"/>
    <w:rsid w:val="00413BCF"/>
    <w:rsid w:val="00414500"/>
    <w:rsid w:val="0041487C"/>
    <w:rsid w:val="004149A5"/>
    <w:rsid w:val="00414B2C"/>
    <w:rsid w:val="004152DC"/>
    <w:rsid w:val="00415410"/>
    <w:rsid w:val="0041570B"/>
    <w:rsid w:val="00416B54"/>
    <w:rsid w:val="00416B66"/>
    <w:rsid w:val="00416B70"/>
    <w:rsid w:val="00416C7F"/>
    <w:rsid w:val="00416D6F"/>
    <w:rsid w:val="00416F36"/>
    <w:rsid w:val="0041747F"/>
    <w:rsid w:val="004177E8"/>
    <w:rsid w:val="00417872"/>
    <w:rsid w:val="004204C0"/>
    <w:rsid w:val="00420900"/>
    <w:rsid w:val="00420A47"/>
    <w:rsid w:val="00421566"/>
    <w:rsid w:val="004216F1"/>
    <w:rsid w:val="00421BB5"/>
    <w:rsid w:val="004221CE"/>
    <w:rsid w:val="004222E6"/>
    <w:rsid w:val="00422373"/>
    <w:rsid w:val="004236DD"/>
    <w:rsid w:val="004241DA"/>
    <w:rsid w:val="00425ADC"/>
    <w:rsid w:val="00425C50"/>
    <w:rsid w:val="00425E9D"/>
    <w:rsid w:val="00426716"/>
    <w:rsid w:val="00426F5B"/>
    <w:rsid w:val="00427009"/>
    <w:rsid w:val="00427035"/>
    <w:rsid w:val="00430FD4"/>
    <w:rsid w:val="004310C1"/>
    <w:rsid w:val="004313D7"/>
    <w:rsid w:val="004314D4"/>
    <w:rsid w:val="00431BB7"/>
    <w:rsid w:val="00432A1F"/>
    <w:rsid w:val="00432E82"/>
    <w:rsid w:val="0043308A"/>
    <w:rsid w:val="004331EE"/>
    <w:rsid w:val="004337F7"/>
    <w:rsid w:val="00433E33"/>
    <w:rsid w:val="004346DA"/>
    <w:rsid w:val="00437554"/>
    <w:rsid w:val="00437B3F"/>
    <w:rsid w:val="00437ECD"/>
    <w:rsid w:val="0044042C"/>
    <w:rsid w:val="00440FB6"/>
    <w:rsid w:val="00441E45"/>
    <w:rsid w:val="00442BD1"/>
    <w:rsid w:val="00443074"/>
    <w:rsid w:val="00443702"/>
    <w:rsid w:val="00443712"/>
    <w:rsid w:val="004437A5"/>
    <w:rsid w:val="00443CC3"/>
    <w:rsid w:val="0044406A"/>
    <w:rsid w:val="00444298"/>
    <w:rsid w:val="00444329"/>
    <w:rsid w:val="0044449B"/>
    <w:rsid w:val="0044449F"/>
    <w:rsid w:val="0044486A"/>
    <w:rsid w:val="00444C1B"/>
    <w:rsid w:val="00445277"/>
    <w:rsid w:val="0044573A"/>
    <w:rsid w:val="00446A3F"/>
    <w:rsid w:val="00446A98"/>
    <w:rsid w:val="00446B78"/>
    <w:rsid w:val="00446E4F"/>
    <w:rsid w:val="004470F9"/>
    <w:rsid w:val="0044793E"/>
    <w:rsid w:val="0044799A"/>
    <w:rsid w:val="00447C5E"/>
    <w:rsid w:val="00447DF0"/>
    <w:rsid w:val="0045035B"/>
    <w:rsid w:val="00450B0D"/>
    <w:rsid w:val="00450BDF"/>
    <w:rsid w:val="00450E55"/>
    <w:rsid w:val="00451BDD"/>
    <w:rsid w:val="004524B2"/>
    <w:rsid w:val="004528AA"/>
    <w:rsid w:val="0045376B"/>
    <w:rsid w:val="00453ACC"/>
    <w:rsid w:val="00453DDE"/>
    <w:rsid w:val="00454628"/>
    <w:rsid w:val="004547D1"/>
    <w:rsid w:val="00454B12"/>
    <w:rsid w:val="00454EB5"/>
    <w:rsid w:val="004564DE"/>
    <w:rsid w:val="00456E04"/>
    <w:rsid w:val="00457094"/>
    <w:rsid w:val="0045737B"/>
    <w:rsid w:val="00457675"/>
    <w:rsid w:val="00460362"/>
    <w:rsid w:val="004603C9"/>
    <w:rsid w:val="00460AA1"/>
    <w:rsid w:val="00460B43"/>
    <w:rsid w:val="004610B0"/>
    <w:rsid w:val="0046193D"/>
    <w:rsid w:val="00462D48"/>
    <w:rsid w:val="0046316B"/>
    <w:rsid w:val="004635DE"/>
    <w:rsid w:val="004637AC"/>
    <w:rsid w:val="00463F19"/>
    <w:rsid w:val="00464595"/>
    <w:rsid w:val="00464E97"/>
    <w:rsid w:val="0046535A"/>
    <w:rsid w:val="00465E95"/>
    <w:rsid w:val="00465FA5"/>
    <w:rsid w:val="004660A1"/>
    <w:rsid w:val="004663B0"/>
    <w:rsid w:val="0046644F"/>
    <w:rsid w:val="00466509"/>
    <w:rsid w:val="004666CB"/>
    <w:rsid w:val="00466D9E"/>
    <w:rsid w:val="0046731C"/>
    <w:rsid w:val="00467B7B"/>
    <w:rsid w:val="00467DF9"/>
    <w:rsid w:val="0047055E"/>
    <w:rsid w:val="00470A66"/>
    <w:rsid w:val="00470D3D"/>
    <w:rsid w:val="00470D7D"/>
    <w:rsid w:val="0047108E"/>
    <w:rsid w:val="00471291"/>
    <w:rsid w:val="004716A3"/>
    <w:rsid w:val="00471C9C"/>
    <w:rsid w:val="00472285"/>
    <w:rsid w:val="00472457"/>
    <w:rsid w:val="00472663"/>
    <w:rsid w:val="004727AF"/>
    <w:rsid w:val="004727C7"/>
    <w:rsid w:val="00472833"/>
    <w:rsid w:val="00472889"/>
    <w:rsid w:val="004728E7"/>
    <w:rsid w:val="00473B39"/>
    <w:rsid w:val="00474B3F"/>
    <w:rsid w:val="00474F6B"/>
    <w:rsid w:val="00474FFA"/>
    <w:rsid w:val="00475391"/>
    <w:rsid w:val="0047547A"/>
    <w:rsid w:val="0047574D"/>
    <w:rsid w:val="00475E73"/>
    <w:rsid w:val="004760E9"/>
    <w:rsid w:val="00476109"/>
    <w:rsid w:val="0047738C"/>
    <w:rsid w:val="004773AA"/>
    <w:rsid w:val="004778F1"/>
    <w:rsid w:val="00477C28"/>
    <w:rsid w:val="004815AA"/>
    <w:rsid w:val="00481612"/>
    <w:rsid w:val="00481932"/>
    <w:rsid w:val="00481C52"/>
    <w:rsid w:val="004820B1"/>
    <w:rsid w:val="004827DE"/>
    <w:rsid w:val="0048299C"/>
    <w:rsid w:val="00482AD0"/>
    <w:rsid w:val="00482E22"/>
    <w:rsid w:val="00483075"/>
    <w:rsid w:val="00483088"/>
    <w:rsid w:val="0048340D"/>
    <w:rsid w:val="0048374B"/>
    <w:rsid w:val="00483F51"/>
    <w:rsid w:val="0048433E"/>
    <w:rsid w:val="00484720"/>
    <w:rsid w:val="004853CE"/>
    <w:rsid w:val="00485706"/>
    <w:rsid w:val="004866E2"/>
    <w:rsid w:val="0048679F"/>
    <w:rsid w:val="00486895"/>
    <w:rsid w:val="00486BB1"/>
    <w:rsid w:val="00486ECC"/>
    <w:rsid w:val="00487743"/>
    <w:rsid w:val="00487A4D"/>
    <w:rsid w:val="00487B25"/>
    <w:rsid w:val="00487ED3"/>
    <w:rsid w:val="0049043C"/>
    <w:rsid w:val="0049079A"/>
    <w:rsid w:val="00490E20"/>
    <w:rsid w:val="00491E6D"/>
    <w:rsid w:val="00492415"/>
    <w:rsid w:val="0049271B"/>
    <w:rsid w:val="00493F02"/>
    <w:rsid w:val="00493FF5"/>
    <w:rsid w:val="00494381"/>
    <w:rsid w:val="00494B22"/>
    <w:rsid w:val="00494BCB"/>
    <w:rsid w:val="00494E78"/>
    <w:rsid w:val="00495389"/>
    <w:rsid w:val="00495524"/>
    <w:rsid w:val="00495668"/>
    <w:rsid w:val="00495944"/>
    <w:rsid w:val="00495C09"/>
    <w:rsid w:val="00496514"/>
    <w:rsid w:val="00496ACC"/>
    <w:rsid w:val="00497ECB"/>
    <w:rsid w:val="004A08C4"/>
    <w:rsid w:val="004A1FE5"/>
    <w:rsid w:val="004A2A17"/>
    <w:rsid w:val="004A2D51"/>
    <w:rsid w:val="004A2EEC"/>
    <w:rsid w:val="004A3875"/>
    <w:rsid w:val="004A3931"/>
    <w:rsid w:val="004A4232"/>
    <w:rsid w:val="004A432B"/>
    <w:rsid w:val="004A4390"/>
    <w:rsid w:val="004A47B6"/>
    <w:rsid w:val="004A598E"/>
    <w:rsid w:val="004A63CD"/>
    <w:rsid w:val="004A790D"/>
    <w:rsid w:val="004A7BBA"/>
    <w:rsid w:val="004B0977"/>
    <w:rsid w:val="004B14B4"/>
    <w:rsid w:val="004B1694"/>
    <w:rsid w:val="004B184D"/>
    <w:rsid w:val="004B1DD5"/>
    <w:rsid w:val="004B1E74"/>
    <w:rsid w:val="004B1EFB"/>
    <w:rsid w:val="004B21A5"/>
    <w:rsid w:val="004B341D"/>
    <w:rsid w:val="004B350B"/>
    <w:rsid w:val="004B3A3E"/>
    <w:rsid w:val="004B3ACC"/>
    <w:rsid w:val="004B3C05"/>
    <w:rsid w:val="004B3CC1"/>
    <w:rsid w:val="004B3D40"/>
    <w:rsid w:val="004B457F"/>
    <w:rsid w:val="004B4AD6"/>
    <w:rsid w:val="004B4EDB"/>
    <w:rsid w:val="004B5F01"/>
    <w:rsid w:val="004B5F2D"/>
    <w:rsid w:val="004C04D8"/>
    <w:rsid w:val="004C0FCB"/>
    <w:rsid w:val="004C1025"/>
    <w:rsid w:val="004C1C13"/>
    <w:rsid w:val="004C1DD0"/>
    <w:rsid w:val="004C2830"/>
    <w:rsid w:val="004C2856"/>
    <w:rsid w:val="004C2D94"/>
    <w:rsid w:val="004C4376"/>
    <w:rsid w:val="004C437F"/>
    <w:rsid w:val="004C470A"/>
    <w:rsid w:val="004C506F"/>
    <w:rsid w:val="004C5938"/>
    <w:rsid w:val="004C5954"/>
    <w:rsid w:val="004C5D9F"/>
    <w:rsid w:val="004C6265"/>
    <w:rsid w:val="004C6FAC"/>
    <w:rsid w:val="004C7B74"/>
    <w:rsid w:val="004C7B9B"/>
    <w:rsid w:val="004D0640"/>
    <w:rsid w:val="004D0BDD"/>
    <w:rsid w:val="004D0EF2"/>
    <w:rsid w:val="004D0FF3"/>
    <w:rsid w:val="004D119B"/>
    <w:rsid w:val="004D1A05"/>
    <w:rsid w:val="004D22EC"/>
    <w:rsid w:val="004D2580"/>
    <w:rsid w:val="004D2715"/>
    <w:rsid w:val="004D2B90"/>
    <w:rsid w:val="004D3277"/>
    <w:rsid w:val="004D332D"/>
    <w:rsid w:val="004D348E"/>
    <w:rsid w:val="004D3BD0"/>
    <w:rsid w:val="004D3EE6"/>
    <w:rsid w:val="004D4B5C"/>
    <w:rsid w:val="004D75A5"/>
    <w:rsid w:val="004D7B74"/>
    <w:rsid w:val="004D7C93"/>
    <w:rsid w:val="004D7DB5"/>
    <w:rsid w:val="004E0269"/>
    <w:rsid w:val="004E0BCF"/>
    <w:rsid w:val="004E14D0"/>
    <w:rsid w:val="004E1BC5"/>
    <w:rsid w:val="004E1E0C"/>
    <w:rsid w:val="004E254E"/>
    <w:rsid w:val="004E2810"/>
    <w:rsid w:val="004E2D02"/>
    <w:rsid w:val="004E2D07"/>
    <w:rsid w:val="004E3ACE"/>
    <w:rsid w:val="004E3ADF"/>
    <w:rsid w:val="004E3EE9"/>
    <w:rsid w:val="004E4AC3"/>
    <w:rsid w:val="004E5427"/>
    <w:rsid w:val="004E555E"/>
    <w:rsid w:val="004E5641"/>
    <w:rsid w:val="004E57F9"/>
    <w:rsid w:val="004E60B2"/>
    <w:rsid w:val="004E65CA"/>
    <w:rsid w:val="004E668D"/>
    <w:rsid w:val="004E6851"/>
    <w:rsid w:val="004E7042"/>
    <w:rsid w:val="004E73ED"/>
    <w:rsid w:val="004E7931"/>
    <w:rsid w:val="004E7983"/>
    <w:rsid w:val="004E7E49"/>
    <w:rsid w:val="004E7FE6"/>
    <w:rsid w:val="004F00D3"/>
    <w:rsid w:val="004F0171"/>
    <w:rsid w:val="004F0506"/>
    <w:rsid w:val="004F069A"/>
    <w:rsid w:val="004F148B"/>
    <w:rsid w:val="004F16F7"/>
    <w:rsid w:val="004F1BC7"/>
    <w:rsid w:val="004F1BD5"/>
    <w:rsid w:val="004F1F6E"/>
    <w:rsid w:val="004F2F76"/>
    <w:rsid w:val="004F390E"/>
    <w:rsid w:val="004F442F"/>
    <w:rsid w:val="004F4906"/>
    <w:rsid w:val="004F4C0E"/>
    <w:rsid w:val="004F4D49"/>
    <w:rsid w:val="004F6D79"/>
    <w:rsid w:val="004F6DA8"/>
    <w:rsid w:val="005002CF"/>
    <w:rsid w:val="00500965"/>
    <w:rsid w:val="00500AAD"/>
    <w:rsid w:val="00500C48"/>
    <w:rsid w:val="00501308"/>
    <w:rsid w:val="00502179"/>
    <w:rsid w:val="0050221B"/>
    <w:rsid w:val="00502458"/>
    <w:rsid w:val="0050251E"/>
    <w:rsid w:val="0050283E"/>
    <w:rsid w:val="005032B4"/>
    <w:rsid w:val="0050366D"/>
    <w:rsid w:val="00505224"/>
    <w:rsid w:val="00506788"/>
    <w:rsid w:val="00506985"/>
    <w:rsid w:val="00506E59"/>
    <w:rsid w:val="00506EB1"/>
    <w:rsid w:val="005102D3"/>
    <w:rsid w:val="005103BC"/>
    <w:rsid w:val="005107E2"/>
    <w:rsid w:val="00510F8A"/>
    <w:rsid w:val="005110A2"/>
    <w:rsid w:val="00511374"/>
    <w:rsid w:val="00512374"/>
    <w:rsid w:val="00512A26"/>
    <w:rsid w:val="005135E6"/>
    <w:rsid w:val="005136C3"/>
    <w:rsid w:val="00514614"/>
    <w:rsid w:val="0051472E"/>
    <w:rsid w:val="005148D8"/>
    <w:rsid w:val="00514C5B"/>
    <w:rsid w:val="00514EC9"/>
    <w:rsid w:val="005151D6"/>
    <w:rsid w:val="005154AE"/>
    <w:rsid w:val="005161FC"/>
    <w:rsid w:val="0051656F"/>
    <w:rsid w:val="00517581"/>
    <w:rsid w:val="00517868"/>
    <w:rsid w:val="005202E3"/>
    <w:rsid w:val="00520850"/>
    <w:rsid w:val="00520B14"/>
    <w:rsid w:val="0052144E"/>
    <w:rsid w:val="00521741"/>
    <w:rsid w:val="00521E57"/>
    <w:rsid w:val="00522170"/>
    <w:rsid w:val="00522344"/>
    <w:rsid w:val="00522637"/>
    <w:rsid w:val="0052285A"/>
    <w:rsid w:val="00522A17"/>
    <w:rsid w:val="005237B6"/>
    <w:rsid w:val="00523A62"/>
    <w:rsid w:val="00523B77"/>
    <w:rsid w:val="00523EA9"/>
    <w:rsid w:val="00523EE7"/>
    <w:rsid w:val="00524075"/>
    <w:rsid w:val="00524BE6"/>
    <w:rsid w:val="00524ECB"/>
    <w:rsid w:val="00525052"/>
    <w:rsid w:val="005259F1"/>
    <w:rsid w:val="00525B5E"/>
    <w:rsid w:val="00525ED8"/>
    <w:rsid w:val="005265E4"/>
    <w:rsid w:val="00526CFD"/>
    <w:rsid w:val="00526D24"/>
    <w:rsid w:val="005277FF"/>
    <w:rsid w:val="0053077B"/>
    <w:rsid w:val="00530CBA"/>
    <w:rsid w:val="00530EFC"/>
    <w:rsid w:val="00530F73"/>
    <w:rsid w:val="0053209D"/>
    <w:rsid w:val="005320D6"/>
    <w:rsid w:val="00532242"/>
    <w:rsid w:val="00532A9D"/>
    <w:rsid w:val="005332CC"/>
    <w:rsid w:val="005336EF"/>
    <w:rsid w:val="00533731"/>
    <w:rsid w:val="00533910"/>
    <w:rsid w:val="00534FF6"/>
    <w:rsid w:val="0053561C"/>
    <w:rsid w:val="005359E5"/>
    <w:rsid w:val="00535A6D"/>
    <w:rsid w:val="00535A71"/>
    <w:rsid w:val="00535F47"/>
    <w:rsid w:val="00536B2F"/>
    <w:rsid w:val="00536E49"/>
    <w:rsid w:val="00537964"/>
    <w:rsid w:val="005408AA"/>
    <w:rsid w:val="00540D55"/>
    <w:rsid w:val="0054101B"/>
    <w:rsid w:val="00541026"/>
    <w:rsid w:val="0054133E"/>
    <w:rsid w:val="00542D5B"/>
    <w:rsid w:val="00543C0E"/>
    <w:rsid w:val="00543DFF"/>
    <w:rsid w:val="00544647"/>
    <w:rsid w:val="00544A3D"/>
    <w:rsid w:val="00544AC5"/>
    <w:rsid w:val="005452EE"/>
    <w:rsid w:val="00545411"/>
    <w:rsid w:val="0054679D"/>
    <w:rsid w:val="00547981"/>
    <w:rsid w:val="005501BB"/>
    <w:rsid w:val="00550C1B"/>
    <w:rsid w:val="00550EDC"/>
    <w:rsid w:val="005510F0"/>
    <w:rsid w:val="00551D3A"/>
    <w:rsid w:val="00551D95"/>
    <w:rsid w:val="00551FB1"/>
    <w:rsid w:val="005528D0"/>
    <w:rsid w:val="00552CD6"/>
    <w:rsid w:val="00553447"/>
    <w:rsid w:val="005542B1"/>
    <w:rsid w:val="00554333"/>
    <w:rsid w:val="00554542"/>
    <w:rsid w:val="00554AE3"/>
    <w:rsid w:val="0055530E"/>
    <w:rsid w:val="00555D88"/>
    <w:rsid w:val="005560AB"/>
    <w:rsid w:val="00556D1E"/>
    <w:rsid w:val="005570A6"/>
    <w:rsid w:val="00557186"/>
    <w:rsid w:val="005575DA"/>
    <w:rsid w:val="00557791"/>
    <w:rsid w:val="00560EFC"/>
    <w:rsid w:val="005617B5"/>
    <w:rsid w:val="005618ED"/>
    <w:rsid w:val="00561C1A"/>
    <w:rsid w:val="00562E0C"/>
    <w:rsid w:val="00562F6E"/>
    <w:rsid w:val="0056368D"/>
    <w:rsid w:val="0056492B"/>
    <w:rsid w:val="005659AE"/>
    <w:rsid w:val="00566901"/>
    <w:rsid w:val="0056719D"/>
    <w:rsid w:val="00567300"/>
    <w:rsid w:val="00567797"/>
    <w:rsid w:val="00567814"/>
    <w:rsid w:val="0057031F"/>
    <w:rsid w:val="0057059A"/>
    <w:rsid w:val="0057083B"/>
    <w:rsid w:val="00570A35"/>
    <w:rsid w:val="00571547"/>
    <w:rsid w:val="0057166E"/>
    <w:rsid w:val="00571906"/>
    <w:rsid w:val="005720D6"/>
    <w:rsid w:val="00572782"/>
    <w:rsid w:val="00572C8F"/>
    <w:rsid w:val="00572CC2"/>
    <w:rsid w:val="0057300D"/>
    <w:rsid w:val="00573653"/>
    <w:rsid w:val="00573816"/>
    <w:rsid w:val="00573B56"/>
    <w:rsid w:val="00574022"/>
    <w:rsid w:val="00574297"/>
    <w:rsid w:val="005755D0"/>
    <w:rsid w:val="00575F46"/>
    <w:rsid w:val="0057601F"/>
    <w:rsid w:val="005775E4"/>
    <w:rsid w:val="00577647"/>
    <w:rsid w:val="005777C9"/>
    <w:rsid w:val="00577AF5"/>
    <w:rsid w:val="00577C2B"/>
    <w:rsid w:val="00577CDA"/>
    <w:rsid w:val="0058034C"/>
    <w:rsid w:val="00580AE0"/>
    <w:rsid w:val="00580BCA"/>
    <w:rsid w:val="00580DEA"/>
    <w:rsid w:val="0058212A"/>
    <w:rsid w:val="00582206"/>
    <w:rsid w:val="00582EE6"/>
    <w:rsid w:val="00583409"/>
    <w:rsid w:val="005834BE"/>
    <w:rsid w:val="00583AD5"/>
    <w:rsid w:val="00584125"/>
    <w:rsid w:val="00584904"/>
    <w:rsid w:val="005855DB"/>
    <w:rsid w:val="00586280"/>
    <w:rsid w:val="0058652A"/>
    <w:rsid w:val="00586C19"/>
    <w:rsid w:val="00586EF5"/>
    <w:rsid w:val="0058742B"/>
    <w:rsid w:val="00587762"/>
    <w:rsid w:val="0059112F"/>
    <w:rsid w:val="00591181"/>
    <w:rsid w:val="0059203E"/>
    <w:rsid w:val="00592DCA"/>
    <w:rsid w:val="005940D6"/>
    <w:rsid w:val="005941A4"/>
    <w:rsid w:val="005941C6"/>
    <w:rsid w:val="00594551"/>
    <w:rsid w:val="0059547E"/>
    <w:rsid w:val="00595A8B"/>
    <w:rsid w:val="0059619B"/>
    <w:rsid w:val="00596205"/>
    <w:rsid w:val="0059668F"/>
    <w:rsid w:val="00596A51"/>
    <w:rsid w:val="00596B76"/>
    <w:rsid w:val="0059711E"/>
    <w:rsid w:val="005975FB"/>
    <w:rsid w:val="00597C24"/>
    <w:rsid w:val="005A06C1"/>
    <w:rsid w:val="005A0779"/>
    <w:rsid w:val="005A0E23"/>
    <w:rsid w:val="005A1546"/>
    <w:rsid w:val="005A1627"/>
    <w:rsid w:val="005A1E37"/>
    <w:rsid w:val="005A1EC5"/>
    <w:rsid w:val="005A1ECE"/>
    <w:rsid w:val="005A2870"/>
    <w:rsid w:val="005A2E30"/>
    <w:rsid w:val="005A2E69"/>
    <w:rsid w:val="005A3DB2"/>
    <w:rsid w:val="005A499E"/>
    <w:rsid w:val="005A4BB5"/>
    <w:rsid w:val="005A62D7"/>
    <w:rsid w:val="005A6352"/>
    <w:rsid w:val="005A7194"/>
    <w:rsid w:val="005A79D2"/>
    <w:rsid w:val="005A7E5E"/>
    <w:rsid w:val="005B0130"/>
    <w:rsid w:val="005B0520"/>
    <w:rsid w:val="005B0CB4"/>
    <w:rsid w:val="005B0CED"/>
    <w:rsid w:val="005B13A1"/>
    <w:rsid w:val="005B15EB"/>
    <w:rsid w:val="005B1719"/>
    <w:rsid w:val="005B1762"/>
    <w:rsid w:val="005B1876"/>
    <w:rsid w:val="005B23D5"/>
    <w:rsid w:val="005B33C2"/>
    <w:rsid w:val="005B351A"/>
    <w:rsid w:val="005B3B98"/>
    <w:rsid w:val="005B420F"/>
    <w:rsid w:val="005B43E9"/>
    <w:rsid w:val="005B5D55"/>
    <w:rsid w:val="005B67C3"/>
    <w:rsid w:val="005B7296"/>
    <w:rsid w:val="005B72D4"/>
    <w:rsid w:val="005B787E"/>
    <w:rsid w:val="005B79A2"/>
    <w:rsid w:val="005B7D61"/>
    <w:rsid w:val="005B7DDE"/>
    <w:rsid w:val="005B7EC8"/>
    <w:rsid w:val="005C0054"/>
    <w:rsid w:val="005C0B6E"/>
    <w:rsid w:val="005C0F5C"/>
    <w:rsid w:val="005C23A4"/>
    <w:rsid w:val="005C2CD2"/>
    <w:rsid w:val="005C3F11"/>
    <w:rsid w:val="005C4937"/>
    <w:rsid w:val="005C4C40"/>
    <w:rsid w:val="005C51BE"/>
    <w:rsid w:val="005C51BF"/>
    <w:rsid w:val="005C540B"/>
    <w:rsid w:val="005C5DF0"/>
    <w:rsid w:val="005C639F"/>
    <w:rsid w:val="005C67A2"/>
    <w:rsid w:val="005C7432"/>
    <w:rsid w:val="005D003D"/>
    <w:rsid w:val="005D04FB"/>
    <w:rsid w:val="005D0BC4"/>
    <w:rsid w:val="005D0CC7"/>
    <w:rsid w:val="005D0F7D"/>
    <w:rsid w:val="005D1194"/>
    <w:rsid w:val="005D1216"/>
    <w:rsid w:val="005D25F3"/>
    <w:rsid w:val="005D2B48"/>
    <w:rsid w:val="005D32D3"/>
    <w:rsid w:val="005D33CC"/>
    <w:rsid w:val="005D34E3"/>
    <w:rsid w:val="005D38EA"/>
    <w:rsid w:val="005D3EFC"/>
    <w:rsid w:val="005D500D"/>
    <w:rsid w:val="005D5088"/>
    <w:rsid w:val="005D5689"/>
    <w:rsid w:val="005D5B6C"/>
    <w:rsid w:val="005D5FDD"/>
    <w:rsid w:val="005D6967"/>
    <w:rsid w:val="005D6B14"/>
    <w:rsid w:val="005D6E76"/>
    <w:rsid w:val="005D716A"/>
    <w:rsid w:val="005D728A"/>
    <w:rsid w:val="005D743E"/>
    <w:rsid w:val="005D7C60"/>
    <w:rsid w:val="005D7D5A"/>
    <w:rsid w:val="005E00CF"/>
    <w:rsid w:val="005E018D"/>
    <w:rsid w:val="005E02CE"/>
    <w:rsid w:val="005E0356"/>
    <w:rsid w:val="005E069F"/>
    <w:rsid w:val="005E0DA2"/>
    <w:rsid w:val="005E167F"/>
    <w:rsid w:val="005E2398"/>
    <w:rsid w:val="005E3C41"/>
    <w:rsid w:val="005E4653"/>
    <w:rsid w:val="005E4ABD"/>
    <w:rsid w:val="005E4BEB"/>
    <w:rsid w:val="005E55F1"/>
    <w:rsid w:val="005E588A"/>
    <w:rsid w:val="005E6B5B"/>
    <w:rsid w:val="005E75B9"/>
    <w:rsid w:val="005E7841"/>
    <w:rsid w:val="005E7A6D"/>
    <w:rsid w:val="005F0FC4"/>
    <w:rsid w:val="005F12D3"/>
    <w:rsid w:val="005F1429"/>
    <w:rsid w:val="005F1475"/>
    <w:rsid w:val="005F1ACA"/>
    <w:rsid w:val="005F1E3A"/>
    <w:rsid w:val="005F2345"/>
    <w:rsid w:val="005F273B"/>
    <w:rsid w:val="005F2A3E"/>
    <w:rsid w:val="005F2AAA"/>
    <w:rsid w:val="005F33CE"/>
    <w:rsid w:val="005F367D"/>
    <w:rsid w:val="005F3DD7"/>
    <w:rsid w:val="005F4287"/>
    <w:rsid w:val="005F4526"/>
    <w:rsid w:val="005F4F9E"/>
    <w:rsid w:val="005F512D"/>
    <w:rsid w:val="005F58C2"/>
    <w:rsid w:val="005F5E47"/>
    <w:rsid w:val="005F6D57"/>
    <w:rsid w:val="005F7705"/>
    <w:rsid w:val="005F79D9"/>
    <w:rsid w:val="006004C7"/>
    <w:rsid w:val="00600628"/>
    <w:rsid w:val="006018E4"/>
    <w:rsid w:val="00602D55"/>
    <w:rsid w:val="0060314B"/>
    <w:rsid w:val="0060322D"/>
    <w:rsid w:val="0060447B"/>
    <w:rsid w:val="006044D4"/>
    <w:rsid w:val="0060497E"/>
    <w:rsid w:val="00604A29"/>
    <w:rsid w:val="00604E38"/>
    <w:rsid w:val="00605044"/>
    <w:rsid w:val="006057C8"/>
    <w:rsid w:val="00605CD2"/>
    <w:rsid w:val="0060644E"/>
    <w:rsid w:val="00606786"/>
    <w:rsid w:val="00606A3F"/>
    <w:rsid w:val="00606E36"/>
    <w:rsid w:val="00606E83"/>
    <w:rsid w:val="00607C09"/>
    <w:rsid w:val="00607FF2"/>
    <w:rsid w:val="0061053A"/>
    <w:rsid w:val="00610DE6"/>
    <w:rsid w:val="00611472"/>
    <w:rsid w:val="00611FC1"/>
    <w:rsid w:val="006129D9"/>
    <w:rsid w:val="00612F54"/>
    <w:rsid w:val="00613EF4"/>
    <w:rsid w:val="00614086"/>
    <w:rsid w:val="006140B1"/>
    <w:rsid w:val="00614344"/>
    <w:rsid w:val="00614F35"/>
    <w:rsid w:val="00615449"/>
    <w:rsid w:val="0061553C"/>
    <w:rsid w:val="0061593C"/>
    <w:rsid w:val="00615AF8"/>
    <w:rsid w:val="00615C3F"/>
    <w:rsid w:val="00616EA4"/>
    <w:rsid w:val="00617851"/>
    <w:rsid w:val="00620819"/>
    <w:rsid w:val="006217AE"/>
    <w:rsid w:val="00621C38"/>
    <w:rsid w:val="00621DCB"/>
    <w:rsid w:val="00621E5F"/>
    <w:rsid w:val="00622141"/>
    <w:rsid w:val="00622379"/>
    <w:rsid w:val="00623293"/>
    <w:rsid w:val="00623602"/>
    <w:rsid w:val="00623D7C"/>
    <w:rsid w:val="00623E08"/>
    <w:rsid w:val="0062506D"/>
    <w:rsid w:val="00625D24"/>
    <w:rsid w:val="00625E89"/>
    <w:rsid w:val="006265CC"/>
    <w:rsid w:val="00626964"/>
    <w:rsid w:val="00626D88"/>
    <w:rsid w:val="006276E1"/>
    <w:rsid w:val="00627E8D"/>
    <w:rsid w:val="00630129"/>
    <w:rsid w:val="00630B11"/>
    <w:rsid w:val="00630E2E"/>
    <w:rsid w:val="006315CC"/>
    <w:rsid w:val="00631654"/>
    <w:rsid w:val="00631F86"/>
    <w:rsid w:val="00632B0A"/>
    <w:rsid w:val="00633609"/>
    <w:rsid w:val="00633AEC"/>
    <w:rsid w:val="00633EF6"/>
    <w:rsid w:val="00633F3C"/>
    <w:rsid w:val="006351C4"/>
    <w:rsid w:val="0063529A"/>
    <w:rsid w:val="00635D06"/>
    <w:rsid w:val="00636817"/>
    <w:rsid w:val="00637CFF"/>
    <w:rsid w:val="00640490"/>
    <w:rsid w:val="0064115F"/>
    <w:rsid w:val="006414D3"/>
    <w:rsid w:val="00641965"/>
    <w:rsid w:val="00641A1A"/>
    <w:rsid w:val="00641B3B"/>
    <w:rsid w:val="00643BDB"/>
    <w:rsid w:val="00643F6E"/>
    <w:rsid w:val="00643F88"/>
    <w:rsid w:val="006445EE"/>
    <w:rsid w:val="0064475C"/>
    <w:rsid w:val="00644B6E"/>
    <w:rsid w:val="00645054"/>
    <w:rsid w:val="006452C5"/>
    <w:rsid w:val="0064584E"/>
    <w:rsid w:val="00645B75"/>
    <w:rsid w:val="006461B8"/>
    <w:rsid w:val="006463A2"/>
    <w:rsid w:val="00646411"/>
    <w:rsid w:val="00646855"/>
    <w:rsid w:val="00646DE0"/>
    <w:rsid w:val="00647697"/>
    <w:rsid w:val="006478B7"/>
    <w:rsid w:val="00647FB7"/>
    <w:rsid w:val="00650837"/>
    <w:rsid w:val="00651367"/>
    <w:rsid w:val="006517F7"/>
    <w:rsid w:val="0065182B"/>
    <w:rsid w:val="006518C2"/>
    <w:rsid w:val="00651D2D"/>
    <w:rsid w:val="0065269B"/>
    <w:rsid w:val="00652BD5"/>
    <w:rsid w:val="00652FA0"/>
    <w:rsid w:val="00653295"/>
    <w:rsid w:val="00653622"/>
    <w:rsid w:val="00654FC3"/>
    <w:rsid w:val="00656442"/>
    <w:rsid w:val="00656DEE"/>
    <w:rsid w:val="006574C8"/>
    <w:rsid w:val="00657D75"/>
    <w:rsid w:val="00660606"/>
    <w:rsid w:val="006612AD"/>
    <w:rsid w:val="00661BC8"/>
    <w:rsid w:val="00661D4C"/>
    <w:rsid w:val="006622BA"/>
    <w:rsid w:val="006627CD"/>
    <w:rsid w:val="00662D76"/>
    <w:rsid w:val="00662F81"/>
    <w:rsid w:val="0066381C"/>
    <w:rsid w:val="00663850"/>
    <w:rsid w:val="00663943"/>
    <w:rsid w:val="0066461B"/>
    <w:rsid w:val="00664B87"/>
    <w:rsid w:val="00664C1C"/>
    <w:rsid w:val="00665023"/>
    <w:rsid w:val="006653D6"/>
    <w:rsid w:val="006655C0"/>
    <w:rsid w:val="00665A51"/>
    <w:rsid w:val="00666D9B"/>
    <w:rsid w:val="006672D9"/>
    <w:rsid w:val="006675E6"/>
    <w:rsid w:val="00667845"/>
    <w:rsid w:val="00667917"/>
    <w:rsid w:val="0067015B"/>
    <w:rsid w:val="00670723"/>
    <w:rsid w:val="006707B1"/>
    <w:rsid w:val="00670CAC"/>
    <w:rsid w:val="00670E52"/>
    <w:rsid w:val="00671D1D"/>
    <w:rsid w:val="0067212B"/>
    <w:rsid w:val="006724A1"/>
    <w:rsid w:val="00672539"/>
    <w:rsid w:val="00672992"/>
    <w:rsid w:val="00672BB8"/>
    <w:rsid w:val="00672C76"/>
    <w:rsid w:val="006734EC"/>
    <w:rsid w:val="00673912"/>
    <w:rsid w:val="0067521A"/>
    <w:rsid w:val="0067533B"/>
    <w:rsid w:val="00675483"/>
    <w:rsid w:val="00676EAF"/>
    <w:rsid w:val="00677311"/>
    <w:rsid w:val="00677547"/>
    <w:rsid w:val="00677737"/>
    <w:rsid w:val="00677B83"/>
    <w:rsid w:val="00677BC0"/>
    <w:rsid w:val="00677BF8"/>
    <w:rsid w:val="00681665"/>
    <w:rsid w:val="00681935"/>
    <w:rsid w:val="00681A4C"/>
    <w:rsid w:val="00683032"/>
    <w:rsid w:val="006834D6"/>
    <w:rsid w:val="0068367F"/>
    <w:rsid w:val="00683F74"/>
    <w:rsid w:val="006845FD"/>
    <w:rsid w:val="006851DB"/>
    <w:rsid w:val="006854C3"/>
    <w:rsid w:val="0068618F"/>
    <w:rsid w:val="0068669D"/>
    <w:rsid w:val="00686CF5"/>
    <w:rsid w:val="0068767B"/>
    <w:rsid w:val="006877F6"/>
    <w:rsid w:val="00690845"/>
    <w:rsid w:val="00691E3B"/>
    <w:rsid w:val="00691E7D"/>
    <w:rsid w:val="00692355"/>
    <w:rsid w:val="0069287A"/>
    <w:rsid w:val="006930FC"/>
    <w:rsid w:val="00693297"/>
    <w:rsid w:val="006952CC"/>
    <w:rsid w:val="00695AF7"/>
    <w:rsid w:val="00695E81"/>
    <w:rsid w:val="006968B8"/>
    <w:rsid w:val="0069712D"/>
    <w:rsid w:val="00697198"/>
    <w:rsid w:val="00697536"/>
    <w:rsid w:val="006975E9"/>
    <w:rsid w:val="006A02A0"/>
    <w:rsid w:val="006A0726"/>
    <w:rsid w:val="006A07BB"/>
    <w:rsid w:val="006A09AB"/>
    <w:rsid w:val="006A0C63"/>
    <w:rsid w:val="006A13B3"/>
    <w:rsid w:val="006A153F"/>
    <w:rsid w:val="006A1ED5"/>
    <w:rsid w:val="006A227C"/>
    <w:rsid w:val="006A24ED"/>
    <w:rsid w:val="006A272B"/>
    <w:rsid w:val="006A2984"/>
    <w:rsid w:val="006A3107"/>
    <w:rsid w:val="006A326D"/>
    <w:rsid w:val="006A49FE"/>
    <w:rsid w:val="006A5B22"/>
    <w:rsid w:val="006A5F0E"/>
    <w:rsid w:val="006A641D"/>
    <w:rsid w:val="006A6572"/>
    <w:rsid w:val="006A6B63"/>
    <w:rsid w:val="006A72B0"/>
    <w:rsid w:val="006A7FDD"/>
    <w:rsid w:val="006B03E8"/>
    <w:rsid w:val="006B0B69"/>
    <w:rsid w:val="006B10B1"/>
    <w:rsid w:val="006B16FC"/>
    <w:rsid w:val="006B1B02"/>
    <w:rsid w:val="006B2219"/>
    <w:rsid w:val="006B2B9E"/>
    <w:rsid w:val="006B2EB7"/>
    <w:rsid w:val="006B3080"/>
    <w:rsid w:val="006B3234"/>
    <w:rsid w:val="006B33CB"/>
    <w:rsid w:val="006B36B3"/>
    <w:rsid w:val="006B37D1"/>
    <w:rsid w:val="006B3E88"/>
    <w:rsid w:val="006B414A"/>
    <w:rsid w:val="006B4575"/>
    <w:rsid w:val="006B53F0"/>
    <w:rsid w:val="006B55F7"/>
    <w:rsid w:val="006B5600"/>
    <w:rsid w:val="006B5FE4"/>
    <w:rsid w:val="006B65BD"/>
    <w:rsid w:val="006B67CF"/>
    <w:rsid w:val="006B721A"/>
    <w:rsid w:val="006B750D"/>
    <w:rsid w:val="006B76F9"/>
    <w:rsid w:val="006C0009"/>
    <w:rsid w:val="006C08D5"/>
    <w:rsid w:val="006C18D3"/>
    <w:rsid w:val="006C1E72"/>
    <w:rsid w:val="006C2155"/>
    <w:rsid w:val="006C2B5C"/>
    <w:rsid w:val="006C37C5"/>
    <w:rsid w:val="006C3F93"/>
    <w:rsid w:val="006C52A0"/>
    <w:rsid w:val="006C56B4"/>
    <w:rsid w:val="006C5E04"/>
    <w:rsid w:val="006C78E9"/>
    <w:rsid w:val="006C7DFB"/>
    <w:rsid w:val="006D1347"/>
    <w:rsid w:val="006D1395"/>
    <w:rsid w:val="006D183A"/>
    <w:rsid w:val="006D1962"/>
    <w:rsid w:val="006D1A93"/>
    <w:rsid w:val="006D1E38"/>
    <w:rsid w:val="006D1F1F"/>
    <w:rsid w:val="006D28E4"/>
    <w:rsid w:val="006D3394"/>
    <w:rsid w:val="006D3DB8"/>
    <w:rsid w:val="006D4068"/>
    <w:rsid w:val="006D4569"/>
    <w:rsid w:val="006D5106"/>
    <w:rsid w:val="006D6DC4"/>
    <w:rsid w:val="006D6E3A"/>
    <w:rsid w:val="006D7167"/>
    <w:rsid w:val="006D74FD"/>
    <w:rsid w:val="006D78D2"/>
    <w:rsid w:val="006D7974"/>
    <w:rsid w:val="006D7CC3"/>
    <w:rsid w:val="006E0066"/>
    <w:rsid w:val="006E0758"/>
    <w:rsid w:val="006E1015"/>
    <w:rsid w:val="006E12D4"/>
    <w:rsid w:val="006E16D8"/>
    <w:rsid w:val="006E16E5"/>
    <w:rsid w:val="006E2697"/>
    <w:rsid w:val="006E274B"/>
    <w:rsid w:val="006E2D50"/>
    <w:rsid w:val="006E2FE3"/>
    <w:rsid w:val="006E5CBB"/>
    <w:rsid w:val="006E5D74"/>
    <w:rsid w:val="006E5FAC"/>
    <w:rsid w:val="006E637E"/>
    <w:rsid w:val="006E77AF"/>
    <w:rsid w:val="006F0AA0"/>
    <w:rsid w:val="006F1490"/>
    <w:rsid w:val="006F2048"/>
    <w:rsid w:val="006F2066"/>
    <w:rsid w:val="006F2A34"/>
    <w:rsid w:val="006F38E5"/>
    <w:rsid w:val="006F3B05"/>
    <w:rsid w:val="006F3EF8"/>
    <w:rsid w:val="006F40A3"/>
    <w:rsid w:val="006F4163"/>
    <w:rsid w:val="006F46EB"/>
    <w:rsid w:val="006F47FB"/>
    <w:rsid w:val="006F4ACE"/>
    <w:rsid w:val="006F5DF2"/>
    <w:rsid w:val="006F60DA"/>
    <w:rsid w:val="006F6328"/>
    <w:rsid w:val="006F6500"/>
    <w:rsid w:val="006F6855"/>
    <w:rsid w:val="006F7961"/>
    <w:rsid w:val="006F7C1A"/>
    <w:rsid w:val="0070070E"/>
    <w:rsid w:val="00700EF6"/>
    <w:rsid w:val="00700F15"/>
    <w:rsid w:val="00701783"/>
    <w:rsid w:val="00701A33"/>
    <w:rsid w:val="00701BDE"/>
    <w:rsid w:val="00701D54"/>
    <w:rsid w:val="00701D7C"/>
    <w:rsid w:val="007027E1"/>
    <w:rsid w:val="00703E70"/>
    <w:rsid w:val="0070483C"/>
    <w:rsid w:val="00705184"/>
    <w:rsid w:val="007053EB"/>
    <w:rsid w:val="007055BA"/>
    <w:rsid w:val="00705962"/>
    <w:rsid w:val="00705C48"/>
    <w:rsid w:val="007062BC"/>
    <w:rsid w:val="00707DC0"/>
    <w:rsid w:val="00710865"/>
    <w:rsid w:val="00710D72"/>
    <w:rsid w:val="00712073"/>
    <w:rsid w:val="00712386"/>
    <w:rsid w:val="007131B3"/>
    <w:rsid w:val="00713393"/>
    <w:rsid w:val="007136A8"/>
    <w:rsid w:val="00713FFF"/>
    <w:rsid w:val="007140CD"/>
    <w:rsid w:val="0071476E"/>
    <w:rsid w:val="00714B6E"/>
    <w:rsid w:val="00715EFC"/>
    <w:rsid w:val="00716011"/>
    <w:rsid w:val="007168A5"/>
    <w:rsid w:val="00720036"/>
    <w:rsid w:val="007206EA"/>
    <w:rsid w:val="0072172F"/>
    <w:rsid w:val="00721BEE"/>
    <w:rsid w:val="00721F85"/>
    <w:rsid w:val="0072255D"/>
    <w:rsid w:val="00722576"/>
    <w:rsid w:val="00722E11"/>
    <w:rsid w:val="00723074"/>
    <w:rsid w:val="007233FE"/>
    <w:rsid w:val="00723649"/>
    <w:rsid w:val="00723657"/>
    <w:rsid w:val="007240B3"/>
    <w:rsid w:val="00724664"/>
    <w:rsid w:val="00724E73"/>
    <w:rsid w:val="007258E7"/>
    <w:rsid w:val="00725C77"/>
    <w:rsid w:val="007260EE"/>
    <w:rsid w:val="00727129"/>
    <w:rsid w:val="0072712C"/>
    <w:rsid w:val="00727207"/>
    <w:rsid w:val="00727AB0"/>
    <w:rsid w:val="0073009E"/>
    <w:rsid w:val="0073043F"/>
    <w:rsid w:val="00730C30"/>
    <w:rsid w:val="00730F61"/>
    <w:rsid w:val="00731127"/>
    <w:rsid w:val="00732117"/>
    <w:rsid w:val="00732570"/>
    <w:rsid w:val="00732C1D"/>
    <w:rsid w:val="00733024"/>
    <w:rsid w:val="00733DF3"/>
    <w:rsid w:val="00733F0F"/>
    <w:rsid w:val="00734129"/>
    <w:rsid w:val="0073469D"/>
    <w:rsid w:val="007350CD"/>
    <w:rsid w:val="007355E7"/>
    <w:rsid w:val="007358A0"/>
    <w:rsid w:val="00735AF9"/>
    <w:rsid w:val="00736D9A"/>
    <w:rsid w:val="007371F0"/>
    <w:rsid w:val="00737366"/>
    <w:rsid w:val="00737516"/>
    <w:rsid w:val="007376B2"/>
    <w:rsid w:val="00737713"/>
    <w:rsid w:val="00737B7C"/>
    <w:rsid w:val="00737C0F"/>
    <w:rsid w:val="00740B47"/>
    <w:rsid w:val="00740C20"/>
    <w:rsid w:val="00741518"/>
    <w:rsid w:val="00742967"/>
    <w:rsid w:val="0074309C"/>
    <w:rsid w:val="00744741"/>
    <w:rsid w:val="00744B89"/>
    <w:rsid w:val="0074543F"/>
    <w:rsid w:val="00745454"/>
    <w:rsid w:val="0074583A"/>
    <w:rsid w:val="00745DB4"/>
    <w:rsid w:val="00745EE3"/>
    <w:rsid w:val="0074712A"/>
    <w:rsid w:val="007471D6"/>
    <w:rsid w:val="00747479"/>
    <w:rsid w:val="0074777F"/>
    <w:rsid w:val="00747D89"/>
    <w:rsid w:val="007509CC"/>
    <w:rsid w:val="00751ACF"/>
    <w:rsid w:val="00751E87"/>
    <w:rsid w:val="007523CF"/>
    <w:rsid w:val="0075251C"/>
    <w:rsid w:val="00753AE1"/>
    <w:rsid w:val="0075446D"/>
    <w:rsid w:val="00755022"/>
    <w:rsid w:val="0075546E"/>
    <w:rsid w:val="00757E91"/>
    <w:rsid w:val="007611F5"/>
    <w:rsid w:val="00761B0B"/>
    <w:rsid w:val="00761E84"/>
    <w:rsid w:val="00761FA7"/>
    <w:rsid w:val="00762293"/>
    <w:rsid w:val="00762A26"/>
    <w:rsid w:val="00762D6E"/>
    <w:rsid w:val="007631F4"/>
    <w:rsid w:val="007636EF"/>
    <w:rsid w:val="007637AA"/>
    <w:rsid w:val="00763D30"/>
    <w:rsid w:val="00763E4B"/>
    <w:rsid w:val="00763F70"/>
    <w:rsid w:val="007643A8"/>
    <w:rsid w:val="007647F8"/>
    <w:rsid w:val="00765C3A"/>
    <w:rsid w:val="00765E30"/>
    <w:rsid w:val="00766256"/>
    <w:rsid w:val="0077000A"/>
    <w:rsid w:val="007702B8"/>
    <w:rsid w:val="007715B6"/>
    <w:rsid w:val="00771E72"/>
    <w:rsid w:val="007722B1"/>
    <w:rsid w:val="00772514"/>
    <w:rsid w:val="0077354A"/>
    <w:rsid w:val="00773F0F"/>
    <w:rsid w:val="00774E18"/>
    <w:rsid w:val="00775B5C"/>
    <w:rsid w:val="00775B86"/>
    <w:rsid w:val="007763AE"/>
    <w:rsid w:val="00776555"/>
    <w:rsid w:val="007775A2"/>
    <w:rsid w:val="007775C4"/>
    <w:rsid w:val="00777715"/>
    <w:rsid w:val="007778CB"/>
    <w:rsid w:val="00781D9E"/>
    <w:rsid w:val="007820FB"/>
    <w:rsid w:val="007825FD"/>
    <w:rsid w:val="00782A27"/>
    <w:rsid w:val="007831EC"/>
    <w:rsid w:val="00783BD8"/>
    <w:rsid w:val="00783D24"/>
    <w:rsid w:val="00783DD1"/>
    <w:rsid w:val="0078421E"/>
    <w:rsid w:val="00785C13"/>
    <w:rsid w:val="007868E5"/>
    <w:rsid w:val="00786B37"/>
    <w:rsid w:val="00786B74"/>
    <w:rsid w:val="00787307"/>
    <w:rsid w:val="007874BB"/>
    <w:rsid w:val="00787B1B"/>
    <w:rsid w:val="007903FB"/>
    <w:rsid w:val="00790834"/>
    <w:rsid w:val="00790D07"/>
    <w:rsid w:val="007924C8"/>
    <w:rsid w:val="007928A6"/>
    <w:rsid w:val="00792B08"/>
    <w:rsid w:val="00793387"/>
    <w:rsid w:val="00793652"/>
    <w:rsid w:val="00793803"/>
    <w:rsid w:val="00793AFA"/>
    <w:rsid w:val="00793E8F"/>
    <w:rsid w:val="00793FF9"/>
    <w:rsid w:val="007940D4"/>
    <w:rsid w:val="00794304"/>
    <w:rsid w:val="00794CDE"/>
    <w:rsid w:val="00795417"/>
    <w:rsid w:val="0079562B"/>
    <w:rsid w:val="00795762"/>
    <w:rsid w:val="00795BFF"/>
    <w:rsid w:val="00795F2D"/>
    <w:rsid w:val="00795FBF"/>
    <w:rsid w:val="00796614"/>
    <w:rsid w:val="007968C5"/>
    <w:rsid w:val="00796D4C"/>
    <w:rsid w:val="007A046E"/>
    <w:rsid w:val="007A121D"/>
    <w:rsid w:val="007A1524"/>
    <w:rsid w:val="007A16C0"/>
    <w:rsid w:val="007A1A5D"/>
    <w:rsid w:val="007A1FD0"/>
    <w:rsid w:val="007A252E"/>
    <w:rsid w:val="007A27F7"/>
    <w:rsid w:val="007A3672"/>
    <w:rsid w:val="007A3CA4"/>
    <w:rsid w:val="007A4136"/>
    <w:rsid w:val="007A4A32"/>
    <w:rsid w:val="007A4BBC"/>
    <w:rsid w:val="007A4CC6"/>
    <w:rsid w:val="007A54BC"/>
    <w:rsid w:val="007A5B5F"/>
    <w:rsid w:val="007A6270"/>
    <w:rsid w:val="007A63F7"/>
    <w:rsid w:val="007A7602"/>
    <w:rsid w:val="007A795F"/>
    <w:rsid w:val="007A7BC2"/>
    <w:rsid w:val="007A7C91"/>
    <w:rsid w:val="007A7CA8"/>
    <w:rsid w:val="007A7CD2"/>
    <w:rsid w:val="007A7DD6"/>
    <w:rsid w:val="007B1FB0"/>
    <w:rsid w:val="007B2178"/>
    <w:rsid w:val="007B2A0A"/>
    <w:rsid w:val="007B2A23"/>
    <w:rsid w:val="007B2BFE"/>
    <w:rsid w:val="007B2D94"/>
    <w:rsid w:val="007B353C"/>
    <w:rsid w:val="007B3D9F"/>
    <w:rsid w:val="007B440C"/>
    <w:rsid w:val="007B469E"/>
    <w:rsid w:val="007B4E98"/>
    <w:rsid w:val="007B52F7"/>
    <w:rsid w:val="007B61FA"/>
    <w:rsid w:val="007B65D6"/>
    <w:rsid w:val="007B6A6F"/>
    <w:rsid w:val="007B7507"/>
    <w:rsid w:val="007B7650"/>
    <w:rsid w:val="007B7DDE"/>
    <w:rsid w:val="007B7F4D"/>
    <w:rsid w:val="007C023A"/>
    <w:rsid w:val="007C0275"/>
    <w:rsid w:val="007C07FD"/>
    <w:rsid w:val="007C1323"/>
    <w:rsid w:val="007C213F"/>
    <w:rsid w:val="007C22D7"/>
    <w:rsid w:val="007C3308"/>
    <w:rsid w:val="007C3C4E"/>
    <w:rsid w:val="007C42C2"/>
    <w:rsid w:val="007C4546"/>
    <w:rsid w:val="007C45B3"/>
    <w:rsid w:val="007C541D"/>
    <w:rsid w:val="007C57A7"/>
    <w:rsid w:val="007C7BAC"/>
    <w:rsid w:val="007D00BD"/>
    <w:rsid w:val="007D01C9"/>
    <w:rsid w:val="007D0236"/>
    <w:rsid w:val="007D02B1"/>
    <w:rsid w:val="007D0696"/>
    <w:rsid w:val="007D26FF"/>
    <w:rsid w:val="007D28D0"/>
    <w:rsid w:val="007D2BE5"/>
    <w:rsid w:val="007D3257"/>
    <w:rsid w:val="007D3B4B"/>
    <w:rsid w:val="007D3E5C"/>
    <w:rsid w:val="007D4B52"/>
    <w:rsid w:val="007D4BDB"/>
    <w:rsid w:val="007D5744"/>
    <w:rsid w:val="007D62CA"/>
    <w:rsid w:val="007D631E"/>
    <w:rsid w:val="007D63DC"/>
    <w:rsid w:val="007D6587"/>
    <w:rsid w:val="007D6C5E"/>
    <w:rsid w:val="007D72DD"/>
    <w:rsid w:val="007D7962"/>
    <w:rsid w:val="007E02B1"/>
    <w:rsid w:val="007E04D4"/>
    <w:rsid w:val="007E086B"/>
    <w:rsid w:val="007E09C0"/>
    <w:rsid w:val="007E0CC9"/>
    <w:rsid w:val="007E0D4B"/>
    <w:rsid w:val="007E1643"/>
    <w:rsid w:val="007E1874"/>
    <w:rsid w:val="007E1C71"/>
    <w:rsid w:val="007E1DE4"/>
    <w:rsid w:val="007E222A"/>
    <w:rsid w:val="007E24D9"/>
    <w:rsid w:val="007E3917"/>
    <w:rsid w:val="007E4F97"/>
    <w:rsid w:val="007E56D2"/>
    <w:rsid w:val="007E6067"/>
    <w:rsid w:val="007E61FA"/>
    <w:rsid w:val="007E6528"/>
    <w:rsid w:val="007E6645"/>
    <w:rsid w:val="007E6794"/>
    <w:rsid w:val="007F0445"/>
    <w:rsid w:val="007F0C08"/>
    <w:rsid w:val="007F18C9"/>
    <w:rsid w:val="007F2086"/>
    <w:rsid w:val="007F23CC"/>
    <w:rsid w:val="007F2B48"/>
    <w:rsid w:val="007F2CEB"/>
    <w:rsid w:val="007F338B"/>
    <w:rsid w:val="007F380D"/>
    <w:rsid w:val="007F3B59"/>
    <w:rsid w:val="007F3D55"/>
    <w:rsid w:val="007F3EA1"/>
    <w:rsid w:val="007F4050"/>
    <w:rsid w:val="007F42BF"/>
    <w:rsid w:val="007F6A93"/>
    <w:rsid w:val="007F6FE7"/>
    <w:rsid w:val="00800101"/>
    <w:rsid w:val="00800358"/>
    <w:rsid w:val="00800B53"/>
    <w:rsid w:val="00800BAF"/>
    <w:rsid w:val="008015EB"/>
    <w:rsid w:val="008017F4"/>
    <w:rsid w:val="00801CD7"/>
    <w:rsid w:val="00801DA3"/>
    <w:rsid w:val="00801E75"/>
    <w:rsid w:val="0080220E"/>
    <w:rsid w:val="00802A46"/>
    <w:rsid w:val="00802D66"/>
    <w:rsid w:val="008031B8"/>
    <w:rsid w:val="00803300"/>
    <w:rsid w:val="0080333E"/>
    <w:rsid w:val="00803924"/>
    <w:rsid w:val="00803ACE"/>
    <w:rsid w:val="00805243"/>
    <w:rsid w:val="008052AE"/>
    <w:rsid w:val="0080551A"/>
    <w:rsid w:val="008057C6"/>
    <w:rsid w:val="008058E5"/>
    <w:rsid w:val="00807D8B"/>
    <w:rsid w:val="00810377"/>
    <w:rsid w:val="008111BC"/>
    <w:rsid w:val="008129AD"/>
    <w:rsid w:val="00812B93"/>
    <w:rsid w:val="00812CF0"/>
    <w:rsid w:val="008133F1"/>
    <w:rsid w:val="00813497"/>
    <w:rsid w:val="0081350C"/>
    <w:rsid w:val="0081391C"/>
    <w:rsid w:val="0081453E"/>
    <w:rsid w:val="00814596"/>
    <w:rsid w:val="0081481F"/>
    <w:rsid w:val="00815490"/>
    <w:rsid w:val="0081576D"/>
    <w:rsid w:val="00815A3A"/>
    <w:rsid w:val="008168D0"/>
    <w:rsid w:val="00816925"/>
    <w:rsid w:val="00816B4F"/>
    <w:rsid w:val="00817704"/>
    <w:rsid w:val="00817E28"/>
    <w:rsid w:val="0082068E"/>
    <w:rsid w:val="00820BF5"/>
    <w:rsid w:val="00821175"/>
    <w:rsid w:val="00821323"/>
    <w:rsid w:val="008220BA"/>
    <w:rsid w:val="008222EB"/>
    <w:rsid w:val="00822518"/>
    <w:rsid w:val="00822792"/>
    <w:rsid w:val="00822933"/>
    <w:rsid w:val="00823CC5"/>
    <w:rsid w:val="00823F45"/>
    <w:rsid w:val="008243C5"/>
    <w:rsid w:val="00824F86"/>
    <w:rsid w:val="0082506F"/>
    <w:rsid w:val="0082606A"/>
    <w:rsid w:val="00826137"/>
    <w:rsid w:val="008261C5"/>
    <w:rsid w:val="008264E7"/>
    <w:rsid w:val="00826D0E"/>
    <w:rsid w:val="00826DC4"/>
    <w:rsid w:val="008271BF"/>
    <w:rsid w:val="0082765A"/>
    <w:rsid w:val="00827AF0"/>
    <w:rsid w:val="00830DB9"/>
    <w:rsid w:val="0083129C"/>
    <w:rsid w:val="00831314"/>
    <w:rsid w:val="0083144B"/>
    <w:rsid w:val="00831FF8"/>
    <w:rsid w:val="008325AF"/>
    <w:rsid w:val="008325E9"/>
    <w:rsid w:val="0083280E"/>
    <w:rsid w:val="0083293D"/>
    <w:rsid w:val="00833544"/>
    <w:rsid w:val="00833A96"/>
    <w:rsid w:val="00834022"/>
    <w:rsid w:val="0083435D"/>
    <w:rsid w:val="008344E7"/>
    <w:rsid w:val="00834A2D"/>
    <w:rsid w:val="0083500E"/>
    <w:rsid w:val="0083578F"/>
    <w:rsid w:val="00836898"/>
    <w:rsid w:val="00836A43"/>
    <w:rsid w:val="00836F62"/>
    <w:rsid w:val="00837314"/>
    <w:rsid w:val="00837613"/>
    <w:rsid w:val="00840432"/>
    <w:rsid w:val="00842CF7"/>
    <w:rsid w:val="0084315C"/>
    <w:rsid w:val="008437AE"/>
    <w:rsid w:val="00843E95"/>
    <w:rsid w:val="0084528E"/>
    <w:rsid w:val="008459EC"/>
    <w:rsid w:val="00846704"/>
    <w:rsid w:val="00846BFD"/>
    <w:rsid w:val="008479A1"/>
    <w:rsid w:val="00847C05"/>
    <w:rsid w:val="00850697"/>
    <w:rsid w:val="00850B0C"/>
    <w:rsid w:val="00850B4E"/>
    <w:rsid w:val="008513AD"/>
    <w:rsid w:val="00851CEA"/>
    <w:rsid w:val="00851E35"/>
    <w:rsid w:val="0085210E"/>
    <w:rsid w:val="008539FB"/>
    <w:rsid w:val="00853C3A"/>
    <w:rsid w:val="008546CC"/>
    <w:rsid w:val="00855BB9"/>
    <w:rsid w:val="00856279"/>
    <w:rsid w:val="00856687"/>
    <w:rsid w:val="00856B83"/>
    <w:rsid w:val="00856D52"/>
    <w:rsid w:val="00857B28"/>
    <w:rsid w:val="00857CA7"/>
    <w:rsid w:val="00860379"/>
    <w:rsid w:val="0086105F"/>
    <w:rsid w:val="00861548"/>
    <w:rsid w:val="00862538"/>
    <w:rsid w:val="008626C3"/>
    <w:rsid w:val="00862CD2"/>
    <w:rsid w:val="00863117"/>
    <w:rsid w:val="00863230"/>
    <w:rsid w:val="00863504"/>
    <w:rsid w:val="008637A1"/>
    <w:rsid w:val="008638E3"/>
    <w:rsid w:val="00864A3E"/>
    <w:rsid w:val="00864BD9"/>
    <w:rsid w:val="0086580F"/>
    <w:rsid w:val="00866E3E"/>
    <w:rsid w:val="00867938"/>
    <w:rsid w:val="00867B12"/>
    <w:rsid w:val="00867D4F"/>
    <w:rsid w:val="00867E90"/>
    <w:rsid w:val="00870839"/>
    <w:rsid w:val="00871207"/>
    <w:rsid w:val="008712CA"/>
    <w:rsid w:val="008720B0"/>
    <w:rsid w:val="00872494"/>
    <w:rsid w:val="0087272A"/>
    <w:rsid w:val="00872C3D"/>
    <w:rsid w:val="00872D06"/>
    <w:rsid w:val="008730F7"/>
    <w:rsid w:val="008734C7"/>
    <w:rsid w:val="008739D1"/>
    <w:rsid w:val="008740AB"/>
    <w:rsid w:val="00874236"/>
    <w:rsid w:val="00874399"/>
    <w:rsid w:val="00874833"/>
    <w:rsid w:val="00874CA6"/>
    <w:rsid w:val="00876030"/>
    <w:rsid w:val="008770B0"/>
    <w:rsid w:val="0087739F"/>
    <w:rsid w:val="00877EF2"/>
    <w:rsid w:val="00877FF9"/>
    <w:rsid w:val="00880077"/>
    <w:rsid w:val="008802ED"/>
    <w:rsid w:val="008807B6"/>
    <w:rsid w:val="008811BF"/>
    <w:rsid w:val="0088138F"/>
    <w:rsid w:val="008815EC"/>
    <w:rsid w:val="008818EE"/>
    <w:rsid w:val="00881AA2"/>
    <w:rsid w:val="00881BE0"/>
    <w:rsid w:val="00881C53"/>
    <w:rsid w:val="00881E8A"/>
    <w:rsid w:val="00883B13"/>
    <w:rsid w:val="008841FE"/>
    <w:rsid w:val="008842B2"/>
    <w:rsid w:val="0088441C"/>
    <w:rsid w:val="00884633"/>
    <w:rsid w:val="00884677"/>
    <w:rsid w:val="00885585"/>
    <w:rsid w:val="008860AA"/>
    <w:rsid w:val="00886897"/>
    <w:rsid w:val="0088725E"/>
    <w:rsid w:val="00890A5F"/>
    <w:rsid w:val="00891283"/>
    <w:rsid w:val="008915A1"/>
    <w:rsid w:val="008916E8"/>
    <w:rsid w:val="0089261E"/>
    <w:rsid w:val="0089339F"/>
    <w:rsid w:val="00893B24"/>
    <w:rsid w:val="00893C42"/>
    <w:rsid w:val="00894366"/>
    <w:rsid w:val="008948B3"/>
    <w:rsid w:val="008959CC"/>
    <w:rsid w:val="00895E97"/>
    <w:rsid w:val="00896AEF"/>
    <w:rsid w:val="00896E37"/>
    <w:rsid w:val="00896E64"/>
    <w:rsid w:val="008975BE"/>
    <w:rsid w:val="00897877"/>
    <w:rsid w:val="008A0034"/>
    <w:rsid w:val="008A0496"/>
    <w:rsid w:val="008A1A70"/>
    <w:rsid w:val="008A1FB3"/>
    <w:rsid w:val="008A1FEE"/>
    <w:rsid w:val="008A21BF"/>
    <w:rsid w:val="008A274C"/>
    <w:rsid w:val="008A2B6E"/>
    <w:rsid w:val="008A35BC"/>
    <w:rsid w:val="008A377F"/>
    <w:rsid w:val="008A3A48"/>
    <w:rsid w:val="008A47C3"/>
    <w:rsid w:val="008A4A7D"/>
    <w:rsid w:val="008A4E83"/>
    <w:rsid w:val="008A507B"/>
    <w:rsid w:val="008A5362"/>
    <w:rsid w:val="008A55C7"/>
    <w:rsid w:val="008A5E06"/>
    <w:rsid w:val="008A6EFF"/>
    <w:rsid w:val="008A7015"/>
    <w:rsid w:val="008A7681"/>
    <w:rsid w:val="008A7A62"/>
    <w:rsid w:val="008B0082"/>
    <w:rsid w:val="008B1200"/>
    <w:rsid w:val="008B1368"/>
    <w:rsid w:val="008B1388"/>
    <w:rsid w:val="008B18B9"/>
    <w:rsid w:val="008B2AEE"/>
    <w:rsid w:val="008B3550"/>
    <w:rsid w:val="008B364A"/>
    <w:rsid w:val="008B3799"/>
    <w:rsid w:val="008B37E2"/>
    <w:rsid w:val="008B4F5A"/>
    <w:rsid w:val="008B50DB"/>
    <w:rsid w:val="008B64E0"/>
    <w:rsid w:val="008B67A1"/>
    <w:rsid w:val="008B6ABE"/>
    <w:rsid w:val="008B7239"/>
    <w:rsid w:val="008B7ABF"/>
    <w:rsid w:val="008B7ADD"/>
    <w:rsid w:val="008B7F6B"/>
    <w:rsid w:val="008C03B1"/>
    <w:rsid w:val="008C0A5D"/>
    <w:rsid w:val="008C0D40"/>
    <w:rsid w:val="008C1236"/>
    <w:rsid w:val="008C1AE7"/>
    <w:rsid w:val="008C2348"/>
    <w:rsid w:val="008C26B7"/>
    <w:rsid w:val="008C2D00"/>
    <w:rsid w:val="008C2D9A"/>
    <w:rsid w:val="008C2EDE"/>
    <w:rsid w:val="008C4F76"/>
    <w:rsid w:val="008C57B1"/>
    <w:rsid w:val="008C5FDC"/>
    <w:rsid w:val="008C66CE"/>
    <w:rsid w:val="008C6745"/>
    <w:rsid w:val="008C6AF4"/>
    <w:rsid w:val="008C707A"/>
    <w:rsid w:val="008C7173"/>
    <w:rsid w:val="008C73AC"/>
    <w:rsid w:val="008C76C5"/>
    <w:rsid w:val="008C79AF"/>
    <w:rsid w:val="008C7DB4"/>
    <w:rsid w:val="008D04E3"/>
    <w:rsid w:val="008D0CA1"/>
    <w:rsid w:val="008D0CE4"/>
    <w:rsid w:val="008D170A"/>
    <w:rsid w:val="008D19CD"/>
    <w:rsid w:val="008D1DA9"/>
    <w:rsid w:val="008D23A9"/>
    <w:rsid w:val="008D2C09"/>
    <w:rsid w:val="008D49AD"/>
    <w:rsid w:val="008D6EB5"/>
    <w:rsid w:val="008D7278"/>
    <w:rsid w:val="008D7AB8"/>
    <w:rsid w:val="008D7ACE"/>
    <w:rsid w:val="008D7BDA"/>
    <w:rsid w:val="008D7F5F"/>
    <w:rsid w:val="008E05D4"/>
    <w:rsid w:val="008E0C2B"/>
    <w:rsid w:val="008E166E"/>
    <w:rsid w:val="008E18CB"/>
    <w:rsid w:val="008E1A4D"/>
    <w:rsid w:val="008E224E"/>
    <w:rsid w:val="008E28C0"/>
    <w:rsid w:val="008E2D4E"/>
    <w:rsid w:val="008E2DE8"/>
    <w:rsid w:val="008E2E42"/>
    <w:rsid w:val="008E3781"/>
    <w:rsid w:val="008E3870"/>
    <w:rsid w:val="008E42FE"/>
    <w:rsid w:val="008E4724"/>
    <w:rsid w:val="008E4C97"/>
    <w:rsid w:val="008E574B"/>
    <w:rsid w:val="008E6DFC"/>
    <w:rsid w:val="008E71D7"/>
    <w:rsid w:val="008E763B"/>
    <w:rsid w:val="008E7705"/>
    <w:rsid w:val="008F03A4"/>
    <w:rsid w:val="008F0964"/>
    <w:rsid w:val="008F0E6D"/>
    <w:rsid w:val="008F1023"/>
    <w:rsid w:val="008F1845"/>
    <w:rsid w:val="008F1D80"/>
    <w:rsid w:val="008F2C81"/>
    <w:rsid w:val="008F2D96"/>
    <w:rsid w:val="008F31C2"/>
    <w:rsid w:val="008F3557"/>
    <w:rsid w:val="008F3AF2"/>
    <w:rsid w:val="008F3ECD"/>
    <w:rsid w:val="008F3F1D"/>
    <w:rsid w:val="008F3FF7"/>
    <w:rsid w:val="008F41C6"/>
    <w:rsid w:val="008F50EC"/>
    <w:rsid w:val="008F558E"/>
    <w:rsid w:val="008F560D"/>
    <w:rsid w:val="008F674D"/>
    <w:rsid w:val="008F6B76"/>
    <w:rsid w:val="008F6E75"/>
    <w:rsid w:val="008F7F44"/>
    <w:rsid w:val="00900246"/>
    <w:rsid w:val="00900339"/>
    <w:rsid w:val="009006F6"/>
    <w:rsid w:val="009012C7"/>
    <w:rsid w:val="0090251C"/>
    <w:rsid w:val="009049DC"/>
    <w:rsid w:val="00904C51"/>
    <w:rsid w:val="009053F0"/>
    <w:rsid w:val="00906576"/>
    <w:rsid w:val="009069FE"/>
    <w:rsid w:val="00907327"/>
    <w:rsid w:val="00907413"/>
    <w:rsid w:val="00910462"/>
    <w:rsid w:val="00910914"/>
    <w:rsid w:val="009114D3"/>
    <w:rsid w:val="009121E5"/>
    <w:rsid w:val="0091280F"/>
    <w:rsid w:val="00912C10"/>
    <w:rsid w:val="00912C5A"/>
    <w:rsid w:val="00912C6A"/>
    <w:rsid w:val="00913131"/>
    <w:rsid w:val="00913281"/>
    <w:rsid w:val="00913A7F"/>
    <w:rsid w:val="00913AA4"/>
    <w:rsid w:val="009144E8"/>
    <w:rsid w:val="009148AD"/>
    <w:rsid w:val="00915040"/>
    <w:rsid w:val="00915253"/>
    <w:rsid w:val="0091536E"/>
    <w:rsid w:val="00915588"/>
    <w:rsid w:val="00915F9F"/>
    <w:rsid w:val="00916076"/>
    <w:rsid w:val="0091625D"/>
    <w:rsid w:val="00916305"/>
    <w:rsid w:val="009164CC"/>
    <w:rsid w:val="009167CD"/>
    <w:rsid w:val="00916F69"/>
    <w:rsid w:val="00917649"/>
    <w:rsid w:val="00920CD5"/>
    <w:rsid w:val="00920E77"/>
    <w:rsid w:val="00920ED4"/>
    <w:rsid w:val="00921358"/>
    <w:rsid w:val="0092176A"/>
    <w:rsid w:val="00921DE2"/>
    <w:rsid w:val="00921F4F"/>
    <w:rsid w:val="00922089"/>
    <w:rsid w:val="00922820"/>
    <w:rsid w:val="00922827"/>
    <w:rsid w:val="00922E96"/>
    <w:rsid w:val="00923598"/>
    <w:rsid w:val="00923C63"/>
    <w:rsid w:val="00923F6C"/>
    <w:rsid w:val="00924577"/>
    <w:rsid w:val="0092474D"/>
    <w:rsid w:val="00924C67"/>
    <w:rsid w:val="00924D9B"/>
    <w:rsid w:val="00925985"/>
    <w:rsid w:val="00925C63"/>
    <w:rsid w:val="00925E32"/>
    <w:rsid w:val="00925EA2"/>
    <w:rsid w:val="00925EB2"/>
    <w:rsid w:val="00926326"/>
    <w:rsid w:val="00926653"/>
    <w:rsid w:val="0093015E"/>
    <w:rsid w:val="0093073A"/>
    <w:rsid w:val="00930F1F"/>
    <w:rsid w:val="0093109D"/>
    <w:rsid w:val="00931773"/>
    <w:rsid w:val="00931EF7"/>
    <w:rsid w:val="0093294B"/>
    <w:rsid w:val="00934909"/>
    <w:rsid w:val="009350C8"/>
    <w:rsid w:val="00935486"/>
    <w:rsid w:val="00935B45"/>
    <w:rsid w:val="00936C08"/>
    <w:rsid w:val="00936D0D"/>
    <w:rsid w:val="00937375"/>
    <w:rsid w:val="00937F0A"/>
    <w:rsid w:val="009400FD"/>
    <w:rsid w:val="00940C50"/>
    <w:rsid w:val="00940C9D"/>
    <w:rsid w:val="009410F3"/>
    <w:rsid w:val="0094126D"/>
    <w:rsid w:val="0094163D"/>
    <w:rsid w:val="00941A5A"/>
    <w:rsid w:val="00942479"/>
    <w:rsid w:val="00942863"/>
    <w:rsid w:val="00943A2D"/>
    <w:rsid w:val="00943C01"/>
    <w:rsid w:val="00944341"/>
    <w:rsid w:val="0094456E"/>
    <w:rsid w:val="00944EAC"/>
    <w:rsid w:val="00946209"/>
    <w:rsid w:val="00946B59"/>
    <w:rsid w:val="0094726F"/>
    <w:rsid w:val="00950617"/>
    <w:rsid w:val="00950B5B"/>
    <w:rsid w:val="00950D9F"/>
    <w:rsid w:val="0095114C"/>
    <w:rsid w:val="00951596"/>
    <w:rsid w:val="00951A32"/>
    <w:rsid w:val="00951EA7"/>
    <w:rsid w:val="00951EAD"/>
    <w:rsid w:val="00952B71"/>
    <w:rsid w:val="00952BC1"/>
    <w:rsid w:val="00953314"/>
    <w:rsid w:val="00953660"/>
    <w:rsid w:val="00953A7B"/>
    <w:rsid w:val="0095416B"/>
    <w:rsid w:val="00954343"/>
    <w:rsid w:val="0095444E"/>
    <w:rsid w:val="00954B77"/>
    <w:rsid w:val="00954C2E"/>
    <w:rsid w:val="009550A8"/>
    <w:rsid w:val="009557CF"/>
    <w:rsid w:val="00955A21"/>
    <w:rsid w:val="00955BCB"/>
    <w:rsid w:val="00955C25"/>
    <w:rsid w:val="00956715"/>
    <w:rsid w:val="00956EF9"/>
    <w:rsid w:val="00957384"/>
    <w:rsid w:val="009575C2"/>
    <w:rsid w:val="0095767C"/>
    <w:rsid w:val="009605BE"/>
    <w:rsid w:val="00962A15"/>
    <w:rsid w:val="00962E97"/>
    <w:rsid w:val="00962F52"/>
    <w:rsid w:val="0096319F"/>
    <w:rsid w:val="009633AC"/>
    <w:rsid w:val="009633DB"/>
    <w:rsid w:val="00963528"/>
    <w:rsid w:val="0096357D"/>
    <w:rsid w:val="009636C0"/>
    <w:rsid w:val="00963D06"/>
    <w:rsid w:val="00965A84"/>
    <w:rsid w:val="00966040"/>
    <w:rsid w:val="00966845"/>
    <w:rsid w:val="00967777"/>
    <w:rsid w:val="00967CFA"/>
    <w:rsid w:val="00970712"/>
    <w:rsid w:val="009709B8"/>
    <w:rsid w:val="00970BCB"/>
    <w:rsid w:val="009713F0"/>
    <w:rsid w:val="0097158C"/>
    <w:rsid w:val="009715AF"/>
    <w:rsid w:val="00972122"/>
    <w:rsid w:val="00973347"/>
    <w:rsid w:val="0097375B"/>
    <w:rsid w:val="00974993"/>
    <w:rsid w:val="00975358"/>
    <w:rsid w:val="00975474"/>
    <w:rsid w:val="00975E95"/>
    <w:rsid w:val="009809B1"/>
    <w:rsid w:val="00980C39"/>
    <w:rsid w:val="0098120C"/>
    <w:rsid w:val="009813EA"/>
    <w:rsid w:val="009814A7"/>
    <w:rsid w:val="00981E66"/>
    <w:rsid w:val="00982F1D"/>
    <w:rsid w:val="00983239"/>
    <w:rsid w:val="009838A6"/>
    <w:rsid w:val="00983C50"/>
    <w:rsid w:val="00983E09"/>
    <w:rsid w:val="009848CC"/>
    <w:rsid w:val="009850A7"/>
    <w:rsid w:val="00985453"/>
    <w:rsid w:val="00985737"/>
    <w:rsid w:val="00985B6A"/>
    <w:rsid w:val="00986119"/>
    <w:rsid w:val="00986B24"/>
    <w:rsid w:val="00986C07"/>
    <w:rsid w:val="00990E94"/>
    <w:rsid w:val="00991207"/>
    <w:rsid w:val="00991DAD"/>
    <w:rsid w:val="00992E13"/>
    <w:rsid w:val="00993016"/>
    <w:rsid w:val="009933AC"/>
    <w:rsid w:val="00993483"/>
    <w:rsid w:val="0099356C"/>
    <w:rsid w:val="00993AE7"/>
    <w:rsid w:val="00993B83"/>
    <w:rsid w:val="009944B9"/>
    <w:rsid w:val="00994526"/>
    <w:rsid w:val="009946BD"/>
    <w:rsid w:val="00994B77"/>
    <w:rsid w:val="009953AE"/>
    <w:rsid w:val="00995AB4"/>
    <w:rsid w:val="00995CD3"/>
    <w:rsid w:val="009968C8"/>
    <w:rsid w:val="00997739"/>
    <w:rsid w:val="00997BEB"/>
    <w:rsid w:val="00997E45"/>
    <w:rsid w:val="009A14B4"/>
    <w:rsid w:val="009A20EC"/>
    <w:rsid w:val="009A22FD"/>
    <w:rsid w:val="009A24ED"/>
    <w:rsid w:val="009A2C2F"/>
    <w:rsid w:val="009A3632"/>
    <w:rsid w:val="009A369C"/>
    <w:rsid w:val="009A3D7A"/>
    <w:rsid w:val="009A4308"/>
    <w:rsid w:val="009A5252"/>
    <w:rsid w:val="009A5343"/>
    <w:rsid w:val="009A5642"/>
    <w:rsid w:val="009A6D64"/>
    <w:rsid w:val="009A757E"/>
    <w:rsid w:val="009A785C"/>
    <w:rsid w:val="009B080D"/>
    <w:rsid w:val="009B13E3"/>
    <w:rsid w:val="009B1766"/>
    <w:rsid w:val="009B267A"/>
    <w:rsid w:val="009B3995"/>
    <w:rsid w:val="009B3B32"/>
    <w:rsid w:val="009B3D13"/>
    <w:rsid w:val="009B4EDC"/>
    <w:rsid w:val="009B6500"/>
    <w:rsid w:val="009B6898"/>
    <w:rsid w:val="009B68D4"/>
    <w:rsid w:val="009C03EA"/>
    <w:rsid w:val="009C0588"/>
    <w:rsid w:val="009C077E"/>
    <w:rsid w:val="009C180F"/>
    <w:rsid w:val="009C2240"/>
    <w:rsid w:val="009C22FF"/>
    <w:rsid w:val="009C3463"/>
    <w:rsid w:val="009C357F"/>
    <w:rsid w:val="009C3786"/>
    <w:rsid w:val="009C3BA4"/>
    <w:rsid w:val="009C4BD3"/>
    <w:rsid w:val="009C53B5"/>
    <w:rsid w:val="009C5C33"/>
    <w:rsid w:val="009C5DBA"/>
    <w:rsid w:val="009C6916"/>
    <w:rsid w:val="009C6A5C"/>
    <w:rsid w:val="009C6C49"/>
    <w:rsid w:val="009C6F06"/>
    <w:rsid w:val="009C6FF4"/>
    <w:rsid w:val="009C702D"/>
    <w:rsid w:val="009C77C0"/>
    <w:rsid w:val="009C7CC7"/>
    <w:rsid w:val="009D0631"/>
    <w:rsid w:val="009D0757"/>
    <w:rsid w:val="009D12E8"/>
    <w:rsid w:val="009D15C3"/>
    <w:rsid w:val="009D170C"/>
    <w:rsid w:val="009D1776"/>
    <w:rsid w:val="009D1B6E"/>
    <w:rsid w:val="009D1DD3"/>
    <w:rsid w:val="009D1E02"/>
    <w:rsid w:val="009D301C"/>
    <w:rsid w:val="009D3267"/>
    <w:rsid w:val="009D3957"/>
    <w:rsid w:val="009D3B48"/>
    <w:rsid w:val="009D3C68"/>
    <w:rsid w:val="009D4261"/>
    <w:rsid w:val="009D433F"/>
    <w:rsid w:val="009D513C"/>
    <w:rsid w:val="009D55E9"/>
    <w:rsid w:val="009D5DFD"/>
    <w:rsid w:val="009D6B79"/>
    <w:rsid w:val="009D6E20"/>
    <w:rsid w:val="009D71F6"/>
    <w:rsid w:val="009D7208"/>
    <w:rsid w:val="009D7A43"/>
    <w:rsid w:val="009D7A58"/>
    <w:rsid w:val="009E0608"/>
    <w:rsid w:val="009E1241"/>
    <w:rsid w:val="009E1866"/>
    <w:rsid w:val="009E1C23"/>
    <w:rsid w:val="009E246E"/>
    <w:rsid w:val="009E2B8A"/>
    <w:rsid w:val="009E337E"/>
    <w:rsid w:val="009E3E38"/>
    <w:rsid w:val="009E3EB3"/>
    <w:rsid w:val="009E5159"/>
    <w:rsid w:val="009E51D0"/>
    <w:rsid w:val="009E5302"/>
    <w:rsid w:val="009E573B"/>
    <w:rsid w:val="009E631E"/>
    <w:rsid w:val="009E6E08"/>
    <w:rsid w:val="009E78E6"/>
    <w:rsid w:val="009E790E"/>
    <w:rsid w:val="009F189A"/>
    <w:rsid w:val="009F1C11"/>
    <w:rsid w:val="009F33D4"/>
    <w:rsid w:val="009F3E50"/>
    <w:rsid w:val="009F435E"/>
    <w:rsid w:val="009F4553"/>
    <w:rsid w:val="009F4FAC"/>
    <w:rsid w:val="009F59D0"/>
    <w:rsid w:val="009F5B23"/>
    <w:rsid w:val="009F5B3D"/>
    <w:rsid w:val="009F69AF"/>
    <w:rsid w:val="009F69E2"/>
    <w:rsid w:val="009F6C96"/>
    <w:rsid w:val="009F6F3E"/>
    <w:rsid w:val="009F7076"/>
    <w:rsid w:val="009F724C"/>
    <w:rsid w:val="009F7CA2"/>
    <w:rsid w:val="00A008A3"/>
    <w:rsid w:val="00A00EDE"/>
    <w:rsid w:val="00A00FA2"/>
    <w:rsid w:val="00A019AB"/>
    <w:rsid w:val="00A01B64"/>
    <w:rsid w:val="00A02194"/>
    <w:rsid w:val="00A025D1"/>
    <w:rsid w:val="00A02EA9"/>
    <w:rsid w:val="00A0363D"/>
    <w:rsid w:val="00A037BD"/>
    <w:rsid w:val="00A0414A"/>
    <w:rsid w:val="00A04A09"/>
    <w:rsid w:val="00A05468"/>
    <w:rsid w:val="00A05CF6"/>
    <w:rsid w:val="00A05E7A"/>
    <w:rsid w:val="00A0611F"/>
    <w:rsid w:val="00A06F91"/>
    <w:rsid w:val="00A079D3"/>
    <w:rsid w:val="00A10657"/>
    <w:rsid w:val="00A1065F"/>
    <w:rsid w:val="00A108B4"/>
    <w:rsid w:val="00A118E7"/>
    <w:rsid w:val="00A11DE4"/>
    <w:rsid w:val="00A11F8A"/>
    <w:rsid w:val="00A13C37"/>
    <w:rsid w:val="00A1413B"/>
    <w:rsid w:val="00A1533F"/>
    <w:rsid w:val="00A15822"/>
    <w:rsid w:val="00A15C56"/>
    <w:rsid w:val="00A15D9A"/>
    <w:rsid w:val="00A15DB5"/>
    <w:rsid w:val="00A16D55"/>
    <w:rsid w:val="00A16E18"/>
    <w:rsid w:val="00A16FAB"/>
    <w:rsid w:val="00A17035"/>
    <w:rsid w:val="00A179B4"/>
    <w:rsid w:val="00A204E1"/>
    <w:rsid w:val="00A20D03"/>
    <w:rsid w:val="00A21977"/>
    <w:rsid w:val="00A21DB3"/>
    <w:rsid w:val="00A21E5E"/>
    <w:rsid w:val="00A21FDC"/>
    <w:rsid w:val="00A2304B"/>
    <w:rsid w:val="00A238E1"/>
    <w:rsid w:val="00A23A26"/>
    <w:rsid w:val="00A23B95"/>
    <w:rsid w:val="00A23CF3"/>
    <w:rsid w:val="00A23E86"/>
    <w:rsid w:val="00A264A5"/>
    <w:rsid w:val="00A264FE"/>
    <w:rsid w:val="00A2681B"/>
    <w:rsid w:val="00A2684F"/>
    <w:rsid w:val="00A27603"/>
    <w:rsid w:val="00A27D49"/>
    <w:rsid w:val="00A30071"/>
    <w:rsid w:val="00A309B6"/>
    <w:rsid w:val="00A31206"/>
    <w:rsid w:val="00A32345"/>
    <w:rsid w:val="00A32347"/>
    <w:rsid w:val="00A32E93"/>
    <w:rsid w:val="00A33175"/>
    <w:rsid w:val="00A3362F"/>
    <w:rsid w:val="00A3388D"/>
    <w:rsid w:val="00A33C2B"/>
    <w:rsid w:val="00A3402E"/>
    <w:rsid w:val="00A34D00"/>
    <w:rsid w:val="00A3557E"/>
    <w:rsid w:val="00A355E5"/>
    <w:rsid w:val="00A35638"/>
    <w:rsid w:val="00A364CD"/>
    <w:rsid w:val="00A36B77"/>
    <w:rsid w:val="00A373AA"/>
    <w:rsid w:val="00A377F4"/>
    <w:rsid w:val="00A37FA5"/>
    <w:rsid w:val="00A40341"/>
    <w:rsid w:val="00A40C99"/>
    <w:rsid w:val="00A413AC"/>
    <w:rsid w:val="00A41785"/>
    <w:rsid w:val="00A42322"/>
    <w:rsid w:val="00A435D2"/>
    <w:rsid w:val="00A4483F"/>
    <w:rsid w:val="00A4487F"/>
    <w:rsid w:val="00A44A88"/>
    <w:rsid w:val="00A44BBD"/>
    <w:rsid w:val="00A455E3"/>
    <w:rsid w:val="00A45D3C"/>
    <w:rsid w:val="00A46436"/>
    <w:rsid w:val="00A4683D"/>
    <w:rsid w:val="00A471AA"/>
    <w:rsid w:val="00A4779D"/>
    <w:rsid w:val="00A47ADC"/>
    <w:rsid w:val="00A501D0"/>
    <w:rsid w:val="00A5070C"/>
    <w:rsid w:val="00A50AD3"/>
    <w:rsid w:val="00A518BD"/>
    <w:rsid w:val="00A51DD5"/>
    <w:rsid w:val="00A51E5A"/>
    <w:rsid w:val="00A5265D"/>
    <w:rsid w:val="00A526C4"/>
    <w:rsid w:val="00A5271A"/>
    <w:rsid w:val="00A52978"/>
    <w:rsid w:val="00A52BF6"/>
    <w:rsid w:val="00A53289"/>
    <w:rsid w:val="00A53A15"/>
    <w:rsid w:val="00A544EF"/>
    <w:rsid w:val="00A54A34"/>
    <w:rsid w:val="00A55746"/>
    <w:rsid w:val="00A55B3C"/>
    <w:rsid w:val="00A55F9F"/>
    <w:rsid w:val="00A56B14"/>
    <w:rsid w:val="00A56F3E"/>
    <w:rsid w:val="00A57060"/>
    <w:rsid w:val="00A6067A"/>
    <w:rsid w:val="00A608EC"/>
    <w:rsid w:val="00A60C7B"/>
    <w:rsid w:val="00A61085"/>
    <w:rsid w:val="00A62023"/>
    <w:rsid w:val="00A62B63"/>
    <w:rsid w:val="00A64304"/>
    <w:rsid w:val="00A6494B"/>
    <w:rsid w:val="00A666FB"/>
    <w:rsid w:val="00A66774"/>
    <w:rsid w:val="00A66A02"/>
    <w:rsid w:val="00A6760E"/>
    <w:rsid w:val="00A67662"/>
    <w:rsid w:val="00A67748"/>
    <w:rsid w:val="00A716C5"/>
    <w:rsid w:val="00A718C3"/>
    <w:rsid w:val="00A71C75"/>
    <w:rsid w:val="00A71FC9"/>
    <w:rsid w:val="00A7224F"/>
    <w:rsid w:val="00A724D4"/>
    <w:rsid w:val="00A73099"/>
    <w:rsid w:val="00A73AEA"/>
    <w:rsid w:val="00A74847"/>
    <w:rsid w:val="00A74A51"/>
    <w:rsid w:val="00A74B64"/>
    <w:rsid w:val="00A74CEB"/>
    <w:rsid w:val="00A74F0A"/>
    <w:rsid w:val="00A7507C"/>
    <w:rsid w:val="00A754FB"/>
    <w:rsid w:val="00A77B97"/>
    <w:rsid w:val="00A77FCE"/>
    <w:rsid w:val="00A803CA"/>
    <w:rsid w:val="00A8226F"/>
    <w:rsid w:val="00A823CC"/>
    <w:rsid w:val="00A829BA"/>
    <w:rsid w:val="00A82FB9"/>
    <w:rsid w:val="00A8398F"/>
    <w:rsid w:val="00A85FEF"/>
    <w:rsid w:val="00A86A90"/>
    <w:rsid w:val="00A86AF5"/>
    <w:rsid w:val="00A8749C"/>
    <w:rsid w:val="00A877CF"/>
    <w:rsid w:val="00A90008"/>
    <w:rsid w:val="00A9046D"/>
    <w:rsid w:val="00A90AFB"/>
    <w:rsid w:val="00A90D47"/>
    <w:rsid w:val="00A90F6A"/>
    <w:rsid w:val="00A9103D"/>
    <w:rsid w:val="00A910E6"/>
    <w:rsid w:val="00A9175A"/>
    <w:rsid w:val="00A91BE1"/>
    <w:rsid w:val="00A91E52"/>
    <w:rsid w:val="00A92542"/>
    <w:rsid w:val="00A93710"/>
    <w:rsid w:val="00A937D3"/>
    <w:rsid w:val="00A93E47"/>
    <w:rsid w:val="00A93FDF"/>
    <w:rsid w:val="00A9431F"/>
    <w:rsid w:val="00A9699F"/>
    <w:rsid w:val="00A9746F"/>
    <w:rsid w:val="00A974D8"/>
    <w:rsid w:val="00A97F5F"/>
    <w:rsid w:val="00A97F66"/>
    <w:rsid w:val="00AA0E21"/>
    <w:rsid w:val="00AA0E3A"/>
    <w:rsid w:val="00AA0F1B"/>
    <w:rsid w:val="00AA110F"/>
    <w:rsid w:val="00AA1527"/>
    <w:rsid w:val="00AA1BC7"/>
    <w:rsid w:val="00AA1C18"/>
    <w:rsid w:val="00AA1FE8"/>
    <w:rsid w:val="00AA2092"/>
    <w:rsid w:val="00AA2DDB"/>
    <w:rsid w:val="00AA31F8"/>
    <w:rsid w:val="00AA3681"/>
    <w:rsid w:val="00AA38C8"/>
    <w:rsid w:val="00AA3AF1"/>
    <w:rsid w:val="00AA3B9F"/>
    <w:rsid w:val="00AA40E2"/>
    <w:rsid w:val="00AA46FB"/>
    <w:rsid w:val="00AA5645"/>
    <w:rsid w:val="00AA6731"/>
    <w:rsid w:val="00AA68C7"/>
    <w:rsid w:val="00AA75B1"/>
    <w:rsid w:val="00AB033F"/>
    <w:rsid w:val="00AB0FAA"/>
    <w:rsid w:val="00AB21CC"/>
    <w:rsid w:val="00AB2556"/>
    <w:rsid w:val="00AB2739"/>
    <w:rsid w:val="00AB306E"/>
    <w:rsid w:val="00AB36CF"/>
    <w:rsid w:val="00AB40FA"/>
    <w:rsid w:val="00AB56D3"/>
    <w:rsid w:val="00AB5C99"/>
    <w:rsid w:val="00AB6C0A"/>
    <w:rsid w:val="00AB70EE"/>
    <w:rsid w:val="00AB7264"/>
    <w:rsid w:val="00AB75C8"/>
    <w:rsid w:val="00AC0422"/>
    <w:rsid w:val="00AC0F57"/>
    <w:rsid w:val="00AC12EC"/>
    <w:rsid w:val="00AC2846"/>
    <w:rsid w:val="00AC3479"/>
    <w:rsid w:val="00AC4753"/>
    <w:rsid w:val="00AC4C62"/>
    <w:rsid w:val="00AC5068"/>
    <w:rsid w:val="00AC50B8"/>
    <w:rsid w:val="00AC51BE"/>
    <w:rsid w:val="00AC5B88"/>
    <w:rsid w:val="00AC63EC"/>
    <w:rsid w:val="00AC6EEA"/>
    <w:rsid w:val="00AC7861"/>
    <w:rsid w:val="00AD040F"/>
    <w:rsid w:val="00AD1C1A"/>
    <w:rsid w:val="00AD1D17"/>
    <w:rsid w:val="00AD1F65"/>
    <w:rsid w:val="00AD2289"/>
    <w:rsid w:val="00AD3C9F"/>
    <w:rsid w:val="00AD4253"/>
    <w:rsid w:val="00AD4879"/>
    <w:rsid w:val="00AD4896"/>
    <w:rsid w:val="00AD55D4"/>
    <w:rsid w:val="00AD56A3"/>
    <w:rsid w:val="00AD6617"/>
    <w:rsid w:val="00AD6A60"/>
    <w:rsid w:val="00AD78F3"/>
    <w:rsid w:val="00AD7B3D"/>
    <w:rsid w:val="00AE0086"/>
    <w:rsid w:val="00AE0AF5"/>
    <w:rsid w:val="00AE11E0"/>
    <w:rsid w:val="00AE1287"/>
    <w:rsid w:val="00AE14F1"/>
    <w:rsid w:val="00AE1AC5"/>
    <w:rsid w:val="00AE23F7"/>
    <w:rsid w:val="00AE2CD2"/>
    <w:rsid w:val="00AE3DAC"/>
    <w:rsid w:val="00AE4696"/>
    <w:rsid w:val="00AE4840"/>
    <w:rsid w:val="00AE4EC3"/>
    <w:rsid w:val="00AE5262"/>
    <w:rsid w:val="00AE55B5"/>
    <w:rsid w:val="00AE5EA1"/>
    <w:rsid w:val="00AE5EC9"/>
    <w:rsid w:val="00AE6208"/>
    <w:rsid w:val="00AE6B57"/>
    <w:rsid w:val="00AE76A6"/>
    <w:rsid w:val="00AE7BAF"/>
    <w:rsid w:val="00AF003F"/>
    <w:rsid w:val="00AF0509"/>
    <w:rsid w:val="00AF064C"/>
    <w:rsid w:val="00AF0B29"/>
    <w:rsid w:val="00AF130D"/>
    <w:rsid w:val="00AF1419"/>
    <w:rsid w:val="00AF1F71"/>
    <w:rsid w:val="00AF1FB1"/>
    <w:rsid w:val="00AF2349"/>
    <w:rsid w:val="00AF23C6"/>
    <w:rsid w:val="00AF2520"/>
    <w:rsid w:val="00AF2AD1"/>
    <w:rsid w:val="00AF2FBC"/>
    <w:rsid w:val="00AF3665"/>
    <w:rsid w:val="00AF39D1"/>
    <w:rsid w:val="00AF3FEF"/>
    <w:rsid w:val="00AF40FC"/>
    <w:rsid w:val="00AF48E5"/>
    <w:rsid w:val="00AF4CF4"/>
    <w:rsid w:val="00AF515E"/>
    <w:rsid w:val="00AF5355"/>
    <w:rsid w:val="00AF58A7"/>
    <w:rsid w:val="00AF757E"/>
    <w:rsid w:val="00AF78C7"/>
    <w:rsid w:val="00AF7B93"/>
    <w:rsid w:val="00B0025A"/>
    <w:rsid w:val="00B00A84"/>
    <w:rsid w:val="00B00EDC"/>
    <w:rsid w:val="00B016AD"/>
    <w:rsid w:val="00B01C25"/>
    <w:rsid w:val="00B020A9"/>
    <w:rsid w:val="00B03A3A"/>
    <w:rsid w:val="00B03CE6"/>
    <w:rsid w:val="00B03FE1"/>
    <w:rsid w:val="00B04120"/>
    <w:rsid w:val="00B04A67"/>
    <w:rsid w:val="00B050FE"/>
    <w:rsid w:val="00B0528E"/>
    <w:rsid w:val="00B05AA5"/>
    <w:rsid w:val="00B05F25"/>
    <w:rsid w:val="00B0665B"/>
    <w:rsid w:val="00B06F25"/>
    <w:rsid w:val="00B1065F"/>
    <w:rsid w:val="00B10B9A"/>
    <w:rsid w:val="00B110BD"/>
    <w:rsid w:val="00B1253A"/>
    <w:rsid w:val="00B1334D"/>
    <w:rsid w:val="00B13408"/>
    <w:rsid w:val="00B13594"/>
    <w:rsid w:val="00B13E64"/>
    <w:rsid w:val="00B13EF1"/>
    <w:rsid w:val="00B1446B"/>
    <w:rsid w:val="00B1458E"/>
    <w:rsid w:val="00B152CF"/>
    <w:rsid w:val="00B1570C"/>
    <w:rsid w:val="00B15F0C"/>
    <w:rsid w:val="00B1673C"/>
    <w:rsid w:val="00B16EEA"/>
    <w:rsid w:val="00B170A5"/>
    <w:rsid w:val="00B1753D"/>
    <w:rsid w:val="00B175BC"/>
    <w:rsid w:val="00B17764"/>
    <w:rsid w:val="00B178F4"/>
    <w:rsid w:val="00B20131"/>
    <w:rsid w:val="00B20346"/>
    <w:rsid w:val="00B20582"/>
    <w:rsid w:val="00B20BC1"/>
    <w:rsid w:val="00B2146E"/>
    <w:rsid w:val="00B227D9"/>
    <w:rsid w:val="00B23153"/>
    <w:rsid w:val="00B231F5"/>
    <w:rsid w:val="00B23497"/>
    <w:rsid w:val="00B23718"/>
    <w:rsid w:val="00B23831"/>
    <w:rsid w:val="00B23B64"/>
    <w:rsid w:val="00B24A2D"/>
    <w:rsid w:val="00B253DC"/>
    <w:rsid w:val="00B2589C"/>
    <w:rsid w:val="00B25959"/>
    <w:rsid w:val="00B25F42"/>
    <w:rsid w:val="00B26260"/>
    <w:rsid w:val="00B264D0"/>
    <w:rsid w:val="00B27009"/>
    <w:rsid w:val="00B31A3D"/>
    <w:rsid w:val="00B326B7"/>
    <w:rsid w:val="00B32F4C"/>
    <w:rsid w:val="00B333B9"/>
    <w:rsid w:val="00B33544"/>
    <w:rsid w:val="00B33D93"/>
    <w:rsid w:val="00B34875"/>
    <w:rsid w:val="00B348F5"/>
    <w:rsid w:val="00B34EF6"/>
    <w:rsid w:val="00B350D7"/>
    <w:rsid w:val="00B35474"/>
    <w:rsid w:val="00B35C27"/>
    <w:rsid w:val="00B35E72"/>
    <w:rsid w:val="00B3601E"/>
    <w:rsid w:val="00B362CA"/>
    <w:rsid w:val="00B36707"/>
    <w:rsid w:val="00B36858"/>
    <w:rsid w:val="00B37CC2"/>
    <w:rsid w:val="00B37E32"/>
    <w:rsid w:val="00B4077E"/>
    <w:rsid w:val="00B40EE1"/>
    <w:rsid w:val="00B419B3"/>
    <w:rsid w:val="00B42650"/>
    <w:rsid w:val="00B428AE"/>
    <w:rsid w:val="00B42E7C"/>
    <w:rsid w:val="00B43090"/>
    <w:rsid w:val="00B43334"/>
    <w:rsid w:val="00B439BF"/>
    <w:rsid w:val="00B442C2"/>
    <w:rsid w:val="00B44483"/>
    <w:rsid w:val="00B44A31"/>
    <w:rsid w:val="00B4735A"/>
    <w:rsid w:val="00B47A99"/>
    <w:rsid w:val="00B50804"/>
    <w:rsid w:val="00B50AA0"/>
    <w:rsid w:val="00B50DD8"/>
    <w:rsid w:val="00B50F10"/>
    <w:rsid w:val="00B51BE8"/>
    <w:rsid w:val="00B51CEA"/>
    <w:rsid w:val="00B529BF"/>
    <w:rsid w:val="00B52A8C"/>
    <w:rsid w:val="00B53D56"/>
    <w:rsid w:val="00B548D6"/>
    <w:rsid w:val="00B54C76"/>
    <w:rsid w:val="00B55861"/>
    <w:rsid w:val="00B55E50"/>
    <w:rsid w:val="00B56B2A"/>
    <w:rsid w:val="00B57DD3"/>
    <w:rsid w:val="00B600FD"/>
    <w:rsid w:val="00B60706"/>
    <w:rsid w:val="00B61DE3"/>
    <w:rsid w:val="00B61ECB"/>
    <w:rsid w:val="00B62ABE"/>
    <w:rsid w:val="00B64554"/>
    <w:rsid w:val="00B65355"/>
    <w:rsid w:val="00B655F4"/>
    <w:rsid w:val="00B700E6"/>
    <w:rsid w:val="00B704DE"/>
    <w:rsid w:val="00B70A05"/>
    <w:rsid w:val="00B71804"/>
    <w:rsid w:val="00B71ECA"/>
    <w:rsid w:val="00B726A9"/>
    <w:rsid w:val="00B72FB3"/>
    <w:rsid w:val="00B7353D"/>
    <w:rsid w:val="00B7426C"/>
    <w:rsid w:val="00B744C9"/>
    <w:rsid w:val="00B74845"/>
    <w:rsid w:val="00B74A1A"/>
    <w:rsid w:val="00B74D29"/>
    <w:rsid w:val="00B74F9B"/>
    <w:rsid w:val="00B753B6"/>
    <w:rsid w:val="00B7603E"/>
    <w:rsid w:val="00B765FF"/>
    <w:rsid w:val="00B76F7B"/>
    <w:rsid w:val="00B77273"/>
    <w:rsid w:val="00B77AC3"/>
    <w:rsid w:val="00B77B7F"/>
    <w:rsid w:val="00B77BBA"/>
    <w:rsid w:val="00B77CB1"/>
    <w:rsid w:val="00B77D29"/>
    <w:rsid w:val="00B77D66"/>
    <w:rsid w:val="00B800EB"/>
    <w:rsid w:val="00B801AD"/>
    <w:rsid w:val="00B80328"/>
    <w:rsid w:val="00B80FD0"/>
    <w:rsid w:val="00B81933"/>
    <w:rsid w:val="00B82BA9"/>
    <w:rsid w:val="00B82BD2"/>
    <w:rsid w:val="00B82BD6"/>
    <w:rsid w:val="00B82EA1"/>
    <w:rsid w:val="00B83A0B"/>
    <w:rsid w:val="00B84617"/>
    <w:rsid w:val="00B85CB3"/>
    <w:rsid w:val="00B8673C"/>
    <w:rsid w:val="00B87024"/>
    <w:rsid w:val="00B87604"/>
    <w:rsid w:val="00B87D3D"/>
    <w:rsid w:val="00B90267"/>
    <w:rsid w:val="00B90C47"/>
    <w:rsid w:val="00B915B3"/>
    <w:rsid w:val="00B91663"/>
    <w:rsid w:val="00B91914"/>
    <w:rsid w:val="00B91E7F"/>
    <w:rsid w:val="00B91E85"/>
    <w:rsid w:val="00B91EBB"/>
    <w:rsid w:val="00B9205C"/>
    <w:rsid w:val="00B945A8"/>
    <w:rsid w:val="00B94B1B"/>
    <w:rsid w:val="00B94EC3"/>
    <w:rsid w:val="00B951CC"/>
    <w:rsid w:val="00B9609D"/>
    <w:rsid w:val="00B961AB"/>
    <w:rsid w:val="00B96C4A"/>
    <w:rsid w:val="00B96F10"/>
    <w:rsid w:val="00B97115"/>
    <w:rsid w:val="00B97570"/>
    <w:rsid w:val="00B97CF2"/>
    <w:rsid w:val="00BA01F6"/>
    <w:rsid w:val="00BA0715"/>
    <w:rsid w:val="00BA09BE"/>
    <w:rsid w:val="00BA0ACF"/>
    <w:rsid w:val="00BA0B3A"/>
    <w:rsid w:val="00BA1B0A"/>
    <w:rsid w:val="00BA1D63"/>
    <w:rsid w:val="00BA238F"/>
    <w:rsid w:val="00BA23FF"/>
    <w:rsid w:val="00BA24D3"/>
    <w:rsid w:val="00BA2530"/>
    <w:rsid w:val="00BA28C8"/>
    <w:rsid w:val="00BA3127"/>
    <w:rsid w:val="00BA3C41"/>
    <w:rsid w:val="00BA41B6"/>
    <w:rsid w:val="00BA447D"/>
    <w:rsid w:val="00BA46FD"/>
    <w:rsid w:val="00BA4BB6"/>
    <w:rsid w:val="00BA54B6"/>
    <w:rsid w:val="00BA560C"/>
    <w:rsid w:val="00BA5704"/>
    <w:rsid w:val="00BA5910"/>
    <w:rsid w:val="00BA5D24"/>
    <w:rsid w:val="00BA6D38"/>
    <w:rsid w:val="00BA704E"/>
    <w:rsid w:val="00BB0747"/>
    <w:rsid w:val="00BB097C"/>
    <w:rsid w:val="00BB119B"/>
    <w:rsid w:val="00BB1319"/>
    <w:rsid w:val="00BB186C"/>
    <w:rsid w:val="00BB191E"/>
    <w:rsid w:val="00BB1E45"/>
    <w:rsid w:val="00BB25EC"/>
    <w:rsid w:val="00BB27DA"/>
    <w:rsid w:val="00BB28B1"/>
    <w:rsid w:val="00BB31E1"/>
    <w:rsid w:val="00BB35FD"/>
    <w:rsid w:val="00BB3B41"/>
    <w:rsid w:val="00BB3B80"/>
    <w:rsid w:val="00BB3CD3"/>
    <w:rsid w:val="00BB3D16"/>
    <w:rsid w:val="00BB3D6D"/>
    <w:rsid w:val="00BB4AF7"/>
    <w:rsid w:val="00BB4E3D"/>
    <w:rsid w:val="00BB5B04"/>
    <w:rsid w:val="00BB5E58"/>
    <w:rsid w:val="00BB64E7"/>
    <w:rsid w:val="00BB668A"/>
    <w:rsid w:val="00BB74ED"/>
    <w:rsid w:val="00BB7682"/>
    <w:rsid w:val="00BB7AF9"/>
    <w:rsid w:val="00BB7CEC"/>
    <w:rsid w:val="00BB7E5D"/>
    <w:rsid w:val="00BC0877"/>
    <w:rsid w:val="00BC0F34"/>
    <w:rsid w:val="00BC1464"/>
    <w:rsid w:val="00BC1D1A"/>
    <w:rsid w:val="00BC2027"/>
    <w:rsid w:val="00BC264C"/>
    <w:rsid w:val="00BC2B7A"/>
    <w:rsid w:val="00BC36C0"/>
    <w:rsid w:val="00BC3843"/>
    <w:rsid w:val="00BC3A04"/>
    <w:rsid w:val="00BC4447"/>
    <w:rsid w:val="00BC5D29"/>
    <w:rsid w:val="00BC5DD7"/>
    <w:rsid w:val="00BC63A6"/>
    <w:rsid w:val="00BC6443"/>
    <w:rsid w:val="00BC683F"/>
    <w:rsid w:val="00BC6C6A"/>
    <w:rsid w:val="00BC7326"/>
    <w:rsid w:val="00BD0263"/>
    <w:rsid w:val="00BD0889"/>
    <w:rsid w:val="00BD1580"/>
    <w:rsid w:val="00BD18A0"/>
    <w:rsid w:val="00BD196E"/>
    <w:rsid w:val="00BD1B78"/>
    <w:rsid w:val="00BD1F3B"/>
    <w:rsid w:val="00BD27C5"/>
    <w:rsid w:val="00BD3E0A"/>
    <w:rsid w:val="00BD4F27"/>
    <w:rsid w:val="00BD513B"/>
    <w:rsid w:val="00BD52D9"/>
    <w:rsid w:val="00BD5700"/>
    <w:rsid w:val="00BD5858"/>
    <w:rsid w:val="00BD5CDE"/>
    <w:rsid w:val="00BD5E82"/>
    <w:rsid w:val="00BD5E88"/>
    <w:rsid w:val="00BD5EC4"/>
    <w:rsid w:val="00BD5EEE"/>
    <w:rsid w:val="00BD6611"/>
    <w:rsid w:val="00BD6704"/>
    <w:rsid w:val="00BD678A"/>
    <w:rsid w:val="00BD6E63"/>
    <w:rsid w:val="00BD745B"/>
    <w:rsid w:val="00BE101C"/>
    <w:rsid w:val="00BE1092"/>
    <w:rsid w:val="00BE11BB"/>
    <w:rsid w:val="00BE1898"/>
    <w:rsid w:val="00BE1C3A"/>
    <w:rsid w:val="00BE1D5A"/>
    <w:rsid w:val="00BE22C8"/>
    <w:rsid w:val="00BE2DE1"/>
    <w:rsid w:val="00BE2E2F"/>
    <w:rsid w:val="00BE3155"/>
    <w:rsid w:val="00BE3236"/>
    <w:rsid w:val="00BE344D"/>
    <w:rsid w:val="00BE37A0"/>
    <w:rsid w:val="00BE3A74"/>
    <w:rsid w:val="00BE4054"/>
    <w:rsid w:val="00BE461D"/>
    <w:rsid w:val="00BE4CB8"/>
    <w:rsid w:val="00BE5908"/>
    <w:rsid w:val="00BE5966"/>
    <w:rsid w:val="00BE5A98"/>
    <w:rsid w:val="00BE6269"/>
    <w:rsid w:val="00BE6CFE"/>
    <w:rsid w:val="00BE6DB3"/>
    <w:rsid w:val="00BE6DBE"/>
    <w:rsid w:val="00BE6EC8"/>
    <w:rsid w:val="00BE7589"/>
    <w:rsid w:val="00BE77F3"/>
    <w:rsid w:val="00BE793D"/>
    <w:rsid w:val="00BE7B9E"/>
    <w:rsid w:val="00BE7C6F"/>
    <w:rsid w:val="00BE7CAF"/>
    <w:rsid w:val="00BE7F01"/>
    <w:rsid w:val="00BF077E"/>
    <w:rsid w:val="00BF0953"/>
    <w:rsid w:val="00BF1443"/>
    <w:rsid w:val="00BF273C"/>
    <w:rsid w:val="00BF27BE"/>
    <w:rsid w:val="00BF28F4"/>
    <w:rsid w:val="00BF2AB1"/>
    <w:rsid w:val="00BF2E0E"/>
    <w:rsid w:val="00BF36B3"/>
    <w:rsid w:val="00BF3B0E"/>
    <w:rsid w:val="00BF40F2"/>
    <w:rsid w:val="00BF4F39"/>
    <w:rsid w:val="00BF5484"/>
    <w:rsid w:val="00BF5837"/>
    <w:rsid w:val="00BF595B"/>
    <w:rsid w:val="00BF59CD"/>
    <w:rsid w:val="00BF6371"/>
    <w:rsid w:val="00BF670A"/>
    <w:rsid w:val="00BF685B"/>
    <w:rsid w:val="00BF6C96"/>
    <w:rsid w:val="00BF6D89"/>
    <w:rsid w:val="00BF7A87"/>
    <w:rsid w:val="00C0083D"/>
    <w:rsid w:val="00C00869"/>
    <w:rsid w:val="00C00CC5"/>
    <w:rsid w:val="00C018B9"/>
    <w:rsid w:val="00C01AB6"/>
    <w:rsid w:val="00C01B8C"/>
    <w:rsid w:val="00C026B0"/>
    <w:rsid w:val="00C0296F"/>
    <w:rsid w:val="00C02B9C"/>
    <w:rsid w:val="00C033D6"/>
    <w:rsid w:val="00C035E8"/>
    <w:rsid w:val="00C037E0"/>
    <w:rsid w:val="00C03B6A"/>
    <w:rsid w:val="00C04FF2"/>
    <w:rsid w:val="00C05022"/>
    <w:rsid w:val="00C0548E"/>
    <w:rsid w:val="00C06A07"/>
    <w:rsid w:val="00C06C6A"/>
    <w:rsid w:val="00C06D55"/>
    <w:rsid w:val="00C078DB"/>
    <w:rsid w:val="00C108DE"/>
    <w:rsid w:val="00C11297"/>
    <w:rsid w:val="00C1145F"/>
    <w:rsid w:val="00C117B7"/>
    <w:rsid w:val="00C1180C"/>
    <w:rsid w:val="00C12331"/>
    <w:rsid w:val="00C12A78"/>
    <w:rsid w:val="00C13C37"/>
    <w:rsid w:val="00C13CF6"/>
    <w:rsid w:val="00C142BD"/>
    <w:rsid w:val="00C142DE"/>
    <w:rsid w:val="00C142FD"/>
    <w:rsid w:val="00C1480D"/>
    <w:rsid w:val="00C14965"/>
    <w:rsid w:val="00C14A35"/>
    <w:rsid w:val="00C16594"/>
    <w:rsid w:val="00C1668F"/>
    <w:rsid w:val="00C16970"/>
    <w:rsid w:val="00C16A63"/>
    <w:rsid w:val="00C1726B"/>
    <w:rsid w:val="00C17731"/>
    <w:rsid w:val="00C17739"/>
    <w:rsid w:val="00C17A0B"/>
    <w:rsid w:val="00C17F5D"/>
    <w:rsid w:val="00C20903"/>
    <w:rsid w:val="00C21BB1"/>
    <w:rsid w:val="00C222E0"/>
    <w:rsid w:val="00C22BE9"/>
    <w:rsid w:val="00C23CEE"/>
    <w:rsid w:val="00C24678"/>
    <w:rsid w:val="00C24C14"/>
    <w:rsid w:val="00C24C19"/>
    <w:rsid w:val="00C24E65"/>
    <w:rsid w:val="00C251BA"/>
    <w:rsid w:val="00C25281"/>
    <w:rsid w:val="00C25823"/>
    <w:rsid w:val="00C25A27"/>
    <w:rsid w:val="00C25C09"/>
    <w:rsid w:val="00C2602F"/>
    <w:rsid w:val="00C26907"/>
    <w:rsid w:val="00C26CCE"/>
    <w:rsid w:val="00C2734B"/>
    <w:rsid w:val="00C2796C"/>
    <w:rsid w:val="00C30476"/>
    <w:rsid w:val="00C30899"/>
    <w:rsid w:val="00C30FE6"/>
    <w:rsid w:val="00C32D95"/>
    <w:rsid w:val="00C32E16"/>
    <w:rsid w:val="00C32E97"/>
    <w:rsid w:val="00C33C5C"/>
    <w:rsid w:val="00C33F77"/>
    <w:rsid w:val="00C34A86"/>
    <w:rsid w:val="00C353DA"/>
    <w:rsid w:val="00C354E7"/>
    <w:rsid w:val="00C359F3"/>
    <w:rsid w:val="00C35CB2"/>
    <w:rsid w:val="00C3691A"/>
    <w:rsid w:val="00C36AC7"/>
    <w:rsid w:val="00C37234"/>
    <w:rsid w:val="00C37460"/>
    <w:rsid w:val="00C37473"/>
    <w:rsid w:val="00C37B6E"/>
    <w:rsid w:val="00C37FE8"/>
    <w:rsid w:val="00C4016D"/>
    <w:rsid w:val="00C406E8"/>
    <w:rsid w:val="00C408D5"/>
    <w:rsid w:val="00C413DD"/>
    <w:rsid w:val="00C4184F"/>
    <w:rsid w:val="00C420FD"/>
    <w:rsid w:val="00C426C7"/>
    <w:rsid w:val="00C42A84"/>
    <w:rsid w:val="00C43822"/>
    <w:rsid w:val="00C44546"/>
    <w:rsid w:val="00C44892"/>
    <w:rsid w:val="00C45306"/>
    <w:rsid w:val="00C4534F"/>
    <w:rsid w:val="00C46D87"/>
    <w:rsid w:val="00C46ECF"/>
    <w:rsid w:val="00C47782"/>
    <w:rsid w:val="00C47D93"/>
    <w:rsid w:val="00C47E9D"/>
    <w:rsid w:val="00C47F70"/>
    <w:rsid w:val="00C5026F"/>
    <w:rsid w:val="00C504F5"/>
    <w:rsid w:val="00C50A54"/>
    <w:rsid w:val="00C50B6C"/>
    <w:rsid w:val="00C50DB1"/>
    <w:rsid w:val="00C50ED4"/>
    <w:rsid w:val="00C5154A"/>
    <w:rsid w:val="00C51D98"/>
    <w:rsid w:val="00C5236F"/>
    <w:rsid w:val="00C526F1"/>
    <w:rsid w:val="00C52A49"/>
    <w:rsid w:val="00C52AAA"/>
    <w:rsid w:val="00C53313"/>
    <w:rsid w:val="00C53774"/>
    <w:rsid w:val="00C5402F"/>
    <w:rsid w:val="00C54362"/>
    <w:rsid w:val="00C5547F"/>
    <w:rsid w:val="00C555EC"/>
    <w:rsid w:val="00C556C6"/>
    <w:rsid w:val="00C558EA"/>
    <w:rsid w:val="00C55C14"/>
    <w:rsid w:val="00C55C30"/>
    <w:rsid w:val="00C55D36"/>
    <w:rsid w:val="00C55D8F"/>
    <w:rsid w:val="00C56A3F"/>
    <w:rsid w:val="00C56E15"/>
    <w:rsid w:val="00C57C45"/>
    <w:rsid w:val="00C57C60"/>
    <w:rsid w:val="00C57CB2"/>
    <w:rsid w:val="00C60534"/>
    <w:rsid w:val="00C60996"/>
    <w:rsid w:val="00C61681"/>
    <w:rsid w:val="00C623C1"/>
    <w:rsid w:val="00C624A7"/>
    <w:rsid w:val="00C62793"/>
    <w:rsid w:val="00C62CFD"/>
    <w:rsid w:val="00C62DAA"/>
    <w:rsid w:val="00C635E9"/>
    <w:rsid w:val="00C636BB"/>
    <w:rsid w:val="00C63817"/>
    <w:rsid w:val="00C63863"/>
    <w:rsid w:val="00C63880"/>
    <w:rsid w:val="00C63EB1"/>
    <w:rsid w:val="00C640C7"/>
    <w:rsid w:val="00C641F9"/>
    <w:rsid w:val="00C651F8"/>
    <w:rsid w:val="00C65630"/>
    <w:rsid w:val="00C65CE9"/>
    <w:rsid w:val="00C66F82"/>
    <w:rsid w:val="00C67686"/>
    <w:rsid w:val="00C67945"/>
    <w:rsid w:val="00C67C4A"/>
    <w:rsid w:val="00C70275"/>
    <w:rsid w:val="00C707B5"/>
    <w:rsid w:val="00C715C9"/>
    <w:rsid w:val="00C71716"/>
    <w:rsid w:val="00C7218B"/>
    <w:rsid w:val="00C72354"/>
    <w:rsid w:val="00C72811"/>
    <w:rsid w:val="00C72AF2"/>
    <w:rsid w:val="00C72E3C"/>
    <w:rsid w:val="00C732D7"/>
    <w:rsid w:val="00C73B96"/>
    <w:rsid w:val="00C748B9"/>
    <w:rsid w:val="00C75183"/>
    <w:rsid w:val="00C751DA"/>
    <w:rsid w:val="00C7597D"/>
    <w:rsid w:val="00C76B98"/>
    <w:rsid w:val="00C77ECF"/>
    <w:rsid w:val="00C804C3"/>
    <w:rsid w:val="00C81443"/>
    <w:rsid w:val="00C8196A"/>
    <w:rsid w:val="00C82B42"/>
    <w:rsid w:val="00C82CCE"/>
    <w:rsid w:val="00C82CD5"/>
    <w:rsid w:val="00C831F8"/>
    <w:rsid w:val="00C8332F"/>
    <w:rsid w:val="00C839D2"/>
    <w:rsid w:val="00C84842"/>
    <w:rsid w:val="00C84967"/>
    <w:rsid w:val="00C8529F"/>
    <w:rsid w:val="00C852CE"/>
    <w:rsid w:val="00C8575E"/>
    <w:rsid w:val="00C8632A"/>
    <w:rsid w:val="00C9020F"/>
    <w:rsid w:val="00C9072C"/>
    <w:rsid w:val="00C908D1"/>
    <w:rsid w:val="00C91256"/>
    <w:rsid w:val="00C91C48"/>
    <w:rsid w:val="00C91D43"/>
    <w:rsid w:val="00C91D46"/>
    <w:rsid w:val="00C923B0"/>
    <w:rsid w:val="00C92B62"/>
    <w:rsid w:val="00C9363B"/>
    <w:rsid w:val="00C93BA7"/>
    <w:rsid w:val="00C93BBB"/>
    <w:rsid w:val="00C93BBC"/>
    <w:rsid w:val="00C93EAA"/>
    <w:rsid w:val="00C944AF"/>
    <w:rsid w:val="00C94A25"/>
    <w:rsid w:val="00C94B1F"/>
    <w:rsid w:val="00C94C84"/>
    <w:rsid w:val="00C9606C"/>
    <w:rsid w:val="00C964BD"/>
    <w:rsid w:val="00C9659F"/>
    <w:rsid w:val="00C97349"/>
    <w:rsid w:val="00C97815"/>
    <w:rsid w:val="00C9789D"/>
    <w:rsid w:val="00C97974"/>
    <w:rsid w:val="00C97F4C"/>
    <w:rsid w:val="00CA0236"/>
    <w:rsid w:val="00CA0356"/>
    <w:rsid w:val="00CA1068"/>
    <w:rsid w:val="00CA1665"/>
    <w:rsid w:val="00CA1740"/>
    <w:rsid w:val="00CA1CB0"/>
    <w:rsid w:val="00CA1D26"/>
    <w:rsid w:val="00CA1F3F"/>
    <w:rsid w:val="00CA30B6"/>
    <w:rsid w:val="00CA3690"/>
    <w:rsid w:val="00CA3842"/>
    <w:rsid w:val="00CA3B59"/>
    <w:rsid w:val="00CA3B67"/>
    <w:rsid w:val="00CA4092"/>
    <w:rsid w:val="00CA49F9"/>
    <w:rsid w:val="00CA51E1"/>
    <w:rsid w:val="00CA5A6F"/>
    <w:rsid w:val="00CA609D"/>
    <w:rsid w:val="00CA6606"/>
    <w:rsid w:val="00CA77DA"/>
    <w:rsid w:val="00CA7B2B"/>
    <w:rsid w:val="00CA7CAE"/>
    <w:rsid w:val="00CB00F1"/>
    <w:rsid w:val="00CB0626"/>
    <w:rsid w:val="00CB0690"/>
    <w:rsid w:val="00CB0AC4"/>
    <w:rsid w:val="00CB0EEC"/>
    <w:rsid w:val="00CB1568"/>
    <w:rsid w:val="00CB1657"/>
    <w:rsid w:val="00CB2552"/>
    <w:rsid w:val="00CB25CD"/>
    <w:rsid w:val="00CB2BEB"/>
    <w:rsid w:val="00CB2D1D"/>
    <w:rsid w:val="00CB2D75"/>
    <w:rsid w:val="00CB3455"/>
    <w:rsid w:val="00CB3665"/>
    <w:rsid w:val="00CB3A23"/>
    <w:rsid w:val="00CB3B31"/>
    <w:rsid w:val="00CB45A1"/>
    <w:rsid w:val="00CB4747"/>
    <w:rsid w:val="00CB47FA"/>
    <w:rsid w:val="00CB48EF"/>
    <w:rsid w:val="00CB4C58"/>
    <w:rsid w:val="00CB4F0A"/>
    <w:rsid w:val="00CB534D"/>
    <w:rsid w:val="00CB5365"/>
    <w:rsid w:val="00CB61E4"/>
    <w:rsid w:val="00CB66F8"/>
    <w:rsid w:val="00CC0166"/>
    <w:rsid w:val="00CC0B6C"/>
    <w:rsid w:val="00CC1CD8"/>
    <w:rsid w:val="00CC2357"/>
    <w:rsid w:val="00CC2516"/>
    <w:rsid w:val="00CC295D"/>
    <w:rsid w:val="00CC2C7A"/>
    <w:rsid w:val="00CC325E"/>
    <w:rsid w:val="00CC38B8"/>
    <w:rsid w:val="00CC3AF5"/>
    <w:rsid w:val="00CC415B"/>
    <w:rsid w:val="00CC4489"/>
    <w:rsid w:val="00CC48F4"/>
    <w:rsid w:val="00CC4C30"/>
    <w:rsid w:val="00CC5053"/>
    <w:rsid w:val="00CC51AE"/>
    <w:rsid w:val="00CC55BE"/>
    <w:rsid w:val="00CC5600"/>
    <w:rsid w:val="00CC5BF2"/>
    <w:rsid w:val="00CC5CB6"/>
    <w:rsid w:val="00CC639C"/>
    <w:rsid w:val="00CC7456"/>
    <w:rsid w:val="00CC7736"/>
    <w:rsid w:val="00CC790C"/>
    <w:rsid w:val="00CC7D58"/>
    <w:rsid w:val="00CD0F54"/>
    <w:rsid w:val="00CD26BC"/>
    <w:rsid w:val="00CD296F"/>
    <w:rsid w:val="00CD2A5D"/>
    <w:rsid w:val="00CD2CDA"/>
    <w:rsid w:val="00CD3552"/>
    <w:rsid w:val="00CD38D9"/>
    <w:rsid w:val="00CD409A"/>
    <w:rsid w:val="00CD457A"/>
    <w:rsid w:val="00CD581E"/>
    <w:rsid w:val="00CD5EAC"/>
    <w:rsid w:val="00CD662A"/>
    <w:rsid w:val="00CD6F45"/>
    <w:rsid w:val="00CD6FBC"/>
    <w:rsid w:val="00CD723A"/>
    <w:rsid w:val="00CD7513"/>
    <w:rsid w:val="00CD7563"/>
    <w:rsid w:val="00CE0063"/>
    <w:rsid w:val="00CE0B5A"/>
    <w:rsid w:val="00CE11A0"/>
    <w:rsid w:val="00CE1A51"/>
    <w:rsid w:val="00CE1C8E"/>
    <w:rsid w:val="00CE3872"/>
    <w:rsid w:val="00CE404F"/>
    <w:rsid w:val="00CE5BCB"/>
    <w:rsid w:val="00CE5ECE"/>
    <w:rsid w:val="00CE6519"/>
    <w:rsid w:val="00CE6AB9"/>
    <w:rsid w:val="00CE743E"/>
    <w:rsid w:val="00CE77B6"/>
    <w:rsid w:val="00CE783F"/>
    <w:rsid w:val="00CE7C5D"/>
    <w:rsid w:val="00CF00E1"/>
    <w:rsid w:val="00CF0692"/>
    <w:rsid w:val="00CF0F6A"/>
    <w:rsid w:val="00CF1097"/>
    <w:rsid w:val="00CF117D"/>
    <w:rsid w:val="00CF1705"/>
    <w:rsid w:val="00CF1D77"/>
    <w:rsid w:val="00CF264A"/>
    <w:rsid w:val="00CF2AF5"/>
    <w:rsid w:val="00CF31F3"/>
    <w:rsid w:val="00CF32BA"/>
    <w:rsid w:val="00CF3782"/>
    <w:rsid w:val="00CF3A6A"/>
    <w:rsid w:val="00CF4092"/>
    <w:rsid w:val="00CF44D3"/>
    <w:rsid w:val="00CF4912"/>
    <w:rsid w:val="00CF4C88"/>
    <w:rsid w:val="00CF4F20"/>
    <w:rsid w:val="00CF4F46"/>
    <w:rsid w:val="00CF5B14"/>
    <w:rsid w:val="00CF5E3D"/>
    <w:rsid w:val="00CF6896"/>
    <w:rsid w:val="00CF6B23"/>
    <w:rsid w:val="00CF7323"/>
    <w:rsid w:val="00CF7567"/>
    <w:rsid w:val="00CF7BE6"/>
    <w:rsid w:val="00D012C4"/>
    <w:rsid w:val="00D01B92"/>
    <w:rsid w:val="00D01CCE"/>
    <w:rsid w:val="00D028E7"/>
    <w:rsid w:val="00D029BC"/>
    <w:rsid w:val="00D02EE2"/>
    <w:rsid w:val="00D032D7"/>
    <w:rsid w:val="00D03E5C"/>
    <w:rsid w:val="00D049B3"/>
    <w:rsid w:val="00D04A27"/>
    <w:rsid w:val="00D0609B"/>
    <w:rsid w:val="00D061F9"/>
    <w:rsid w:val="00D065A5"/>
    <w:rsid w:val="00D06BAF"/>
    <w:rsid w:val="00D07054"/>
    <w:rsid w:val="00D07CE5"/>
    <w:rsid w:val="00D10110"/>
    <w:rsid w:val="00D102D2"/>
    <w:rsid w:val="00D106EE"/>
    <w:rsid w:val="00D11332"/>
    <w:rsid w:val="00D1229B"/>
    <w:rsid w:val="00D1286C"/>
    <w:rsid w:val="00D1301A"/>
    <w:rsid w:val="00D1348D"/>
    <w:rsid w:val="00D13554"/>
    <w:rsid w:val="00D137AF"/>
    <w:rsid w:val="00D13EDF"/>
    <w:rsid w:val="00D14508"/>
    <w:rsid w:val="00D148AB"/>
    <w:rsid w:val="00D14DBA"/>
    <w:rsid w:val="00D15C96"/>
    <w:rsid w:val="00D160F4"/>
    <w:rsid w:val="00D1683C"/>
    <w:rsid w:val="00D17AB8"/>
    <w:rsid w:val="00D20434"/>
    <w:rsid w:val="00D206B0"/>
    <w:rsid w:val="00D2084E"/>
    <w:rsid w:val="00D20B6B"/>
    <w:rsid w:val="00D20C97"/>
    <w:rsid w:val="00D20E2F"/>
    <w:rsid w:val="00D21373"/>
    <w:rsid w:val="00D23757"/>
    <w:rsid w:val="00D238F7"/>
    <w:rsid w:val="00D24735"/>
    <w:rsid w:val="00D24781"/>
    <w:rsid w:val="00D24E4A"/>
    <w:rsid w:val="00D252B7"/>
    <w:rsid w:val="00D258DA"/>
    <w:rsid w:val="00D25AE2"/>
    <w:rsid w:val="00D26CED"/>
    <w:rsid w:val="00D30300"/>
    <w:rsid w:val="00D30D8E"/>
    <w:rsid w:val="00D3158F"/>
    <w:rsid w:val="00D3298F"/>
    <w:rsid w:val="00D32DBC"/>
    <w:rsid w:val="00D3371F"/>
    <w:rsid w:val="00D33ADF"/>
    <w:rsid w:val="00D33C67"/>
    <w:rsid w:val="00D345B5"/>
    <w:rsid w:val="00D3564B"/>
    <w:rsid w:val="00D359E7"/>
    <w:rsid w:val="00D3606A"/>
    <w:rsid w:val="00D361D1"/>
    <w:rsid w:val="00D362B9"/>
    <w:rsid w:val="00D36712"/>
    <w:rsid w:val="00D37230"/>
    <w:rsid w:val="00D37A70"/>
    <w:rsid w:val="00D37BE4"/>
    <w:rsid w:val="00D37F2F"/>
    <w:rsid w:val="00D40098"/>
    <w:rsid w:val="00D401A9"/>
    <w:rsid w:val="00D40398"/>
    <w:rsid w:val="00D405CD"/>
    <w:rsid w:val="00D408B1"/>
    <w:rsid w:val="00D4126B"/>
    <w:rsid w:val="00D415AB"/>
    <w:rsid w:val="00D41C41"/>
    <w:rsid w:val="00D41E05"/>
    <w:rsid w:val="00D41ED7"/>
    <w:rsid w:val="00D421B0"/>
    <w:rsid w:val="00D42F70"/>
    <w:rsid w:val="00D43109"/>
    <w:rsid w:val="00D4347F"/>
    <w:rsid w:val="00D43669"/>
    <w:rsid w:val="00D43989"/>
    <w:rsid w:val="00D43D4B"/>
    <w:rsid w:val="00D4425C"/>
    <w:rsid w:val="00D444A6"/>
    <w:rsid w:val="00D4505C"/>
    <w:rsid w:val="00D453E6"/>
    <w:rsid w:val="00D4618C"/>
    <w:rsid w:val="00D46DF6"/>
    <w:rsid w:val="00D476A3"/>
    <w:rsid w:val="00D500F3"/>
    <w:rsid w:val="00D51759"/>
    <w:rsid w:val="00D51CA6"/>
    <w:rsid w:val="00D52754"/>
    <w:rsid w:val="00D53D40"/>
    <w:rsid w:val="00D55626"/>
    <w:rsid w:val="00D558BE"/>
    <w:rsid w:val="00D563A8"/>
    <w:rsid w:val="00D565F0"/>
    <w:rsid w:val="00D572FD"/>
    <w:rsid w:val="00D57995"/>
    <w:rsid w:val="00D57C2C"/>
    <w:rsid w:val="00D60863"/>
    <w:rsid w:val="00D60BEA"/>
    <w:rsid w:val="00D60DC2"/>
    <w:rsid w:val="00D61953"/>
    <w:rsid w:val="00D61B0B"/>
    <w:rsid w:val="00D620FB"/>
    <w:rsid w:val="00D62BD2"/>
    <w:rsid w:val="00D62D0B"/>
    <w:rsid w:val="00D62EDF"/>
    <w:rsid w:val="00D631BC"/>
    <w:rsid w:val="00D65306"/>
    <w:rsid w:val="00D65896"/>
    <w:rsid w:val="00D66CF7"/>
    <w:rsid w:val="00D67BEB"/>
    <w:rsid w:val="00D67D3E"/>
    <w:rsid w:val="00D67E58"/>
    <w:rsid w:val="00D705B3"/>
    <w:rsid w:val="00D70985"/>
    <w:rsid w:val="00D71896"/>
    <w:rsid w:val="00D718F6"/>
    <w:rsid w:val="00D7200C"/>
    <w:rsid w:val="00D72B87"/>
    <w:rsid w:val="00D733F5"/>
    <w:rsid w:val="00D75A85"/>
    <w:rsid w:val="00D7613A"/>
    <w:rsid w:val="00D77567"/>
    <w:rsid w:val="00D77800"/>
    <w:rsid w:val="00D779D0"/>
    <w:rsid w:val="00D80224"/>
    <w:rsid w:val="00D803A5"/>
    <w:rsid w:val="00D80B74"/>
    <w:rsid w:val="00D80C7D"/>
    <w:rsid w:val="00D81043"/>
    <w:rsid w:val="00D82252"/>
    <w:rsid w:val="00D829C2"/>
    <w:rsid w:val="00D82A81"/>
    <w:rsid w:val="00D82A98"/>
    <w:rsid w:val="00D82BFB"/>
    <w:rsid w:val="00D8338A"/>
    <w:rsid w:val="00D83BE7"/>
    <w:rsid w:val="00D83BEC"/>
    <w:rsid w:val="00D84498"/>
    <w:rsid w:val="00D84FB6"/>
    <w:rsid w:val="00D8550E"/>
    <w:rsid w:val="00D8578E"/>
    <w:rsid w:val="00D85E5A"/>
    <w:rsid w:val="00D861C8"/>
    <w:rsid w:val="00D865E6"/>
    <w:rsid w:val="00D8670F"/>
    <w:rsid w:val="00D86B5F"/>
    <w:rsid w:val="00D8702E"/>
    <w:rsid w:val="00D8716F"/>
    <w:rsid w:val="00D872EA"/>
    <w:rsid w:val="00D8738E"/>
    <w:rsid w:val="00D87946"/>
    <w:rsid w:val="00D87DA9"/>
    <w:rsid w:val="00D87EC2"/>
    <w:rsid w:val="00D90143"/>
    <w:rsid w:val="00D901D0"/>
    <w:rsid w:val="00D906CF"/>
    <w:rsid w:val="00D909DA"/>
    <w:rsid w:val="00D90A98"/>
    <w:rsid w:val="00D91131"/>
    <w:rsid w:val="00D91A01"/>
    <w:rsid w:val="00D925C0"/>
    <w:rsid w:val="00D93335"/>
    <w:rsid w:val="00D933C3"/>
    <w:rsid w:val="00D937A6"/>
    <w:rsid w:val="00D94664"/>
    <w:rsid w:val="00D9494F"/>
    <w:rsid w:val="00D94A82"/>
    <w:rsid w:val="00D94DA1"/>
    <w:rsid w:val="00D96987"/>
    <w:rsid w:val="00D96C4F"/>
    <w:rsid w:val="00DA106F"/>
    <w:rsid w:val="00DA13F8"/>
    <w:rsid w:val="00DA2675"/>
    <w:rsid w:val="00DA2720"/>
    <w:rsid w:val="00DA2841"/>
    <w:rsid w:val="00DA29DF"/>
    <w:rsid w:val="00DA2B48"/>
    <w:rsid w:val="00DA43E3"/>
    <w:rsid w:val="00DA4F0F"/>
    <w:rsid w:val="00DA4F90"/>
    <w:rsid w:val="00DA6481"/>
    <w:rsid w:val="00DA6D12"/>
    <w:rsid w:val="00DA7999"/>
    <w:rsid w:val="00DA7A2C"/>
    <w:rsid w:val="00DA7AC7"/>
    <w:rsid w:val="00DA7C0B"/>
    <w:rsid w:val="00DA7FAF"/>
    <w:rsid w:val="00DB0704"/>
    <w:rsid w:val="00DB08F4"/>
    <w:rsid w:val="00DB0F23"/>
    <w:rsid w:val="00DB14C7"/>
    <w:rsid w:val="00DB228B"/>
    <w:rsid w:val="00DB2C8E"/>
    <w:rsid w:val="00DB367A"/>
    <w:rsid w:val="00DB3A39"/>
    <w:rsid w:val="00DB3B07"/>
    <w:rsid w:val="00DB465F"/>
    <w:rsid w:val="00DB4876"/>
    <w:rsid w:val="00DB4C39"/>
    <w:rsid w:val="00DB50E1"/>
    <w:rsid w:val="00DB5495"/>
    <w:rsid w:val="00DB56D5"/>
    <w:rsid w:val="00DB5766"/>
    <w:rsid w:val="00DB5962"/>
    <w:rsid w:val="00DB5F45"/>
    <w:rsid w:val="00DB6508"/>
    <w:rsid w:val="00DB668F"/>
    <w:rsid w:val="00DB6AD7"/>
    <w:rsid w:val="00DB6B27"/>
    <w:rsid w:val="00DB749F"/>
    <w:rsid w:val="00DC08A3"/>
    <w:rsid w:val="00DC1517"/>
    <w:rsid w:val="00DC1525"/>
    <w:rsid w:val="00DC1947"/>
    <w:rsid w:val="00DC1A5B"/>
    <w:rsid w:val="00DC240C"/>
    <w:rsid w:val="00DC2785"/>
    <w:rsid w:val="00DC2945"/>
    <w:rsid w:val="00DC342B"/>
    <w:rsid w:val="00DC3754"/>
    <w:rsid w:val="00DC3803"/>
    <w:rsid w:val="00DC3B89"/>
    <w:rsid w:val="00DC416A"/>
    <w:rsid w:val="00DC423B"/>
    <w:rsid w:val="00DC4799"/>
    <w:rsid w:val="00DC52F7"/>
    <w:rsid w:val="00DC58B7"/>
    <w:rsid w:val="00DC606F"/>
    <w:rsid w:val="00DC626A"/>
    <w:rsid w:val="00DC71F4"/>
    <w:rsid w:val="00DC7402"/>
    <w:rsid w:val="00DC745C"/>
    <w:rsid w:val="00DD0204"/>
    <w:rsid w:val="00DD082A"/>
    <w:rsid w:val="00DD1002"/>
    <w:rsid w:val="00DD120C"/>
    <w:rsid w:val="00DD1BBD"/>
    <w:rsid w:val="00DD1F34"/>
    <w:rsid w:val="00DD2186"/>
    <w:rsid w:val="00DD232D"/>
    <w:rsid w:val="00DD2BC7"/>
    <w:rsid w:val="00DD2C71"/>
    <w:rsid w:val="00DD2E96"/>
    <w:rsid w:val="00DD3301"/>
    <w:rsid w:val="00DD36B6"/>
    <w:rsid w:val="00DD37B3"/>
    <w:rsid w:val="00DD3998"/>
    <w:rsid w:val="00DD3A7D"/>
    <w:rsid w:val="00DD40D3"/>
    <w:rsid w:val="00DD4270"/>
    <w:rsid w:val="00DD4EE0"/>
    <w:rsid w:val="00DD51A3"/>
    <w:rsid w:val="00DD52AF"/>
    <w:rsid w:val="00DD63A1"/>
    <w:rsid w:val="00DD68E4"/>
    <w:rsid w:val="00DD71B7"/>
    <w:rsid w:val="00DD7BA3"/>
    <w:rsid w:val="00DD7C80"/>
    <w:rsid w:val="00DE1086"/>
    <w:rsid w:val="00DE16CC"/>
    <w:rsid w:val="00DE256F"/>
    <w:rsid w:val="00DE3081"/>
    <w:rsid w:val="00DE316D"/>
    <w:rsid w:val="00DE4F5B"/>
    <w:rsid w:val="00DE572D"/>
    <w:rsid w:val="00DE6855"/>
    <w:rsid w:val="00DE7692"/>
    <w:rsid w:val="00DE7A5B"/>
    <w:rsid w:val="00DF0337"/>
    <w:rsid w:val="00DF0754"/>
    <w:rsid w:val="00DF07B9"/>
    <w:rsid w:val="00DF0A9E"/>
    <w:rsid w:val="00DF0F96"/>
    <w:rsid w:val="00DF191D"/>
    <w:rsid w:val="00DF1F62"/>
    <w:rsid w:val="00DF2031"/>
    <w:rsid w:val="00DF2727"/>
    <w:rsid w:val="00DF286D"/>
    <w:rsid w:val="00DF2BD4"/>
    <w:rsid w:val="00DF2FBC"/>
    <w:rsid w:val="00DF3325"/>
    <w:rsid w:val="00DF3F94"/>
    <w:rsid w:val="00DF412F"/>
    <w:rsid w:val="00DF4883"/>
    <w:rsid w:val="00DF5041"/>
    <w:rsid w:val="00DF537E"/>
    <w:rsid w:val="00DF60D9"/>
    <w:rsid w:val="00DF6108"/>
    <w:rsid w:val="00DF634A"/>
    <w:rsid w:val="00DF63FB"/>
    <w:rsid w:val="00DF64A4"/>
    <w:rsid w:val="00DF7003"/>
    <w:rsid w:val="00DF7220"/>
    <w:rsid w:val="00DF7869"/>
    <w:rsid w:val="00DF7AAF"/>
    <w:rsid w:val="00E000F0"/>
    <w:rsid w:val="00E00A0D"/>
    <w:rsid w:val="00E00E33"/>
    <w:rsid w:val="00E0287C"/>
    <w:rsid w:val="00E02A16"/>
    <w:rsid w:val="00E0343B"/>
    <w:rsid w:val="00E03857"/>
    <w:rsid w:val="00E03C93"/>
    <w:rsid w:val="00E04496"/>
    <w:rsid w:val="00E0459F"/>
    <w:rsid w:val="00E047A0"/>
    <w:rsid w:val="00E058AA"/>
    <w:rsid w:val="00E058BC"/>
    <w:rsid w:val="00E060B5"/>
    <w:rsid w:val="00E0626B"/>
    <w:rsid w:val="00E0630C"/>
    <w:rsid w:val="00E064FD"/>
    <w:rsid w:val="00E06E3E"/>
    <w:rsid w:val="00E070EC"/>
    <w:rsid w:val="00E072EB"/>
    <w:rsid w:val="00E07CF2"/>
    <w:rsid w:val="00E10652"/>
    <w:rsid w:val="00E1073A"/>
    <w:rsid w:val="00E109CB"/>
    <w:rsid w:val="00E11247"/>
    <w:rsid w:val="00E118B5"/>
    <w:rsid w:val="00E11C94"/>
    <w:rsid w:val="00E12311"/>
    <w:rsid w:val="00E133CC"/>
    <w:rsid w:val="00E133FA"/>
    <w:rsid w:val="00E13601"/>
    <w:rsid w:val="00E13629"/>
    <w:rsid w:val="00E1436A"/>
    <w:rsid w:val="00E14611"/>
    <w:rsid w:val="00E14897"/>
    <w:rsid w:val="00E14B2F"/>
    <w:rsid w:val="00E14B84"/>
    <w:rsid w:val="00E14CD7"/>
    <w:rsid w:val="00E152A1"/>
    <w:rsid w:val="00E155B5"/>
    <w:rsid w:val="00E156F2"/>
    <w:rsid w:val="00E15916"/>
    <w:rsid w:val="00E15EBE"/>
    <w:rsid w:val="00E1629D"/>
    <w:rsid w:val="00E16695"/>
    <w:rsid w:val="00E16D4B"/>
    <w:rsid w:val="00E1720F"/>
    <w:rsid w:val="00E172FF"/>
    <w:rsid w:val="00E1742F"/>
    <w:rsid w:val="00E179F4"/>
    <w:rsid w:val="00E17B3E"/>
    <w:rsid w:val="00E17C0E"/>
    <w:rsid w:val="00E17CE8"/>
    <w:rsid w:val="00E20654"/>
    <w:rsid w:val="00E20BA4"/>
    <w:rsid w:val="00E21535"/>
    <w:rsid w:val="00E2171B"/>
    <w:rsid w:val="00E228E8"/>
    <w:rsid w:val="00E23ABC"/>
    <w:rsid w:val="00E23EB6"/>
    <w:rsid w:val="00E24BDE"/>
    <w:rsid w:val="00E2594E"/>
    <w:rsid w:val="00E26D33"/>
    <w:rsid w:val="00E26EE3"/>
    <w:rsid w:val="00E2772C"/>
    <w:rsid w:val="00E27A47"/>
    <w:rsid w:val="00E27B0F"/>
    <w:rsid w:val="00E27BED"/>
    <w:rsid w:val="00E302C3"/>
    <w:rsid w:val="00E30575"/>
    <w:rsid w:val="00E30640"/>
    <w:rsid w:val="00E308B8"/>
    <w:rsid w:val="00E30E6F"/>
    <w:rsid w:val="00E31125"/>
    <w:rsid w:val="00E31357"/>
    <w:rsid w:val="00E315F6"/>
    <w:rsid w:val="00E31761"/>
    <w:rsid w:val="00E318E7"/>
    <w:rsid w:val="00E31A28"/>
    <w:rsid w:val="00E31F57"/>
    <w:rsid w:val="00E329E8"/>
    <w:rsid w:val="00E33145"/>
    <w:rsid w:val="00E34C54"/>
    <w:rsid w:val="00E34CA1"/>
    <w:rsid w:val="00E35281"/>
    <w:rsid w:val="00E35938"/>
    <w:rsid w:val="00E36325"/>
    <w:rsid w:val="00E36783"/>
    <w:rsid w:val="00E36B66"/>
    <w:rsid w:val="00E36D34"/>
    <w:rsid w:val="00E37217"/>
    <w:rsid w:val="00E3746F"/>
    <w:rsid w:val="00E37CCB"/>
    <w:rsid w:val="00E40350"/>
    <w:rsid w:val="00E40C98"/>
    <w:rsid w:val="00E413AB"/>
    <w:rsid w:val="00E41A73"/>
    <w:rsid w:val="00E41B71"/>
    <w:rsid w:val="00E4279C"/>
    <w:rsid w:val="00E42D81"/>
    <w:rsid w:val="00E42F05"/>
    <w:rsid w:val="00E4307E"/>
    <w:rsid w:val="00E43BA6"/>
    <w:rsid w:val="00E43D9C"/>
    <w:rsid w:val="00E43E5A"/>
    <w:rsid w:val="00E45058"/>
    <w:rsid w:val="00E45775"/>
    <w:rsid w:val="00E45F3E"/>
    <w:rsid w:val="00E473CC"/>
    <w:rsid w:val="00E477F9"/>
    <w:rsid w:val="00E47E1D"/>
    <w:rsid w:val="00E50A0F"/>
    <w:rsid w:val="00E50B55"/>
    <w:rsid w:val="00E50D7C"/>
    <w:rsid w:val="00E50D88"/>
    <w:rsid w:val="00E50FCC"/>
    <w:rsid w:val="00E513E0"/>
    <w:rsid w:val="00E51886"/>
    <w:rsid w:val="00E51B5A"/>
    <w:rsid w:val="00E5283D"/>
    <w:rsid w:val="00E52FEE"/>
    <w:rsid w:val="00E53021"/>
    <w:rsid w:val="00E532EF"/>
    <w:rsid w:val="00E53369"/>
    <w:rsid w:val="00E54454"/>
    <w:rsid w:val="00E54810"/>
    <w:rsid w:val="00E55085"/>
    <w:rsid w:val="00E56F28"/>
    <w:rsid w:val="00E57379"/>
    <w:rsid w:val="00E57422"/>
    <w:rsid w:val="00E57570"/>
    <w:rsid w:val="00E60095"/>
    <w:rsid w:val="00E601FB"/>
    <w:rsid w:val="00E6032A"/>
    <w:rsid w:val="00E60B12"/>
    <w:rsid w:val="00E60DA8"/>
    <w:rsid w:val="00E60F90"/>
    <w:rsid w:val="00E617E0"/>
    <w:rsid w:val="00E618B9"/>
    <w:rsid w:val="00E61E9F"/>
    <w:rsid w:val="00E62748"/>
    <w:rsid w:val="00E6286C"/>
    <w:rsid w:val="00E63B87"/>
    <w:rsid w:val="00E649C9"/>
    <w:rsid w:val="00E64FE1"/>
    <w:rsid w:val="00E652A4"/>
    <w:rsid w:val="00E6561C"/>
    <w:rsid w:val="00E65911"/>
    <w:rsid w:val="00E65E3B"/>
    <w:rsid w:val="00E66932"/>
    <w:rsid w:val="00E669F5"/>
    <w:rsid w:val="00E67180"/>
    <w:rsid w:val="00E67537"/>
    <w:rsid w:val="00E701F0"/>
    <w:rsid w:val="00E70704"/>
    <w:rsid w:val="00E70E4C"/>
    <w:rsid w:val="00E70F03"/>
    <w:rsid w:val="00E715DC"/>
    <w:rsid w:val="00E71CE2"/>
    <w:rsid w:val="00E726A9"/>
    <w:rsid w:val="00E7367A"/>
    <w:rsid w:val="00E7408C"/>
    <w:rsid w:val="00E74970"/>
    <w:rsid w:val="00E749AB"/>
    <w:rsid w:val="00E75E1D"/>
    <w:rsid w:val="00E76844"/>
    <w:rsid w:val="00E76ED5"/>
    <w:rsid w:val="00E7729C"/>
    <w:rsid w:val="00E775DC"/>
    <w:rsid w:val="00E775EE"/>
    <w:rsid w:val="00E7785A"/>
    <w:rsid w:val="00E779A8"/>
    <w:rsid w:val="00E77B84"/>
    <w:rsid w:val="00E8144D"/>
    <w:rsid w:val="00E81B4B"/>
    <w:rsid w:val="00E8218A"/>
    <w:rsid w:val="00E825F2"/>
    <w:rsid w:val="00E8310E"/>
    <w:rsid w:val="00E837B7"/>
    <w:rsid w:val="00E83FA3"/>
    <w:rsid w:val="00E843A4"/>
    <w:rsid w:val="00E84A47"/>
    <w:rsid w:val="00E85A5C"/>
    <w:rsid w:val="00E860B1"/>
    <w:rsid w:val="00E871C5"/>
    <w:rsid w:val="00E87CC4"/>
    <w:rsid w:val="00E87E2E"/>
    <w:rsid w:val="00E87E52"/>
    <w:rsid w:val="00E908A3"/>
    <w:rsid w:val="00E90A4A"/>
    <w:rsid w:val="00E90B12"/>
    <w:rsid w:val="00E91439"/>
    <w:rsid w:val="00E914F6"/>
    <w:rsid w:val="00E91D02"/>
    <w:rsid w:val="00E92488"/>
    <w:rsid w:val="00E92FF4"/>
    <w:rsid w:val="00E94DAE"/>
    <w:rsid w:val="00E94E4C"/>
    <w:rsid w:val="00E95374"/>
    <w:rsid w:val="00E9562E"/>
    <w:rsid w:val="00E956AA"/>
    <w:rsid w:val="00E961A4"/>
    <w:rsid w:val="00E961B9"/>
    <w:rsid w:val="00E961BC"/>
    <w:rsid w:val="00E967F9"/>
    <w:rsid w:val="00E9749E"/>
    <w:rsid w:val="00E9766D"/>
    <w:rsid w:val="00E97D26"/>
    <w:rsid w:val="00EA0129"/>
    <w:rsid w:val="00EA1BFF"/>
    <w:rsid w:val="00EA1EB2"/>
    <w:rsid w:val="00EA2024"/>
    <w:rsid w:val="00EA3206"/>
    <w:rsid w:val="00EA3FF7"/>
    <w:rsid w:val="00EA46C1"/>
    <w:rsid w:val="00EA4E2A"/>
    <w:rsid w:val="00EA531A"/>
    <w:rsid w:val="00EA5A2D"/>
    <w:rsid w:val="00EA5C43"/>
    <w:rsid w:val="00EA5E06"/>
    <w:rsid w:val="00EA5F19"/>
    <w:rsid w:val="00EA74D5"/>
    <w:rsid w:val="00EA7A30"/>
    <w:rsid w:val="00EA7B11"/>
    <w:rsid w:val="00EA7ED2"/>
    <w:rsid w:val="00EA7FEB"/>
    <w:rsid w:val="00EB069F"/>
    <w:rsid w:val="00EB1186"/>
    <w:rsid w:val="00EB11DE"/>
    <w:rsid w:val="00EB18A8"/>
    <w:rsid w:val="00EB2388"/>
    <w:rsid w:val="00EB261E"/>
    <w:rsid w:val="00EB316A"/>
    <w:rsid w:val="00EB32C0"/>
    <w:rsid w:val="00EB3A56"/>
    <w:rsid w:val="00EB3DD3"/>
    <w:rsid w:val="00EB4917"/>
    <w:rsid w:val="00EB4DA5"/>
    <w:rsid w:val="00EB5AFF"/>
    <w:rsid w:val="00EB5D94"/>
    <w:rsid w:val="00EB5DA4"/>
    <w:rsid w:val="00EB5EC6"/>
    <w:rsid w:val="00EB68E1"/>
    <w:rsid w:val="00EB69E7"/>
    <w:rsid w:val="00EB6C6C"/>
    <w:rsid w:val="00EB7124"/>
    <w:rsid w:val="00EB7BB5"/>
    <w:rsid w:val="00EB7C72"/>
    <w:rsid w:val="00EB7F05"/>
    <w:rsid w:val="00EC072F"/>
    <w:rsid w:val="00EC0BE7"/>
    <w:rsid w:val="00EC0F59"/>
    <w:rsid w:val="00EC1CF3"/>
    <w:rsid w:val="00EC2D11"/>
    <w:rsid w:val="00EC3A2F"/>
    <w:rsid w:val="00EC500D"/>
    <w:rsid w:val="00EC512A"/>
    <w:rsid w:val="00EC525C"/>
    <w:rsid w:val="00EC5D68"/>
    <w:rsid w:val="00EC6686"/>
    <w:rsid w:val="00EC6782"/>
    <w:rsid w:val="00EC6847"/>
    <w:rsid w:val="00EC74B7"/>
    <w:rsid w:val="00EC7779"/>
    <w:rsid w:val="00ED0AB2"/>
    <w:rsid w:val="00ED0BD0"/>
    <w:rsid w:val="00ED154E"/>
    <w:rsid w:val="00ED1CAE"/>
    <w:rsid w:val="00ED29A6"/>
    <w:rsid w:val="00ED4694"/>
    <w:rsid w:val="00ED53BC"/>
    <w:rsid w:val="00ED556A"/>
    <w:rsid w:val="00ED5D46"/>
    <w:rsid w:val="00ED67B2"/>
    <w:rsid w:val="00ED6FEB"/>
    <w:rsid w:val="00ED713D"/>
    <w:rsid w:val="00EE07B2"/>
    <w:rsid w:val="00EE0F32"/>
    <w:rsid w:val="00EE0FF8"/>
    <w:rsid w:val="00EE248B"/>
    <w:rsid w:val="00EE270B"/>
    <w:rsid w:val="00EE2888"/>
    <w:rsid w:val="00EE2C04"/>
    <w:rsid w:val="00EE357A"/>
    <w:rsid w:val="00EE35C4"/>
    <w:rsid w:val="00EE4859"/>
    <w:rsid w:val="00EE50DD"/>
    <w:rsid w:val="00EE5E74"/>
    <w:rsid w:val="00EE6343"/>
    <w:rsid w:val="00EE6573"/>
    <w:rsid w:val="00EE6961"/>
    <w:rsid w:val="00EE6FE2"/>
    <w:rsid w:val="00EE73DE"/>
    <w:rsid w:val="00EE76A7"/>
    <w:rsid w:val="00EE7AED"/>
    <w:rsid w:val="00EE7C21"/>
    <w:rsid w:val="00EE7F09"/>
    <w:rsid w:val="00EF0974"/>
    <w:rsid w:val="00EF0BFD"/>
    <w:rsid w:val="00EF183F"/>
    <w:rsid w:val="00EF1EB2"/>
    <w:rsid w:val="00EF1FDD"/>
    <w:rsid w:val="00EF30CF"/>
    <w:rsid w:val="00EF3259"/>
    <w:rsid w:val="00EF331B"/>
    <w:rsid w:val="00EF38EA"/>
    <w:rsid w:val="00EF3B5B"/>
    <w:rsid w:val="00EF3D0F"/>
    <w:rsid w:val="00EF4427"/>
    <w:rsid w:val="00EF4738"/>
    <w:rsid w:val="00EF4BE1"/>
    <w:rsid w:val="00EF4C27"/>
    <w:rsid w:val="00EF5406"/>
    <w:rsid w:val="00EF5512"/>
    <w:rsid w:val="00EF58CF"/>
    <w:rsid w:val="00EF61BA"/>
    <w:rsid w:val="00EF6497"/>
    <w:rsid w:val="00EF7458"/>
    <w:rsid w:val="00EF7E3B"/>
    <w:rsid w:val="00F001F5"/>
    <w:rsid w:val="00F0032D"/>
    <w:rsid w:val="00F00A5D"/>
    <w:rsid w:val="00F016F4"/>
    <w:rsid w:val="00F0197A"/>
    <w:rsid w:val="00F01B5F"/>
    <w:rsid w:val="00F01E54"/>
    <w:rsid w:val="00F02003"/>
    <w:rsid w:val="00F0389F"/>
    <w:rsid w:val="00F03BE6"/>
    <w:rsid w:val="00F03ECD"/>
    <w:rsid w:val="00F049A7"/>
    <w:rsid w:val="00F04C27"/>
    <w:rsid w:val="00F05F77"/>
    <w:rsid w:val="00F06043"/>
    <w:rsid w:val="00F075F6"/>
    <w:rsid w:val="00F11007"/>
    <w:rsid w:val="00F11F79"/>
    <w:rsid w:val="00F12845"/>
    <w:rsid w:val="00F13161"/>
    <w:rsid w:val="00F13551"/>
    <w:rsid w:val="00F137D1"/>
    <w:rsid w:val="00F13906"/>
    <w:rsid w:val="00F1480A"/>
    <w:rsid w:val="00F14934"/>
    <w:rsid w:val="00F14AEC"/>
    <w:rsid w:val="00F15F53"/>
    <w:rsid w:val="00F16604"/>
    <w:rsid w:val="00F174BD"/>
    <w:rsid w:val="00F17AAD"/>
    <w:rsid w:val="00F20134"/>
    <w:rsid w:val="00F202CC"/>
    <w:rsid w:val="00F2127F"/>
    <w:rsid w:val="00F218A9"/>
    <w:rsid w:val="00F2301C"/>
    <w:rsid w:val="00F231B4"/>
    <w:rsid w:val="00F2404D"/>
    <w:rsid w:val="00F243AA"/>
    <w:rsid w:val="00F245BC"/>
    <w:rsid w:val="00F2504C"/>
    <w:rsid w:val="00F25337"/>
    <w:rsid w:val="00F25AAB"/>
    <w:rsid w:val="00F26620"/>
    <w:rsid w:val="00F2664E"/>
    <w:rsid w:val="00F278E3"/>
    <w:rsid w:val="00F27A5E"/>
    <w:rsid w:val="00F31229"/>
    <w:rsid w:val="00F32060"/>
    <w:rsid w:val="00F329E3"/>
    <w:rsid w:val="00F32D2A"/>
    <w:rsid w:val="00F32E29"/>
    <w:rsid w:val="00F344A1"/>
    <w:rsid w:val="00F34781"/>
    <w:rsid w:val="00F34C54"/>
    <w:rsid w:val="00F34DD4"/>
    <w:rsid w:val="00F34F52"/>
    <w:rsid w:val="00F353C6"/>
    <w:rsid w:val="00F365E9"/>
    <w:rsid w:val="00F37F99"/>
    <w:rsid w:val="00F419DF"/>
    <w:rsid w:val="00F422F5"/>
    <w:rsid w:val="00F43031"/>
    <w:rsid w:val="00F43F70"/>
    <w:rsid w:val="00F44D13"/>
    <w:rsid w:val="00F454C0"/>
    <w:rsid w:val="00F45B9D"/>
    <w:rsid w:val="00F46A0A"/>
    <w:rsid w:val="00F46CF3"/>
    <w:rsid w:val="00F46E90"/>
    <w:rsid w:val="00F47860"/>
    <w:rsid w:val="00F47E39"/>
    <w:rsid w:val="00F503C0"/>
    <w:rsid w:val="00F50F37"/>
    <w:rsid w:val="00F50F5F"/>
    <w:rsid w:val="00F51158"/>
    <w:rsid w:val="00F51949"/>
    <w:rsid w:val="00F526BB"/>
    <w:rsid w:val="00F528A2"/>
    <w:rsid w:val="00F53702"/>
    <w:rsid w:val="00F53841"/>
    <w:rsid w:val="00F538BE"/>
    <w:rsid w:val="00F53F9A"/>
    <w:rsid w:val="00F546E5"/>
    <w:rsid w:val="00F54DFF"/>
    <w:rsid w:val="00F54EA3"/>
    <w:rsid w:val="00F54EA5"/>
    <w:rsid w:val="00F55743"/>
    <w:rsid w:val="00F562D0"/>
    <w:rsid w:val="00F5662F"/>
    <w:rsid w:val="00F56EB5"/>
    <w:rsid w:val="00F575D6"/>
    <w:rsid w:val="00F617CB"/>
    <w:rsid w:val="00F61B55"/>
    <w:rsid w:val="00F625EC"/>
    <w:rsid w:val="00F62617"/>
    <w:rsid w:val="00F62DBC"/>
    <w:rsid w:val="00F63542"/>
    <w:rsid w:val="00F63692"/>
    <w:rsid w:val="00F648E4"/>
    <w:rsid w:val="00F64D8C"/>
    <w:rsid w:val="00F653A9"/>
    <w:rsid w:val="00F65835"/>
    <w:rsid w:val="00F66402"/>
    <w:rsid w:val="00F673E7"/>
    <w:rsid w:val="00F6792C"/>
    <w:rsid w:val="00F67BEE"/>
    <w:rsid w:val="00F70233"/>
    <w:rsid w:val="00F702CB"/>
    <w:rsid w:val="00F702DB"/>
    <w:rsid w:val="00F70637"/>
    <w:rsid w:val="00F709D9"/>
    <w:rsid w:val="00F71D8D"/>
    <w:rsid w:val="00F731D1"/>
    <w:rsid w:val="00F73989"/>
    <w:rsid w:val="00F746D3"/>
    <w:rsid w:val="00F746F4"/>
    <w:rsid w:val="00F747CB"/>
    <w:rsid w:val="00F749BD"/>
    <w:rsid w:val="00F750E1"/>
    <w:rsid w:val="00F75153"/>
    <w:rsid w:val="00F75283"/>
    <w:rsid w:val="00F758F8"/>
    <w:rsid w:val="00F77375"/>
    <w:rsid w:val="00F77CC9"/>
    <w:rsid w:val="00F77DCD"/>
    <w:rsid w:val="00F80612"/>
    <w:rsid w:val="00F80F45"/>
    <w:rsid w:val="00F81603"/>
    <w:rsid w:val="00F81C49"/>
    <w:rsid w:val="00F81C83"/>
    <w:rsid w:val="00F827C3"/>
    <w:rsid w:val="00F82C3B"/>
    <w:rsid w:val="00F82CEF"/>
    <w:rsid w:val="00F82DCD"/>
    <w:rsid w:val="00F835B5"/>
    <w:rsid w:val="00F83D1D"/>
    <w:rsid w:val="00F84B4D"/>
    <w:rsid w:val="00F84B9B"/>
    <w:rsid w:val="00F84F36"/>
    <w:rsid w:val="00F85232"/>
    <w:rsid w:val="00F85FF3"/>
    <w:rsid w:val="00F879E1"/>
    <w:rsid w:val="00F87BDA"/>
    <w:rsid w:val="00F90E55"/>
    <w:rsid w:val="00F9117D"/>
    <w:rsid w:val="00F9202B"/>
    <w:rsid w:val="00F92E11"/>
    <w:rsid w:val="00F92F7B"/>
    <w:rsid w:val="00F93479"/>
    <w:rsid w:val="00F9397A"/>
    <w:rsid w:val="00F942B4"/>
    <w:rsid w:val="00F9468E"/>
    <w:rsid w:val="00F94730"/>
    <w:rsid w:val="00F94AD8"/>
    <w:rsid w:val="00F94D3B"/>
    <w:rsid w:val="00F95319"/>
    <w:rsid w:val="00F96173"/>
    <w:rsid w:val="00F979CA"/>
    <w:rsid w:val="00F97ACA"/>
    <w:rsid w:val="00F97E93"/>
    <w:rsid w:val="00FA03C4"/>
    <w:rsid w:val="00FA169D"/>
    <w:rsid w:val="00FA16A0"/>
    <w:rsid w:val="00FA1962"/>
    <w:rsid w:val="00FA1A53"/>
    <w:rsid w:val="00FA1ED5"/>
    <w:rsid w:val="00FA21D6"/>
    <w:rsid w:val="00FA4185"/>
    <w:rsid w:val="00FA4219"/>
    <w:rsid w:val="00FA4391"/>
    <w:rsid w:val="00FA4570"/>
    <w:rsid w:val="00FA46C6"/>
    <w:rsid w:val="00FA47C5"/>
    <w:rsid w:val="00FA49BF"/>
    <w:rsid w:val="00FA4AC8"/>
    <w:rsid w:val="00FA4D64"/>
    <w:rsid w:val="00FA5C19"/>
    <w:rsid w:val="00FA6192"/>
    <w:rsid w:val="00FA61F0"/>
    <w:rsid w:val="00FA6580"/>
    <w:rsid w:val="00FA6980"/>
    <w:rsid w:val="00FA6BBA"/>
    <w:rsid w:val="00FA723F"/>
    <w:rsid w:val="00FA7378"/>
    <w:rsid w:val="00FA7424"/>
    <w:rsid w:val="00FA7D45"/>
    <w:rsid w:val="00FB0AB5"/>
    <w:rsid w:val="00FB1024"/>
    <w:rsid w:val="00FB15BD"/>
    <w:rsid w:val="00FB1A71"/>
    <w:rsid w:val="00FB1F6A"/>
    <w:rsid w:val="00FB2342"/>
    <w:rsid w:val="00FB2A8B"/>
    <w:rsid w:val="00FB2E17"/>
    <w:rsid w:val="00FB2EDA"/>
    <w:rsid w:val="00FB326C"/>
    <w:rsid w:val="00FB54D3"/>
    <w:rsid w:val="00FB5838"/>
    <w:rsid w:val="00FB5B41"/>
    <w:rsid w:val="00FB5E71"/>
    <w:rsid w:val="00FB5FA0"/>
    <w:rsid w:val="00FB6C67"/>
    <w:rsid w:val="00FB6E50"/>
    <w:rsid w:val="00FB6F53"/>
    <w:rsid w:val="00FB77C3"/>
    <w:rsid w:val="00FB7D60"/>
    <w:rsid w:val="00FC003F"/>
    <w:rsid w:val="00FC0F02"/>
    <w:rsid w:val="00FC24B6"/>
    <w:rsid w:val="00FC2D41"/>
    <w:rsid w:val="00FC34D7"/>
    <w:rsid w:val="00FC3753"/>
    <w:rsid w:val="00FC3D7A"/>
    <w:rsid w:val="00FC4A53"/>
    <w:rsid w:val="00FC4F1C"/>
    <w:rsid w:val="00FC5138"/>
    <w:rsid w:val="00FC602F"/>
    <w:rsid w:val="00FC6C0A"/>
    <w:rsid w:val="00FC6DC8"/>
    <w:rsid w:val="00FC7B2D"/>
    <w:rsid w:val="00FC7B96"/>
    <w:rsid w:val="00FD01C7"/>
    <w:rsid w:val="00FD01FE"/>
    <w:rsid w:val="00FD06D0"/>
    <w:rsid w:val="00FD09A1"/>
    <w:rsid w:val="00FD0D62"/>
    <w:rsid w:val="00FD1273"/>
    <w:rsid w:val="00FD1A06"/>
    <w:rsid w:val="00FD1EB7"/>
    <w:rsid w:val="00FD21EB"/>
    <w:rsid w:val="00FD223B"/>
    <w:rsid w:val="00FD24C9"/>
    <w:rsid w:val="00FD2F40"/>
    <w:rsid w:val="00FD4954"/>
    <w:rsid w:val="00FD4C93"/>
    <w:rsid w:val="00FD4DBF"/>
    <w:rsid w:val="00FD58B9"/>
    <w:rsid w:val="00FD5B9A"/>
    <w:rsid w:val="00FD6EF7"/>
    <w:rsid w:val="00FD7CB9"/>
    <w:rsid w:val="00FD7E81"/>
    <w:rsid w:val="00FE0389"/>
    <w:rsid w:val="00FE1198"/>
    <w:rsid w:val="00FE27DA"/>
    <w:rsid w:val="00FE2B3F"/>
    <w:rsid w:val="00FE372E"/>
    <w:rsid w:val="00FE43F9"/>
    <w:rsid w:val="00FE4546"/>
    <w:rsid w:val="00FE4733"/>
    <w:rsid w:val="00FE5555"/>
    <w:rsid w:val="00FE57FE"/>
    <w:rsid w:val="00FE58A2"/>
    <w:rsid w:val="00FE685A"/>
    <w:rsid w:val="00FE7094"/>
    <w:rsid w:val="00FE7C86"/>
    <w:rsid w:val="00FF0168"/>
    <w:rsid w:val="00FF03D4"/>
    <w:rsid w:val="00FF0893"/>
    <w:rsid w:val="00FF0EF6"/>
    <w:rsid w:val="00FF1110"/>
    <w:rsid w:val="00FF18FE"/>
    <w:rsid w:val="00FF1A7C"/>
    <w:rsid w:val="00FF1ADB"/>
    <w:rsid w:val="00FF1BFD"/>
    <w:rsid w:val="00FF1E62"/>
    <w:rsid w:val="00FF239F"/>
    <w:rsid w:val="00FF2965"/>
    <w:rsid w:val="00FF2BCA"/>
    <w:rsid w:val="00FF2E15"/>
    <w:rsid w:val="00FF32D7"/>
    <w:rsid w:val="00FF3374"/>
    <w:rsid w:val="00FF361F"/>
    <w:rsid w:val="00FF38F0"/>
    <w:rsid w:val="00FF3A0F"/>
    <w:rsid w:val="00FF3F86"/>
    <w:rsid w:val="00FF48D8"/>
    <w:rsid w:val="00FF5407"/>
    <w:rsid w:val="00FF63DF"/>
    <w:rsid w:val="00FF68EA"/>
    <w:rsid w:val="00FF693B"/>
    <w:rsid w:val="00FF6AC7"/>
    <w:rsid w:val="00FF7197"/>
    <w:rsid w:val="00FF7810"/>
    <w:rsid w:val="00FF7BAF"/>
    <w:rsid w:val="015E6862"/>
    <w:rsid w:val="019368C8"/>
    <w:rsid w:val="02ED18CC"/>
    <w:rsid w:val="04516697"/>
    <w:rsid w:val="06B57787"/>
    <w:rsid w:val="06E24E69"/>
    <w:rsid w:val="077E5121"/>
    <w:rsid w:val="085C04EA"/>
    <w:rsid w:val="0884680F"/>
    <w:rsid w:val="08D6337D"/>
    <w:rsid w:val="092F1189"/>
    <w:rsid w:val="09D70564"/>
    <w:rsid w:val="0CF45472"/>
    <w:rsid w:val="0D9D0F43"/>
    <w:rsid w:val="0DBD70A8"/>
    <w:rsid w:val="0E00745E"/>
    <w:rsid w:val="0E7D08E1"/>
    <w:rsid w:val="106A4A35"/>
    <w:rsid w:val="10B80BD8"/>
    <w:rsid w:val="12265C34"/>
    <w:rsid w:val="135F002F"/>
    <w:rsid w:val="141E43E9"/>
    <w:rsid w:val="15401D84"/>
    <w:rsid w:val="156C2B24"/>
    <w:rsid w:val="19DC433A"/>
    <w:rsid w:val="1B53298C"/>
    <w:rsid w:val="1C163B8C"/>
    <w:rsid w:val="1E004DA9"/>
    <w:rsid w:val="1E2E13E1"/>
    <w:rsid w:val="1FCD072A"/>
    <w:rsid w:val="20BC0E83"/>
    <w:rsid w:val="21492375"/>
    <w:rsid w:val="22722A3B"/>
    <w:rsid w:val="22FD7853"/>
    <w:rsid w:val="242E195B"/>
    <w:rsid w:val="24814AA6"/>
    <w:rsid w:val="250D69E7"/>
    <w:rsid w:val="25671183"/>
    <w:rsid w:val="25DE0831"/>
    <w:rsid w:val="262A13F2"/>
    <w:rsid w:val="26D11723"/>
    <w:rsid w:val="27C24493"/>
    <w:rsid w:val="27ED6B9C"/>
    <w:rsid w:val="28635C02"/>
    <w:rsid w:val="29164671"/>
    <w:rsid w:val="297D01B6"/>
    <w:rsid w:val="2A5228CF"/>
    <w:rsid w:val="2D630A01"/>
    <w:rsid w:val="2DF72C2E"/>
    <w:rsid w:val="306F5C39"/>
    <w:rsid w:val="30CF6E15"/>
    <w:rsid w:val="328E0E7C"/>
    <w:rsid w:val="338072C5"/>
    <w:rsid w:val="33E20FC2"/>
    <w:rsid w:val="34B622EF"/>
    <w:rsid w:val="34D96A73"/>
    <w:rsid w:val="34EA4945"/>
    <w:rsid w:val="357227C9"/>
    <w:rsid w:val="36101686"/>
    <w:rsid w:val="36382FB6"/>
    <w:rsid w:val="374E224D"/>
    <w:rsid w:val="38122F59"/>
    <w:rsid w:val="383F4696"/>
    <w:rsid w:val="38AF1720"/>
    <w:rsid w:val="38C2284F"/>
    <w:rsid w:val="38F56F01"/>
    <w:rsid w:val="3920178F"/>
    <w:rsid w:val="39D52725"/>
    <w:rsid w:val="3D673F56"/>
    <w:rsid w:val="3E536281"/>
    <w:rsid w:val="3E7034E1"/>
    <w:rsid w:val="41397704"/>
    <w:rsid w:val="41BD00E0"/>
    <w:rsid w:val="425A23F7"/>
    <w:rsid w:val="435A1386"/>
    <w:rsid w:val="43620F49"/>
    <w:rsid w:val="4437045E"/>
    <w:rsid w:val="44E40426"/>
    <w:rsid w:val="45707E5F"/>
    <w:rsid w:val="45E06864"/>
    <w:rsid w:val="46ED44E8"/>
    <w:rsid w:val="480D5987"/>
    <w:rsid w:val="48FD5680"/>
    <w:rsid w:val="499E5317"/>
    <w:rsid w:val="4AAE3892"/>
    <w:rsid w:val="4AF34B72"/>
    <w:rsid w:val="4BF26B3D"/>
    <w:rsid w:val="4F175133"/>
    <w:rsid w:val="501E33C8"/>
    <w:rsid w:val="505A0734"/>
    <w:rsid w:val="51D00906"/>
    <w:rsid w:val="540D57E7"/>
    <w:rsid w:val="542261AD"/>
    <w:rsid w:val="54CE4A2C"/>
    <w:rsid w:val="558275C0"/>
    <w:rsid w:val="56FE0B27"/>
    <w:rsid w:val="5781422F"/>
    <w:rsid w:val="57C30157"/>
    <w:rsid w:val="59407EBE"/>
    <w:rsid w:val="59567DD3"/>
    <w:rsid w:val="5AD26B9B"/>
    <w:rsid w:val="5AF75716"/>
    <w:rsid w:val="5B780C82"/>
    <w:rsid w:val="5CDC6E3E"/>
    <w:rsid w:val="5D4473B0"/>
    <w:rsid w:val="5DB40191"/>
    <w:rsid w:val="5E4B2AFB"/>
    <w:rsid w:val="5F721FD7"/>
    <w:rsid w:val="60377FF6"/>
    <w:rsid w:val="62397900"/>
    <w:rsid w:val="623F0C18"/>
    <w:rsid w:val="62EF6585"/>
    <w:rsid w:val="64433D4A"/>
    <w:rsid w:val="64DE55AA"/>
    <w:rsid w:val="657A3D4F"/>
    <w:rsid w:val="66831002"/>
    <w:rsid w:val="672C3DE4"/>
    <w:rsid w:val="67794E88"/>
    <w:rsid w:val="68155746"/>
    <w:rsid w:val="685B79A6"/>
    <w:rsid w:val="69024278"/>
    <w:rsid w:val="690442E7"/>
    <w:rsid w:val="6F7E1E72"/>
    <w:rsid w:val="70232775"/>
    <w:rsid w:val="70D0347E"/>
    <w:rsid w:val="71A47848"/>
    <w:rsid w:val="730E6158"/>
    <w:rsid w:val="73BF7294"/>
    <w:rsid w:val="74177616"/>
    <w:rsid w:val="76B51B6E"/>
    <w:rsid w:val="78073356"/>
    <w:rsid w:val="78250C04"/>
    <w:rsid w:val="78973445"/>
    <w:rsid w:val="78AB77B5"/>
    <w:rsid w:val="7BB81682"/>
    <w:rsid w:val="7D927CEF"/>
    <w:rsid w:val="7E7339BD"/>
    <w:rsid w:val="7E982BB1"/>
    <w:rsid w:val="7EB846FE"/>
    <w:rsid w:val="7F4D6378"/>
    <w:rsid w:val="A96F804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ocked="1"/>
    <w:lsdException w:qFormat="1" w:unhideWhenUsed="0" w:uiPriority="9" w:semiHidden="0" w:name="heading 3"/>
    <w:lsdException w:qFormat="1" w:uiPriority="0" w:name="heading 4" w:locked="1"/>
    <w:lsdException w:qFormat="1" w:uiPriority="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qFormat="1" w:unhideWhenUsed="0" w:uiPriority="99"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ocked="1"/>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qFormat="1" w:uiPriority="0" w:semiHidden="0" w:name="Body Text Indent 2"/>
    <w:lsdException w:qFormat="1"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20" w:semiHidden="0" w:name="Emphasis" w:locked="1"/>
    <w:lsdException w:qFormat="1" w:unhideWhenUsed="0" w:uiPriority="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link w:val="43"/>
    <w:qFormat/>
    <w:uiPriority w:val="9"/>
    <w:pPr>
      <w:keepNext/>
      <w:keepLines/>
      <w:spacing w:before="340" w:after="330" w:line="578" w:lineRule="atLeast"/>
      <w:outlineLvl w:val="0"/>
    </w:pPr>
    <w:rPr>
      <w:b/>
      <w:bCs/>
      <w:kern w:val="44"/>
      <w:sz w:val="44"/>
      <w:szCs w:val="44"/>
    </w:rPr>
  </w:style>
  <w:style w:type="paragraph" w:styleId="5">
    <w:name w:val="heading 2"/>
    <w:basedOn w:val="1"/>
    <w:next w:val="6"/>
    <w:link w:val="78"/>
    <w:qFormat/>
    <w:locked/>
    <w:uiPriority w:val="9"/>
    <w:pPr>
      <w:keepNext/>
      <w:keepLines/>
      <w:spacing w:before="260" w:after="260" w:line="416" w:lineRule="auto"/>
      <w:outlineLvl w:val="1"/>
    </w:pPr>
    <w:rPr>
      <w:rFonts w:ascii="Arial" w:hAnsi="Arial" w:eastAsia="黑体"/>
      <w:b/>
      <w:bCs/>
      <w:sz w:val="32"/>
      <w:szCs w:val="32"/>
    </w:rPr>
  </w:style>
  <w:style w:type="paragraph" w:styleId="7">
    <w:name w:val="heading 3"/>
    <w:basedOn w:val="1"/>
    <w:next w:val="6"/>
    <w:link w:val="44"/>
    <w:qFormat/>
    <w:uiPriority w:val="9"/>
    <w:pPr>
      <w:keepNext/>
      <w:keepLines/>
      <w:spacing w:before="260" w:after="260" w:line="416" w:lineRule="auto"/>
      <w:outlineLvl w:val="2"/>
    </w:pPr>
    <w:rPr>
      <w:b/>
      <w:bCs/>
      <w:sz w:val="32"/>
      <w:szCs w:val="32"/>
    </w:rPr>
  </w:style>
  <w:style w:type="paragraph" w:styleId="8">
    <w:name w:val="heading 5"/>
    <w:basedOn w:val="1"/>
    <w:next w:val="1"/>
    <w:link w:val="107"/>
    <w:unhideWhenUsed/>
    <w:qFormat/>
    <w:locked/>
    <w:uiPriority w:val="9"/>
    <w:pPr>
      <w:keepNext/>
      <w:keepLines/>
      <w:spacing w:before="120" w:after="240" w:line="400" w:lineRule="atLeast"/>
      <w:jc w:val="left"/>
      <w:outlineLvl w:val="4"/>
    </w:pPr>
    <w:rPr>
      <w:rFonts w:eastAsia="Songti SC" w:cs="Times New Roman (正文 CS 字体)"/>
      <w:bCs/>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08"/>
    <w:qFormat/>
    <w:uiPriority w:val="0"/>
    <w:pPr>
      <w:ind w:firstLine="420" w:firstLineChars="200"/>
    </w:pPr>
  </w:style>
  <w:style w:type="paragraph" w:styleId="3">
    <w:name w:val="Body Text Indent"/>
    <w:basedOn w:val="1"/>
    <w:link w:val="82"/>
    <w:qFormat/>
    <w:uiPriority w:val="0"/>
    <w:pPr>
      <w:spacing w:after="120"/>
      <w:ind w:left="420" w:leftChars="200"/>
    </w:pPr>
    <w:rPr>
      <w:szCs w:val="24"/>
    </w:rPr>
  </w:style>
  <w:style w:type="paragraph" w:styleId="6">
    <w:name w:val="Normal Indent"/>
    <w:basedOn w:val="1"/>
    <w:qFormat/>
    <w:uiPriority w:val="99"/>
    <w:pPr>
      <w:ind w:firstLine="420" w:firstLineChars="200"/>
    </w:pPr>
  </w:style>
  <w:style w:type="paragraph" w:styleId="9">
    <w:name w:val="toc 7"/>
    <w:basedOn w:val="1"/>
    <w:next w:val="1"/>
    <w:unhideWhenUsed/>
    <w:qFormat/>
    <w:locked/>
    <w:uiPriority w:val="39"/>
    <w:pPr>
      <w:ind w:left="2520" w:leftChars="1200"/>
    </w:pPr>
    <w:rPr>
      <w:rFonts w:ascii="Calibri" w:hAnsi="Calibri"/>
      <w:szCs w:val="22"/>
    </w:rPr>
  </w:style>
  <w:style w:type="paragraph" w:styleId="10">
    <w:name w:val="caption"/>
    <w:basedOn w:val="1"/>
    <w:next w:val="1"/>
    <w:unhideWhenUsed/>
    <w:qFormat/>
    <w:locked/>
    <w:uiPriority w:val="0"/>
    <w:rPr>
      <w:rFonts w:eastAsia="黑体" w:asciiTheme="majorHAnsi" w:hAnsiTheme="majorHAnsi" w:cstheme="majorBidi"/>
      <w:sz w:val="20"/>
      <w:szCs w:val="20"/>
    </w:rPr>
  </w:style>
  <w:style w:type="paragraph" w:styleId="11">
    <w:name w:val="Document Map"/>
    <w:basedOn w:val="1"/>
    <w:link w:val="54"/>
    <w:semiHidden/>
    <w:qFormat/>
    <w:uiPriority w:val="0"/>
    <w:rPr>
      <w:rFonts w:ascii="宋体" w:hAnsi="Calibri"/>
      <w:kern w:val="0"/>
      <w:sz w:val="18"/>
      <w:szCs w:val="18"/>
    </w:rPr>
  </w:style>
  <w:style w:type="paragraph" w:styleId="12">
    <w:name w:val="annotation text"/>
    <w:basedOn w:val="1"/>
    <w:link w:val="64"/>
    <w:semiHidden/>
    <w:qFormat/>
    <w:uiPriority w:val="99"/>
    <w:pPr>
      <w:spacing w:line="400" w:lineRule="exact"/>
      <w:jc w:val="left"/>
    </w:pPr>
    <w:rPr>
      <w:rFonts w:ascii="Calibri" w:hAnsi="Calibri"/>
      <w:kern w:val="0"/>
      <w:sz w:val="24"/>
      <w:szCs w:val="24"/>
    </w:rPr>
  </w:style>
  <w:style w:type="paragraph" w:styleId="13">
    <w:name w:val="Body Text"/>
    <w:basedOn w:val="1"/>
    <w:link w:val="83"/>
    <w:qFormat/>
    <w:uiPriority w:val="1"/>
    <w:pPr>
      <w:adjustRightInd w:val="0"/>
      <w:snapToGrid w:val="0"/>
    </w:pPr>
    <w:rPr>
      <w:color w:val="000000"/>
      <w:sz w:val="15"/>
      <w:szCs w:val="24"/>
    </w:rPr>
  </w:style>
  <w:style w:type="paragraph" w:styleId="14">
    <w:name w:val="toc 5"/>
    <w:basedOn w:val="1"/>
    <w:next w:val="1"/>
    <w:unhideWhenUsed/>
    <w:qFormat/>
    <w:locked/>
    <w:uiPriority w:val="39"/>
    <w:pPr>
      <w:ind w:left="1680" w:leftChars="800"/>
    </w:pPr>
    <w:rPr>
      <w:rFonts w:ascii="Calibri" w:hAnsi="Calibri"/>
      <w:szCs w:val="22"/>
    </w:rPr>
  </w:style>
  <w:style w:type="paragraph" w:styleId="15">
    <w:name w:val="toc 3"/>
    <w:basedOn w:val="1"/>
    <w:next w:val="1"/>
    <w:qFormat/>
    <w:locked/>
    <w:uiPriority w:val="39"/>
    <w:pPr>
      <w:tabs>
        <w:tab w:val="right" w:leader="dot" w:pos="8681"/>
      </w:tabs>
      <w:spacing w:line="360" w:lineRule="auto"/>
      <w:ind w:left="567" w:leftChars="270"/>
    </w:pPr>
  </w:style>
  <w:style w:type="paragraph" w:styleId="16">
    <w:name w:val="Plain Text"/>
    <w:basedOn w:val="1"/>
    <w:link w:val="60"/>
    <w:qFormat/>
    <w:uiPriority w:val="99"/>
    <w:rPr>
      <w:rFonts w:ascii="宋体" w:hAnsi="Courier New"/>
      <w:kern w:val="0"/>
    </w:rPr>
  </w:style>
  <w:style w:type="paragraph" w:styleId="17">
    <w:name w:val="toc 8"/>
    <w:basedOn w:val="1"/>
    <w:next w:val="1"/>
    <w:unhideWhenUsed/>
    <w:qFormat/>
    <w:locked/>
    <w:uiPriority w:val="39"/>
    <w:pPr>
      <w:ind w:left="2940" w:leftChars="1400"/>
    </w:pPr>
    <w:rPr>
      <w:rFonts w:ascii="Calibri" w:hAnsi="Calibri"/>
      <w:szCs w:val="22"/>
    </w:rPr>
  </w:style>
  <w:style w:type="paragraph" w:styleId="18">
    <w:name w:val="Date"/>
    <w:basedOn w:val="1"/>
    <w:next w:val="1"/>
    <w:link w:val="56"/>
    <w:qFormat/>
    <w:uiPriority w:val="0"/>
    <w:pPr>
      <w:ind w:left="100" w:leftChars="2500"/>
    </w:pPr>
    <w:rPr>
      <w:rFonts w:ascii="Calibri" w:hAnsi="Calibri"/>
      <w:kern w:val="0"/>
      <w:sz w:val="24"/>
      <w:szCs w:val="24"/>
    </w:rPr>
  </w:style>
  <w:style w:type="paragraph" w:styleId="19">
    <w:name w:val="Body Text Indent 2"/>
    <w:basedOn w:val="1"/>
    <w:link w:val="80"/>
    <w:unhideWhenUsed/>
    <w:qFormat/>
    <w:uiPriority w:val="0"/>
    <w:pPr>
      <w:spacing w:after="120" w:line="480" w:lineRule="auto"/>
      <w:ind w:left="420" w:leftChars="200"/>
    </w:pPr>
  </w:style>
  <w:style w:type="paragraph" w:styleId="20">
    <w:name w:val="Balloon Text"/>
    <w:basedOn w:val="1"/>
    <w:link w:val="58"/>
    <w:semiHidden/>
    <w:qFormat/>
    <w:uiPriority w:val="99"/>
    <w:rPr>
      <w:rFonts w:ascii="Calibri" w:hAnsi="Calibri"/>
      <w:kern w:val="0"/>
      <w:sz w:val="18"/>
      <w:szCs w:val="18"/>
    </w:rPr>
  </w:style>
  <w:style w:type="paragraph" w:styleId="21">
    <w:name w:val="footer"/>
    <w:basedOn w:val="1"/>
    <w:link w:val="46"/>
    <w:qFormat/>
    <w:uiPriority w:val="99"/>
    <w:pPr>
      <w:tabs>
        <w:tab w:val="center" w:pos="4153"/>
        <w:tab w:val="right" w:pos="8306"/>
      </w:tabs>
      <w:snapToGrid w:val="0"/>
      <w:jc w:val="left"/>
    </w:pPr>
    <w:rPr>
      <w:sz w:val="18"/>
      <w:szCs w:val="18"/>
    </w:rPr>
  </w:style>
  <w:style w:type="paragraph" w:styleId="22">
    <w:name w:val="header"/>
    <w:basedOn w:val="1"/>
    <w:link w:val="45"/>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locked/>
    <w:uiPriority w:val="39"/>
    <w:pPr>
      <w:tabs>
        <w:tab w:val="right" w:leader="dot" w:pos="8681"/>
      </w:tabs>
      <w:spacing w:line="300" w:lineRule="auto"/>
    </w:pPr>
  </w:style>
  <w:style w:type="paragraph" w:styleId="24">
    <w:name w:val="toc 4"/>
    <w:basedOn w:val="1"/>
    <w:next w:val="1"/>
    <w:unhideWhenUsed/>
    <w:qFormat/>
    <w:locked/>
    <w:uiPriority w:val="39"/>
    <w:pPr>
      <w:ind w:left="1260" w:leftChars="600"/>
    </w:pPr>
    <w:rPr>
      <w:rFonts w:ascii="Calibri" w:hAnsi="Calibri"/>
      <w:szCs w:val="22"/>
    </w:rPr>
  </w:style>
  <w:style w:type="paragraph" w:styleId="25">
    <w:name w:val="Subtitle"/>
    <w:basedOn w:val="1"/>
    <w:next w:val="1"/>
    <w:link w:val="74"/>
    <w:qFormat/>
    <w:locked/>
    <w:uiPriority w:val="99"/>
    <w:pPr>
      <w:spacing w:before="240" w:after="60" w:line="312" w:lineRule="auto"/>
      <w:jc w:val="center"/>
      <w:outlineLvl w:val="1"/>
    </w:pPr>
    <w:rPr>
      <w:rFonts w:ascii="Cambria" w:hAnsi="Cambria"/>
      <w:b/>
      <w:bCs/>
      <w:kern w:val="28"/>
      <w:sz w:val="32"/>
      <w:szCs w:val="32"/>
    </w:rPr>
  </w:style>
  <w:style w:type="paragraph" w:styleId="26">
    <w:name w:val="toc 6"/>
    <w:basedOn w:val="1"/>
    <w:next w:val="1"/>
    <w:unhideWhenUsed/>
    <w:qFormat/>
    <w:locked/>
    <w:uiPriority w:val="39"/>
    <w:pPr>
      <w:ind w:left="2100" w:leftChars="1000"/>
    </w:pPr>
    <w:rPr>
      <w:rFonts w:ascii="Calibri" w:hAnsi="Calibri"/>
      <w:szCs w:val="22"/>
    </w:rPr>
  </w:style>
  <w:style w:type="paragraph" w:styleId="27">
    <w:name w:val="Body Text Indent 3"/>
    <w:basedOn w:val="1"/>
    <w:link w:val="81"/>
    <w:unhideWhenUsed/>
    <w:qFormat/>
    <w:uiPriority w:val="0"/>
    <w:pPr>
      <w:spacing w:after="120"/>
      <w:ind w:left="420" w:leftChars="200"/>
    </w:pPr>
    <w:rPr>
      <w:sz w:val="16"/>
      <w:szCs w:val="16"/>
    </w:rPr>
  </w:style>
  <w:style w:type="paragraph" w:styleId="28">
    <w:name w:val="toc 2"/>
    <w:basedOn w:val="1"/>
    <w:next w:val="1"/>
    <w:qFormat/>
    <w:locked/>
    <w:uiPriority w:val="39"/>
    <w:pPr>
      <w:tabs>
        <w:tab w:val="right" w:leader="dot" w:pos="8681"/>
      </w:tabs>
      <w:ind w:left="420" w:hanging="420" w:hangingChars="200"/>
    </w:pPr>
  </w:style>
  <w:style w:type="paragraph" w:styleId="29">
    <w:name w:val="toc 9"/>
    <w:basedOn w:val="1"/>
    <w:next w:val="1"/>
    <w:unhideWhenUsed/>
    <w:qFormat/>
    <w:locked/>
    <w:uiPriority w:val="39"/>
    <w:pPr>
      <w:ind w:left="3360" w:leftChars="1600"/>
    </w:pPr>
    <w:rPr>
      <w:rFonts w:ascii="Calibri" w:hAnsi="Calibri"/>
      <w:szCs w:val="22"/>
    </w:rPr>
  </w:style>
  <w:style w:type="paragraph" w:styleId="30">
    <w:name w:val="Body Text 2"/>
    <w:basedOn w:val="1"/>
    <w:link w:val="62"/>
    <w:qFormat/>
    <w:uiPriority w:val="99"/>
    <w:pPr>
      <w:jc w:val="center"/>
    </w:pPr>
    <w:rPr>
      <w:rFonts w:ascii="Calibri" w:hAnsi="Calibri"/>
      <w:kern w:val="0"/>
      <w:sz w:val="32"/>
      <w:szCs w:val="32"/>
    </w:rPr>
  </w:style>
  <w:style w:type="paragraph" w:styleId="31">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2">
    <w:name w:val="Title"/>
    <w:basedOn w:val="1"/>
    <w:next w:val="1"/>
    <w:link w:val="70"/>
    <w:qFormat/>
    <w:uiPriority w:val="99"/>
    <w:pPr>
      <w:spacing w:before="240" w:after="60"/>
      <w:jc w:val="center"/>
      <w:outlineLvl w:val="0"/>
    </w:pPr>
    <w:rPr>
      <w:rFonts w:ascii="Cambria" w:hAnsi="Cambria" w:cs="Cambria"/>
      <w:b/>
      <w:bCs/>
      <w:sz w:val="32"/>
      <w:szCs w:val="32"/>
    </w:rPr>
  </w:style>
  <w:style w:type="paragraph" w:styleId="33">
    <w:name w:val="annotation subject"/>
    <w:basedOn w:val="12"/>
    <w:next w:val="12"/>
    <w:link w:val="77"/>
    <w:semiHidden/>
    <w:unhideWhenUsed/>
    <w:qFormat/>
    <w:uiPriority w:val="99"/>
    <w:pPr>
      <w:spacing w:line="240" w:lineRule="auto"/>
    </w:pPr>
    <w:rPr>
      <w:rFonts w:ascii="Times New Roman" w:hAnsi="Times New Roman"/>
      <w:b/>
      <w:bCs/>
      <w:kern w:val="2"/>
      <w:sz w:val="21"/>
      <w:szCs w:val="21"/>
    </w:rPr>
  </w:style>
  <w:style w:type="table" w:styleId="35">
    <w:name w:val="Table Grid"/>
    <w:basedOn w:val="34"/>
    <w:qFormat/>
    <w:locked/>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locked/>
    <w:uiPriority w:val="0"/>
    <w:rPr>
      <w:b/>
      <w:bCs/>
    </w:rPr>
  </w:style>
  <w:style w:type="character" w:styleId="38">
    <w:name w:val="page number"/>
    <w:basedOn w:val="36"/>
    <w:qFormat/>
    <w:uiPriority w:val="0"/>
  </w:style>
  <w:style w:type="character" w:styleId="39">
    <w:name w:val="FollowedHyperlink"/>
    <w:basedOn w:val="36"/>
    <w:qFormat/>
    <w:uiPriority w:val="99"/>
    <w:rPr>
      <w:color w:val="800080"/>
      <w:u w:val="single"/>
    </w:rPr>
  </w:style>
  <w:style w:type="character" w:styleId="40">
    <w:name w:val="Emphasis"/>
    <w:basedOn w:val="36"/>
    <w:qFormat/>
    <w:locked/>
    <w:uiPriority w:val="20"/>
    <w:rPr>
      <w:i/>
      <w:iCs/>
    </w:rPr>
  </w:style>
  <w:style w:type="character" w:styleId="41">
    <w:name w:val="Hyperlink"/>
    <w:basedOn w:val="36"/>
    <w:qFormat/>
    <w:uiPriority w:val="99"/>
    <w:rPr>
      <w:color w:val="0000FF"/>
      <w:u w:val="single"/>
    </w:rPr>
  </w:style>
  <w:style w:type="character" w:styleId="42">
    <w:name w:val="annotation reference"/>
    <w:basedOn w:val="36"/>
    <w:semiHidden/>
    <w:qFormat/>
    <w:uiPriority w:val="99"/>
    <w:rPr>
      <w:sz w:val="21"/>
      <w:szCs w:val="21"/>
    </w:rPr>
  </w:style>
  <w:style w:type="character" w:customStyle="1" w:styleId="43">
    <w:name w:val="标题 1 字符"/>
    <w:basedOn w:val="36"/>
    <w:link w:val="4"/>
    <w:qFormat/>
    <w:locked/>
    <w:uiPriority w:val="9"/>
    <w:rPr>
      <w:rFonts w:ascii="Times New Roman" w:hAnsi="Times New Roman" w:eastAsia="宋体" w:cs="Times New Roman"/>
      <w:b/>
      <w:bCs/>
      <w:kern w:val="44"/>
      <w:sz w:val="44"/>
      <w:szCs w:val="44"/>
    </w:rPr>
  </w:style>
  <w:style w:type="character" w:customStyle="1" w:styleId="44">
    <w:name w:val="标题 3 字符"/>
    <w:basedOn w:val="36"/>
    <w:link w:val="7"/>
    <w:qFormat/>
    <w:locked/>
    <w:uiPriority w:val="9"/>
    <w:rPr>
      <w:rFonts w:ascii="Times New Roman" w:hAnsi="Times New Roman" w:eastAsia="宋体" w:cs="Times New Roman"/>
      <w:b/>
      <w:bCs/>
      <w:sz w:val="20"/>
      <w:szCs w:val="20"/>
    </w:rPr>
  </w:style>
  <w:style w:type="character" w:customStyle="1" w:styleId="45">
    <w:name w:val="页眉 字符"/>
    <w:basedOn w:val="36"/>
    <w:link w:val="22"/>
    <w:qFormat/>
    <w:locked/>
    <w:uiPriority w:val="99"/>
    <w:rPr>
      <w:sz w:val="18"/>
      <w:szCs w:val="18"/>
    </w:rPr>
  </w:style>
  <w:style w:type="character" w:customStyle="1" w:styleId="46">
    <w:name w:val="页脚 字符"/>
    <w:basedOn w:val="36"/>
    <w:link w:val="21"/>
    <w:qFormat/>
    <w:locked/>
    <w:uiPriority w:val="99"/>
    <w:rPr>
      <w:sz w:val="18"/>
      <w:szCs w:val="18"/>
    </w:rPr>
  </w:style>
  <w:style w:type="character" w:customStyle="1" w:styleId="47">
    <w:name w:val="Document Map Char"/>
    <w:qFormat/>
    <w:locked/>
    <w:uiPriority w:val="99"/>
    <w:rPr>
      <w:rFonts w:ascii="宋体" w:cs="宋体"/>
      <w:sz w:val="18"/>
      <w:szCs w:val="18"/>
    </w:rPr>
  </w:style>
  <w:style w:type="character" w:customStyle="1" w:styleId="48">
    <w:name w:val="Date Char"/>
    <w:qFormat/>
    <w:locked/>
    <w:uiPriority w:val="99"/>
    <w:rPr>
      <w:sz w:val="24"/>
      <w:szCs w:val="24"/>
    </w:rPr>
  </w:style>
  <w:style w:type="character" w:customStyle="1" w:styleId="49">
    <w:name w:val="Plain Text Char"/>
    <w:qFormat/>
    <w:locked/>
    <w:uiPriority w:val="99"/>
    <w:rPr>
      <w:rFonts w:ascii="宋体" w:hAnsi="Courier New" w:cs="宋体"/>
      <w:sz w:val="21"/>
      <w:szCs w:val="21"/>
    </w:rPr>
  </w:style>
  <w:style w:type="character" w:customStyle="1" w:styleId="50">
    <w:name w:val="Comment Text Char"/>
    <w:qFormat/>
    <w:locked/>
    <w:uiPriority w:val="0"/>
    <w:rPr>
      <w:sz w:val="24"/>
      <w:szCs w:val="24"/>
    </w:rPr>
  </w:style>
  <w:style w:type="character" w:customStyle="1" w:styleId="51">
    <w:name w:val="Body Text 2 Char"/>
    <w:qFormat/>
    <w:locked/>
    <w:uiPriority w:val="99"/>
    <w:rPr>
      <w:sz w:val="32"/>
      <w:szCs w:val="32"/>
    </w:rPr>
  </w:style>
  <w:style w:type="character" w:customStyle="1" w:styleId="52">
    <w:name w:val="Balloon Text Char"/>
    <w:qFormat/>
    <w:locked/>
    <w:uiPriority w:val="99"/>
    <w:rPr>
      <w:sz w:val="18"/>
      <w:szCs w:val="18"/>
    </w:rPr>
  </w:style>
  <w:style w:type="paragraph" w:customStyle="1" w:styleId="5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4">
    <w:name w:val="文档结构图 字符"/>
    <w:basedOn w:val="36"/>
    <w:link w:val="11"/>
    <w:semiHidden/>
    <w:qFormat/>
    <w:locked/>
    <w:uiPriority w:val="0"/>
    <w:rPr>
      <w:rFonts w:ascii="Times New Roman" w:hAnsi="Times New Roman" w:cs="Times New Roman"/>
      <w:sz w:val="2"/>
      <w:szCs w:val="2"/>
    </w:rPr>
  </w:style>
  <w:style w:type="character" w:customStyle="1" w:styleId="55">
    <w:name w:val="文档结构图 Char1"/>
    <w:basedOn w:val="36"/>
    <w:semiHidden/>
    <w:qFormat/>
    <w:uiPriority w:val="99"/>
    <w:rPr>
      <w:rFonts w:ascii="宋体" w:hAnsi="Times New Roman" w:eastAsia="宋体" w:cs="宋体"/>
      <w:sz w:val="18"/>
      <w:szCs w:val="18"/>
    </w:rPr>
  </w:style>
  <w:style w:type="character" w:customStyle="1" w:styleId="56">
    <w:name w:val="日期 字符"/>
    <w:basedOn w:val="36"/>
    <w:link w:val="18"/>
    <w:qFormat/>
    <w:locked/>
    <w:uiPriority w:val="0"/>
    <w:rPr>
      <w:rFonts w:ascii="Times New Roman" w:hAnsi="Times New Roman" w:cs="Times New Roman"/>
      <w:sz w:val="21"/>
      <w:szCs w:val="21"/>
    </w:rPr>
  </w:style>
  <w:style w:type="character" w:customStyle="1" w:styleId="57">
    <w:name w:val="日期 Char1"/>
    <w:basedOn w:val="36"/>
    <w:semiHidden/>
    <w:qFormat/>
    <w:uiPriority w:val="99"/>
    <w:rPr>
      <w:rFonts w:ascii="Times New Roman" w:hAnsi="Times New Roman" w:eastAsia="宋体" w:cs="Times New Roman"/>
      <w:sz w:val="24"/>
      <w:szCs w:val="24"/>
    </w:rPr>
  </w:style>
  <w:style w:type="character" w:customStyle="1" w:styleId="58">
    <w:name w:val="批注框文本 字符"/>
    <w:basedOn w:val="36"/>
    <w:link w:val="20"/>
    <w:semiHidden/>
    <w:qFormat/>
    <w:locked/>
    <w:uiPriority w:val="99"/>
    <w:rPr>
      <w:rFonts w:ascii="Times New Roman" w:hAnsi="Times New Roman" w:cs="Times New Roman"/>
      <w:sz w:val="2"/>
      <w:szCs w:val="2"/>
    </w:rPr>
  </w:style>
  <w:style w:type="character" w:customStyle="1" w:styleId="59">
    <w:name w:val="批注框文本 Char1"/>
    <w:basedOn w:val="36"/>
    <w:semiHidden/>
    <w:qFormat/>
    <w:uiPriority w:val="99"/>
    <w:rPr>
      <w:rFonts w:ascii="Times New Roman" w:hAnsi="Times New Roman" w:eastAsia="宋体" w:cs="Times New Roman"/>
      <w:sz w:val="18"/>
      <w:szCs w:val="18"/>
    </w:rPr>
  </w:style>
  <w:style w:type="character" w:customStyle="1" w:styleId="60">
    <w:name w:val="纯文本 字符"/>
    <w:basedOn w:val="36"/>
    <w:link w:val="16"/>
    <w:qFormat/>
    <w:locked/>
    <w:uiPriority w:val="99"/>
    <w:rPr>
      <w:rFonts w:ascii="宋体" w:hAnsi="Courier New" w:cs="宋体"/>
      <w:sz w:val="21"/>
      <w:szCs w:val="21"/>
    </w:rPr>
  </w:style>
  <w:style w:type="character" w:customStyle="1" w:styleId="61">
    <w:name w:val="纯文本 Char1"/>
    <w:basedOn w:val="36"/>
    <w:semiHidden/>
    <w:qFormat/>
    <w:uiPriority w:val="99"/>
    <w:rPr>
      <w:rFonts w:ascii="宋体" w:hAnsi="Courier New" w:eastAsia="宋体" w:cs="宋体"/>
      <w:sz w:val="21"/>
      <w:szCs w:val="21"/>
    </w:rPr>
  </w:style>
  <w:style w:type="character" w:customStyle="1" w:styleId="62">
    <w:name w:val="正文文本 2 字符"/>
    <w:basedOn w:val="36"/>
    <w:link w:val="30"/>
    <w:qFormat/>
    <w:locked/>
    <w:uiPriority w:val="99"/>
    <w:rPr>
      <w:rFonts w:ascii="Times New Roman" w:hAnsi="Times New Roman" w:cs="Times New Roman"/>
      <w:sz w:val="21"/>
      <w:szCs w:val="21"/>
    </w:rPr>
  </w:style>
  <w:style w:type="character" w:customStyle="1" w:styleId="63">
    <w:name w:val="正文文本 2 Char1"/>
    <w:basedOn w:val="36"/>
    <w:semiHidden/>
    <w:qFormat/>
    <w:uiPriority w:val="99"/>
    <w:rPr>
      <w:rFonts w:ascii="Times New Roman" w:hAnsi="Times New Roman" w:eastAsia="宋体" w:cs="Times New Roman"/>
      <w:sz w:val="24"/>
      <w:szCs w:val="24"/>
    </w:rPr>
  </w:style>
  <w:style w:type="character" w:customStyle="1" w:styleId="64">
    <w:name w:val="批注文字 字符"/>
    <w:basedOn w:val="36"/>
    <w:link w:val="12"/>
    <w:semiHidden/>
    <w:qFormat/>
    <w:locked/>
    <w:uiPriority w:val="99"/>
    <w:rPr>
      <w:rFonts w:ascii="Times New Roman" w:hAnsi="Times New Roman" w:cs="Times New Roman"/>
      <w:sz w:val="21"/>
      <w:szCs w:val="21"/>
    </w:rPr>
  </w:style>
  <w:style w:type="character" w:customStyle="1" w:styleId="65">
    <w:name w:val="批注文字 Char1"/>
    <w:basedOn w:val="36"/>
    <w:semiHidden/>
    <w:qFormat/>
    <w:uiPriority w:val="99"/>
    <w:rPr>
      <w:rFonts w:ascii="Times New Roman" w:hAnsi="Times New Roman" w:eastAsia="宋体" w:cs="Times New Roman"/>
      <w:sz w:val="24"/>
      <w:szCs w:val="24"/>
    </w:rPr>
  </w:style>
  <w:style w:type="paragraph" w:customStyle="1" w:styleId="66">
    <w:name w:val="附录标识"/>
    <w:basedOn w:val="1"/>
    <w:qFormat/>
    <w:uiPriority w:val="99"/>
    <w:pPr>
      <w:widowControl/>
      <w:shd w:val="clear" w:color="FFFFFF" w:fill="FFFFFF"/>
      <w:tabs>
        <w:tab w:val="left" w:pos="6405"/>
      </w:tabs>
      <w:spacing w:before="640" w:after="200"/>
      <w:ind w:left="900"/>
      <w:jc w:val="center"/>
      <w:outlineLvl w:val="0"/>
    </w:pPr>
    <w:rPr>
      <w:rFonts w:ascii="黑体" w:eastAsia="黑体" w:cs="黑体"/>
      <w:kern w:val="0"/>
    </w:rPr>
  </w:style>
  <w:style w:type="paragraph" w:styleId="67">
    <w:name w:val="List Paragraph"/>
    <w:basedOn w:val="1"/>
    <w:qFormat/>
    <w:uiPriority w:val="34"/>
    <w:pPr>
      <w:ind w:firstLine="420" w:firstLineChars="200"/>
    </w:pPr>
  </w:style>
  <w:style w:type="paragraph" w:customStyle="1" w:styleId="68">
    <w:name w:val="列出段落1"/>
    <w:basedOn w:val="1"/>
    <w:qFormat/>
    <w:uiPriority w:val="99"/>
    <w:pPr>
      <w:ind w:firstLine="420" w:firstLineChars="200"/>
    </w:pPr>
    <w:rPr>
      <w:rFonts w:ascii="Calibri" w:hAnsi="Calibri" w:cs="Calibri"/>
    </w:rPr>
  </w:style>
  <w:style w:type="paragraph" w:customStyle="1" w:styleId="69">
    <w:name w:val="字元 字元 Char Char"/>
    <w:basedOn w:val="18"/>
    <w:next w:val="1"/>
    <w:qFormat/>
    <w:uiPriority w:val="0"/>
  </w:style>
  <w:style w:type="character" w:customStyle="1" w:styleId="70">
    <w:name w:val="标题 字符"/>
    <w:basedOn w:val="36"/>
    <w:link w:val="32"/>
    <w:qFormat/>
    <w:locked/>
    <w:uiPriority w:val="99"/>
    <w:rPr>
      <w:rFonts w:ascii="Cambria" w:hAnsi="Cambria" w:eastAsia="宋体" w:cs="Cambria"/>
      <w:b/>
      <w:bCs/>
      <w:sz w:val="32"/>
      <w:szCs w:val="32"/>
    </w:rPr>
  </w:style>
  <w:style w:type="paragraph" w:customStyle="1" w:styleId="71">
    <w:name w:val="段"/>
    <w:link w:val="72"/>
    <w:qFormat/>
    <w:uiPriority w:val="0"/>
    <w:pPr>
      <w:tabs>
        <w:tab w:val="center" w:pos="4201"/>
        <w:tab w:val="right" w:leader="dot" w:pos="9298"/>
      </w:tabs>
      <w:autoSpaceDE w:val="0"/>
      <w:autoSpaceDN w:val="0"/>
      <w:ind w:firstLine="420" w:firstLineChars="200"/>
      <w:jc w:val="both"/>
    </w:pPr>
    <w:rPr>
      <w:rFonts w:ascii="宋体" w:hAnsi="Times New Roman" w:eastAsia="宋体" w:cs="宋体"/>
      <w:sz w:val="21"/>
      <w:szCs w:val="21"/>
      <w:lang w:val="en-US" w:eastAsia="zh-CN" w:bidi="ar-SA"/>
    </w:rPr>
  </w:style>
  <w:style w:type="character" w:customStyle="1" w:styleId="72">
    <w:name w:val="段 Char"/>
    <w:basedOn w:val="36"/>
    <w:link w:val="71"/>
    <w:qFormat/>
    <w:locked/>
    <w:uiPriority w:val="0"/>
    <w:rPr>
      <w:rFonts w:ascii="宋体" w:hAnsi="Times New Roman" w:cs="宋体"/>
      <w:sz w:val="21"/>
      <w:szCs w:val="21"/>
      <w:lang w:val="en-US" w:eastAsia="zh-CN" w:bidi="ar-SA"/>
    </w:rPr>
  </w:style>
  <w:style w:type="paragraph" w:customStyle="1" w:styleId="73">
    <w:name w:val="修订1"/>
    <w:hidden/>
    <w:semiHidden/>
    <w:qFormat/>
    <w:uiPriority w:val="99"/>
    <w:rPr>
      <w:rFonts w:ascii="Times New Roman" w:hAnsi="Times New Roman" w:eastAsia="宋体" w:cs="Times New Roman"/>
      <w:kern w:val="2"/>
      <w:sz w:val="21"/>
      <w:szCs w:val="21"/>
      <w:lang w:val="en-US" w:eastAsia="zh-CN" w:bidi="ar-SA"/>
    </w:rPr>
  </w:style>
  <w:style w:type="character" w:customStyle="1" w:styleId="74">
    <w:name w:val="副标题 字符"/>
    <w:basedOn w:val="36"/>
    <w:link w:val="25"/>
    <w:qFormat/>
    <w:uiPriority w:val="99"/>
    <w:rPr>
      <w:rFonts w:ascii="Cambria" w:hAnsi="Cambria" w:cs="Times New Roman"/>
      <w:b/>
      <w:bCs/>
      <w:kern w:val="28"/>
      <w:sz w:val="32"/>
      <w:szCs w:val="32"/>
    </w:rPr>
  </w:style>
  <w:style w:type="paragraph" w:styleId="75">
    <w:name w:val="No Spacing"/>
    <w:qFormat/>
    <w:uiPriority w:val="1"/>
    <w:pPr>
      <w:widowControl w:val="0"/>
      <w:jc w:val="both"/>
    </w:pPr>
    <w:rPr>
      <w:rFonts w:ascii="Times New Roman" w:hAnsi="Times New Roman" w:eastAsia="宋体" w:cs="Times New Roman"/>
      <w:kern w:val="2"/>
      <w:sz w:val="21"/>
      <w:szCs w:val="21"/>
      <w:lang w:val="en-US" w:eastAsia="zh-CN" w:bidi="ar-SA"/>
    </w:rPr>
  </w:style>
  <w:style w:type="paragraph" w:customStyle="1" w:styleId="76">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77">
    <w:name w:val="批注主题 字符"/>
    <w:basedOn w:val="64"/>
    <w:link w:val="33"/>
    <w:semiHidden/>
    <w:qFormat/>
    <w:uiPriority w:val="99"/>
    <w:rPr>
      <w:rFonts w:ascii="Times New Roman" w:hAnsi="Times New Roman" w:cs="Times New Roman"/>
      <w:b/>
      <w:bCs/>
      <w:kern w:val="2"/>
      <w:sz w:val="21"/>
      <w:szCs w:val="21"/>
    </w:rPr>
  </w:style>
  <w:style w:type="character" w:customStyle="1" w:styleId="78">
    <w:name w:val="标题 2 字符"/>
    <w:basedOn w:val="36"/>
    <w:link w:val="5"/>
    <w:qFormat/>
    <w:uiPriority w:val="9"/>
    <w:rPr>
      <w:rFonts w:ascii="Arial" w:hAnsi="Arial" w:eastAsia="黑体"/>
      <w:b/>
      <w:bCs/>
      <w:kern w:val="2"/>
      <w:sz w:val="32"/>
      <w:szCs w:val="32"/>
    </w:rPr>
  </w:style>
  <w:style w:type="character" w:customStyle="1" w:styleId="79">
    <w:name w:val="apple-converted-space"/>
    <w:basedOn w:val="36"/>
    <w:qFormat/>
    <w:uiPriority w:val="0"/>
  </w:style>
  <w:style w:type="character" w:customStyle="1" w:styleId="80">
    <w:name w:val="正文文本缩进 2 字符"/>
    <w:basedOn w:val="36"/>
    <w:link w:val="19"/>
    <w:qFormat/>
    <w:uiPriority w:val="0"/>
    <w:rPr>
      <w:rFonts w:ascii="Times New Roman" w:hAnsi="Times New Roman"/>
      <w:kern w:val="2"/>
      <w:sz w:val="21"/>
      <w:szCs w:val="21"/>
    </w:rPr>
  </w:style>
  <w:style w:type="character" w:customStyle="1" w:styleId="81">
    <w:name w:val="正文文本缩进 3 字符"/>
    <w:basedOn w:val="36"/>
    <w:link w:val="27"/>
    <w:qFormat/>
    <w:uiPriority w:val="0"/>
    <w:rPr>
      <w:rFonts w:ascii="Times New Roman" w:hAnsi="Times New Roman"/>
      <w:kern w:val="2"/>
      <w:sz w:val="16"/>
      <w:szCs w:val="16"/>
    </w:rPr>
  </w:style>
  <w:style w:type="character" w:customStyle="1" w:styleId="82">
    <w:name w:val="正文文本缩进 字符"/>
    <w:basedOn w:val="36"/>
    <w:link w:val="3"/>
    <w:qFormat/>
    <w:uiPriority w:val="0"/>
    <w:rPr>
      <w:rFonts w:ascii="Times New Roman" w:hAnsi="Times New Roman"/>
      <w:kern w:val="2"/>
      <w:sz w:val="21"/>
      <w:szCs w:val="24"/>
    </w:rPr>
  </w:style>
  <w:style w:type="character" w:customStyle="1" w:styleId="83">
    <w:name w:val="正文文本 字符"/>
    <w:basedOn w:val="36"/>
    <w:link w:val="13"/>
    <w:qFormat/>
    <w:uiPriority w:val="1"/>
    <w:rPr>
      <w:rFonts w:ascii="Times New Roman" w:hAnsi="Times New Roman"/>
      <w:color w:val="000000"/>
      <w:kern w:val="2"/>
      <w:sz w:val="15"/>
      <w:szCs w:val="24"/>
    </w:rPr>
  </w:style>
  <w:style w:type="paragraph" w:customStyle="1" w:styleId="84">
    <w:name w:val="1"/>
    <w:basedOn w:val="1"/>
    <w:next w:val="3"/>
    <w:qFormat/>
    <w:uiPriority w:val="0"/>
    <w:pPr>
      <w:spacing w:line="360" w:lineRule="auto"/>
      <w:ind w:firstLine="435"/>
    </w:pPr>
    <w:rPr>
      <w:b/>
      <w:bCs/>
      <w:szCs w:val="24"/>
    </w:rPr>
  </w:style>
  <w:style w:type="character" w:customStyle="1" w:styleId="85">
    <w:name w:val="Char Char1"/>
    <w:qFormat/>
    <w:uiPriority w:val="0"/>
    <w:rPr>
      <w:rFonts w:ascii="宋体" w:hAnsi="宋体" w:eastAsia="宋体"/>
      <w:b/>
      <w:bCs/>
      <w:color w:val="FF0000"/>
      <w:kern w:val="2"/>
      <w:sz w:val="21"/>
      <w:szCs w:val="24"/>
      <w:lang w:val="en-US" w:eastAsia="zh-CN" w:bidi="ar-SA"/>
    </w:rPr>
  </w:style>
  <w:style w:type="character" w:customStyle="1" w:styleId="86">
    <w:name w:val="发布"/>
    <w:qFormat/>
    <w:uiPriority w:val="0"/>
    <w:rPr>
      <w:rFonts w:ascii="黑体" w:eastAsia="黑体"/>
      <w:spacing w:val="22"/>
      <w:w w:val="100"/>
      <w:position w:val="3"/>
      <w:sz w:val="28"/>
    </w:rPr>
  </w:style>
  <w:style w:type="paragraph" w:customStyle="1" w:styleId="87">
    <w:name w:val="实施日期"/>
    <w:basedOn w:val="88"/>
    <w:qFormat/>
    <w:uiPriority w:val="0"/>
    <w:pPr>
      <w:jc w:val="right"/>
    </w:pPr>
  </w:style>
  <w:style w:type="paragraph" w:customStyle="1" w:styleId="88">
    <w:name w:val="发布日期"/>
    <w:qFormat/>
    <w:uiPriority w:val="0"/>
    <w:rPr>
      <w:rFonts w:ascii="Times New Roman" w:hAnsi="Times New Roman" w:eastAsia="黑体" w:cs="Times New Roman"/>
      <w:sz w:val="28"/>
      <w:lang w:val="en-US" w:eastAsia="zh-CN" w:bidi="ar-SA"/>
    </w:rPr>
  </w:style>
  <w:style w:type="paragraph" w:customStyle="1" w:styleId="89">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90">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91">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92">
    <w:name w:val="发布部门"/>
    <w:next w:val="71"/>
    <w:qFormat/>
    <w:uiPriority w:val="0"/>
    <w:pPr>
      <w:jc w:val="center"/>
    </w:pPr>
    <w:rPr>
      <w:rFonts w:ascii="宋体" w:hAnsi="Times New Roman" w:eastAsia="宋体" w:cs="Times New Roman"/>
      <w:b/>
      <w:spacing w:val="20"/>
      <w:w w:val="135"/>
      <w:sz w:val="36"/>
      <w:lang w:val="en-US" w:eastAsia="zh-CN" w:bidi="ar-SA"/>
    </w:rPr>
  </w:style>
  <w:style w:type="paragraph" w:customStyle="1" w:styleId="9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9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95">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9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97">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character" w:customStyle="1" w:styleId="98">
    <w:name w:val="Heading 1 Char"/>
    <w:qFormat/>
    <w:locked/>
    <w:uiPriority w:val="0"/>
    <w:rPr>
      <w:rFonts w:ascii="宋体" w:hAnsi="宋体" w:eastAsia="宋体" w:cs="Times New Roman"/>
      <w:b/>
      <w:bCs/>
      <w:color w:val="FF0000"/>
      <w:sz w:val="24"/>
      <w:szCs w:val="24"/>
    </w:rPr>
  </w:style>
  <w:style w:type="character" w:customStyle="1" w:styleId="99">
    <w:name w:val="Char Char11"/>
    <w:qFormat/>
    <w:uiPriority w:val="0"/>
    <w:rPr>
      <w:rFonts w:ascii="宋体" w:hAnsi="宋体" w:eastAsia="宋体"/>
      <w:b/>
      <w:color w:val="FF0000"/>
      <w:kern w:val="2"/>
      <w:sz w:val="24"/>
      <w:lang w:val="en-US" w:eastAsia="zh-CN"/>
    </w:rPr>
  </w:style>
  <w:style w:type="paragraph" w:customStyle="1" w:styleId="100">
    <w:name w:val="_Style 95"/>
    <w:qFormat/>
    <w:uiPriority w:val="0"/>
    <w:rPr>
      <w:rFonts w:ascii="Calibri" w:hAnsi="Calibri" w:eastAsia="宋体" w:cs="Times New Roman"/>
      <w:lang w:val="en-US" w:eastAsia="zh-CN" w:bidi="ar-SA"/>
    </w:rPr>
  </w:style>
  <w:style w:type="character" w:styleId="101">
    <w:name w:val="Placeholder Text"/>
    <w:basedOn w:val="36"/>
    <w:semiHidden/>
    <w:qFormat/>
    <w:uiPriority w:val="99"/>
    <w:rPr>
      <w:color w:val="808080"/>
    </w:rPr>
  </w:style>
  <w:style w:type="character" w:customStyle="1" w:styleId="102">
    <w:name w:val="font21"/>
    <w:basedOn w:val="36"/>
    <w:qFormat/>
    <w:uiPriority w:val="0"/>
    <w:rPr>
      <w:rFonts w:ascii="宋体" w:hAnsi="宋体" w:eastAsia="宋体" w:cs="宋体"/>
      <w:color w:val="000000"/>
      <w:sz w:val="16"/>
      <w:szCs w:val="16"/>
      <w:u w:val="none"/>
    </w:rPr>
  </w:style>
  <w:style w:type="character" w:customStyle="1" w:styleId="103">
    <w:name w:val="fontstyle01"/>
    <w:basedOn w:val="36"/>
    <w:qFormat/>
    <w:uiPriority w:val="0"/>
    <w:rPr>
      <w:rFonts w:hint="default" w:ascii="FZSSK--GBK1-0" w:hAnsi="FZSSK--GBK1-0"/>
      <w:color w:val="000000"/>
      <w:sz w:val="16"/>
      <w:szCs w:val="16"/>
    </w:rPr>
  </w:style>
  <w:style w:type="character" w:customStyle="1" w:styleId="104">
    <w:name w:val="fontstyle11"/>
    <w:basedOn w:val="36"/>
    <w:qFormat/>
    <w:uiPriority w:val="0"/>
    <w:rPr>
      <w:rFonts w:hint="default" w:ascii="E-BZ" w:hAnsi="E-BZ"/>
      <w:color w:val="000000"/>
      <w:sz w:val="16"/>
      <w:szCs w:val="16"/>
    </w:rPr>
  </w:style>
  <w:style w:type="paragraph" w:customStyle="1" w:styleId="105">
    <w:name w:val="样式 标题 2101节H2Heading 2 HiddenHeading 2 CCBSheading 2h2节名..."/>
    <w:basedOn w:val="5"/>
    <w:next w:val="1"/>
    <w:qFormat/>
    <w:uiPriority w:val="0"/>
    <w:rPr>
      <w:rFonts w:cs="宋体"/>
      <w:szCs w:val="20"/>
    </w:rPr>
  </w:style>
  <w:style w:type="paragraph" w:customStyle="1" w:styleId="106">
    <w:name w:val="修订2"/>
    <w:hidden/>
    <w:semiHidden/>
    <w:qFormat/>
    <w:uiPriority w:val="99"/>
    <w:rPr>
      <w:rFonts w:ascii="Times New Roman" w:hAnsi="Times New Roman" w:eastAsia="宋体" w:cs="Times New Roman"/>
      <w:kern w:val="2"/>
      <w:sz w:val="21"/>
      <w:szCs w:val="21"/>
      <w:lang w:val="en-US" w:eastAsia="zh-CN" w:bidi="ar-SA"/>
    </w:rPr>
  </w:style>
  <w:style w:type="character" w:customStyle="1" w:styleId="107">
    <w:name w:val="标题 5 字符"/>
    <w:basedOn w:val="36"/>
    <w:link w:val="8"/>
    <w:qFormat/>
    <w:uiPriority w:val="9"/>
    <w:rPr>
      <w:rFonts w:eastAsia="Songti SC" w:cs="Times New Roman (正文 CS 字体)"/>
      <w:bCs/>
      <w:kern w:val="2"/>
      <w:sz w:val="28"/>
      <w:szCs w:val="28"/>
    </w:rPr>
  </w:style>
  <w:style w:type="character" w:customStyle="1" w:styleId="108">
    <w:name w:val="正文文本首行缩进 2 字符"/>
    <w:basedOn w:val="82"/>
    <w:link w:val="2"/>
    <w:qFormat/>
    <w:uiPriority w:val="0"/>
    <w:rPr>
      <w:rFonts w:ascii="Times New Roman" w:hAnsi="Times New Roman"/>
      <w:kern w:val="2"/>
      <w:sz w:val="21"/>
      <w:szCs w:val="24"/>
    </w:rPr>
  </w:style>
  <w:style w:type="paragraph" w:customStyle="1" w:styleId="109">
    <w:name w:val="TOC 标题2"/>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110">
    <w:name w:val="未处理的提及1"/>
    <w:basedOn w:val="36"/>
    <w:semiHidden/>
    <w:unhideWhenUsed/>
    <w:qFormat/>
    <w:uiPriority w:val="99"/>
    <w:rPr>
      <w:color w:val="605E5C"/>
      <w:shd w:val="clear" w:color="auto" w:fill="E1DFDD"/>
    </w:rPr>
  </w:style>
  <w:style w:type="paragraph" w:customStyle="1" w:styleId="111">
    <w:name w:val="修订3"/>
    <w:hidden/>
    <w:semiHidden/>
    <w:qFormat/>
    <w:uiPriority w:val="99"/>
    <w:rPr>
      <w:rFonts w:ascii="Times New Roman" w:hAnsi="Times New Roman" w:eastAsia="宋体" w:cs="Times New Roman"/>
      <w:kern w:val="2"/>
      <w:sz w:val="21"/>
      <w:szCs w:val="21"/>
      <w:lang w:val="en-US" w:eastAsia="zh-CN" w:bidi="ar-SA"/>
    </w:rPr>
  </w:style>
  <w:style w:type="paragraph" w:customStyle="1" w:styleId="112">
    <w:name w:val="修订31"/>
    <w:hidden/>
    <w:semiHidden/>
    <w:qFormat/>
    <w:uiPriority w:val="99"/>
    <w:rPr>
      <w:rFonts w:ascii="Times New Roman" w:hAnsi="Times New Roman" w:eastAsia="宋体" w:cs="Times New Roman"/>
      <w:kern w:val="2"/>
      <w:sz w:val="21"/>
      <w:szCs w:val="21"/>
      <w:lang w:val="en-US" w:eastAsia="zh-CN" w:bidi="ar-SA"/>
    </w:rPr>
  </w:style>
  <w:style w:type="character" w:customStyle="1" w:styleId="113">
    <w:name w:val="未处理的提及2"/>
    <w:basedOn w:val="36"/>
    <w:semiHidden/>
    <w:unhideWhenUsed/>
    <w:qFormat/>
    <w:uiPriority w:val="99"/>
    <w:rPr>
      <w:color w:val="605E5C"/>
      <w:shd w:val="clear" w:color="auto" w:fill="E1DFDD"/>
    </w:rPr>
  </w:style>
  <w:style w:type="paragraph" w:customStyle="1" w:styleId="114">
    <w:name w:val="Revision"/>
    <w:hidden/>
    <w:unhideWhenUsed/>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5.wmf"/><Relationship Id="rId97" Type="http://schemas.openxmlformats.org/officeDocument/2006/relationships/oleObject" Target="embeddings/oleObject44.bin"/><Relationship Id="rId96" Type="http://schemas.openxmlformats.org/officeDocument/2006/relationships/image" Target="media/image44.wmf"/><Relationship Id="rId95" Type="http://schemas.openxmlformats.org/officeDocument/2006/relationships/oleObject" Target="embeddings/oleObject43.bin"/><Relationship Id="rId94" Type="http://schemas.openxmlformats.org/officeDocument/2006/relationships/image" Target="media/image43.wmf"/><Relationship Id="rId93" Type="http://schemas.openxmlformats.org/officeDocument/2006/relationships/oleObject" Target="embeddings/oleObject42.bin"/><Relationship Id="rId92" Type="http://schemas.openxmlformats.org/officeDocument/2006/relationships/image" Target="media/image42.wmf"/><Relationship Id="rId91" Type="http://schemas.openxmlformats.org/officeDocument/2006/relationships/oleObject" Target="embeddings/oleObject41.bin"/><Relationship Id="rId90" Type="http://schemas.openxmlformats.org/officeDocument/2006/relationships/image" Target="media/image41.wmf"/><Relationship Id="rId9" Type="http://schemas.openxmlformats.org/officeDocument/2006/relationships/theme" Target="theme/theme1.xml"/><Relationship Id="rId89" Type="http://schemas.openxmlformats.org/officeDocument/2006/relationships/oleObject" Target="embeddings/oleObject40.bin"/><Relationship Id="rId88" Type="http://schemas.openxmlformats.org/officeDocument/2006/relationships/image" Target="media/image40.wmf"/><Relationship Id="rId87" Type="http://schemas.openxmlformats.org/officeDocument/2006/relationships/oleObject" Target="embeddings/oleObject39.bin"/><Relationship Id="rId86" Type="http://schemas.openxmlformats.org/officeDocument/2006/relationships/image" Target="media/image39.wmf"/><Relationship Id="rId85" Type="http://schemas.openxmlformats.org/officeDocument/2006/relationships/oleObject" Target="embeddings/oleObject38.bin"/><Relationship Id="rId84" Type="http://schemas.openxmlformats.org/officeDocument/2006/relationships/image" Target="media/image38.wmf"/><Relationship Id="rId83" Type="http://schemas.openxmlformats.org/officeDocument/2006/relationships/oleObject" Target="embeddings/oleObject37.bin"/><Relationship Id="rId82" Type="http://schemas.openxmlformats.org/officeDocument/2006/relationships/image" Target="media/image37.wmf"/><Relationship Id="rId81" Type="http://schemas.openxmlformats.org/officeDocument/2006/relationships/oleObject" Target="embeddings/oleObject36.bin"/><Relationship Id="rId80" Type="http://schemas.openxmlformats.org/officeDocument/2006/relationships/image" Target="media/image36.wmf"/><Relationship Id="rId8" Type="http://schemas.openxmlformats.org/officeDocument/2006/relationships/footer" Target="footer3.xml"/><Relationship Id="rId79" Type="http://schemas.openxmlformats.org/officeDocument/2006/relationships/oleObject" Target="embeddings/oleObject35.bin"/><Relationship Id="rId78" Type="http://schemas.openxmlformats.org/officeDocument/2006/relationships/image" Target="media/image35.wmf"/><Relationship Id="rId77" Type="http://schemas.openxmlformats.org/officeDocument/2006/relationships/oleObject" Target="embeddings/oleObject34.bin"/><Relationship Id="rId76" Type="http://schemas.openxmlformats.org/officeDocument/2006/relationships/image" Target="media/image34.wmf"/><Relationship Id="rId75" Type="http://schemas.openxmlformats.org/officeDocument/2006/relationships/oleObject" Target="embeddings/oleObject33.bin"/><Relationship Id="rId74" Type="http://schemas.openxmlformats.org/officeDocument/2006/relationships/image" Target="media/image33.wmf"/><Relationship Id="rId73" Type="http://schemas.openxmlformats.org/officeDocument/2006/relationships/oleObject" Target="embeddings/oleObject32.bin"/><Relationship Id="rId72" Type="http://schemas.openxmlformats.org/officeDocument/2006/relationships/image" Target="media/image32.wmf"/><Relationship Id="rId71" Type="http://schemas.openxmlformats.org/officeDocument/2006/relationships/oleObject" Target="embeddings/oleObject31.bin"/><Relationship Id="rId70" Type="http://schemas.openxmlformats.org/officeDocument/2006/relationships/image" Target="media/image31.wmf"/><Relationship Id="rId7" Type="http://schemas.openxmlformats.org/officeDocument/2006/relationships/header" Target="header3.xml"/><Relationship Id="rId69" Type="http://schemas.openxmlformats.org/officeDocument/2006/relationships/oleObject" Target="embeddings/oleObject30.bin"/><Relationship Id="rId68" Type="http://schemas.openxmlformats.org/officeDocument/2006/relationships/image" Target="media/image30.wmf"/><Relationship Id="rId67" Type="http://schemas.openxmlformats.org/officeDocument/2006/relationships/oleObject" Target="embeddings/oleObject29.bin"/><Relationship Id="rId66" Type="http://schemas.openxmlformats.org/officeDocument/2006/relationships/image" Target="media/image29.wmf"/><Relationship Id="rId65" Type="http://schemas.openxmlformats.org/officeDocument/2006/relationships/oleObject" Target="embeddings/oleObject28.bin"/><Relationship Id="rId64" Type="http://schemas.openxmlformats.org/officeDocument/2006/relationships/image" Target="media/image28.wmf"/><Relationship Id="rId63" Type="http://schemas.openxmlformats.org/officeDocument/2006/relationships/oleObject" Target="embeddings/oleObject27.bin"/><Relationship Id="rId62" Type="http://schemas.openxmlformats.org/officeDocument/2006/relationships/image" Target="media/image27.wmf"/><Relationship Id="rId61" Type="http://schemas.openxmlformats.org/officeDocument/2006/relationships/oleObject" Target="embeddings/oleObject26.bin"/><Relationship Id="rId60" Type="http://schemas.openxmlformats.org/officeDocument/2006/relationships/image" Target="media/image26.wmf"/><Relationship Id="rId6" Type="http://schemas.openxmlformats.org/officeDocument/2006/relationships/footer" Target="footer2.xml"/><Relationship Id="rId59" Type="http://schemas.openxmlformats.org/officeDocument/2006/relationships/oleObject" Target="embeddings/oleObject25.bin"/><Relationship Id="rId58" Type="http://schemas.openxmlformats.org/officeDocument/2006/relationships/image" Target="media/image25.wmf"/><Relationship Id="rId57" Type="http://schemas.openxmlformats.org/officeDocument/2006/relationships/oleObject" Target="embeddings/oleObject24.bin"/><Relationship Id="rId56" Type="http://schemas.openxmlformats.org/officeDocument/2006/relationships/image" Target="media/image24.wmf"/><Relationship Id="rId55" Type="http://schemas.openxmlformats.org/officeDocument/2006/relationships/oleObject" Target="embeddings/oleObject23.bin"/><Relationship Id="rId54" Type="http://schemas.openxmlformats.org/officeDocument/2006/relationships/image" Target="media/image23.wmf"/><Relationship Id="rId53" Type="http://schemas.openxmlformats.org/officeDocument/2006/relationships/oleObject" Target="embeddings/oleObject22.bin"/><Relationship Id="rId52" Type="http://schemas.openxmlformats.org/officeDocument/2006/relationships/image" Target="media/image22.wmf"/><Relationship Id="rId51" Type="http://schemas.openxmlformats.org/officeDocument/2006/relationships/oleObject" Target="embeddings/oleObject21.bin"/><Relationship Id="rId50" Type="http://schemas.openxmlformats.org/officeDocument/2006/relationships/image" Target="media/image21.wmf"/><Relationship Id="rId5" Type="http://schemas.openxmlformats.org/officeDocument/2006/relationships/footer" Target="footer1.xml"/><Relationship Id="rId49" Type="http://schemas.openxmlformats.org/officeDocument/2006/relationships/oleObject" Target="embeddings/oleObject20.bin"/><Relationship Id="rId48" Type="http://schemas.openxmlformats.org/officeDocument/2006/relationships/image" Target="media/image20.wmf"/><Relationship Id="rId47" Type="http://schemas.openxmlformats.org/officeDocument/2006/relationships/oleObject" Target="embeddings/oleObject19.bin"/><Relationship Id="rId46" Type="http://schemas.openxmlformats.org/officeDocument/2006/relationships/image" Target="media/image19.wmf"/><Relationship Id="rId45" Type="http://schemas.openxmlformats.org/officeDocument/2006/relationships/oleObject" Target="embeddings/oleObject18.bin"/><Relationship Id="rId44" Type="http://schemas.openxmlformats.org/officeDocument/2006/relationships/image" Target="media/image18.wmf"/><Relationship Id="rId43" Type="http://schemas.openxmlformats.org/officeDocument/2006/relationships/oleObject" Target="embeddings/oleObject17.bin"/><Relationship Id="rId42" Type="http://schemas.openxmlformats.org/officeDocument/2006/relationships/image" Target="media/image17.wmf"/><Relationship Id="rId41" Type="http://schemas.openxmlformats.org/officeDocument/2006/relationships/oleObject" Target="embeddings/oleObject16.bin"/><Relationship Id="rId40" Type="http://schemas.openxmlformats.org/officeDocument/2006/relationships/image" Target="media/image16.wmf"/><Relationship Id="rId4" Type="http://schemas.openxmlformats.org/officeDocument/2006/relationships/header" Target="header2.xml"/><Relationship Id="rId39" Type="http://schemas.openxmlformats.org/officeDocument/2006/relationships/oleObject" Target="embeddings/oleObject15.bin"/><Relationship Id="rId38" Type="http://schemas.openxmlformats.org/officeDocument/2006/relationships/image" Target="media/image15.wmf"/><Relationship Id="rId37" Type="http://schemas.openxmlformats.org/officeDocument/2006/relationships/oleObject" Target="embeddings/oleObject14.bin"/><Relationship Id="rId364" Type="http://schemas.openxmlformats.org/officeDocument/2006/relationships/fontTable" Target="fontTable.xml"/><Relationship Id="rId363" Type="http://schemas.openxmlformats.org/officeDocument/2006/relationships/numbering" Target="numbering.xml"/><Relationship Id="rId362" Type="http://schemas.openxmlformats.org/officeDocument/2006/relationships/customXml" Target="../customXml/item1.xml"/><Relationship Id="rId361" Type="http://schemas.openxmlformats.org/officeDocument/2006/relationships/image" Target="media/image173.wmf"/><Relationship Id="rId360" Type="http://schemas.openxmlformats.org/officeDocument/2006/relationships/oleObject" Target="embeddings/oleObject158.bin"/><Relationship Id="rId36" Type="http://schemas.openxmlformats.org/officeDocument/2006/relationships/oleObject" Target="embeddings/oleObject13.bin"/><Relationship Id="rId359" Type="http://schemas.openxmlformats.org/officeDocument/2006/relationships/image" Target="media/image172.png"/><Relationship Id="rId358" Type="http://schemas.openxmlformats.org/officeDocument/2006/relationships/image" Target="media/image171.png"/><Relationship Id="rId357" Type="http://schemas.openxmlformats.org/officeDocument/2006/relationships/image" Target="media/image170.png"/><Relationship Id="rId356" Type="http://schemas.openxmlformats.org/officeDocument/2006/relationships/image" Target="media/image169.png"/><Relationship Id="rId355" Type="http://schemas.openxmlformats.org/officeDocument/2006/relationships/image" Target="media/image168.png"/><Relationship Id="rId354" Type="http://schemas.openxmlformats.org/officeDocument/2006/relationships/image" Target="media/image167.png"/><Relationship Id="rId353" Type="http://schemas.openxmlformats.org/officeDocument/2006/relationships/image" Target="media/image166.png"/><Relationship Id="rId352" Type="http://schemas.openxmlformats.org/officeDocument/2006/relationships/image" Target="media/image165.png"/><Relationship Id="rId351" Type="http://schemas.openxmlformats.org/officeDocument/2006/relationships/image" Target="media/image164.png"/><Relationship Id="rId350" Type="http://schemas.openxmlformats.org/officeDocument/2006/relationships/image" Target="media/image163.png"/><Relationship Id="rId35" Type="http://schemas.openxmlformats.org/officeDocument/2006/relationships/image" Target="media/image14.wmf"/><Relationship Id="rId349" Type="http://schemas.openxmlformats.org/officeDocument/2006/relationships/image" Target="media/image162.png"/><Relationship Id="rId348" Type="http://schemas.openxmlformats.org/officeDocument/2006/relationships/image" Target="media/image161.png"/><Relationship Id="rId347" Type="http://schemas.openxmlformats.org/officeDocument/2006/relationships/image" Target="media/image160.wmf"/><Relationship Id="rId346" Type="http://schemas.openxmlformats.org/officeDocument/2006/relationships/oleObject" Target="embeddings/oleObject157.bin"/><Relationship Id="rId345" Type="http://schemas.openxmlformats.org/officeDocument/2006/relationships/image" Target="media/image159.wmf"/><Relationship Id="rId344" Type="http://schemas.openxmlformats.org/officeDocument/2006/relationships/oleObject" Target="embeddings/oleObject156.bin"/><Relationship Id="rId343" Type="http://schemas.openxmlformats.org/officeDocument/2006/relationships/image" Target="media/image158.wmf"/><Relationship Id="rId342" Type="http://schemas.openxmlformats.org/officeDocument/2006/relationships/oleObject" Target="embeddings/oleObject155.bin"/><Relationship Id="rId341" Type="http://schemas.openxmlformats.org/officeDocument/2006/relationships/image" Target="media/image157.wmf"/><Relationship Id="rId340" Type="http://schemas.openxmlformats.org/officeDocument/2006/relationships/oleObject" Target="embeddings/oleObject154.bin"/><Relationship Id="rId34" Type="http://schemas.openxmlformats.org/officeDocument/2006/relationships/oleObject" Target="embeddings/oleObject12.bin"/><Relationship Id="rId339" Type="http://schemas.openxmlformats.org/officeDocument/2006/relationships/image" Target="media/image156.wmf"/><Relationship Id="rId338" Type="http://schemas.openxmlformats.org/officeDocument/2006/relationships/oleObject" Target="embeddings/oleObject153.bin"/><Relationship Id="rId337" Type="http://schemas.openxmlformats.org/officeDocument/2006/relationships/image" Target="media/image155.wmf"/><Relationship Id="rId336" Type="http://schemas.openxmlformats.org/officeDocument/2006/relationships/oleObject" Target="embeddings/oleObject152.bin"/><Relationship Id="rId335" Type="http://schemas.openxmlformats.org/officeDocument/2006/relationships/image" Target="media/image154.wmf"/><Relationship Id="rId334" Type="http://schemas.openxmlformats.org/officeDocument/2006/relationships/oleObject" Target="embeddings/oleObject151.bin"/><Relationship Id="rId333" Type="http://schemas.openxmlformats.org/officeDocument/2006/relationships/image" Target="media/image153.wmf"/><Relationship Id="rId332" Type="http://schemas.openxmlformats.org/officeDocument/2006/relationships/oleObject" Target="embeddings/oleObject150.bin"/><Relationship Id="rId331" Type="http://schemas.openxmlformats.org/officeDocument/2006/relationships/image" Target="media/image152.wmf"/><Relationship Id="rId330" Type="http://schemas.openxmlformats.org/officeDocument/2006/relationships/oleObject" Target="embeddings/oleObject149.bin"/><Relationship Id="rId33" Type="http://schemas.openxmlformats.org/officeDocument/2006/relationships/image" Target="media/image13.wmf"/><Relationship Id="rId329" Type="http://schemas.openxmlformats.org/officeDocument/2006/relationships/image" Target="media/image151.wmf"/><Relationship Id="rId328" Type="http://schemas.openxmlformats.org/officeDocument/2006/relationships/image" Target="media/image150.wmf"/><Relationship Id="rId327" Type="http://schemas.openxmlformats.org/officeDocument/2006/relationships/oleObject" Target="embeddings/oleObject148.bin"/><Relationship Id="rId326" Type="http://schemas.openxmlformats.org/officeDocument/2006/relationships/chart" Target="charts/chart21.xml"/><Relationship Id="rId325" Type="http://schemas.openxmlformats.org/officeDocument/2006/relationships/chart" Target="charts/chart20.xml"/><Relationship Id="rId324" Type="http://schemas.openxmlformats.org/officeDocument/2006/relationships/chart" Target="charts/chart19.xml"/><Relationship Id="rId323" Type="http://schemas.openxmlformats.org/officeDocument/2006/relationships/chart" Target="charts/chart18.xml"/><Relationship Id="rId322" Type="http://schemas.openxmlformats.org/officeDocument/2006/relationships/chart" Target="charts/chart17.xml"/><Relationship Id="rId321" Type="http://schemas.openxmlformats.org/officeDocument/2006/relationships/chart" Target="charts/chart16.xml"/><Relationship Id="rId320" Type="http://schemas.openxmlformats.org/officeDocument/2006/relationships/chart" Target="charts/chart15.xml"/><Relationship Id="rId32" Type="http://schemas.openxmlformats.org/officeDocument/2006/relationships/oleObject" Target="embeddings/oleObject11.bin"/><Relationship Id="rId319" Type="http://schemas.openxmlformats.org/officeDocument/2006/relationships/chart" Target="charts/chart14.xml"/><Relationship Id="rId318" Type="http://schemas.openxmlformats.org/officeDocument/2006/relationships/oleObject" Target="embeddings/oleObject147.bin"/><Relationship Id="rId317" Type="http://schemas.openxmlformats.org/officeDocument/2006/relationships/chart" Target="charts/chart13.xml"/><Relationship Id="rId316" Type="http://schemas.openxmlformats.org/officeDocument/2006/relationships/chart" Target="charts/chart12.xml"/><Relationship Id="rId315" Type="http://schemas.openxmlformats.org/officeDocument/2006/relationships/chart" Target="charts/chart11.xml"/><Relationship Id="rId314" Type="http://schemas.openxmlformats.org/officeDocument/2006/relationships/chart" Target="charts/chart10.xml"/><Relationship Id="rId313" Type="http://schemas.openxmlformats.org/officeDocument/2006/relationships/chart" Target="charts/chart9.xml"/><Relationship Id="rId312" Type="http://schemas.openxmlformats.org/officeDocument/2006/relationships/chart" Target="charts/chart8.xml"/><Relationship Id="rId311" Type="http://schemas.openxmlformats.org/officeDocument/2006/relationships/oleObject" Target="embeddings/oleObject146.bin"/><Relationship Id="rId310" Type="http://schemas.openxmlformats.org/officeDocument/2006/relationships/chart" Target="charts/chart7.xml"/><Relationship Id="rId31" Type="http://schemas.openxmlformats.org/officeDocument/2006/relationships/image" Target="media/image12.wmf"/><Relationship Id="rId309" Type="http://schemas.openxmlformats.org/officeDocument/2006/relationships/chart" Target="charts/chart6.xml"/><Relationship Id="rId308" Type="http://schemas.openxmlformats.org/officeDocument/2006/relationships/chart" Target="charts/chart5.xml"/><Relationship Id="rId307" Type="http://schemas.openxmlformats.org/officeDocument/2006/relationships/chart" Target="charts/chart4.xml"/><Relationship Id="rId306" Type="http://schemas.openxmlformats.org/officeDocument/2006/relationships/chart" Target="charts/chart3.xml"/><Relationship Id="rId305" Type="http://schemas.openxmlformats.org/officeDocument/2006/relationships/chart" Target="charts/chart2.xml"/><Relationship Id="rId304" Type="http://schemas.openxmlformats.org/officeDocument/2006/relationships/chart" Target="charts/chart1.xml"/><Relationship Id="rId303" Type="http://schemas.openxmlformats.org/officeDocument/2006/relationships/image" Target="media/image149.wmf"/><Relationship Id="rId302" Type="http://schemas.openxmlformats.org/officeDocument/2006/relationships/oleObject" Target="embeddings/oleObject145.bin"/><Relationship Id="rId301" Type="http://schemas.openxmlformats.org/officeDocument/2006/relationships/image" Target="media/image148.wmf"/><Relationship Id="rId300" Type="http://schemas.openxmlformats.org/officeDocument/2006/relationships/image" Target="media/image147.wmf"/><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oleObject" Target="embeddings/oleObject144.bin"/><Relationship Id="rId298" Type="http://schemas.openxmlformats.org/officeDocument/2006/relationships/image" Target="media/image146.wmf"/><Relationship Id="rId297" Type="http://schemas.openxmlformats.org/officeDocument/2006/relationships/oleObject" Target="embeddings/oleObject143.bin"/><Relationship Id="rId296" Type="http://schemas.openxmlformats.org/officeDocument/2006/relationships/image" Target="media/image145.wmf"/><Relationship Id="rId295" Type="http://schemas.openxmlformats.org/officeDocument/2006/relationships/oleObject" Target="embeddings/oleObject142.bin"/><Relationship Id="rId294" Type="http://schemas.openxmlformats.org/officeDocument/2006/relationships/image" Target="media/image144.wmf"/><Relationship Id="rId293" Type="http://schemas.openxmlformats.org/officeDocument/2006/relationships/oleObject" Target="embeddings/oleObject141.bin"/><Relationship Id="rId292" Type="http://schemas.openxmlformats.org/officeDocument/2006/relationships/image" Target="media/image143.wmf"/><Relationship Id="rId291" Type="http://schemas.openxmlformats.org/officeDocument/2006/relationships/oleObject" Target="embeddings/oleObject140.bin"/><Relationship Id="rId290" Type="http://schemas.openxmlformats.org/officeDocument/2006/relationships/image" Target="media/image142.wmf"/><Relationship Id="rId29" Type="http://schemas.openxmlformats.org/officeDocument/2006/relationships/image" Target="media/image11.wmf"/><Relationship Id="rId289" Type="http://schemas.openxmlformats.org/officeDocument/2006/relationships/oleObject" Target="embeddings/oleObject139.bin"/><Relationship Id="rId288" Type="http://schemas.openxmlformats.org/officeDocument/2006/relationships/image" Target="media/image141.wmf"/><Relationship Id="rId287" Type="http://schemas.openxmlformats.org/officeDocument/2006/relationships/oleObject" Target="embeddings/oleObject138.bin"/><Relationship Id="rId286" Type="http://schemas.openxmlformats.org/officeDocument/2006/relationships/image" Target="media/image140.wmf"/><Relationship Id="rId285" Type="http://schemas.openxmlformats.org/officeDocument/2006/relationships/oleObject" Target="embeddings/oleObject137.bin"/><Relationship Id="rId284" Type="http://schemas.openxmlformats.org/officeDocument/2006/relationships/image" Target="media/image139.wmf"/><Relationship Id="rId283" Type="http://schemas.openxmlformats.org/officeDocument/2006/relationships/oleObject" Target="embeddings/oleObject136.bin"/><Relationship Id="rId282" Type="http://schemas.openxmlformats.org/officeDocument/2006/relationships/image" Target="media/image138.wmf"/><Relationship Id="rId281" Type="http://schemas.openxmlformats.org/officeDocument/2006/relationships/oleObject" Target="embeddings/oleObject135.bin"/><Relationship Id="rId280" Type="http://schemas.openxmlformats.org/officeDocument/2006/relationships/image" Target="media/image137.wmf"/><Relationship Id="rId28" Type="http://schemas.openxmlformats.org/officeDocument/2006/relationships/oleObject" Target="embeddings/oleObject9.bin"/><Relationship Id="rId279" Type="http://schemas.openxmlformats.org/officeDocument/2006/relationships/oleObject" Target="embeddings/oleObject134.bin"/><Relationship Id="rId278" Type="http://schemas.openxmlformats.org/officeDocument/2006/relationships/image" Target="media/image136.wmf"/><Relationship Id="rId277" Type="http://schemas.openxmlformats.org/officeDocument/2006/relationships/oleObject" Target="embeddings/oleObject133.bin"/><Relationship Id="rId276" Type="http://schemas.openxmlformats.org/officeDocument/2006/relationships/image" Target="media/image135.wmf"/><Relationship Id="rId275" Type="http://schemas.openxmlformats.org/officeDocument/2006/relationships/oleObject" Target="embeddings/oleObject132.bin"/><Relationship Id="rId274" Type="http://schemas.openxmlformats.org/officeDocument/2006/relationships/image" Target="media/image134.wmf"/><Relationship Id="rId273" Type="http://schemas.openxmlformats.org/officeDocument/2006/relationships/oleObject" Target="embeddings/oleObject131.bin"/><Relationship Id="rId272" Type="http://schemas.openxmlformats.org/officeDocument/2006/relationships/image" Target="media/image133.wmf"/><Relationship Id="rId271" Type="http://schemas.openxmlformats.org/officeDocument/2006/relationships/oleObject" Target="embeddings/oleObject130.bin"/><Relationship Id="rId270" Type="http://schemas.openxmlformats.org/officeDocument/2006/relationships/image" Target="media/image132.wmf"/><Relationship Id="rId27" Type="http://schemas.openxmlformats.org/officeDocument/2006/relationships/image" Target="media/image10.wmf"/><Relationship Id="rId269" Type="http://schemas.openxmlformats.org/officeDocument/2006/relationships/oleObject" Target="embeddings/oleObject129.bin"/><Relationship Id="rId268" Type="http://schemas.openxmlformats.org/officeDocument/2006/relationships/image" Target="media/image131.wmf"/><Relationship Id="rId267" Type="http://schemas.openxmlformats.org/officeDocument/2006/relationships/oleObject" Target="embeddings/oleObject128.bin"/><Relationship Id="rId266" Type="http://schemas.openxmlformats.org/officeDocument/2006/relationships/image" Target="media/image130.wmf"/><Relationship Id="rId265" Type="http://schemas.openxmlformats.org/officeDocument/2006/relationships/oleObject" Target="embeddings/oleObject127.bin"/><Relationship Id="rId264" Type="http://schemas.openxmlformats.org/officeDocument/2006/relationships/image" Target="media/image129.wmf"/><Relationship Id="rId263" Type="http://schemas.openxmlformats.org/officeDocument/2006/relationships/oleObject" Target="embeddings/oleObject126.bin"/><Relationship Id="rId262" Type="http://schemas.openxmlformats.org/officeDocument/2006/relationships/image" Target="media/image128.wmf"/><Relationship Id="rId261" Type="http://schemas.openxmlformats.org/officeDocument/2006/relationships/oleObject" Target="embeddings/oleObject125.bin"/><Relationship Id="rId260" Type="http://schemas.openxmlformats.org/officeDocument/2006/relationships/image" Target="media/image127.wmf"/><Relationship Id="rId26" Type="http://schemas.openxmlformats.org/officeDocument/2006/relationships/oleObject" Target="embeddings/oleObject8.bin"/><Relationship Id="rId259" Type="http://schemas.openxmlformats.org/officeDocument/2006/relationships/oleObject" Target="embeddings/oleObject124.bin"/><Relationship Id="rId258" Type="http://schemas.openxmlformats.org/officeDocument/2006/relationships/image" Target="media/image126.wmf"/><Relationship Id="rId257" Type="http://schemas.openxmlformats.org/officeDocument/2006/relationships/oleObject" Target="embeddings/oleObject123.bin"/><Relationship Id="rId256" Type="http://schemas.openxmlformats.org/officeDocument/2006/relationships/image" Target="media/image125.wmf"/><Relationship Id="rId255" Type="http://schemas.openxmlformats.org/officeDocument/2006/relationships/oleObject" Target="embeddings/oleObject122.bin"/><Relationship Id="rId254" Type="http://schemas.openxmlformats.org/officeDocument/2006/relationships/image" Target="media/image124.wmf"/><Relationship Id="rId253" Type="http://schemas.openxmlformats.org/officeDocument/2006/relationships/oleObject" Target="embeddings/oleObject121.bin"/><Relationship Id="rId252" Type="http://schemas.openxmlformats.org/officeDocument/2006/relationships/image" Target="media/image123.wmf"/><Relationship Id="rId251" Type="http://schemas.openxmlformats.org/officeDocument/2006/relationships/oleObject" Target="embeddings/oleObject120.bin"/><Relationship Id="rId250" Type="http://schemas.openxmlformats.org/officeDocument/2006/relationships/image" Target="media/image122.wmf"/><Relationship Id="rId25" Type="http://schemas.openxmlformats.org/officeDocument/2006/relationships/image" Target="media/image9.wmf"/><Relationship Id="rId249" Type="http://schemas.openxmlformats.org/officeDocument/2006/relationships/oleObject" Target="embeddings/oleObject119.bin"/><Relationship Id="rId248" Type="http://schemas.openxmlformats.org/officeDocument/2006/relationships/image" Target="media/image121.wmf"/><Relationship Id="rId247" Type="http://schemas.openxmlformats.org/officeDocument/2006/relationships/oleObject" Target="embeddings/oleObject118.bin"/><Relationship Id="rId246" Type="http://schemas.openxmlformats.org/officeDocument/2006/relationships/image" Target="media/image120.wmf"/><Relationship Id="rId245" Type="http://schemas.openxmlformats.org/officeDocument/2006/relationships/oleObject" Target="embeddings/oleObject117.bin"/><Relationship Id="rId244" Type="http://schemas.openxmlformats.org/officeDocument/2006/relationships/image" Target="media/image119.wmf"/><Relationship Id="rId243" Type="http://schemas.openxmlformats.org/officeDocument/2006/relationships/oleObject" Target="embeddings/oleObject116.bin"/><Relationship Id="rId242" Type="http://schemas.openxmlformats.org/officeDocument/2006/relationships/image" Target="media/image118.wmf"/><Relationship Id="rId241" Type="http://schemas.openxmlformats.org/officeDocument/2006/relationships/oleObject" Target="embeddings/oleObject115.bin"/><Relationship Id="rId240" Type="http://schemas.openxmlformats.org/officeDocument/2006/relationships/image" Target="media/image117.wmf"/><Relationship Id="rId24" Type="http://schemas.openxmlformats.org/officeDocument/2006/relationships/oleObject" Target="embeddings/oleObject7.bin"/><Relationship Id="rId239" Type="http://schemas.openxmlformats.org/officeDocument/2006/relationships/oleObject" Target="embeddings/oleObject114.bin"/><Relationship Id="rId238" Type="http://schemas.openxmlformats.org/officeDocument/2006/relationships/image" Target="media/image116.wmf"/><Relationship Id="rId237" Type="http://schemas.openxmlformats.org/officeDocument/2006/relationships/oleObject" Target="embeddings/oleObject113.bin"/><Relationship Id="rId236" Type="http://schemas.openxmlformats.org/officeDocument/2006/relationships/image" Target="media/image115.png"/><Relationship Id="rId235" Type="http://schemas.openxmlformats.org/officeDocument/2006/relationships/oleObject" Target="embeddings/oleObject112.bin"/><Relationship Id="rId234" Type="http://schemas.openxmlformats.org/officeDocument/2006/relationships/image" Target="media/image114.wmf"/><Relationship Id="rId233" Type="http://schemas.openxmlformats.org/officeDocument/2006/relationships/oleObject" Target="embeddings/oleObject111.bin"/><Relationship Id="rId232" Type="http://schemas.openxmlformats.org/officeDocument/2006/relationships/image" Target="media/image113.wmf"/><Relationship Id="rId231" Type="http://schemas.openxmlformats.org/officeDocument/2006/relationships/oleObject" Target="embeddings/oleObject110.bin"/><Relationship Id="rId230" Type="http://schemas.openxmlformats.org/officeDocument/2006/relationships/image" Target="media/image112.wmf"/><Relationship Id="rId23" Type="http://schemas.openxmlformats.org/officeDocument/2006/relationships/image" Target="media/image8.wmf"/><Relationship Id="rId229" Type="http://schemas.openxmlformats.org/officeDocument/2006/relationships/oleObject" Target="embeddings/oleObject109.bin"/><Relationship Id="rId228" Type="http://schemas.openxmlformats.org/officeDocument/2006/relationships/image" Target="media/image111.wmf"/><Relationship Id="rId227" Type="http://schemas.openxmlformats.org/officeDocument/2006/relationships/oleObject" Target="embeddings/oleObject108.bin"/><Relationship Id="rId226" Type="http://schemas.openxmlformats.org/officeDocument/2006/relationships/image" Target="media/image110.png"/><Relationship Id="rId225" Type="http://schemas.openxmlformats.org/officeDocument/2006/relationships/image" Target="media/image109.wmf"/><Relationship Id="rId224" Type="http://schemas.openxmlformats.org/officeDocument/2006/relationships/oleObject" Target="embeddings/oleObject107.bin"/><Relationship Id="rId223" Type="http://schemas.openxmlformats.org/officeDocument/2006/relationships/image" Target="media/image108.png"/><Relationship Id="rId222" Type="http://schemas.openxmlformats.org/officeDocument/2006/relationships/image" Target="media/image107.wmf"/><Relationship Id="rId221" Type="http://schemas.openxmlformats.org/officeDocument/2006/relationships/oleObject" Target="embeddings/oleObject106.bin"/><Relationship Id="rId220" Type="http://schemas.openxmlformats.org/officeDocument/2006/relationships/image" Target="media/image106.wmf"/><Relationship Id="rId22" Type="http://schemas.openxmlformats.org/officeDocument/2006/relationships/oleObject" Target="embeddings/oleObject6.bin"/><Relationship Id="rId219" Type="http://schemas.openxmlformats.org/officeDocument/2006/relationships/oleObject" Target="embeddings/oleObject105.bin"/><Relationship Id="rId218" Type="http://schemas.openxmlformats.org/officeDocument/2006/relationships/image" Target="media/image105.wmf"/><Relationship Id="rId217" Type="http://schemas.openxmlformats.org/officeDocument/2006/relationships/oleObject" Target="embeddings/oleObject104.bin"/><Relationship Id="rId216" Type="http://schemas.openxmlformats.org/officeDocument/2006/relationships/image" Target="media/image104.wmf"/><Relationship Id="rId215" Type="http://schemas.openxmlformats.org/officeDocument/2006/relationships/oleObject" Target="embeddings/oleObject103.bin"/><Relationship Id="rId214" Type="http://schemas.openxmlformats.org/officeDocument/2006/relationships/image" Target="media/image103.wmf"/><Relationship Id="rId213" Type="http://schemas.openxmlformats.org/officeDocument/2006/relationships/oleObject" Target="embeddings/oleObject102.bin"/><Relationship Id="rId212" Type="http://schemas.openxmlformats.org/officeDocument/2006/relationships/image" Target="media/image102.wmf"/><Relationship Id="rId211" Type="http://schemas.openxmlformats.org/officeDocument/2006/relationships/oleObject" Target="embeddings/oleObject101.bin"/><Relationship Id="rId210" Type="http://schemas.openxmlformats.org/officeDocument/2006/relationships/image" Target="media/image101.wmf"/><Relationship Id="rId21" Type="http://schemas.openxmlformats.org/officeDocument/2006/relationships/image" Target="media/image7.wmf"/><Relationship Id="rId209" Type="http://schemas.openxmlformats.org/officeDocument/2006/relationships/oleObject" Target="embeddings/oleObject100.bin"/><Relationship Id="rId208" Type="http://schemas.openxmlformats.org/officeDocument/2006/relationships/image" Target="media/image100.wmf"/><Relationship Id="rId207" Type="http://schemas.openxmlformats.org/officeDocument/2006/relationships/oleObject" Target="embeddings/oleObject99.bin"/><Relationship Id="rId206" Type="http://schemas.openxmlformats.org/officeDocument/2006/relationships/image" Target="media/image99.wmf"/><Relationship Id="rId205" Type="http://schemas.openxmlformats.org/officeDocument/2006/relationships/oleObject" Target="embeddings/oleObject98.bin"/><Relationship Id="rId204" Type="http://schemas.openxmlformats.org/officeDocument/2006/relationships/image" Target="media/image98.wmf"/><Relationship Id="rId203" Type="http://schemas.openxmlformats.org/officeDocument/2006/relationships/oleObject" Target="embeddings/oleObject97.bin"/><Relationship Id="rId202" Type="http://schemas.openxmlformats.org/officeDocument/2006/relationships/image" Target="media/image97.wmf"/><Relationship Id="rId201" Type="http://schemas.openxmlformats.org/officeDocument/2006/relationships/oleObject" Target="embeddings/oleObject96.bin"/><Relationship Id="rId200" Type="http://schemas.openxmlformats.org/officeDocument/2006/relationships/image" Target="media/image96.wmf"/><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95.bin"/><Relationship Id="rId198" Type="http://schemas.openxmlformats.org/officeDocument/2006/relationships/image" Target="media/image95.wmf"/><Relationship Id="rId197" Type="http://schemas.openxmlformats.org/officeDocument/2006/relationships/oleObject" Target="embeddings/oleObject94.bin"/><Relationship Id="rId196" Type="http://schemas.openxmlformats.org/officeDocument/2006/relationships/image" Target="media/image94.wmf"/><Relationship Id="rId195" Type="http://schemas.openxmlformats.org/officeDocument/2006/relationships/oleObject" Target="embeddings/oleObject93.bin"/><Relationship Id="rId194" Type="http://schemas.openxmlformats.org/officeDocument/2006/relationships/image" Target="media/image93.wmf"/><Relationship Id="rId193" Type="http://schemas.openxmlformats.org/officeDocument/2006/relationships/oleObject" Target="embeddings/oleObject92.bin"/><Relationship Id="rId192" Type="http://schemas.openxmlformats.org/officeDocument/2006/relationships/image" Target="media/image92.wmf"/><Relationship Id="rId191" Type="http://schemas.openxmlformats.org/officeDocument/2006/relationships/oleObject" Target="embeddings/oleObject91.bin"/><Relationship Id="rId190" Type="http://schemas.openxmlformats.org/officeDocument/2006/relationships/image" Target="media/image91.wmf"/><Relationship Id="rId19" Type="http://schemas.openxmlformats.org/officeDocument/2006/relationships/image" Target="media/image6.wmf"/><Relationship Id="rId189" Type="http://schemas.openxmlformats.org/officeDocument/2006/relationships/oleObject" Target="embeddings/oleObject90.bin"/><Relationship Id="rId188" Type="http://schemas.openxmlformats.org/officeDocument/2006/relationships/image" Target="media/image90.wmf"/><Relationship Id="rId187" Type="http://schemas.openxmlformats.org/officeDocument/2006/relationships/oleObject" Target="embeddings/oleObject89.bin"/><Relationship Id="rId186" Type="http://schemas.openxmlformats.org/officeDocument/2006/relationships/image" Target="media/image89.wmf"/><Relationship Id="rId185" Type="http://schemas.openxmlformats.org/officeDocument/2006/relationships/oleObject" Target="embeddings/oleObject88.bin"/><Relationship Id="rId184" Type="http://schemas.openxmlformats.org/officeDocument/2006/relationships/image" Target="media/image88.wmf"/><Relationship Id="rId183" Type="http://schemas.openxmlformats.org/officeDocument/2006/relationships/oleObject" Target="embeddings/oleObject87.bin"/><Relationship Id="rId182" Type="http://schemas.openxmlformats.org/officeDocument/2006/relationships/image" Target="media/image87.wmf"/><Relationship Id="rId181" Type="http://schemas.openxmlformats.org/officeDocument/2006/relationships/oleObject" Target="embeddings/oleObject86.bin"/><Relationship Id="rId180" Type="http://schemas.openxmlformats.org/officeDocument/2006/relationships/image" Target="media/image86.wmf"/><Relationship Id="rId18" Type="http://schemas.openxmlformats.org/officeDocument/2006/relationships/oleObject" Target="embeddings/oleObject4.bin"/><Relationship Id="rId179" Type="http://schemas.openxmlformats.org/officeDocument/2006/relationships/oleObject" Target="embeddings/oleObject85.bin"/><Relationship Id="rId178" Type="http://schemas.openxmlformats.org/officeDocument/2006/relationships/image" Target="media/image85.wmf"/><Relationship Id="rId177" Type="http://schemas.openxmlformats.org/officeDocument/2006/relationships/oleObject" Target="embeddings/oleObject84.bin"/><Relationship Id="rId176" Type="http://schemas.openxmlformats.org/officeDocument/2006/relationships/image" Target="media/image84.wmf"/><Relationship Id="rId175" Type="http://schemas.openxmlformats.org/officeDocument/2006/relationships/oleObject" Target="embeddings/oleObject83.bin"/><Relationship Id="rId174" Type="http://schemas.openxmlformats.org/officeDocument/2006/relationships/image" Target="media/image83.wmf"/><Relationship Id="rId173" Type="http://schemas.openxmlformats.org/officeDocument/2006/relationships/oleObject" Target="embeddings/oleObject82.bin"/><Relationship Id="rId172" Type="http://schemas.openxmlformats.org/officeDocument/2006/relationships/image" Target="media/image82.wmf"/><Relationship Id="rId171" Type="http://schemas.openxmlformats.org/officeDocument/2006/relationships/oleObject" Target="embeddings/oleObject81.bin"/><Relationship Id="rId170" Type="http://schemas.openxmlformats.org/officeDocument/2006/relationships/image" Target="media/image81.wmf"/><Relationship Id="rId17" Type="http://schemas.openxmlformats.org/officeDocument/2006/relationships/image" Target="media/image5.wmf"/><Relationship Id="rId169" Type="http://schemas.openxmlformats.org/officeDocument/2006/relationships/oleObject" Target="embeddings/oleObject80.bin"/><Relationship Id="rId168" Type="http://schemas.openxmlformats.org/officeDocument/2006/relationships/image" Target="media/image80.wmf"/><Relationship Id="rId167" Type="http://schemas.openxmlformats.org/officeDocument/2006/relationships/oleObject" Target="embeddings/oleObject79.bin"/><Relationship Id="rId166" Type="http://schemas.openxmlformats.org/officeDocument/2006/relationships/image" Target="media/image79.wmf"/><Relationship Id="rId165" Type="http://schemas.openxmlformats.org/officeDocument/2006/relationships/oleObject" Target="embeddings/oleObject78.bin"/><Relationship Id="rId164" Type="http://schemas.openxmlformats.org/officeDocument/2006/relationships/image" Target="media/image78.wmf"/><Relationship Id="rId163" Type="http://schemas.openxmlformats.org/officeDocument/2006/relationships/oleObject" Target="embeddings/oleObject77.bin"/><Relationship Id="rId162" Type="http://schemas.openxmlformats.org/officeDocument/2006/relationships/image" Target="media/image77.wmf"/><Relationship Id="rId161" Type="http://schemas.openxmlformats.org/officeDocument/2006/relationships/oleObject" Target="embeddings/oleObject76.bin"/><Relationship Id="rId160" Type="http://schemas.openxmlformats.org/officeDocument/2006/relationships/image" Target="media/image76.wmf"/><Relationship Id="rId16" Type="http://schemas.openxmlformats.org/officeDocument/2006/relationships/oleObject" Target="embeddings/oleObject3.bin"/><Relationship Id="rId159" Type="http://schemas.openxmlformats.org/officeDocument/2006/relationships/oleObject" Target="embeddings/oleObject75.bin"/><Relationship Id="rId158" Type="http://schemas.openxmlformats.org/officeDocument/2006/relationships/image" Target="media/image75.wmf"/><Relationship Id="rId157" Type="http://schemas.openxmlformats.org/officeDocument/2006/relationships/oleObject" Target="embeddings/oleObject74.bin"/><Relationship Id="rId156" Type="http://schemas.openxmlformats.org/officeDocument/2006/relationships/image" Target="media/image74.wmf"/><Relationship Id="rId155" Type="http://schemas.openxmlformats.org/officeDocument/2006/relationships/oleObject" Target="embeddings/oleObject73.bin"/><Relationship Id="rId154" Type="http://schemas.openxmlformats.org/officeDocument/2006/relationships/image" Target="media/image73.wmf"/><Relationship Id="rId153" Type="http://schemas.openxmlformats.org/officeDocument/2006/relationships/oleObject" Target="embeddings/oleObject72.bin"/><Relationship Id="rId152" Type="http://schemas.openxmlformats.org/officeDocument/2006/relationships/image" Target="media/image72.wmf"/><Relationship Id="rId151" Type="http://schemas.openxmlformats.org/officeDocument/2006/relationships/oleObject" Target="embeddings/oleObject71.bin"/><Relationship Id="rId150" Type="http://schemas.openxmlformats.org/officeDocument/2006/relationships/image" Target="media/image71.wmf"/><Relationship Id="rId15" Type="http://schemas.openxmlformats.org/officeDocument/2006/relationships/image" Target="media/image4.png"/><Relationship Id="rId149" Type="http://schemas.openxmlformats.org/officeDocument/2006/relationships/oleObject" Target="embeddings/oleObject70.bin"/><Relationship Id="rId148" Type="http://schemas.openxmlformats.org/officeDocument/2006/relationships/image" Target="media/image70.wmf"/><Relationship Id="rId147" Type="http://schemas.openxmlformats.org/officeDocument/2006/relationships/oleObject" Target="embeddings/oleObject69.bin"/><Relationship Id="rId146" Type="http://schemas.openxmlformats.org/officeDocument/2006/relationships/image" Target="media/image69.wmf"/><Relationship Id="rId145" Type="http://schemas.openxmlformats.org/officeDocument/2006/relationships/oleObject" Target="embeddings/oleObject68.bin"/><Relationship Id="rId144" Type="http://schemas.openxmlformats.org/officeDocument/2006/relationships/image" Target="media/image68.wmf"/><Relationship Id="rId143" Type="http://schemas.openxmlformats.org/officeDocument/2006/relationships/oleObject" Target="embeddings/oleObject67.bin"/><Relationship Id="rId142" Type="http://schemas.openxmlformats.org/officeDocument/2006/relationships/image" Target="media/image67.wmf"/><Relationship Id="rId141" Type="http://schemas.openxmlformats.org/officeDocument/2006/relationships/oleObject" Target="embeddings/oleObject66.bin"/><Relationship Id="rId140" Type="http://schemas.openxmlformats.org/officeDocument/2006/relationships/image" Target="media/image66.wmf"/><Relationship Id="rId14" Type="http://schemas.openxmlformats.org/officeDocument/2006/relationships/image" Target="media/image3.wmf"/><Relationship Id="rId139" Type="http://schemas.openxmlformats.org/officeDocument/2006/relationships/oleObject" Target="embeddings/oleObject65.bin"/><Relationship Id="rId138" Type="http://schemas.openxmlformats.org/officeDocument/2006/relationships/image" Target="media/image65.wmf"/><Relationship Id="rId137" Type="http://schemas.openxmlformats.org/officeDocument/2006/relationships/oleObject" Target="embeddings/oleObject64.bin"/><Relationship Id="rId136" Type="http://schemas.openxmlformats.org/officeDocument/2006/relationships/image" Target="media/image64.wmf"/><Relationship Id="rId135" Type="http://schemas.openxmlformats.org/officeDocument/2006/relationships/oleObject" Target="embeddings/oleObject63.bin"/><Relationship Id="rId134" Type="http://schemas.openxmlformats.org/officeDocument/2006/relationships/image" Target="media/image63.wmf"/><Relationship Id="rId133" Type="http://schemas.openxmlformats.org/officeDocument/2006/relationships/oleObject" Target="embeddings/oleObject62.bin"/><Relationship Id="rId132" Type="http://schemas.openxmlformats.org/officeDocument/2006/relationships/image" Target="media/image62.wmf"/><Relationship Id="rId131" Type="http://schemas.openxmlformats.org/officeDocument/2006/relationships/oleObject" Target="embeddings/oleObject61.bin"/><Relationship Id="rId130" Type="http://schemas.openxmlformats.org/officeDocument/2006/relationships/image" Target="media/image61.wmf"/><Relationship Id="rId13" Type="http://schemas.openxmlformats.org/officeDocument/2006/relationships/oleObject" Target="embeddings/oleObject2.bin"/><Relationship Id="rId129" Type="http://schemas.openxmlformats.org/officeDocument/2006/relationships/oleObject" Target="embeddings/oleObject60.bin"/><Relationship Id="rId128" Type="http://schemas.openxmlformats.org/officeDocument/2006/relationships/image" Target="media/image60.wmf"/><Relationship Id="rId127" Type="http://schemas.openxmlformats.org/officeDocument/2006/relationships/oleObject" Target="embeddings/oleObject59.bin"/><Relationship Id="rId126" Type="http://schemas.openxmlformats.org/officeDocument/2006/relationships/image" Target="media/image59.wmf"/><Relationship Id="rId125" Type="http://schemas.openxmlformats.org/officeDocument/2006/relationships/oleObject" Target="embeddings/oleObject58.bin"/><Relationship Id="rId124" Type="http://schemas.openxmlformats.org/officeDocument/2006/relationships/image" Target="media/image58.wmf"/><Relationship Id="rId123" Type="http://schemas.openxmlformats.org/officeDocument/2006/relationships/oleObject" Target="embeddings/oleObject57.bin"/><Relationship Id="rId122" Type="http://schemas.openxmlformats.org/officeDocument/2006/relationships/image" Target="media/image57.wmf"/><Relationship Id="rId121" Type="http://schemas.openxmlformats.org/officeDocument/2006/relationships/oleObject" Target="embeddings/oleObject56.bin"/><Relationship Id="rId120" Type="http://schemas.openxmlformats.org/officeDocument/2006/relationships/image" Target="media/image56.wmf"/><Relationship Id="rId12" Type="http://schemas.openxmlformats.org/officeDocument/2006/relationships/image" Target="media/image2.wmf"/><Relationship Id="rId119" Type="http://schemas.openxmlformats.org/officeDocument/2006/relationships/oleObject" Target="embeddings/oleObject55.bin"/><Relationship Id="rId118" Type="http://schemas.openxmlformats.org/officeDocument/2006/relationships/image" Target="media/image55.wmf"/><Relationship Id="rId117" Type="http://schemas.openxmlformats.org/officeDocument/2006/relationships/oleObject" Target="embeddings/oleObject54.bin"/><Relationship Id="rId116" Type="http://schemas.openxmlformats.org/officeDocument/2006/relationships/image" Target="media/image54.wmf"/><Relationship Id="rId115" Type="http://schemas.openxmlformats.org/officeDocument/2006/relationships/oleObject" Target="embeddings/oleObject53.bin"/><Relationship Id="rId114" Type="http://schemas.openxmlformats.org/officeDocument/2006/relationships/image" Target="media/image53.wmf"/><Relationship Id="rId113" Type="http://schemas.openxmlformats.org/officeDocument/2006/relationships/oleObject" Target="embeddings/oleObject52.bin"/><Relationship Id="rId112" Type="http://schemas.openxmlformats.org/officeDocument/2006/relationships/image" Target="media/image52.wmf"/><Relationship Id="rId111" Type="http://schemas.openxmlformats.org/officeDocument/2006/relationships/oleObject" Target="embeddings/oleObject51.bin"/><Relationship Id="rId110" Type="http://schemas.openxmlformats.org/officeDocument/2006/relationships/image" Target="media/image51.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0.wmf"/><Relationship Id="rId107" Type="http://schemas.openxmlformats.org/officeDocument/2006/relationships/oleObject" Target="embeddings/oleObject49.bin"/><Relationship Id="rId106" Type="http://schemas.openxmlformats.org/officeDocument/2006/relationships/image" Target="media/image49.wmf"/><Relationship Id="rId105" Type="http://schemas.openxmlformats.org/officeDocument/2006/relationships/oleObject" Target="embeddings/oleObject48.bin"/><Relationship Id="rId104" Type="http://schemas.openxmlformats.org/officeDocument/2006/relationships/image" Target="media/image48.wmf"/><Relationship Id="rId103" Type="http://schemas.openxmlformats.org/officeDocument/2006/relationships/oleObject" Target="embeddings/oleObject47.bin"/><Relationship Id="rId102" Type="http://schemas.openxmlformats.org/officeDocument/2006/relationships/image" Target="media/image47.wmf"/><Relationship Id="rId101" Type="http://schemas.openxmlformats.org/officeDocument/2006/relationships/oleObject" Target="embeddings/oleObject46.bin"/><Relationship Id="rId100" Type="http://schemas.openxmlformats.org/officeDocument/2006/relationships/image" Target="media/image46.wmf"/><Relationship Id="rId10" Type="http://schemas.openxmlformats.org/officeDocument/2006/relationships/image" Target="media/image1.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1.xml"/><Relationship Id="rId1" Type="http://schemas.openxmlformats.org/officeDocument/2006/relationships/package" Target="../embeddings/Workbook21.xlsx"/></Relationships>
</file>

<file path=word/charts/_rels/chart10.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11.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12.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package" Target="../embeddings/Workbook5.xlsx"/></Relationships>
</file>

<file path=word/charts/_rels/chart13.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package" Target="../embeddings/Workbook7.xlsx"/></Relationships>
</file>

<file path=word/charts/_rels/chart14.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15.xml.rels><?xml version="1.0" encoding="UTF-8" standalone="yes"?>
<Relationships xmlns="http://schemas.openxmlformats.org/package/2006/relationships"><Relationship Id="rId2" Type="http://schemas.openxmlformats.org/officeDocument/2006/relationships/themeOverride" Target="../theme/themeOverride18.xml"/><Relationship Id="rId1" Type="http://schemas.openxmlformats.org/officeDocument/2006/relationships/package" Target="../embeddings/Workbook18.xlsx"/></Relationships>
</file>

<file path=word/charts/_rels/chart16.xml.rels><?xml version="1.0" encoding="UTF-8" standalone="yes"?>
<Relationships xmlns="http://schemas.openxmlformats.org/package/2006/relationships"><Relationship Id="rId2" Type="http://schemas.openxmlformats.org/officeDocument/2006/relationships/themeOverride" Target="../theme/themeOverride20.xml"/><Relationship Id="rId1" Type="http://schemas.openxmlformats.org/officeDocument/2006/relationships/package" Target="../embeddings/Workbook20.xlsx"/></Relationships>
</file>

<file path=word/charts/_rels/chart17.xml.rels><?xml version="1.0" encoding="UTF-8" standalone="yes"?>
<Relationships xmlns="http://schemas.openxmlformats.org/package/2006/relationships"><Relationship Id="rId2" Type="http://schemas.openxmlformats.org/officeDocument/2006/relationships/themeOverride" Target="../theme/themeOverride17.xml"/><Relationship Id="rId1" Type="http://schemas.openxmlformats.org/officeDocument/2006/relationships/package" Target="../embeddings/Workbook17.xlsx"/></Relationships>
</file>

<file path=word/charts/_rels/chart18.xml.rels><?xml version="1.0" encoding="UTF-8" standalone="yes"?>
<Relationships xmlns="http://schemas.openxmlformats.org/package/2006/relationships"><Relationship Id="rId2" Type="http://schemas.openxmlformats.org/officeDocument/2006/relationships/themeOverride" Target="../theme/themeOverride19.xml"/><Relationship Id="rId1" Type="http://schemas.openxmlformats.org/officeDocument/2006/relationships/package" Target="../embeddings/Workbook19.xlsx"/></Relationships>
</file>

<file path=word/charts/_rels/chart19.xml.rels><?xml version="1.0" encoding="UTF-8" standalone="yes"?>
<Relationships xmlns="http://schemas.openxmlformats.org/package/2006/relationships"><Relationship Id="rId2" Type="http://schemas.openxmlformats.org/officeDocument/2006/relationships/themeOverride" Target="../theme/themeOverride15.xml"/><Relationship Id="rId1" Type="http://schemas.openxmlformats.org/officeDocument/2006/relationships/package" Target="../embeddings/Workbook15.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2.xml"/><Relationship Id="rId1" Type="http://schemas.openxmlformats.org/officeDocument/2006/relationships/package" Target="../embeddings/Workbook12.xlsx"/></Relationships>
</file>

<file path=word/charts/_rels/chart20.xml.rels><?xml version="1.0" encoding="UTF-8" standalone="yes"?>
<Relationships xmlns="http://schemas.openxmlformats.org/package/2006/relationships"><Relationship Id="rId2" Type="http://schemas.openxmlformats.org/officeDocument/2006/relationships/themeOverride" Target="../theme/themeOverride14.xml"/><Relationship Id="rId1" Type="http://schemas.openxmlformats.org/officeDocument/2006/relationships/package" Target="../embeddings/Workbook14.xlsx"/></Relationships>
</file>

<file path=word/charts/_rels/chart21.xml.rels><?xml version="1.0" encoding="UTF-8" standalone="yes"?>
<Relationships xmlns="http://schemas.openxmlformats.org/package/2006/relationships"><Relationship Id="rId2" Type="http://schemas.openxmlformats.org/officeDocument/2006/relationships/themeOverride" Target="../theme/themeOverride16.xml"/><Relationship Id="rId1" Type="http://schemas.openxmlformats.org/officeDocument/2006/relationships/package" Target="../embeddings/Workbook16.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9.xml"/><Relationship Id="rId1" Type="http://schemas.openxmlformats.org/officeDocument/2006/relationships/package" Target="../embeddings/Workbook9.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11.xml"/><Relationship Id="rId1" Type="http://schemas.openxmlformats.org/officeDocument/2006/relationships/package" Target="../embeddings/Workbook11.xlsx"/></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package" Target="../embeddings/Workbook8.xlsx"/></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10.xml"/><Relationship Id="rId1" Type="http://schemas.openxmlformats.org/officeDocument/2006/relationships/package" Target="../embeddings/Workbook10.xlsx"/></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13.xml"/><Relationship Id="rId1" Type="http://schemas.openxmlformats.org/officeDocument/2006/relationships/package" Target="../embeddings/Workbook13.xlsx"/></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package" Target="../embeddings/Workbook6.xlsx"/></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717761557181"/>
          <c:y val="0.0913242009132423"/>
          <c:w val="0.81995133819952"/>
          <c:h val="0.621004566210046"/>
        </c:manualLayout>
      </c:layout>
      <c:lineChart>
        <c:grouping val="standard"/>
        <c:varyColors val="0"/>
        <c:ser>
          <c:idx val="0"/>
          <c:order val="0"/>
          <c:tx>
            <c:strRef>
              <c:f>Sheet2!$B$3</c:f>
              <c:strCache>
                <c:ptCount val="1"/>
                <c:pt idx="0">
                  <c:v>朗肯</c:v>
                </c:pt>
              </c:strCache>
            </c:strRef>
          </c:tx>
          <c:spPr>
            <a:ln w="12682" cap="rnd" cmpd="sng" algn="ctr">
              <a:solidFill>
                <a:srgbClr val="000080"/>
              </a:solidFill>
              <a:prstDash val="solid"/>
              <a:round/>
            </a:ln>
          </c:spPr>
          <c:marker>
            <c:symbol val="diamond"/>
            <c:size val="3"/>
            <c:spPr>
              <a:solidFill>
                <a:srgbClr val="000080"/>
              </a:solidFill>
              <a:ln w="9525" cap="flat" cmpd="sng" algn="ctr">
                <a:solidFill>
                  <a:srgbClr val="000080"/>
                </a:solidFill>
                <a:prstDash val="solid"/>
                <a:round/>
              </a:ln>
            </c:spPr>
          </c:marker>
          <c:dLbls>
            <c:delete val="1"/>
          </c:dLbls>
          <c:cat>
            <c:numRef>
              <c:f>Sheet2!$A$4:$A$19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Sheet2!$B$4:$B$19</c:f>
              <c:numCache>
                <c:formatCode>General</c:formatCode>
                <c:ptCount val="16"/>
                <c:pt idx="0">
                  <c:v>-28</c:v>
                </c:pt>
                <c:pt idx="1">
                  <c:v>-18.2</c:v>
                </c:pt>
                <c:pt idx="2">
                  <c:v>-8.4</c:v>
                </c:pt>
                <c:pt idx="3">
                  <c:v>1.4</c:v>
                </c:pt>
                <c:pt idx="4">
                  <c:v>11.2</c:v>
                </c:pt>
                <c:pt idx="5">
                  <c:v>21</c:v>
                </c:pt>
                <c:pt idx="6">
                  <c:v>30.8</c:v>
                </c:pt>
                <c:pt idx="7">
                  <c:v>40.6</c:v>
                </c:pt>
                <c:pt idx="8">
                  <c:v>50.4</c:v>
                </c:pt>
                <c:pt idx="9">
                  <c:v>60.2</c:v>
                </c:pt>
                <c:pt idx="10">
                  <c:v>70</c:v>
                </c:pt>
                <c:pt idx="11">
                  <c:v>79.8</c:v>
                </c:pt>
                <c:pt idx="12">
                  <c:v>89.6</c:v>
                </c:pt>
                <c:pt idx="13">
                  <c:v>99.4</c:v>
                </c:pt>
                <c:pt idx="14">
                  <c:v>109.2</c:v>
                </c:pt>
                <c:pt idx="15">
                  <c:v>119</c:v>
                </c:pt>
              </c:numCache>
            </c:numRef>
          </c:val>
          <c:smooth val="0"/>
        </c:ser>
        <c:ser>
          <c:idx val="1"/>
          <c:order val="1"/>
          <c:tx>
            <c:strRef>
              <c:f>Sheet2!$C$3</c:f>
              <c:strCache>
                <c:ptCount val="1"/>
                <c:pt idx="0">
                  <c:v>[1]</c:v>
                </c:pt>
              </c:strCache>
            </c:strRef>
          </c:tx>
          <c:spPr>
            <a:ln w="12682" cap="rnd" cmpd="sng" algn="ctr">
              <a:solidFill>
                <a:srgbClr val="FF00FF"/>
              </a:solidFill>
              <a:prstDash val="solid"/>
              <a:round/>
            </a:ln>
          </c:spPr>
          <c:marker>
            <c:symbol val="square"/>
            <c:size val="3"/>
            <c:spPr>
              <a:solidFill>
                <a:srgbClr val="FF00FF"/>
              </a:solidFill>
              <a:ln w="9525" cap="flat" cmpd="sng" algn="ctr">
                <a:solidFill>
                  <a:srgbClr val="FF00FF"/>
                </a:solidFill>
                <a:prstDash val="solid"/>
                <a:round/>
              </a:ln>
            </c:spPr>
          </c:marker>
          <c:dLbls>
            <c:delete val="1"/>
          </c:dLbls>
          <c:cat>
            <c:numRef>
              <c:f>Sheet2!$A$4:$A$19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Sheet2!$C$4:$C$19</c:f>
              <c:numCache>
                <c:formatCode>General</c:formatCode>
                <c:ptCount val="16"/>
                <c:pt idx="0">
                  <c:v>-4.004</c:v>
                </c:pt>
                <c:pt idx="1">
                  <c:v>-1.40199999999998</c:v>
                </c:pt>
                <c:pt idx="2">
                  <c:v>1.20099999999999</c:v>
                </c:pt>
                <c:pt idx="3">
                  <c:v>3.803</c:v>
                </c:pt>
                <c:pt idx="4">
                  <c:v>6.406</c:v>
                </c:pt>
                <c:pt idx="5">
                  <c:v>9.008</c:v>
                </c:pt>
                <c:pt idx="6">
                  <c:v>11.61</c:v>
                </c:pt>
                <c:pt idx="7">
                  <c:v>14.213</c:v>
                </c:pt>
                <c:pt idx="8">
                  <c:v>16.815</c:v>
                </c:pt>
                <c:pt idx="9">
                  <c:v>19.418</c:v>
                </c:pt>
                <c:pt idx="10">
                  <c:v>22.02</c:v>
                </c:pt>
                <c:pt idx="11">
                  <c:v>24.622</c:v>
                </c:pt>
                <c:pt idx="12">
                  <c:v>27.225</c:v>
                </c:pt>
                <c:pt idx="13">
                  <c:v>29.827</c:v>
                </c:pt>
                <c:pt idx="14">
                  <c:v>32.43</c:v>
                </c:pt>
                <c:pt idx="15">
                  <c:v>35.032</c:v>
                </c:pt>
              </c:numCache>
            </c:numRef>
          </c:val>
          <c:smooth val="0"/>
        </c:ser>
        <c:ser>
          <c:idx val="2"/>
          <c:order val="2"/>
          <c:tx>
            <c:strRef>
              <c:f>Sheet2!$D$3</c:f>
              <c:strCache>
                <c:ptCount val="1"/>
                <c:pt idx="0">
                  <c:v>new</c:v>
                </c:pt>
              </c:strCache>
            </c:strRef>
          </c:tx>
          <c:spPr>
            <a:ln w="12682" cap="rnd" cmpd="sng" algn="ctr">
              <a:solidFill>
                <a:srgbClr val="FFFF00"/>
              </a:solidFill>
              <a:prstDash val="solid"/>
              <a:round/>
            </a:ln>
          </c:spPr>
          <c:marker>
            <c:symbol val="triangle"/>
            <c:size val="3"/>
            <c:spPr>
              <a:solidFill>
                <a:srgbClr val="FFFF00"/>
              </a:solidFill>
              <a:ln w="9525" cap="flat" cmpd="sng" algn="ctr">
                <a:solidFill>
                  <a:srgbClr val="FFFF00"/>
                </a:solidFill>
                <a:prstDash val="solid"/>
                <a:round/>
              </a:ln>
            </c:spPr>
          </c:marker>
          <c:dLbls>
            <c:delete val="1"/>
          </c:dLbls>
          <c:cat>
            <c:numRef>
              <c:f>Sheet2!$A$4:$A$19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Sheet2!$D$4:$D$19</c:f>
              <c:numCache>
                <c:formatCode>General</c:formatCode>
                <c:ptCount val="16"/>
                <c:pt idx="0">
                  <c:v>-28</c:v>
                </c:pt>
                <c:pt idx="1">
                  <c:v>-18.2</c:v>
                </c:pt>
                <c:pt idx="2">
                  <c:v>-8.4</c:v>
                </c:pt>
                <c:pt idx="3">
                  <c:v>15.669</c:v>
                </c:pt>
                <c:pt idx="4">
                  <c:v>19.362</c:v>
                </c:pt>
                <c:pt idx="5">
                  <c:v>22.504</c:v>
                </c:pt>
                <c:pt idx="6">
                  <c:v>25.219</c:v>
                </c:pt>
                <c:pt idx="7">
                  <c:v>27.593</c:v>
                </c:pt>
                <c:pt idx="8">
                  <c:v>29.696</c:v>
                </c:pt>
                <c:pt idx="9">
                  <c:v>31.574</c:v>
                </c:pt>
                <c:pt idx="10">
                  <c:v>33.264</c:v>
                </c:pt>
                <c:pt idx="11">
                  <c:v>34.797</c:v>
                </c:pt>
                <c:pt idx="12">
                  <c:v>36.193</c:v>
                </c:pt>
                <c:pt idx="13">
                  <c:v>37.475</c:v>
                </c:pt>
                <c:pt idx="14">
                  <c:v>38.656</c:v>
                </c:pt>
                <c:pt idx="15">
                  <c:v>39.747</c:v>
                </c:pt>
              </c:numCache>
            </c:numRef>
          </c:val>
          <c:smooth val="0"/>
        </c:ser>
        <c:ser>
          <c:idx val="3"/>
          <c:order val="3"/>
          <c:tx>
            <c:strRef>
              <c:f>Sheet2!$E$3</c:f>
              <c:strCache>
                <c:ptCount val="1"/>
                <c:pt idx="0">
                  <c:v>面积比</c:v>
                </c:pt>
              </c:strCache>
            </c:strRef>
          </c:tx>
          <c:spPr>
            <a:ln w="12682" cap="rnd" cmpd="sng" algn="ctr">
              <a:solidFill>
                <a:srgbClr val="00FFFF"/>
              </a:solidFill>
              <a:prstDash val="solid"/>
              <a:round/>
            </a:ln>
          </c:spPr>
          <c:marker>
            <c:symbol val="x"/>
            <c:size val="3"/>
            <c:spPr>
              <a:noFill/>
              <a:ln w="9525" cap="flat" cmpd="sng" algn="ctr">
                <a:solidFill>
                  <a:srgbClr val="00FFFF"/>
                </a:solidFill>
                <a:prstDash val="solid"/>
                <a:round/>
              </a:ln>
            </c:spPr>
          </c:marker>
          <c:dLbls>
            <c:delete val="1"/>
          </c:dLbls>
          <c:cat>
            <c:numRef>
              <c:f>Sheet2!$A$4:$A$19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Sheet2!$E$4:$E$19</c:f>
              <c:numCache>
                <c:formatCode>General</c:formatCode>
                <c:ptCount val="16"/>
                <c:pt idx="0">
                  <c:v>-7.42</c:v>
                </c:pt>
                <c:pt idx="1">
                  <c:v>-4.82299999999998</c:v>
                </c:pt>
                <c:pt idx="2">
                  <c:v>-2.226</c:v>
                </c:pt>
                <c:pt idx="3">
                  <c:v>0.371000000000001</c:v>
                </c:pt>
                <c:pt idx="4">
                  <c:v>2.968</c:v>
                </c:pt>
                <c:pt idx="5">
                  <c:v>5.56499999999998</c:v>
                </c:pt>
                <c:pt idx="6">
                  <c:v>8.162</c:v>
                </c:pt>
                <c:pt idx="7">
                  <c:v>10.759</c:v>
                </c:pt>
                <c:pt idx="8">
                  <c:v>13.3560000000001</c:v>
                </c:pt>
                <c:pt idx="9">
                  <c:v>15.953</c:v>
                </c:pt>
                <c:pt idx="10">
                  <c:v>18.55</c:v>
                </c:pt>
                <c:pt idx="11">
                  <c:v>21.147</c:v>
                </c:pt>
                <c:pt idx="12">
                  <c:v>23.744</c:v>
                </c:pt>
                <c:pt idx="13">
                  <c:v>26.341</c:v>
                </c:pt>
                <c:pt idx="14">
                  <c:v>28.938</c:v>
                </c:pt>
                <c:pt idx="15">
                  <c:v>31.535</c:v>
                </c:pt>
              </c:numCache>
            </c:numRef>
          </c:val>
          <c:smooth val="0"/>
        </c:ser>
        <c:ser>
          <c:idx val="4"/>
          <c:order val="4"/>
          <c:tx>
            <c:strRef>
              <c:f>Sheet2!$F$3</c:f>
              <c:strCache>
                <c:ptCount val="1"/>
                <c:pt idx="0">
                  <c:v>宽度比</c:v>
                </c:pt>
              </c:strCache>
            </c:strRef>
          </c:tx>
          <c:spPr>
            <a:ln w="12682" cap="rnd" cmpd="sng" algn="ctr">
              <a:solidFill>
                <a:srgbClr val="800080"/>
              </a:solidFill>
              <a:prstDash val="solid"/>
              <a:round/>
            </a:ln>
          </c:spPr>
          <c:marker>
            <c:symbol val="star"/>
            <c:size val="3"/>
            <c:spPr>
              <a:noFill/>
              <a:ln w="9525" cap="flat" cmpd="sng" algn="ctr">
                <a:solidFill>
                  <a:srgbClr val="800080"/>
                </a:solidFill>
                <a:prstDash val="solid"/>
                <a:round/>
              </a:ln>
            </c:spPr>
          </c:marker>
          <c:dLbls>
            <c:delete val="1"/>
          </c:dLbls>
          <c:cat>
            <c:numRef>
              <c:f>Sheet2!$A$4:$A$19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Sheet2!$F$4:$F$19</c:f>
              <c:numCache>
                <c:formatCode>General</c:formatCode>
                <c:ptCount val="16"/>
                <c:pt idx="0">
                  <c:v>-4.004</c:v>
                </c:pt>
                <c:pt idx="1">
                  <c:v>-2.6026</c:v>
                </c:pt>
                <c:pt idx="2">
                  <c:v>-1.20119999999999</c:v>
                </c:pt>
                <c:pt idx="3">
                  <c:v>0.2002</c:v>
                </c:pt>
                <c:pt idx="4">
                  <c:v>1.60159999999999</c:v>
                </c:pt>
                <c:pt idx="5">
                  <c:v>3.003</c:v>
                </c:pt>
                <c:pt idx="6">
                  <c:v>4.4044</c:v>
                </c:pt>
                <c:pt idx="7">
                  <c:v>5.8058</c:v>
                </c:pt>
                <c:pt idx="8">
                  <c:v>7.2072</c:v>
                </c:pt>
                <c:pt idx="9">
                  <c:v>8.6086</c:v>
                </c:pt>
                <c:pt idx="10">
                  <c:v>10.01</c:v>
                </c:pt>
                <c:pt idx="11">
                  <c:v>11.4114</c:v>
                </c:pt>
                <c:pt idx="12">
                  <c:v>12.8128</c:v>
                </c:pt>
                <c:pt idx="13">
                  <c:v>14.2142</c:v>
                </c:pt>
                <c:pt idx="14">
                  <c:v>15.6156</c:v>
                </c:pt>
                <c:pt idx="15">
                  <c:v>17.017</c:v>
                </c:pt>
              </c:numCache>
            </c:numRef>
          </c:val>
          <c:smooth val="0"/>
        </c:ser>
        <c:dLbls>
          <c:showLegendKey val="0"/>
          <c:showVal val="0"/>
          <c:showCatName val="0"/>
          <c:showSerName val="0"/>
          <c:showPercent val="0"/>
          <c:showBubbleSize val="0"/>
        </c:dLbls>
        <c:marker val="1"/>
        <c:smooth val="0"/>
        <c:axId val="-1527459376"/>
        <c:axId val="-1527474608"/>
      </c:lineChart>
      <c:catAx>
        <c:axId val="-1527459376"/>
        <c:scaling>
          <c:orientation val="minMax"/>
        </c:scaling>
        <c:delete val="0"/>
        <c:axPos val="b"/>
        <c:title>
          <c:tx>
            <c:rich>
              <a:bodyPr rot="0" spcFirstLastPara="0" vertOverflow="ellipsis" vert="horz" wrap="square" anchor="ctr" anchorCtr="1"/>
              <a:lstStyle/>
              <a:p>
                <a:pPr>
                  <a:defRPr lang="zh-CN" sz="97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7980561835705"/>
              <c:y val="0.757991022150277"/>
            </c:manualLayout>
          </c:layout>
          <c:overlay val="0"/>
          <c:spPr>
            <a:noFill/>
            <a:ln w="25364">
              <a:noFill/>
            </a:ln>
          </c:spPr>
        </c:title>
        <c:numFmt formatCode="General" sourceLinked="1"/>
        <c:majorTickMark val="in"/>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zh-CN" sz="97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74608"/>
        <c:crosses val="autoZero"/>
        <c:auto val="1"/>
        <c:lblAlgn val="ctr"/>
        <c:lblOffset val="100"/>
        <c:tickLblSkip val="1"/>
        <c:noMultiLvlLbl val="0"/>
      </c:catAx>
      <c:valAx>
        <c:axId val="-1527474608"/>
        <c:scaling>
          <c:orientation val="minMax"/>
        </c:scaling>
        <c:delete val="0"/>
        <c:axPos val="l"/>
        <c:majorGridlines>
          <c:spPr>
            <a:ln w="3170" cap="flat" cmpd="sng" algn="ctr">
              <a:solidFill>
                <a:srgbClr val="000000"/>
              </a:solidFill>
              <a:prstDash val="solid"/>
              <a:round/>
            </a:ln>
          </c:spPr>
        </c:majorGridlines>
        <c:title>
          <c:tx>
            <c:rich>
              <a:bodyPr rot="-5400000" spcFirstLastPara="0" vertOverflow="ellipsis" vert="horz" wrap="square" anchor="ctr" anchorCtr="1"/>
              <a:lstStyle/>
              <a:p>
                <a:pPr>
                  <a:defRPr lang="zh-CN" sz="97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67641173566176"/>
              <c:y val="0.246575416390708"/>
            </c:manualLayout>
          </c:layout>
          <c:overlay val="0"/>
          <c:spPr>
            <a:noFill/>
            <a:ln w="25364">
              <a:noFill/>
            </a:ln>
          </c:spPr>
        </c:title>
        <c:numFmt formatCode="General" sourceLinked="1"/>
        <c:majorTickMark val="in"/>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zh-CN" sz="97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59376"/>
        <c:crosses val="autoZero"/>
        <c:crossBetween val="between"/>
      </c:valAx>
      <c:spPr>
        <a:solidFill>
          <a:srgbClr val="C0C0C0"/>
        </a:solidFill>
        <a:ln w="12682">
          <a:solidFill>
            <a:srgbClr val="808080"/>
          </a:solidFill>
          <a:prstDash val="solid"/>
        </a:ln>
      </c:spPr>
    </c:plotArea>
    <c:legend>
      <c:legendPos val="b"/>
      <c:layout>
        <c:manualLayout>
          <c:xMode val="edge"/>
          <c:yMode val="edge"/>
          <c:x val="0.165450222187573"/>
          <c:y val="0.904109696568311"/>
          <c:w val="0.800486733712735"/>
          <c:h val="0.0867579169426252"/>
        </c:manualLayout>
      </c:layout>
      <c:overlay val="0"/>
      <c:spPr>
        <a:noFill/>
        <a:ln w="25364">
          <a:noFill/>
        </a:ln>
      </c:spPr>
      <c:txPr>
        <a:bodyPr rot="0" spcFirstLastPara="0" vertOverflow="ellipsis" vert="horz" wrap="square" anchor="ctr" anchorCtr="1"/>
        <a:lstStyle/>
        <a:p>
          <a:pPr>
            <a:defRPr lang="zh-CN" sz="89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a32955dc-a0a8-4765-bbc7-068c217b9bd5}"/>
      </c:ext>
    </c:extLst>
  </c:chart>
  <c:spPr>
    <a:solidFill>
      <a:srgbClr val="FFFFFF"/>
    </a:solidFill>
    <a:ln w="3170" cap="flat" cmpd="sng" algn="ctr">
      <a:solidFill>
        <a:srgbClr val="000000"/>
      </a:solidFill>
      <a:prstDash val="solid"/>
      <a:round/>
    </a:ln>
  </c:spPr>
  <c:txPr>
    <a:bodyPr/>
    <a:lstStyle/>
    <a:p>
      <a:pPr>
        <a:defRPr lang="zh-CN" sz="97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300236406619"/>
          <c:y val="0.0881057268722467"/>
          <c:w val="0.825059101654847"/>
          <c:h val="0.555066079295154"/>
        </c:manualLayout>
      </c:layout>
      <c:lineChart>
        <c:grouping val="standard"/>
        <c:varyColors val="0"/>
        <c:ser>
          <c:idx val="0"/>
          <c:order val="0"/>
          <c:tx>
            <c:strRef>
              <c:f>对比!$B$189</c:f>
              <c:strCache>
                <c:ptCount val="1"/>
                <c:pt idx="0">
                  <c:v>朗肯</c:v>
                </c:pt>
              </c:strCache>
            </c:strRef>
          </c:tx>
          <c:spPr>
            <a:ln w="12704"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dLbls>
            <c:delete val="1"/>
          </c:dLbls>
          <c:cat>
            <c:numRef>
              <c:f>对比!$A$190:$A$205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对比!$B$190:$B$205</c:f>
              <c:numCache>
                <c:formatCode>General</c:formatCode>
                <c:ptCount val="16"/>
                <c:pt idx="0">
                  <c:v>0</c:v>
                </c:pt>
                <c:pt idx="1">
                  <c:v>6.66</c:v>
                </c:pt>
                <c:pt idx="2">
                  <c:v>13.32</c:v>
                </c:pt>
                <c:pt idx="3">
                  <c:v>19.98</c:v>
                </c:pt>
                <c:pt idx="4">
                  <c:v>26.64</c:v>
                </c:pt>
                <c:pt idx="5">
                  <c:v>33.3</c:v>
                </c:pt>
                <c:pt idx="6">
                  <c:v>39.96</c:v>
                </c:pt>
                <c:pt idx="7">
                  <c:v>46.62</c:v>
                </c:pt>
                <c:pt idx="8">
                  <c:v>53.28</c:v>
                </c:pt>
                <c:pt idx="9">
                  <c:v>59.94</c:v>
                </c:pt>
                <c:pt idx="10">
                  <c:v>66.6</c:v>
                </c:pt>
                <c:pt idx="11">
                  <c:v>73.26</c:v>
                </c:pt>
                <c:pt idx="12">
                  <c:v>79.92</c:v>
                </c:pt>
                <c:pt idx="13">
                  <c:v>86.58</c:v>
                </c:pt>
                <c:pt idx="14">
                  <c:v>93.24</c:v>
                </c:pt>
                <c:pt idx="15">
                  <c:v>99.9</c:v>
                </c:pt>
              </c:numCache>
            </c:numRef>
          </c:val>
          <c:smooth val="0"/>
        </c:ser>
        <c:ser>
          <c:idx val="1"/>
          <c:order val="1"/>
          <c:tx>
            <c:strRef>
              <c:f>对比!$C$189</c:f>
              <c:strCache>
                <c:ptCount val="1"/>
                <c:pt idx="0">
                  <c:v>[1]</c:v>
                </c:pt>
              </c:strCache>
            </c:strRef>
          </c:tx>
          <c:spPr>
            <a:ln w="12704" cap="rnd" cmpd="sng" algn="ctr">
              <a:solidFill>
                <a:srgbClr val="FF00FF"/>
              </a:solidFill>
              <a:prstDash val="solid"/>
              <a:round/>
            </a:ln>
          </c:spPr>
          <c:marker>
            <c:symbol val="square"/>
            <c:size val="5"/>
            <c:spPr>
              <a:solidFill>
                <a:srgbClr val="FF00FF"/>
              </a:solidFill>
              <a:ln w="9525" cap="flat" cmpd="sng" algn="ctr">
                <a:solidFill>
                  <a:srgbClr val="FF00FF"/>
                </a:solidFill>
                <a:prstDash val="solid"/>
                <a:round/>
              </a:ln>
            </c:spPr>
          </c:marker>
          <c:dLbls>
            <c:delete val="1"/>
          </c:dLbls>
          <c:cat>
            <c:numRef>
              <c:f>对比!$A$190:$A$205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对比!$C$190:$C$205</c:f>
              <c:numCache>
                <c:formatCode>General</c:formatCode>
                <c:ptCount val="16"/>
                <c:pt idx="0">
                  <c:v>0</c:v>
                </c:pt>
                <c:pt idx="1">
                  <c:v>5.12599999999998</c:v>
                </c:pt>
                <c:pt idx="2">
                  <c:v>10.251</c:v>
                </c:pt>
                <c:pt idx="3">
                  <c:v>15.377</c:v>
                </c:pt>
                <c:pt idx="4">
                  <c:v>20.502</c:v>
                </c:pt>
                <c:pt idx="5">
                  <c:v>25.628</c:v>
                </c:pt>
                <c:pt idx="6">
                  <c:v>30.753</c:v>
                </c:pt>
                <c:pt idx="7">
                  <c:v>35.879</c:v>
                </c:pt>
                <c:pt idx="8">
                  <c:v>41.004</c:v>
                </c:pt>
                <c:pt idx="9">
                  <c:v>46.13</c:v>
                </c:pt>
                <c:pt idx="10">
                  <c:v>51.255</c:v>
                </c:pt>
                <c:pt idx="11">
                  <c:v>56.381</c:v>
                </c:pt>
                <c:pt idx="12">
                  <c:v>61.506</c:v>
                </c:pt>
                <c:pt idx="13">
                  <c:v>66.632</c:v>
                </c:pt>
                <c:pt idx="14">
                  <c:v>71.758</c:v>
                </c:pt>
                <c:pt idx="15">
                  <c:v>76.883</c:v>
                </c:pt>
              </c:numCache>
            </c:numRef>
          </c:val>
          <c:smooth val="0"/>
        </c:ser>
        <c:ser>
          <c:idx val="2"/>
          <c:order val="2"/>
          <c:tx>
            <c:strRef>
              <c:f>对比!$D$189</c:f>
              <c:strCache>
                <c:ptCount val="1"/>
                <c:pt idx="0">
                  <c:v>new</c:v>
                </c:pt>
              </c:strCache>
            </c:strRef>
          </c:tx>
          <c:spPr>
            <a:ln w="12704" cap="rnd" cmpd="sng" algn="ctr">
              <a:solidFill>
                <a:srgbClr val="FFFF00"/>
              </a:solidFill>
              <a:prstDash val="solid"/>
              <a:round/>
            </a:ln>
          </c:spPr>
          <c:marker>
            <c:symbol val="triangle"/>
            <c:size val="5"/>
            <c:spPr>
              <a:solidFill>
                <a:srgbClr val="FFFF00"/>
              </a:solidFill>
              <a:ln w="9525" cap="flat" cmpd="sng" algn="ctr">
                <a:solidFill>
                  <a:srgbClr val="FFFF00"/>
                </a:solidFill>
                <a:prstDash val="solid"/>
                <a:round/>
              </a:ln>
            </c:spPr>
          </c:marker>
          <c:dLbls>
            <c:delete val="1"/>
          </c:dLbls>
          <c:cat>
            <c:numRef>
              <c:f>对比!$A$190:$A$205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对比!$D$190:$D$205</c:f>
              <c:numCache>
                <c:formatCode>General</c:formatCode>
                <c:ptCount val="16"/>
                <c:pt idx="0">
                  <c:v>0</c:v>
                </c:pt>
                <c:pt idx="1">
                  <c:v>6.66</c:v>
                </c:pt>
                <c:pt idx="2">
                  <c:v>13.32</c:v>
                </c:pt>
                <c:pt idx="3">
                  <c:v>19.98</c:v>
                </c:pt>
                <c:pt idx="4">
                  <c:v>26.64</c:v>
                </c:pt>
                <c:pt idx="5">
                  <c:v>33.3</c:v>
                </c:pt>
                <c:pt idx="6">
                  <c:v>39.96</c:v>
                </c:pt>
                <c:pt idx="7">
                  <c:v>46.62</c:v>
                </c:pt>
                <c:pt idx="8">
                  <c:v>54.901</c:v>
                </c:pt>
                <c:pt idx="9">
                  <c:v>58.741</c:v>
                </c:pt>
                <c:pt idx="10">
                  <c:v>62.172</c:v>
                </c:pt>
                <c:pt idx="11">
                  <c:v>65.266</c:v>
                </c:pt>
                <c:pt idx="12">
                  <c:v>68.0690000000001</c:v>
                </c:pt>
                <c:pt idx="13">
                  <c:v>70.627</c:v>
                </c:pt>
                <c:pt idx="14">
                  <c:v>72.975</c:v>
                </c:pt>
                <c:pt idx="15">
                  <c:v>75.1369999999999</c:v>
                </c:pt>
              </c:numCache>
            </c:numRef>
          </c:val>
          <c:smooth val="0"/>
        </c:ser>
        <c:ser>
          <c:idx val="3"/>
          <c:order val="3"/>
          <c:tx>
            <c:strRef>
              <c:f>对比!$E$189</c:f>
              <c:strCache>
                <c:ptCount val="1"/>
                <c:pt idx="0">
                  <c:v>面积比</c:v>
                </c:pt>
              </c:strCache>
            </c:strRef>
          </c:tx>
          <c:spPr>
            <a:ln w="12704" cap="rnd" cmpd="sng" algn="ctr">
              <a:solidFill>
                <a:srgbClr val="00FFFF"/>
              </a:solidFill>
              <a:prstDash val="solid"/>
              <a:round/>
            </a:ln>
          </c:spPr>
          <c:marker>
            <c:symbol val="x"/>
            <c:size val="5"/>
            <c:spPr>
              <a:noFill/>
              <a:ln w="9525" cap="flat" cmpd="sng" algn="ctr">
                <a:solidFill>
                  <a:srgbClr val="00FFFF"/>
                </a:solidFill>
                <a:prstDash val="solid"/>
                <a:round/>
              </a:ln>
            </c:spPr>
          </c:marker>
          <c:dLbls>
            <c:delete val="1"/>
          </c:dLbls>
          <c:cat>
            <c:numRef>
              <c:f>对比!$A$190:$A$205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对比!$E$190:$E$205</c:f>
              <c:numCache>
                <c:formatCode>General</c:formatCode>
                <c:ptCount val="16"/>
                <c:pt idx="0">
                  <c:v>0</c:v>
                </c:pt>
                <c:pt idx="1">
                  <c:v>5.12153999999998</c:v>
                </c:pt>
                <c:pt idx="2">
                  <c:v>10.24308</c:v>
                </c:pt>
                <c:pt idx="3">
                  <c:v>15.36462</c:v>
                </c:pt>
                <c:pt idx="4">
                  <c:v>20.48616</c:v>
                </c:pt>
                <c:pt idx="5">
                  <c:v>25.6077</c:v>
                </c:pt>
                <c:pt idx="6">
                  <c:v>30.7292399999998</c:v>
                </c:pt>
                <c:pt idx="7">
                  <c:v>35.85078</c:v>
                </c:pt>
                <c:pt idx="8">
                  <c:v>40.97232</c:v>
                </c:pt>
                <c:pt idx="9">
                  <c:v>46.09386</c:v>
                </c:pt>
                <c:pt idx="10">
                  <c:v>51.2154</c:v>
                </c:pt>
                <c:pt idx="11">
                  <c:v>56.33694</c:v>
                </c:pt>
                <c:pt idx="12">
                  <c:v>61.45848</c:v>
                </c:pt>
                <c:pt idx="13">
                  <c:v>66.58002</c:v>
                </c:pt>
                <c:pt idx="14">
                  <c:v>71.7015600000003</c:v>
                </c:pt>
                <c:pt idx="15">
                  <c:v>76.8231</c:v>
                </c:pt>
              </c:numCache>
            </c:numRef>
          </c:val>
          <c:smooth val="0"/>
        </c:ser>
        <c:ser>
          <c:idx val="4"/>
          <c:order val="4"/>
          <c:tx>
            <c:strRef>
              <c:f>对比!$F$189</c:f>
              <c:strCache>
                <c:ptCount val="1"/>
                <c:pt idx="0">
                  <c:v>宽度比</c:v>
                </c:pt>
              </c:strCache>
            </c:strRef>
          </c:tx>
          <c:spPr>
            <a:ln w="12704" cap="rnd" cmpd="sng" algn="ctr">
              <a:solidFill>
                <a:srgbClr val="800080"/>
              </a:solidFill>
              <a:prstDash val="solid"/>
              <a:round/>
            </a:ln>
          </c:spPr>
          <c:marker>
            <c:symbol val="star"/>
            <c:size val="5"/>
            <c:spPr>
              <a:noFill/>
              <a:ln w="9525" cap="flat" cmpd="sng" algn="ctr">
                <a:solidFill>
                  <a:srgbClr val="800080"/>
                </a:solidFill>
                <a:prstDash val="solid"/>
                <a:round/>
              </a:ln>
            </c:spPr>
          </c:marker>
          <c:dLbls>
            <c:delete val="1"/>
          </c:dLbls>
          <c:cat>
            <c:numRef>
              <c:f>对比!$A$190:$A$205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对比!$F$190:$F$205</c:f>
              <c:numCache>
                <c:formatCode>General</c:formatCode>
                <c:ptCount val="16"/>
                <c:pt idx="0">
                  <c:v>0</c:v>
                </c:pt>
                <c:pt idx="1">
                  <c:v>3.4632</c:v>
                </c:pt>
                <c:pt idx="2">
                  <c:v>6.9264</c:v>
                </c:pt>
                <c:pt idx="3">
                  <c:v>10.3896</c:v>
                </c:pt>
                <c:pt idx="4">
                  <c:v>13.8528000000001</c:v>
                </c:pt>
                <c:pt idx="5">
                  <c:v>17.316</c:v>
                </c:pt>
                <c:pt idx="6">
                  <c:v>20.7792</c:v>
                </c:pt>
                <c:pt idx="7">
                  <c:v>24.2423999999998</c:v>
                </c:pt>
                <c:pt idx="8">
                  <c:v>27.7055999999998</c:v>
                </c:pt>
                <c:pt idx="9">
                  <c:v>31.1688</c:v>
                </c:pt>
                <c:pt idx="10">
                  <c:v>34.632</c:v>
                </c:pt>
                <c:pt idx="11">
                  <c:v>38.0952</c:v>
                </c:pt>
                <c:pt idx="12">
                  <c:v>41.5584</c:v>
                </c:pt>
                <c:pt idx="13">
                  <c:v>45.0216</c:v>
                </c:pt>
                <c:pt idx="14">
                  <c:v>48.4848</c:v>
                </c:pt>
                <c:pt idx="15">
                  <c:v>51.948</c:v>
                </c:pt>
              </c:numCache>
            </c:numRef>
          </c:val>
          <c:smooth val="0"/>
        </c:ser>
        <c:dLbls>
          <c:showLegendKey val="0"/>
          <c:showVal val="0"/>
          <c:showCatName val="0"/>
          <c:showSerName val="0"/>
          <c:showPercent val="0"/>
          <c:showBubbleSize val="0"/>
        </c:dLbls>
        <c:marker val="1"/>
        <c:smooth val="0"/>
        <c:axId val="-1591873440"/>
        <c:axId val="-1591867456"/>
      </c:lineChart>
      <c:catAx>
        <c:axId val="-1591873440"/>
        <c:scaling>
          <c:orientation val="minMax"/>
        </c:scaling>
        <c:delete val="0"/>
        <c:axPos val="b"/>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7186806567212"/>
              <c:y val="0.766519823788551"/>
            </c:manualLayout>
          </c:layout>
          <c:overlay val="0"/>
          <c:spPr>
            <a:noFill/>
            <a:ln w="25408">
              <a:noFill/>
            </a:ln>
          </c:spPr>
        </c:title>
        <c:numFmt formatCode="General" sourceLinked="1"/>
        <c:majorTickMark val="in"/>
        <c:minorTickMark val="none"/>
        <c:tickLblPos val="nextTo"/>
        <c:spPr>
          <a:ln w="3176"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67456"/>
        <c:crosses val="autoZero"/>
        <c:auto val="1"/>
        <c:lblAlgn val="ctr"/>
        <c:lblOffset val="100"/>
        <c:tickLblSkip val="1"/>
        <c:noMultiLvlLbl val="0"/>
      </c:catAx>
      <c:valAx>
        <c:axId val="-1591867456"/>
        <c:scaling>
          <c:orientation val="minMax"/>
        </c:scaling>
        <c:delete val="0"/>
        <c:axPos val="l"/>
        <c:majorGridlines>
          <c:spPr>
            <a:ln w="3176" cap="flat" cmpd="sng" algn="ctr">
              <a:solidFill>
                <a:srgbClr val="000000"/>
              </a:solidFill>
              <a:prstDash val="solid"/>
              <a:round/>
            </a:ln>
          </c:spPr>
        </c:majorGridlines>
        <c:title>
          <c:tx>
            <c:rich>
              <a:bodyPr rot="-54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60047821891116"/>
              <c:y val="0.215859030837007"/>
            </c:manualLayout>
          </c:layout>
          <c:overlay val="0"/>
          <c:spPr>
            <a:noFill/>
            <a:ln w="25408">
              <a:noFill/>
            </a:ln>
          </c:spPr>
        </c:title>
        <c:numFmt formatCode="General" sourceLinked="1"/>
        <c:majorTickMark val="in"/>
        <c:minorTickMark val="none"/>
        <c:tickLblPos val="nextTo"/>
        <c:spPr>
          <a:ln w="3176"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73440"/>
        <c:crosses val="autoZero"/>
        <c:crossBetween val="between"/>
      </c:valAx>
      <c:spPr>
        <a:solidFill>
          <a:srgbClr val="C0C0C0"/>
        </a:solidFill>
        <a:ln w="12704">
          <a:solidFill>
            <a:srgbClr val="808080"/>
          </a:solidFill>
          <a:prstDash val="solid"/>
        </a:ln>
      </c:spPr>
    </c:plotArea>
    <c:legend>
      <c:legendPos val="b"/>
      <c:layout>
        <c:manualLayout>
          <c:xMode val="edge"/>
          <c:yMode val="edge"/>
          <c:x val="0.17494083731337"/>
          <c:y val="0.907488986784141"/>
          <c:w val="0.777777695820815"/>
          <c:h val="0.0837004405286356"/>
        </c:manualLayout>
      </c:layout>
      <c:overlay val="0"/>
      <c:spPr>
        <a:solidFill>
          <a:srgbClr val="FFFFFF"/>
        </a:solidFill>
        <a:ln w="25408">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e8da4e44-f69c-4d49-925a-9385b9752b2b}"/>
      </c:ext>
    </c:extLst>
  </c:chart>
  <c:spPr>
    <a:solidFill>
      <a:srgbClr val="FFFFFF"/>
    </a:solidFill>
    <a:ln w="3176" cap="flat" cmpd="sng" algn="ctr">
      <a:solidFill>
        <a:srgbClr val="000000"/>
      </a:solidFill>
      <a:prstDash val="solid"/>
      <a:round/>
    </a:ln>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300236406619"/>
          <c:y val="0.0881057268722467"/>
          <c:w val="0.825059101654847"/>
          <c:h val="0.555066079295154"/>
        </c:manualLayout>
      </c:layout>
      <c:lineChart>
        <c:grouping val="standard"/>
        <c:varyColors val="0"/>
        <c:ser>
          <c:idx val="0"/>
          <c:order val="0"/>
          <c:tx>
            <c:strRef>
              <c:f>对比!$B$210</c:f>
              <c:strCache>
                <c:ptCount val="1"/>
                <c:pt idx="0">
                  <c:v>朗肯</c:v>
                </c:pt>
              </c:strCache>
            </c:strRef>
          </c:tx>
          <c:spPr>
            <a:ln w="12681" cap="rnd" cmpd="sng" algn="ctr">
              <a:solidFill>
                <a:srgbClr val="000080"/>
              </a:solidFill>
              <a:prstDash val="solid"/>
              <a:round/>
            </a:ln>
          </c:spPr>
          <c:marker>
            <c:symbol val="diamond"/>
            <c:size val="4"/>
            <c:spPr>
              <a:solidFill>
                <a:srgbClr val="000080"/>
              </a:solidFill>
              <a:ln w="9525" cap="flat" cmpd="sng" algn="ctr">
                <a:solidFill>
                  <a:srgbClr val="000080"/>
                </a:solidFill>
                <a:prstDash val="solid"/>
                <a:round/>
              </a:ln>
            </c:spPr>
          </c:marker>
          <c:dLbls>
            <c:delete val="1"/>
          </c:dLbls>
          <c:cat>
            <c:numRef>
              <c:f>对比!$A$211:$A$226</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对比!$B$211:$B$226</c:f>
              <c:numCache>
                <c:formatCode>General</c:formatCode>
                <c:ptCount val="16"/>
                <c:pt idx="0">
                  <c:v>0</c:v>
                </c:pt>
                <c:pt idx="1">
                  <c:v>6.66</c:v>
                </c:pt>
                <c:pt idx="2">
                  <c:v>13.32</c:v>
                </c:pt>
                <c:pt idx="3">
                  <c:v>19.98</c:v>
                </c:pt>
                <c:pt idx="4">
                  <c:v>26.64</c:v>
                </c:pt>
                <c:pt idx="5">
                  <c:v>33.3</c:v>
                </c:pt>
                <c:pt idx="6">
                  <c:v>39.96</c:v>
                </c:pt>
                <c:pt idx="7">
                  <c:v>46.62</c:v>
                </c:pt>
                <c:pt idx="8">
                  <c:v>53.28</c:v>
                </c:pt>
                <c:pt idx="9">
                  <c:v>59.94</c:v>
                </c:pt>
                <c:pt idx="10">
                  <c:v>66.6</c:v>
                </c:pt>
                <c:pt idx="11">
                  <c:v>73.26</c:v>
                </c:pt>
                <c:pt idx="12">
                  <c:v>79.92</c:v>
                </c:pt>
                <c:pt idx="13">
                  <c:v>86.58</c:v>
                </c:pt>
                <c:pt idx="14">
                  <c:v>93.24</c:v>
                </c:pt>
                <c:pt idx="15">
                  <c:v>99.9</c:v>
                </c:pt>
              </c:numCache>
            </c:numRef>
          </c:val>
          <c:smooth val="0"/>
        </c:ser>
        <c:ser>
          <c:idx val="1"/>
          <c:order val="1"/>
          <c:tx>
            <c:strRef>
              <c:f>对比!$C$210</c:f>
              <c:strCache>
                <c:ptCount val="1"/>
                <c:pt idx="0">
                  <c:v>[1]</c:v>
                </c:pt>
              </c:strCache>
            </c:strRef>
          </c:tx>
          <c:spPr>
            <a:ln w="12681" cap="rnd" cmpd="sng" algn="ctr">
              <a:solidFill>
                <a:srgbClr val="FF00FF"/>
              </a:solidFill>
              <a:prstDash val="solid"/>
              <a:round/>
            </a:ln>
          </c:spPr>
          <c:marker>
            <c:symbol val="square"/>
            <c:size val="4"/>
            <c:spPr>
              <a:solidFill>
                <a:srgbClr val="FF00FF"/>
              </a:solidFill>
              <a:ln w="9525" cap="flat" cmpd="sng" algn="ctr">
                <a:solidFill>
                  <a:srgbClr val="FF00FF"/>
                </a:solidFill>
                <a:prstDash val="solid"/>
                <a:round/>
              </a:ln>
            </c:spPr>
          </c:marker>
          <c:dLbls>
            <c:delete val="1"/>
          </c:dLbls>
          <c:cat>
            <c:numRef>
              <c:f>对比!$A$211:$A$226</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对比!$C$211:$C$226</c:f>
              <c:numCache>
                <c:formatCode>General</c:formatCode>
                <c:ptCount val="16"/>
                <c:pt idx="0">
                  <c:v>0</c:v>
                </c:pt>
                <c:pt idx="1">
                  <c:v>6.032</c:v>
                </c:pt>
                <c:pt idx="2">
                  <c:v>12.065</c:v>
                </c:pt>
                <c:pt idx="3">
                  <c:v>18.097</c:v>
                </c:pt>
                <c:pt idx="4">
                  <c:v>24.129</c:v>
                </c:pt>
                <c:pt idx="5">
                  <c:v>30.162</c:v>
                </c:pt>
                <c:pt idx="6">
                  <c:v>36.194</c:v>
                </c:pt>
                <c:pt idx="7">
                  <c:v>42.226</c:v>
                </c:pt>
                <c:pt idx="8">
                  <c:v>48.258</c:v>
                </c:pt>
                <c:pt idx="9">
                  <c:v>54.291</c:v>
                </c:pt>
                <c:pt idx="10">
                  <c:v>60.323</c:v>
                </c:pt>
                <c:pt idx="11">
                  <c:v>66.355</c:v>
                </c:pt>
                <c:pt idx="12">
                  <c:v>72.388</c:v>
                </c:pt>
                <c:pt idx="13">
                  <c:v>78.42</c:v>
                </c:pt>
                <c:pt idx="14">
                  <c:v>84.452</c:v>
                </c:pt>
                <c:pt idx="15">
                  <c:v>90.485</c:v>
                </c:pt>
              </c:numCache>
            </c:numRef>
          </c:val>
          <c:smooth val="0"/>
        </c:ser>
        <c:ser>
          <c:idx val="2"/>
          <c:order val="2"/>
          <c:tx>
            <c:strRef>
              <c:f>对比!$D$210</c:f>
              <c:strCache>
                <c:ptCount val="1"/>
                <c:pt idx="0">
                  <c:v>new</c:v>
                </c:pt>
              </c:strCache>
            </c:strRef>
          </c:tx>
          <c:spPr>
            <a:ln w="12681" cap="rnd" cmpd="sng" algn="ctr">
              <a:solidFill>
                <a:srgbClr val="FFFF00"/>
              </a:solidFill>
              <a:prstDash val="solid"/>
              <a:round/>
            </a:ln>
          </c:spPr>
          <c:marker>
            <c:symbol val="triangle"/>
            <c:size val="4"/>
            <c:spPr>
              <a:solidFill>
                <a:srgbClr val="FFFF00"/>
              </a:solidFill>
              <a:ln w="9525" cap="flat" cmpd="sng" algn="ctr">
                <a:solidFill>
                  <a:srgbClr val="FFFF00"/>
                </a:solidFill>
                <a:prstDash val="solid"/>
                <a:round/>
              </a:ln>
            </c:spPr>
          </c:marker>
          <c:dLbls>
            <c:delete val="1"/>
          </c:dLbls>
          <c:cat>
            <c:numRef>
              <c:f>对比!$A$211:$A$226</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对比!$D$211:$D$226</c:f>
              <c:numCache>
                <c:formatCode>General</c:formatCode>
                <c:ptCount val="16"/>
                <c:pt idx="0">
                  <c:v>0</c:v>
                </c:pt>
                <c:pt idx="1">
                  <c:v>6.66</c:v>
                </c:pt>
                <c:pt idx="2">
                  <c:v>13.32</c:v>
                </c:pt>
                <c:pt idx="3">
                  <c:v>19.98</c:v>
                </c:pt>
                <c:pt idx="4">
                  <c:v>26.64</c:v>
                </c:pt>
                <c:pt idx="5">
                  <c:v>33.3</c:v>
                </c:pt>
                <c:pt idx="6">
                  <c:v>39.96</c:v>
                </c:pt>
                <c:pt idx="7">
                  <c:v>46.62</c:v>
                </c:pt>
                <c:pt idx="8">
                  <c:v>53.28</c:v>
                </c:pt>
                <c:pt idx="9">
                  <c:v>59.94</c:v>
                </c:pt>
                <c:pt idx="10">
                  <c:v>66.6</c:v>
                </c:pt>
                <c:pt idx="11">
                  <c:v>73.886</c:v>
                </c:pt>
                <c:pt idx="12">
                  <c:v>77.723</c:v>
                </c:pt>
                <c:pt idx="13">
                  <c:v>81.2470000000002</c:v>
                </c:pt>
                <c:pt idx="14">
                  <c:v>84.5010000000001</c:v>
                </c:pt>
                <c:pt idx="15">
                  <c:v>87.5139999999999</c:v>
                </c:pt>
              </c:numCache>
            </c:numRef>
          </c:val>
          <c:smooth val="0"/>
        </c:ser>
        <c:ser>
          <c:idx val="3"/>
          <c:order val="3"/>
          <c:tx>
            <c:strRef>
              <c:f>对比!$E$210</c:f>
              <c:strCache>
                <c:ptCount val="1"/>
                <c:pt idx="0">
                  <c:v>面积比</c:v>
                </c:pt>
              </c:strCache>
            </c:strRef>
          </c:tx>
          <c:spPr>
            <a:ln w="12681" cap="rnd" cmpd="sng" algn="ctr">
              <a:solidFill>
                <a:srgbClr val="00FFFF"/>
              </a:solidFill>
              <a:prstDash val="solid"/>
              <a:round/>
            </a:ln>
          </c:spPr>
          <c:marker>
            <c:symbol val="x"/>
            <c:size val="4"/>
            <c:spPr>
              <a:noFill/>
              <a:ln w="9525" cap="flat" cmpd="sng" algn="ctr">
                <a:solidFill>
                  <a:srgbClr val="00FFFF"/>
                </a:solidFill>
                <a:prstDash val="solid"/>
                <a:round/>
              </a:ln>
            </c:spPr>
          </c:marker>
          <c:dLbls>
            <c:delete val="1"/>
          </c:dLbls>
          <c:cat>
            <c:numRef>
              <c:f>对比!$A$211:$A$226</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对比!$E$211:$E$226</c:f>
              <c:numCache>
                <c:formatCode>General</c:formatCode>
                <c:ptCount val="16"/>
                <c:pt idx="0">
                  <c:v>0</c:v>
                </c:pt>
                <c:pt idx="1">
                  <c:v>6.03396</c:v>
                </c:pt>
                <c:pt idx="2">
                  <c:v>12.06792</c:v>
                </c:pt>
                <c:pt idx="3">
                  <c:v>18.1018800000002</c:v>
                </c:pt>
                <c:pt idx="4">
                  <c:v>24.13584</c:v>
                </c:pt>
                <c:pt idx="5">
                  <c:v>30.1697999999998</c:v>
                </c:pt>
                <c:pt idx="6">
                  <c:v>36.20376</c:v>
                </c:pt>
                <c:pt idx="7">
                  <c:v>42.23772</c:v>
                </c:pt>
                <c:pt idx="8">
                  <c:v>48.27168</c:v>
                </c:pt>
                <c:pt idx="9">
                  <c:v>54.30564</c:v>
                </c:pt>
                <c:pt idx="10">
                  <c:v>60.3396</c:v>
                </c:pt>
                <c:pt idx="11">
                  <c:v>66.37356</c:v>
                </c:pt>
                <c:pt idx="12">
                  <c:v>72.4075200000007</c:v>
                </c:pt>
                <c:pt idx="13">
                  <c:v>78.44148</c:v>
                </c:pt>
                <c:pt idx="14">
                  <c:v>84.47544</c:v>
                </c:pt>
                <c:pt idx="15">
                  <c:v>90.5094</c:v>
                </c:pt>
              </c:numCache>
            </c:numRef>
          </c:val>
          <c:smooth val="0"/>
        </c:ser>
        <c:ser>
          <c:idx val="4"/>
          <c:order val="4"/>
          <c:tx>
            <c:strRef>
              <c:f>对比!$F$210</c:f>
              <c:strCache>
                <c:ptCount val="1"/>
                <c:pt idx="0">
                  <c:v>宽度比</c:v>
                </c:pt>
              </c:strCache>
            </c:strRef>
          </c:tx>
          <c:spPr>
            <a:ln w="12681" cap="rnd" cmpd="sng" algn="ctr">
              <a:solidFill>
                <a:srgbClr val="800080"/>
              </a:solidFill>
              <a:prstDash val="solid"/>
              <a:round/>
            </a:ln>
          </c:spPr>
          <c:marker>
            <c:symbol val="star"/>
            <c:size val="4"/>
            <c:spPr>
              <a:noFill/>
              <a:ln w="9525" cap="flat" cmpd="sng" algn="ctr">
                <a:solidFill>
                  <a:srgbClr val="800080"/>
                </a:solidFill>
                <a:prstDash val="solid"/>
                <a:round/>
              </a:ln>
            </c:spPr>
          </c:marker>
          <c:dLbls>
            <c:delete val="1"/>
          </c:dLbls>
          <c:cat>
            <c:numRef>
              <c:f>对比!$A$211:$A$226</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对比!$F$211:$F$226</c:f>
              <c:numCache>
                <c:formatCode>General</c:formatCode>
                <c:ptCount val="16"/>
                <c:pt idx="0">
                  <c:v>0</c:v>
                </c:pt>
                <c:pt idx="1">
                  <c:v>4.61538</c:v>
                </c:pt>
                <c:pt idx="2">
                  <c:v>9.23076</c:v>
                </c:pt>
                <c:pt idx="3">
                  <c:v>13.84614</c:v>
                </c:pt>
                <c:pt idx="4">
                  <c:v>18.4615199999998</c:v>
                </c:pt>
                <c:pt idx="5">
                  <c:v>23.0769</c:v>
                </c:pt>
                <c:pt idx="6">
                  <c:v>27.69228</c:v>
                </c:pt>
                <c:pt idx="7">
                  <c:v>32.30766</c:v>
                </c:pt>
                <c:pt idx="8">
                  <c:v>36.92304</c:v>
                </c:pt>
                <c:pt idx="9">
                  <c:v>41.53842</c:v>
                </c:pt>
                <c:pt idx="10">
                  <c:v>46.1538</c:v>
                </c:pt>
                <c:pt idx="11">
                  <c:v>50.76918</c:v>
                </c:pt>
                <c:pt idx="12">
                  <c:v>55.38456</c:v>
                </c:pt>
                <c:pt idx="13">
                  <c:v>59.99994</c:v>
                </c:pt>
                <c:pt idx="14">
                  <c:v>64.61532</c:v>
                </c:pt>
                <c:pt idx="15">
                  <c:v>69.2307</c:v>
                </c:pt>
              </c:numCache>
            </c:numRef>
          </c:val>
          <c:smooth val="0"/>
        </c:ser>
        <c:dLbls>
          <c:showLegendKey val="0"/>
          <c:showVal val="0"/>
          <c:showCatName val="0"/>
          <c:showSerName val="0"/>
          <c:showPercent val="0"/>
          <c:showBubbleSize val="0"/>
        </c:dLbls>
        <c:marker val="1"/>
        <c:smooth val="0"/>
        <c:axId val="-1591868000"/>
        <c:axId val="-1591866368"/>
      </c:lineChart>
      <c:catAx>
        <c:axId val="-1591868000"/>
        <c:scaling>
          <c:orientation val="minMax"/>
        </c:scaling>
        <c:delete val="0"/>
        <c:axPos val="b"/>
        <c:title>
          <c:tx>
            <c:rich>
              <a:bodyPr rot="0" spcFirstLastPara="0" vertOverflow="ellipsis" vert="horz" wrap="square" anchor="ctr" anchorCtr="1"/>
              <a:lstStyle/>
              <a:p>
                <a:pPr>
                  <a:defRPr lang="zh-CN" sz="99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7186672088525"/>
              <c:y val="0.766519823788551"/>
            </c:manualLayout>
          </c:layout>
          <c:overlay val="0"/>
          <c:spPr>
            <a:noFill/>
            <a:ln w="25362">
              <a:noFill/>
            </a:ln>
          </c:spPr>
        </c:title>
        <c:numFmt formatCode="General" sourceLinked="1"/>
        <c:majorTickMark val="in"/>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66368"/>
        <c:crosses val="autoZero"/>
        <c:auto val="1"/>
        <c:lblAlgn val="ctr"/>
        <c:lblOffset val="100"/>
        <c:tickLblSkip val="1"/>
        <c:noMultiLvlLbl val="0"/>
      </c:catAx>
      <c:valAx>
        <c:axId val="-1591866368"/>
        <c:scaling>
          <c:orientation val="minMax"/>
        </c:scaling>
        <c:delete val="0"/>
        <c:axPos val="l"/>
        <c:majorGridlines>
          <c:spPr>
            <a:ln w="3170" cap="flat" cmpd="sng" algn="ctr">
              <a:solidFill>
                <a:srgbClr val="000000"/>
              </a:solidFill>
              <a:prstDash val="solid"/>
              <a:round/>
            </a:ln>
          </c:spPr>
        </c:majorGridlines>
        <c:title>
          <c:tx>
            <c:rich>
              <a:bodyPr rot="-5400000" spcFirstLastPara="0" vertOverflow="ellipsis" vert="horz" wrap="square" anchor="ctr" anchorCtr="1"/>
              <a:lstStyle/>
              <a:p>
                <a:pPr>
                  <a:defRPr lang="zh-CN" sz="99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60047071580843"/>
              <c:y val="0.215859030837007"/>
            </c:manualLayout>
          </c:layout>
          <c:overlay val="0"/>
          <c:spPr>
            <a:noFill/>
            <a:ln w="25362">
              <a:noFill/>
            </a:ln>
          </c:spPr>
        </c:title>
        <c:numFmt formatCode="General" sourceLinked="1"/>
        <c:majorTickMark val="in"/>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68000"/>
        <c:crosses val="autoZero"/>
        <c:crossBetween val="between"/>
      </c:valAx>
      <c:spPr>
        <a:solidFill>
          <a:srgbClr val="C0C0C0"/>
        </a:solidFill>
        <a:ln w="12681">
          <a:solidFill>
            <a:srgbClr val="808080"/>
          </a:solidFill>
          <a:prstDash val="solid"/>
        </a:ln>
      </c:spPr>
    </c:plotArea>
    <c:legend>
      <c:legendPos val="b"/>
      <c:layout>
        <c:manualLayout>
          <c:xMode val="edge"/>
          <c:yMode val="edge"/>
          <c:x val="0.174940914075881"/>
          <c:y val="0.907488986784141"/>
          <c:w val="0.777777777777783"/>
          <c:h val="0.0837004405286356"/>
        </c:manualLayout>
      </c:layout>
      <c:overlay val="0"/>
      <c:spPr>
        <a:solidFill>
          <a:srgbClr val="FFFFFF"/>
        </a:solidFill>
        <a:ln w="25362">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c08cc5a4-f7a1-44c7-b100-8d263bb44a28}"/>
      </c:ext>
    </c:extLst>
  </c:chart>
  <c:spPr>
    <a:solidFill>
      <a:srgbClr val="FFFFFF"/>
    </a:solidFill>
    <a:ln w="3170" cap="flat" cmpd="sng" algn="ctr">
      <a:solidFill>
        <a:srgbClr val="000000"/>
      </a:solidFill>
      <a:prstDash val="solid"/>
      <a:round/>
    </a:ln>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300236406619"/>
          <c:y val="0.0881057268722467"/>
          <c:w val="0.825059101654847"/>
          <c:h val="0.555066079295154"/>
        </c:manualLayout>
      </c:layout>
      <c:lineChart>
        <c:grouping val="standard"/>
        <c:varyColors val="0"/>
        <c:ser>
          <c:idx val="0"/>
          <c:order val="0"/>
          <c:tx>
            <c:strRef>
              <c:f>对比!$B$232</c:f>
              <c:strCache>
                <c:ptCount val="1"/>
                <c:pt idx="0">
                  <c:v>朗肯</c:v>
                </c:pt>
              </c:strCache>
            </c:strRef>
          </c:tx>
          <c:spPr>
            <a:ln w="12704"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dLbls>
            <c:delete val="1"/>
          </c:dLbls>
          <c:cat>
            <c:numRef>
              <c:f>对比!$A$233:$A$248</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对比!$B$233:$B$248</c:f>
              <c:numCache>
                <c:formatCode>General</c:formatCode>
                <c:ptCount val="16"/>
                <c:pt idx="0">
                  <c:v>0</c:v>
                </c:pt>
                <c:pt idx="1">
                  <c:v>6.66</c:v>
                </c:pt>
                <c:pt idx="2">
                  <c:v>13.32</c:v>
                </c:pt>
                <c:pt idx="3">
                  <c:v>19.98</c:v>
                </c:pt>
                <c:pt idx="4">
                  <c:v>26.64</c:v>
                </c:pt>
                <c:pt idx="5">
                  <c:v>33.3</c:v>
                </c:pt>
                <c:pt idx="6">
                  <c:v>39.96</c:v>
                </c:pt>
                <c:pt idx="7">
                  <c:v>46.62</c:v>
                </c:pt>
                <c:pt idx="8">
                  <c:v>53.28</c:v>
                </c:pt>
                <c:pt idx="9">
                  <c:v>59.94</c:v>
                </c:pt>
                <c:pt idx="10">
                  <c:v>66.6</c:v>
                </c:pt>
                <c:pt idx="11">
                  <c:v>73.26</c:v>
                </c:pt>
                <c:pt idx="12">
                  <c:v>79.92</c:v>
                </c:pt>
                <c:pt idx="13">
                  <c:v>86.58</c:v>
                </c:pt>
                <c:pt idx="14">
                  <c:v>93.24</c:v>
                </c:pt>
                <c:pt idx="15">
                  <c:v>99.9</c:v>
                </c:pt>
              </c:numCache>
            </c:numRef>
          </c:val>
          <c:smooth val="0"/>
        </c:ser>
        <c:ser>
          <c:idx val="1"/>
          <c:order val="1"/>
          <c:tx>
            <c:strRef>
              <c:f>对比!$C$232</c:f>
              <c:strCache>
                <c:ptCount val="1"/>
                <c:pt idx="0">
                  <c:v>[1]</c:v>
                </c:pt>
              </c:strCache>
            </c:strRef>
          </c:tx>
          <c:spPr>
            <a:ln w="12704" cap="rnd" cmpd="sng" algn="ctr">
              <a:solidFill>
                <a:srgbClr val="FF00FF"/>
              </a:solidFill>
              <a:prstDash val="solid"/>
              <a:round/>
            </a:ln>
          </c:spPr>
          <c:marker>
            <c:symbol val="square"/>
            <c:size val="5"/>
            <c:spPr>
              <a:solidFill>
                <a:srgbClr val="FF00FF"/>
              </a:solidFill>
              <a:ln w="9525" cap="flat" cmpd="sng" algn="ctr">
                <a:solidFill>
                  <a:srgbClr val="FF00FF"/>
                </a:solidFill>
                <a:prstDash val="solid"/>
                <a:round/>
              </a:ln>
            </c:spPr>
          </c:marker>
          <c:dLbls>
            <c:delete val="1"/>
          </c:dLbls>
          <c:cat>
            <c:numRef>
              <c:f>对比!$A$233:$A$248</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对比!$C$233:$C$248</c:f>
              <c:numCache>
                <c:formatCode>General</c:formatCode>
                <c:ptCount val="16"/>
                <c:pt idx="0">
                  <c:v>0</c:v>
                </c:pt>
                <c:pt idx="1">
                  <c:v>6.54</c:v>
                </c:pt>
                <c:pt idx="2">
                  <c:v>13.081</c:v>
                </c:pt>
                <c:pt idx="3">
                  <c:v>19.621</c:v>
                </c:pt>
                <c:pt idx="4">
                  <c:v>26.162</c:v>
                </c:pt>
                <c:pt idx="5">
                  <c:v>32.702</c:v>
                </c:pt>
                <c:pt idx="6">
                  <c:v>39.242</c:v>
                </c:pt>
                <c:pt idx="7">
                  <c:v>45.783</c:v>
                </c:pt>
                <c:pt idx="8">
                  <c:v>52.323</c:v>
                </c:pt>
                <c:pt idx="9">
                  <c:v>58.864</c:v>
                </c:pt>
                <c:pt idx="10">
                  <c:v>65.404</c:v>
                </c:pt>
                <c:pt idx="11">
                  <c:v>71.945</c:v>
                </c:pt>
                <c:pt idx="12">
                  <c:v>78.485</c:v>
                </c:pt>
                <c:pt idx="13">
                  <c:v>85.025</c:v>
                </c:pt>
                <c:pt idx="14">
                  <c:v>91.566</c:v>
                </c:pt>
                <c:pt idx="15">
                  <c:v>98.106</c:v>
                </c:pt>
              </c:numCache>
            </c:numRef>
          </c:val>
          <c:smooth val="0"/>
        </c:ser>
        <c:ser>
          <c:idx val="2"/>
          <c:order val="2"/>
          <c:tx>
            <c:strRef>
              <c:f>对比!$D$232</c:f>
              <c:strCache>
                <c:ptCount val="1"/>
                <c:pt idx="0">
                  <c:v>new</c:v>
                </c:pt>
              </c:strCache>
            </c:strRef>
          </c:tx>
          <c:spPr>
            <a:ln w="12704" cap="rnd" cmpd="sng" algn="ctr">
              <a:solidFill>
                <a:srgbClr val="FFFF00"/>
              </a:solidFill>
              <a:prstDash val="solid"/>
              <a:round/>
            </a:ln>
          </c:spPr>
          <c:marker>
            <c:symbol val="triangle"/>
            <c:size val="5"/>
            <c:spPr>
              <a:solidFill>
                <a:srgbClr val="FFFF00"/>
              </a:solidFill>
              <a:ln w="9525" cap="flat" cmpd="sng" algn="ctr">
                <a:solidFill>
                  <a:srgbClr val="FFFF00"/>
                </a:solidFill>
                <a:prstDash val="solid"/>
                <a:round/>
              </a:ln>
            </c:spPr>
          </c:marker>
          <c:dLbls>
            <c:delete val="1"/>
          </c:dLbls>
          <c:cat>
            <c:numRef>
              <c:f>对比!$A$233:$A$248</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对比!$D$233:$D$248</c:f>
              <c:numCache>
                <c:formatCode>General</c:formatCode>
                <c:ptCount val="16"/>
                <c:pt idx="0">
                  <c:v>0</c:v>
                </c:pt>
                <c:pt idx="1">
                  <c:v>6.66</c:v>
                </c:pt>
                <c:pt idx="2">
                  <c:v>13.32</c:v>
                </c:pt>
                <c:pt idx="3">
                  <c:v>19.98</c:v>
                </c:pt>
                <c:pt idx="4">
                  <c:v>26.64</c:v>
                </c:pt>
                <c:pt idx="5">
                  <c:v>33.3</c:v>
                </c:pt>
                <c:pt idx="6">
                  <c:v>39.96</c:v>
                </c:pt>
                <c:pt idx="7">
                  <c:v>46.62</c:v>
                </c:pt>
                <c:pt idx="8">
                  <c:v>53.28</c:v>
                </c:pt>
                <c:pt idx="9">
                  <c:v>59.94</c:v>
                </c:pt>
                <c:pt idx="10">
                  <c:v>66.6</c:v>
                </c:pt>
                <c:pt idx="11">
                  <c:v>73.26</c:v>
                </c:pt>
                <c:pt idx="12">
                  <c:v>79.92</c:v>
                </c:pt>
                <c:pt idx="13">
                  <c:v>86.58</c:v>
                </c:pt>
                <c:pt idx="14">
                  <c:v>92.8630000000001</c:v>
                </c:pt>
                <c:pt idx="15">
                  <c:v>96.698</c:v>
                </c:pt>
              </c:numCache>
            </c:numRef>
          </c:val>
          <c:smooth val="0"/>
        </c:ser>
        <c:ser>
          <c:idx val="3"/>
          <c:order val="3"/>
          <c:tx>
            <c:strRef>
              <c:f>对比!$E$232</c:f>
              <c:strCache>
                <c:ptCount val="1"/>
                <c:pt idx="0">
                  <c:v>面积比</c:v>
                </c:pt>
              </c:strCache>
            </c:strRef>
          </c:tx>
          <c:spPr>
            <a:ln w="12704" cap="rnd" cmpd="sng" algn="ctr">
              <a:solidFill>
                <a:srgbClr val="00FFFF"/>
              </a:solidFill>
              <a:prstDash val="solid"/>
              <a:round/>
            </a:ln>
          </c:spPr>
          <c:marker>
            <c:symbol val="x"/>
            <c:size val="5"/>
            <c:spPr>
              <a:noFill/>
              <a:ln w="9525" cap="flat" cmpd="sng" algn="ctr">
                <a:solidFill>
                  <a:srgbClr val="00FFFF"/>
                </a:solidFill>
                <a:prstDash val="solid"/>
                <a:round/>
              </a:ln>
            </c:spPr>
          </c:marker>
          <c:dLbls>
            <c:delete val="1"/>
          </c:dLbls>
          <c:cat>
            <c:numRef>
              <c:f>对比!$A$233:$A$248</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对比!$E$233:$E$248</c:f>
              <c:numCache>
                <c:formatCode>General</c:formatCode>
                <c:ptCount val="16"/>
                <c:pt idx="0">
                  <c:v>0</c:v>
                </c:pt>
                <c:pt idx="1">
                  <c:v>6.54012</c:v>
                </c:pt>
                <c:pt idx="2">
                  <c:v>13.08024</c:v>
                </c:pt>
                <c:pt idx="3">
                  <c:v>19.62036</c:v>
                </c:pt>
                <c:pt idx="4">
                  <c:v>26.16048</c:v>
                </c:pt>
                <c:pt idx="5">
                  <c:v>32.7006</c:v>
                </c:pt>
                <c:pt idx="6">
                  <c:v>39.24072</c:v>
                </c:pt>
                <c:pt idx="7">
                  <c:v>45.78084</c:v>
                </c:pt>
                <c:pt idx="8">
                  <c:v>52.32096</c:v>
                </c:pt>
                <c:pt idx="9">
                  <c:v>58.86108</c:v>
                </c:pt>
                <c:pt idx="10">
                  <c:v>65.4012000000007</c:v>
                </c:pt>
                <c:pt idx="11">
                  <c:v>71.9413200000007</c:v>
                </c:pt>
                <c:pt idx="12">
                  <c:v>78.48144</c:v>
                </c:pt>
                <c:pt idx="13">
                  <c:v>85.02156</c:v>
                </c:pt>
                <c:pt idx="14">
                  <c:v>91.56168</c:v>
                </c:pt>
                <c:pt idx="15">
                  <c:v>98.1018</c:v>
                </c:pt>
              </c:numCache>
            </c:numRef>
          </c:val>
          <c:smooth val="0"/>
        </c:ser>
        <c:ser>
          <c:idx val="4"/>
          <c:order val="4"/>
          <c:tx>
            <c:strRef>
              <c:f>对比!$F$232</c:f>
              <c:strCache>
                <c:ptCount val="1"/>
                <c:pt idx="0">
                  <c:v>宽度比</c:v>
                </c:pt>
              </c:strCache>
            </c:strRef>
          </c:tx>
          <c:spPr>
            <a:ln w="12704" cap="rnd" cmpd="sng" algn="ctr">
              <a:solidFill>
                <a:srgbClr val="800080"/>
              </a:solidFill>
              <a:prstDash val="solid"/>
              <a:round/>
            </a:ln>
          </c:spPr>
          <c:marker>
            <c:symbol val="star"/>
            <c:size val="5"/>
            <c:spPr>
              <a:noFill/>
              <a:ln w="9525" cap="flat" cmpd="sng" algn="ctr">
                <a:solidFill>
                  <a:srgbClr val="800080"/>
                </a:solidFill>
                <a:prstDash val="solid"/>
                <a:round/>
              </a:ln>
            </c:spPr>
          </c:marker>
          <c:dLbls>
            <c:delete val="1"/>
          </c:dLbls>
          <c:cat>
            <c:numRef>
              <c:f>对比!$A$233:$A$248</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对比!$F$233:$F$248</c:f>
              <c:numCache>
                <c:formatCode>General</c:formatCode>
                <c:ptCount val="16"/>
                <c:pt idx="0">
                  <c:v>0</c:v>
                </c:pt>
                <c:pt idx="1">
                  <c:v>5.76756</c:v>
                </c:pt>
                <c:pt idx="2">
                  <c:v>11.53512</c:v>
                </c:pt>
                <c:pt idx="3">
                  <c:v>17.3026799999999</c:v>
                </c:pt>
                <c:pt idx="4">
                  <c:v>23.07024</c:v>
                </c:pt>
                <c:pt idx="5">
                  <c:v>28.8378</c:v>
                </c:pt>
                <c:pt idx="6">
                  <c:v>34.60536</c:v>
                </c:pt>
                <c:pt idx="7">
                  <c:v>40.37292</c:v>
                </c:pt>
                <c:pt idx="8">
                  <c:v>46.14048</c:v>
                </c:pt>
                <c:pt idx="9">
                  <c:v>51.90804</c:v>
                </c:pt>
                <c:pt idx="10">
                  <c:v>57.6756</c:v>
                </c:pt>
                <c:pt idx="11">
                  <c:v>63.44316</c:v>
                </c:pt>
                <c:pt idx="12">
                  <c:v>69.21072</c:v>
                </c:pt>
                <c:pt idx="13">
                  <c:v>74.97828</c:v>
                </c:pt>
                <c:pt idx="14">
                  <c:v>80.74584</c:v>
                </c:pt>
                <c:pt idx="15">
                  <c:v>86.5134</c:v>
                </c:pt>
              </c:numCache>
            </c:numRef>
          </c:val>
          <c:smooth val="0"/>
        </c:ser>
        <c:dLbls>
          <c:showLegendKey val="0"/>
          <c:showVal val="0"/>
          <c:showCatName val="0"/>
          <c:showSerName val="0"/>
          <c:showPercent val="0"/>
          <c:showBubbleSize val="0"/>
        </c:dLbls>
        <c:marker val="1"/>
        <c:smooth val="0"/>
        <c:axId val="-1591850048"/>
        <c:axId val="-1591872352"/>
      </c:lineChart>
      <c:catAx>
        <c:axId val="-1591850048"/>
        <c:scaling>
          <c:orientation val="minMax"/>
        </c:scaling>
        <c:delete val="0"/>
        <c:axPos val="b"/>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7186806567212"/>
              <c:y val="0.766519823788551"/>
            </c:manualLayout>
          </c:layout>
          <c:overlay val="0"/>
          <c:spPr>
            <a:noFill/>
            <a:ln w="25408">
              <a:noFill/>
            </a:ln>
          </c:spPr>
        </c:title>
        <c:numFmt formatCode="General" sourceLinked="1"/>
        <c:majorTickMark val="in"/>
        <c:minorTickMark val="none"/>
        <c:tickLblPos val="nextTo"/>
        <c:spPr>
          <a:ln w="3176"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72352"/>
        <c:crosses val="autoZero"/>
        <c:auto val="1"/>
        <c:lblAlgn val="ctr"/>
        <c:lblOffset val="100"/>
        <c:tickLblSkip val="1"/>
        <c:noMultiLvlLbl val="0"/>
      </c:catAx>
      <c:valAx>
        <c:axId val="-1591872352"/>
        <c:scaling>
          <c:orientation val="minMax"/>
        </c:scaling>
        <c:delete val="0"/>
        <c:axPos val="l"/>
        <c:majorGridlines>
          <c:spPr>
            <a:ln w="3176" cap="flat" cmpd="sng" algn="ctr">
              <a:solidFill>
                <a:srgbClr val="000000"/>
              </a:solidFill>
              <a:prstDash val="solid"/>
              <a:round/>
            </a:ln>
          </c:spPr>
        </c:majorGridlines>
        <c:title>
          <c:tx>
            <c:rich>
              <a:bodyPr rot="-54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60047821891116"/>
              <c:y val="0.215859030837007"/>
            </c:manualLayout>
          </c:layout>
          <c:overlay val="0"/>
          <c:spPr>
            <a:noFill/>
            <a:ln w="25408">
              <a:noFill/>
            </a:ln>
          </c:spPr>
        </c:title>
        <c:numFmt formatCode="General" sourceLinked="1"/>
        <c:majorTickMark val="in"/>
        <c:minorTickMark val="none"/>
        <c:tickLblPos val="nextTo"/>
        <c:spPr>
          <a:ln w="3176"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50048"/>
        <c:crosses val="autoZero"/>
        <c:crossBetween val="between"/>
      </c:valAx>
      <c:spPr>
        <a:solidFill>
          <a:srgbClr val="C0C0C0"/>
        </a:solidFill>
        <a:ln w="12704">
          <a:solidFill>
            <a:srgbClr val="808080"/>
          </a:solidFill>
          <a:prstDash val="solid"/>
        </a:ln>
      </c:spPr>
    </c:plotArea>
    <c:legend>
      <c:legendPos val="b"/>
      <c:layout>
        <c:manualLayout>
          <c:xMode val="edge"/>
          <c:yMode val="edge"/>
          <c:x val="0.17494083731337"/>
          <c:y val="0.907488986784141"/>
          <c:w val="0.777777695820815"/>
          <c:h val="0.0837004405286356"/>
        </c:manualLayout>
      </c:layout>
      <c:overlay val="0"/>
      <c:spPr>
        <a:solidFill>
          <a:srgbClr val="FFFFFF"/>
        </a:solidFill>
        <a:ln w="25408">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e2c34027-9057-4a2b-8751-fc45eca4cdc5}"/>
      </c:ext>
    </c:extLst>
  </c:chart>
  <c:spPr>
    <a:solidFill>
      <a:srgbClr val="FFFFFF"/>
    </a:solidFill>
    <a:ln w="3176" cap="flat" cmpd="sng" algn="ctr">
      <a:solidFill>
        <a:srgbClr val="000000"/>
      </a:solidFill>
      <a:prstDash val="solid"/>
      <a:round/>
    </a:ln>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300236406619"/>
          <c:y val="0.0881057268722467"/>
          <c:w val="0.825059101654847"/>
          <c:h val="0.475770925110132"/>
        </c:manualLayout>
      </c:layout>
      <c:lineChart>
        <c:grouping val="standard"/>
        <c:varyColors val="0"/>
        <c:ser>
          <c:idx val="0"/>
          <c:order val="0"/>
          <c:tx>
            <c:strRef>
              <c:f>对比!$B$253</c:f>
              <c:strCache>
                <c:ptCount val="1"/>
                <c:pt idx="0">
                  <c:v>朗肯</c:v>
                </c:pt>
              </c:strCache>
            </c:strRef>
          </c:tx>
          <c:spPr>
            <a:ln w="12704"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dLbls>
            <c:delete val="1"/>
          </c:dLbls>
          <c:cat>
            <c:numRef>
              <c:f>对比!$A$254:$A$269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对比!$B$254:$B$269</c:f>
              <c:numCache>
                <c:formatCode>General</c:formatCode>
                <c:ptCount val="16"/>
                <c:pt idx="0">
                  <c:v>0</c:v>
                </c:pt>
                <c:pt idx="1">
                  <c:v>6.66</c:v>
                </c:pt>
                <c:pt idx="2">
                  <c:v>13.32</c:v>
                </c:pt>
                <c:pt idx="3">
                  <c:v>19.98</c:v>
                </c:pt>
                <c:pt idx="4">
                  <c:v>26.64</c:v>
                </c:pt>
                <c:pt idx="5">
                  <c:v>33.3</c:v>
                </c:pt>
                <c:pt idx="6">
                  <c:v>39.96</c:v>
                </c:pt>
                <c:pt idx="7">
                  <c:v>46.62</c:v>
                </c:pt>
                <c:pt idx="8">
                  <c:v>53.28</c:v>
                </c:pt>
                <c:pt idx="9">
                  <c:v>59.94</c:v>
                </c:pt>
                <c:pt idx="10">
                  <c:v>66.6</c:v>
                </c:pt>
                <c:pt idx="11">
                  <c:v>73.26</c:v>
                </c:pt>
                <c:pt idx="12">
                  <c:v>79.92</c:v>
                </c:pt>
                <c:pt idx="13">
                  <c:v>86.58</c:v>
                </c:pt>
                <c:pt idx="14">
                  <c:v>93.24</c:v>
                </c:pt>
                <c:pt idx="15">
                  <c:v>99.9</c:v>
                </c:pt>
              </c:numCache>
            </c:numRef>
          </c:val>
          <c:smooth val="0"/>
        </c:ser>
        <c:ser>
          <c:idx val="1"/>
          <c:order val="1"/>
          <c:tx>
            <c:strRef>
              <c:f>对比!$C$253</c:f>
              <c:strCache>
                <c:ptCount val="1"/>
                <c:pt idx="0">
                  <c:v>b=0.6H</c:v>
                </c:pt>
              </c:strCache>
            </c:strRef>
          </c:tx>
          <c:spPr>
            <a:ln w="12704" cap="rnd" cmpd="sng" algn="ctr">
              <a:solidFill>
                <a:srgbClr val="FF00FF"/>
              </a:solidFill>
              <a:prstDash val="solid"/>
              <a:round/>
            </a:ln>
          </c:spPr>
          <c:marker>
            <c:symbol val="square"/>
            <c:size val="5"/>
            <c:spPr>
              <a:solidFill>
                <a:srgbClr val="FF00FF"/>
              </a:solidFill>
              <a:ln w="9525" cap="flat" cmpd="sng" algn="ctr">
                <a:solidFill>
                  <a:srgbClr val="FF00FF"/>
                </a:solidFill>
                <a:prstDash val="solid"/>
                <a:round/>
              </a:ln>
            </c:spPr>
          </c:marker>
          <c:dLbls>
            <c:delete val="1"/>
          </c:dLbls>
          <c:cat>
            <c:numRef>
              <c:f>对比!$A$254:$A$269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对比!$C$254:$C$269</c:f>
              <c:numCache>
                <c:formatCode>General</c:formatCode>
                <c:ptCount val="16"/>
                <c:pt idx="0">
                  <c:v>0</c:v>
                </c:pt>
                <c:pt idx="1">
                  <c:v>6.649</c:v>
                </c:pt>
                <c:pt idx="2">
                  <c:v>13.299</c:v>
                </c:pt>
                <c:pt idx="3">
                  <c:v>19.948</c:v>
                </c:pt>
                <c:pt idx="4">
                  <c:v>26.597</c:v>
                </c:pt>
                <c:pt idx="5">
                  <c:v>33.247</c:v>
                </c:pt>
                <c:pt idx="6">
                  <c:v>39.896</c:v>
                </c:pt>
                <c:pt idx="7">
                  <c:v>46.545</c:v>
                </c:pt>
                <c:pt idx="8">
                  <c:v>53.1950000000002</c:v>
                </c:pt>
                <c:pt idx="9">
                  <c:v>59.844</c:v>
                </c:pt>
                <c:pt idx="10">
                  <c:v>66.493</c:v>
                </c:pt>
                <c:pt idx="11">
                  <c:v>73.143</c:v>
                </c:pt>
                <c:pt idx="12">
                  <c:v>79.792</c:v>
                </c:pt>
                <c:pt idx="13">
                  <c:v>86.4410000000006</c:v>
                </c:pt>
                <c:pt idx="14">
                  <c:v>93.091</c:v>
                </c:pt>
                <c:pt idx="15">
                  <c:v>99.74</c:v>
                </c:pt>
              </c:numCache>
            </c:numRef>
          </c:val>
          <c:smooth val="0"/>
        </c:ser>
        <c:ser>
          <c:idx val="2"/>
          <c:order val="2"/>
          <c:tx>
            <c:strRef>
              <c:f>对比!$D$253</c:f>
              <c:strCache>
                <c:ptCount val="1"/>
                <c:pt idx="0">
                  <c:v>b=0.7H</c:v>
                </c:pt>
              </c:strCache>
            </c:strRef>
          </c:tx>
          <c:spPr>
            <a:ln w="12704" cap="rnd" cmpd="sng" algn="ctr">
              <a:solidFill>
                <a:srgbClr val="FFFF00"/>
              </a:solidFill>
              <a:prstDash val="solid"/>
              <a:round/>
            </a:ln>
          </c:spPr>
          <c:marker>
            <c:symbol val="triangle"/>
            <c:size val="5"/>
            <c:spPr>
              <a:solidFill>
                <a:srgbClr val="FFFF00"/>
              </a:solidFill>
              <a:ln w="9525" cap="flat" cmpd="sng" algn="ctr">
                <a:solidFill>
                  <a:srgbClr val="FFFF00"/>
                </a:solidFill>
                <a:prstDash val="solid"/>
                <a:round/>
              </a:ln>
            </c:spPr>
          </c:marker>
          <c:dLbls>
            <c:delete val="1"/>
          </c:dLbls>
          <c:cat>
            <c:numRef>
              <c:f>对比!$A$254:$A$269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对比!$D$254:$D$269</c:f>
              <c:numCache>
                <c:formatCode>General</c:formatCode>
                <c:ptCount val="16"/>
                <c:pt idx="0">
                  <c:v>0</c:v>
                </c:pt>
                <c:pt idx="1">
                  <c:v>6.35799999999998</c:v>
                </c:pt>
                <c:pt idx="2">
                  <c:v>12.716</c:v>
                </c:pt>
                <c:pt idx="3">
                  <c:v>19.074</c:v>
                </c:pt>
                <c:pt idx="4">
                  <c:v>25.431</c:v>
                </c:pt>
                <c:pt idx="5">
                  <c:v>31.7889999999998</c:v>
                </c:pt>
                <c:pt idx="6">
                  <c:v>38.147</c:v>
                </c:pt>
                <c:pt idx="7">
                  <c:v>44.505</c:v>
                </c:pt>
                <c:pt idx="8">
                  <c:v>50.863</c:v>
                </c:pt>
                <c:pt idx="9">
                  <c:v>57.221</c:v>
                </c:pt>
                <c:pt idx="10">
                  <c:v>63.578</c:v>
                </c:pt>
                <c:pt idx="11">
                  <c:v>69.936</c:v>
                </c:pt>
                <c:pt idx="12">
                  <c:v>76.294</c:v>
                </c:pt>
                <c:pt idx="13">
                  <c:v>82.652</c:v>
                </c:pt>
                <c:pt idx="14">
                  <c:v>89.01</c:v>
                </c:pt>
                <c:pt idx="15">
                  <c:v>95.368</c:v>
                </c:pt>
              </c:numCache>
            </c:numRef>
          </c:val>
          <c:smooth val="0"/>
        </c:ser>
        <c:ser>
          <c:idx val="3"/>
          <c:order val="3"/>
          <c:tx>
            <c:strRef>
              <c:f>对比!$E$253</c:f>
              <c:strCache>
                <c:ptCount val="1"/>
                <c:pt idx="0">
                  <c:v>b=0.8H</c:v>
                </c:pt>
              </c:strCache>
            </c:strRef>
          </c:tx>
          <c:spPr>
            <a:ln w="12704" cap="rnd" cmpd="sng" algn="ctr">
              <a:solidFill>
                <a:srgbClr val="00FFFF"/>
              </a:solidFill>
              <a:prstDash val="solid"/>
              <a:round/>
            </a:ln>
          </c:spPr>
          <c:marker>
            <c:symbol val="x"/>
            <c:size val="5"/>
            <c:spPr>
              <a:noFill/>
              <a:ln w="9525" cap="flat" cmpd="sng" algn="ctr">
                <a:solidFill>
                  <a:srgbClr val="00FFFF"/>
                </a:solidFill>
                <a:prstDash val="solid"/>
                <a:round/>
              </a:ln>
            </c:spPr>
          </c:marker>
          <c:dLbls>
            <c:delete val="1"/>
          </c:dLbls>
          <c:cat>
            <c:numRef>
              <c:f>对比!$A$254:$A$269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对比!$E$254:$E$269</c:f>
              <c:numCache>
                <c:formatCode>General</c:formatCode>
                <c:ptCount val="16"/>
                <c:pt idx="0">
                  <c:v>0</c:v>
                </c:pt>
                <c:pt idx="1">
                  <c:v>5.66799999999997</c:v>
                </c:pt>
                <c:pt idx="2">
                  <c:v>11.335</c:v>
                </c:pt>
                <c:pt idx="3">
                  <c:v>17.003</c:v>
                </c:pt>
                <c:pt idx="4">
                  <c:v>22.671</c:v>
                </c:pt>
                <c:pt idx="5">
                  <c:v>28.338</c:v>
                </c:pt>
                <c:pt idx="6">
                  <c:v>34.006</c:v>
                </c:pt>
                <c:pt idx="7">
                  <c:v>39.674</c:v>
                </c:pt>
                <c:pt idx="8">
                  <c:v>45.341</c:v>
                </c:pt>
                <c:pt idx="9">
                  <c:v>51.009</c:v>
                </c:pt>
                <c:pt idx="10">
                  <c:v>56.677</c:v>
                </c:pt>
                <c:pt idx="11">
                  <c:v>62.345</c:v>
                </c:pt>
                <c:pt idx="12">
                  <c:v>68.012</c:v>
                </c:pt>
                <c:pt idx="13">
                  <c:v>73.68</c:v>
                </c:pt>
                <c:pt idx="14">
                  <c:v>79.348</c:v>
                </c:pt>
                <c:pt idx="15">
                  <c:v>85.015</c:v>
                </c:pt>
              </c:numCache>
            </c:numRef>
          </c:val>
          <c:smooth val="0"/>
        </c:ser>
        <c:ser>
          <c:idx val="4"/>
          <c:order val="4"/>
          <c:tx>
            <c:strRef>
              <c:f>对比!$F$253</c:f>
              <c:strCache>
                <c:ptCount val="1"/>
                <c:pt idx="0">
                  <c:v>b=0.9H</c:v>
                </c:pt>
              </c:strCache>
            </c:strRef>
          </c:tx>
          <c:spPr>
            <a:ln w="12704" cap="rnd" cmpd="sng" algn="ctr">
              <a:solidFill>
                <a:srgbClr val="800080"/>
              </a:solidFill>
              <a:prstDash val="solid"/>
              <a:round/>
            </a:ln>
          </c:spPr>
          <c:marker>
            <c:symbol val="star"/>
            <c:size val="5"/>
            <c:spPr>
              <a:noFill/>
              <a:ln w="9525" cap="flat" cmpd="sng" algn="ctr">
                <a:solidFill>
                  <a:srgbClr val="800080"/>
                </a:solidFill>
                <a:prstDash val="solid"/>
                <a:round/>
              </a:ln>
            </c:spPr>
          </c:marker>
          <c:dLbls>
            <c:delete val="1"/>
          </c:dLbls>
          <c:cat>
            <c:numRef>
              <c:f>对比!$A$254:$A$269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对比!$F$254:$F$269</c:f>
              <c:numCache>
                <c:formatCode>General</c:formatCode>
                <c:ptCount val="16"/>
                <c:pt idx="0">
                  <c:v>0</c:v>
                </c:pt>
                <c:pt idx="1">
                  <c:v>4.571</c:v>
                </c:pt>
                <c:pt idx="2">
                  <c:v>9.143</c:v>
                </c:pt>
                <c:pt idx="3">
                  <c:v>13.714</c:v>
                </c:pt>
                <c:pt idx="4">
                  <c:v>18.2859999999998</c:v>
                </c:pt>
                <c:pt idx="5">
                  <c:v>22.857</c:v>
                </c:pt>
                <c:pt idx="6">
                  <c:v>27.4289999999998</c:v>
                </c:pt>
                <c:pt idx="7">
                  <c:v>32</c:v>
                </c:pt>
                <c:pt idx="8">
                  <c:v>36.571</c:v>
                </c:pt>
                <c:pt idx="9">
                  <c:v>41.143</c:v>
                </c:pt>
                <c:pt idx="10">
                  <c:v>45.714</c:v>
                </c:pt>
                <c:pt idx="11">
                  <c:v>50.286</c:v>
                </c:pt>
                <c:pt idx="12">
                  <c:v>54.857</c:v>
                </c:pt>
                <c:pt idx="13">
                  <c:v>59.429</c:v>
                </c:pt>
                <c:pt idx="14">
                  <c:v>64</c:v>
                </c:pt>
                <c:pt idx="15">
                  <c:v>68.571</c:v>
                </c:pt>
              </c:numCache>
            </c:numRef>
          </c:val>
          <c:smooth val="0"/>
        </c:ser>
        <c:ser>
          <c:idx val="5"/>
          <c:order val="5"/>
          <c:tx>
            <c:strRef>
              <c:f>对比!$G$253</c:f>
              <c:strCache>
                <c:ptCount val="1"/>
                <c:pt idx="0">
                  <c:v>b=H</c:v>
                </c:pt>
              </c:strCache>
            </c:strRef>
          </c:tx>
          <c:spPr>
            <a:ln w="12704" cap="rnd" cmpd="sng" algn="ctr">
              <a:solidFill>
                <a:srgbClr val="800000"/>
              </a:solidFill>
              <a:prstDash val="solid"/>
              <a:round/>
            </a:ln>
          </c:spPr>
          <c:marker>
            <c:symbol val="circle"/>
            <c:size val="5"/>
            <c:spPr>
              <a:solidFill>
                <a:srgbClr val="800000"/>
              </a:solidFill>
              <a:ln w="9525" cap="flat" cmpd="sng" algn="ctr">
                <a:solidFill>
                  <a:srgbClr val="800000"/>
                </a:solidFill>
                <a:prstDash val="solid"/>
                <a:round/>
              </a:ln>
            </c:spPr>
          </c:marker>
          <c:dLbls>
            <c:delete val="1"/>
          </c:dLbls>
          <c:cat>
            <c:numRef>
              <c:f>对比!$A$254:$A$269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对比!$G$254:$G$269</c:f>
              <c:numCache>
                <c:formatCode>General</c:formatCode>
                <c:ptCount val="16"/>
                <c:pt idx="0">
                  <c:v>0</c:v>
                </c:pt>
                <c:pt idx="1">
                  <c:v>3.082</c:v>
                </c:pt>
                <c:pt idx="2">
                  <c:v>6.16299999999997</c:v>
                </c:pt>
                <c:pt idx="3">
                  <c:v>9.245</c:v>
                </c:pt>
                <c:pt idx="4">
                  <c:v>12.327</c:v>
                </c:pt>
                <c:pt idx="5">
                  <c:v>15.408</c:v>
                </c:pt>
                <c:pt idx="6">
                  <c:v>18.4899999999998</c:v>
                </c:pt>
                <c:pt idx="7">
                  <c:v>21.572</c:v>
                </c:pt>
                <c:pt idx="8">
                  <c:v>24.653</c:v>
                </c:pt>
                <c:pt idx="9">
                  <c:v>27.735</c:v>
                </c:pt>
                <c:pt idx="10">
                  <c:v>30.8170000000001</c:v>
                </c:pt>
                <c:pt idx="11">
                  <c:v>33.898</c:v>
                </c:pt>
                <c:pt idx="12">
                  <c:v>36.98</c:v>
                </c:pt>
                <c:pt idx="13">
                  <c:v>40.062</c:v>
                </c:pt>
                <c:pt idx="14">
                  <c:v>43.143</c:v>
                </c:pt>
                <c:pt idx="15">
                  <c:v>46.2250000000003</c:v>
                </c:pt>
              </c:numCache>
            </c:numRef>
          </c:val>
          <c:smooth val="0"/>
        </c:ser>
        <c:dLbls>
          <c:showLegendKey val="0"/>
          <c:showVal val="0"/>
          <c:showCatName val="0"/>
          <c:showSerName val="0"/>
          <c:showPercent val="0"/>
          <c:showBubbleSize val="0"/>
        </c:dLbls>
        <c:marker val="1"/>
        <c:smooth val="0"/>
        <c:axId val="-1591854400"/>
        <c:axId val="-1591849504"/>
      </c:lineChart>
      <c:catAx>
        <c:axId val="-1591854400"/>
        <c:scaling>
          <c:orientation val="minMax"/>
        </c:scaling>
        <c:delete val="0"/>
        <c:axPos val="b"/>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7186806567212"/>
              <c:y val="0.687224669603529"/>
            </c:manualLayout>
          </c:layout>
          <c:overlay val="0"/>
          <c:spPr>
            <a:noFill/>
            <a:ln w="25408">
              <a:noFill/>
            </a:ln>
          </c:spPr>
        </c:title>
        <c:numFmt formatCode="General" sourceLinked="1"/>
        <c:majorTickMark val="in"/>
        <c:minorTickMark val="none"/>
        <c:tickLblPos val="nextTo"/>
        <c:spPr>
          <a:ln w="3176"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49504"/>
        <c:crosses val="autoZero"/>
        <c:auto val="1"/>
        <c:lblAlgn val="ctr"/>
        <c:lblOffset val="100"/>
        <c:tickLblSkip val="1"/>
        <c:noMultiLvlLbl val="0"/>
      </c:catAx>
      <c:valAx>
        <c:axId val="-1591849504"/>
        <c:scaling>
          <c:orientation val="minMax"/>
        </c:scaling>
        <c:delete val="0"/>
        <c:axPos val="l"/>
        <c:majorGridlines>
          <c:spPr>
            <a:ln w="3176" cap="flat" cmpd="sng" algn="ctr">
              <a:solidFill>
                <a:srgbClr val="000000"/>
              </a:solidFill>
              <a:prstDash val="solid"/>
              <a:round/>
            </a:ln>
          </c:spPr>
        </c:majorGridlines>
        <c:title>
          <c:tx>
            <c:rich>
              <a:bodyPr rot="-54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60047821891116"/>
              <c:y val="0.176211453744496"/>
            </c:manualLayout>
          </c:layout>
          <c:overlay val="0"/>
          <c:spPr>
            <a:noFill/>
            <a:ln w="25408">
              <a:noFill/>
            </a:ln>
          </c:spPr>
        </c:title>
        <c:numFmt formatCode="General" sourceLinked="1"/>
        <c:majorTickMark val="in"/>
        <c:minorTickMark val="none"/>
        <c:tickLblPos val="nextTo"/>
        <c:spPr>
          <a:ln w="3176"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54400"/>
        <c:crosses val="autoZero"/>
        <c:crossBetween val="between"/>
      </c:valAx>
      <c:spPr>
        <a:solidFill>
          <a:srgbClr val="C0C0C0"/>
        </a:solidFill>
        <a:ln w="12704">
          <a:solidFill>
            <a:srgbClr val="808080"/>
          </a:solidFill>
          <a:prstDash val="solid"/>
        </a:ln>
      </c:spPr>
    </c:plotArea>
    <c:legend>
      <c:legendPos val="b"/>
      <c:layout>
        <c:manualLayout>
          <c:xMode val="edge"/>
          <c:yMode val="edge"/>
          <c:x val="0.193853473233878"/>
          <c:y val="0.828193832599129"/>
          <c:w val="0.737588621094495"/>
          <c:h val="0.162995594713656"/>
        </c:manualLayout>
      </c:layout>
      <c:overlay val="0"/>
      <c:spPr>
        <a:solidFill>
          <a:srgbClr val="FFFFFF"/>
        </a:solidFill>
        <a:ln w="25408">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5e7cbeb3-521f-4b73-8ab0-222d1bef4bc1}"/>
      </c:ext>
    </c:extLst>
  </c:chart>
  <c:spPr>
    <a:solidFill>
      <a:srgbClr val="FFFFFF"/>
    </a:solidFill>
    <a:ln w="3176" cap="flat" cmpd="sng" algn="ctr">
      <a:solidFill>
        <a:srgbClr val="000000"/>
      </a:solidFill>
      <a:prstDash val="solid"/>
      <a:round/>
    </a:ln>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17241379312"/>
          <c:y val="0.0851063829787237"/>
          <c:w val="0.81149425287357"/>
          <c:h val="0.638297872340437"/>
        </c:manualLayout>
      </c:layout>
      <c:lineChart>
        <c:grouping val="standard"/>
        <c:varyColors val="0"/>
        <c:ser>
          <c:idx val="0"/>
          <c:order val="0"/>
          <c:tx>
            <c:strRef>
              <c:f>对比!$B$273</c:f>
              <c:strCache>
                <c:ptCount val="1"/>
                <c:pt idx="0">
                  <c:v>朗肯</c:v>
                </c:pt>
              </c:strCache>
            </c:strRef>
          </c:tx>
          <c:spPr>
            <a:ln w="12684" cap="rnd" cmpd="sng" algn="ctr">
              <a:solidFill>
                <a:srgbClr val="000080"/>
              </a:solidFill>
              <a:prstDash val="solid"/>
              <a:round/>
            </a:ln>
          </c:spPr>
          <c:marker>
            <c:symbol val="diamond"/>
            <c:size val="3"/>
            <c:spPr>
              <a:solidFill>
                <a:srgbClr val="000080"/>
              </a:solidFill>
              <a:ln w="9525" cap="flat" cmpd="sng" algn="ctr">
                <a:solidFill>
                  <a:srgbClr val="000080"/>
                </a:solidFill>
                <a:prstDash val="solid"/>
                <a:round/>
              </a:ln>
            </c:spPr>
          </c:marker>
          <c:dLbls>
            <c:delete val="1"/>
          </c:dLbls>
          <c:cat>
            <c:numRef>
              <c:f>对比!$A$274:$A$289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对比!$B$274:$B$289</c:f>
              <c:numCache>
                <c:formatCode>General</c:formatCode>
                <c:ptCount val="16"/>
                <c:pt idx="0">
                  <c:v>-50.307</c:v>
                </c:pt>
                <c:pt idx="1">
                  <c:v>-36.247</c:v>
                </c:pt>
                <c:pt idx="2">
                  <c:v>-22.187</c:v>
                </c:pt>
                <c:pt idx="3">
                  <c:v>-8.127</c:v>
                </c:pt>
                <c:pt idx="4">
                  <c:v>5.933</c:v>
                </c:pt>
                <c:pt idx="5">
                  <c:v>19.9929999999998</c:v>
                </c:pt>
                <c:pt idx="6">
                  <c:v>34.053</c:v>
                </c:pt>
                <c:pt idx="7">
                  <c:v>48.113</c:v>
                </c:pt>
                <c:pt idx="8">
                  <c:v>62.173</c:v>
                </c:pt>
                <c:pt idx="9">
                  <c:v>76.233</c:v>
                </c:pt>
                <c:pt idx="10">
                  <c:v>90.293</c:v>
                </c:pt>
                <c:pt idx="11">
                  <c:v>104.353</c:v>
                </c:pt>
                <c:pt idx="12">
                  <c:v>118.413</c:v>
                </c:pt>
                <c:pt idx="13">
                  <c:v>132.473</c:v>
                </c:pt>
                <c:pt idx="14">
                  <c:v>146.533</c:v>
                </c:pt>
                <c:pt idx="15">
                  <c:v>160.593</c:v>
                </c:pt>
              </c:numCache>
            </c:numRef>
          </c:val>
          <c:smooth val="0"/>
        </c:ser>
        <c:ser>
          <c:idx val="1"/>
          <c:order val="1"/>
          <c:tx>
            <c:strRef>
              <c:f>对比!$C$273</c:f>
              <c:strCache>
                <c:ptCount val="1"/>
                <c:pt idx="0">
                  <c:v>[1]</c:v>
                </c:pt>
              </c:strCache>
            </c:strRef>
          </c:tx>
          <c:spPr>
            <a:ln w="12684" cap="rnd" cmpd="sng" algn="ctr">
              <a:solidFill>
                <a:srgbClr val="FF00FF"/>
              </a:solidFill>
              <a:prstDash val="solid"/>
              <a:round/>
            </a:ln>
          </c:spPr>
          <c:marker>
            <c:symbol val="square"/>
            <c:size val="3"/>
            <c:spPr>
              <a:solidFill>
                <a:srgbClr val="FF00FF"/>
              </a:solidFill>
              <a:ln w="9525" cap="flat" cmpd="sng" algn="ctr">
                <a:solidFill>
                  <a:srgbClr val="FF00FF"/>
                </a:solidFill>
                <a:prstDash val="solid"/>
                <a:round/>
              </a:ln>
            </c:spPr>
          </c:marker>
          <c:dLbls>
            <c:delete val="1"/>
          </c:dLbls>
          <c:cat>
            <c:numRef>
              <c:f>对比!$A$274:$A$289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对比!$C$274:$C$289</c:f>
              <c:numCache>
                <c:formatCode>General</c:formatCode>
                <c:ptCount val="16"/>
                <c:pt idx="0">
                  <c:v>-5.987</c:v>
                </c:pt>
                <c:pt idx="1">
                  <c:v>-2.839</c:v>
                </c:pt>
                <c:pt idx="2">
                  <c:v>0.308</c:v>
                </c:pt>
                <c:pt idx="3">
                  <c:v>3.455</c:v>
                </c:pt>
                <c:pt idx="4">
                  <c:v>6.602</c:v>
                </c:pt>
                <c:pt idx="5">
                  <c:v>9.749</c:v>
                </c:pt>
                <c:pt idx="6">
                  <c:v>12.897</c:v>
                </c:pt>
                <c:pt idx="7">
                  <c:v>16.044</c:v>
                </c:pt>
                <c:pt idx="8">
                  <c:v>19.191</c:v>
                </c:pt>
                <c:pt idx="9">
                  <c:v>22.338</c:v>
                </c:pt>
                <c:pt idx="10">
                  <c:v>25.485</c:v>
                </c:pt>
                <c:pt idx="11">
                  <c:v>28.632</c:v>
                </c:pt>
                <c:pt idx="12">
                  <c:v>31.78</c:v>
                </c:pt>
                <c:pt idx="13">
                  <c:v>34.927</c:v>
                </c:pt>
                <c:pt idx="14">
                  <c:v>38.074</c:v>
                </c:pt>
                <c:pt idx="15">
                  <c:v>41.221</c:v>
                </c:pt>
              </c:numCache>
            </c:numRef>
          </c:val>
          <c:smooth val="0"/>
        </c:ser>
        <c:ser>
          <c:idx val="2"/>
          <c:order val="2"/>
          <c:tx>
            <c:strRef>
              <c:f>对比!$D$273</c:f>
              <c:strCache>
                <c:ptCount val="1"/>
                <c:pt idx="0">
                  <c:v>new</c:v>
                </c:pt>
              </c:strCache>
            </c:strRef>
          </c:tx>
          <c:spPr>
            <a:ln w="12684" cap="rnd" cmpd="sng" algn="ctr">
              <a:solidFill>
                <a:srgbClr val="FFFF00"/>
              </a:solidFill>
              <a:prstDash val="solid"/>
              <a:round/>
            </a:ln>
          </c:spPr>
          <c:marker>
            <c:symbol val="triangle"/>
            <c:size val="3"/>
            <c:spPr>
              <a:solidFill>
                <a:srgbClr val="FFFF00"/>
              </a:solidFill>
              <a:ln w="9525" cap="flat" cmpd="sng" algn="ctr">
                <a:solidFill>
                  <a:srgbClr val="FFFF00"/>
                </a:solidFill>
                <a:prstDash val="solid"/>
                <a:round/>
              </a:ln>
            </c:spPr>
          </c:marker>
          <c:dLbls>
            <c:delete val="1"/>
          </c:dLbls>
          <c:cat>
            <c:numRef>
              <c:f>对比!$A$274:$A$289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对比!$D$274:$D$289</c:f>
              <c:numCache>
                <c:formatCode>General</c:formatCode>
                <c:ptCount val="16"/>
                <c:pt idx="0">
                  <c:v>-50.307</c:v>
                </c:pt>
                <c:pt idx="1">
                  <c:v>-36.247</c:v>
                </c:pt>
                <c:pt idx="2">
                  <c:v>12.127</c:v>
                </c:pt>
                <c:pt idx="3">
                  <c:v>17.062</c:v>
                </c:pt>
                <c:pt idx="4">
                  <c:v>21.56</c:v>
                </c:pt>
                <c:pt idx="5">
                  <c:v>25.682</c:v>
                </c:pt>
                <c:pt idx="6">
                  <c:v>29.478</c:v>
                </c:pt>
                <c:pt idx="7">
                  <c:v>32.989</c:v>
                </c:pt>
                <c:pt idx="8">
                  <c:v>36.248</c:v>
                </c:pt>
                <c:pt idx="9">
                  <c:v>39.286</c:v>
                </c:pt>
                <c:pt idx="10">
                  <c:v>42.124</c:v>
                </c:pt>
                <c:pt idx="11">
                  <c:v>44.785</c:v>
                </c:pt>
                <c:pt idx="12">
                  <c:v>47.286</c:v>
                </c:pt>
                <c:pt idx="13">
                  <c:v>49.643</c:v>
                </c:pt>
                <c:pt idx="14">
                  <c:v>51.868</c:v>
                </c:pt>
                <c:pt idx="15">
                  <c:v>53.973</c:v>
                </c:pt>
              </c:numCache>
            </c:numRef>
          </c:val>
          <c:smooth val="0"/>
        </c:ser>
        <c:ser>
          <c:idx val="3"/>
          <c:order val="3"/>
          <c:tx>
            <c:strRef>
              <c:f>对比!$E$273</c:f>
              <c:strCache>
                <c:ptCount val="1"/>
                <c:pt idx="0">
                  <c:v>面积比</c:v>
                </c:pt>
              </c:strCache>
            </c:strRef>
          </c:tx>
          <c:spPr>
            <a:ln w="12684" cap="rnd" cmpd="sng" algn="ctr">
              <a:solidFill>
                <a:srgbClr val="00FFFF"/>
              </a:solidFill>
              <a:prstDash val="solid"/>
              <a:round/>
            </a:ln>
          </c:spPr>
          <c:marker>
            <c:symbol val="x"/>
            <c:size val="3"/>
            <c:spPr>
              <a:noFill/>
              <a:ln w="9525" cap="flat" cmpd="sng" algn="ctr">
                <a:solidFill>
                  <a:srgbClr val="00FFFF"/>
                </a:solidFill>
                <a:prstDash val="solid"/>
                <a:round/>
              </a:ln>
            </c:spPr>
          </c:marker>
          <c:dLbls>
            <c:delete val="1"/>
          </c:dLbls>
          <c:cat>
            <c:numRef>
              <c:f>对比!$A$274:$A$289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对比!$E$274:$E$289</c:f>
              <c:numCache>
                <c:formatCode>General</c:formatCode>
                <c:ptCount val="16"/>
                <c:pt idx="0">
                  <c:v>-11.268768</c:v>
                </c:pt>
                <c:pt idx="1">
                  <c:v>-8.119328</c:v>
                </c:pt>
                <c:pt idx="2">
                  <c:v>-4.969888</c:v>
                </c:pt>
                <c:pt idx="3">
                  <c:v>-1.820448</c:v>
                </c:pt>
                <c:pt idx="4">
                  <c:v>1.328992</c:v>
                </c:pt>
                <c:pt idx="5">
                  <c:v>4.478432</c:v>
                </c:pt>
                <c:pt idx="6">
                  <c:v>7.62787199999996</c:v>
                </c:pt>
                <c:pt idx="7">
                  <c:v>10.777312</c:v>
                </c:pt>
                <c:pt idx="8">
                  <c:v>13.926752</c:v>
                </c:pt>
                <c:pt idx="9">
                  <c:v>17.076192</c:v>
                </c:pt>
                <c:pt idx="10">
                  <c:v>20.2256319999998</c:v>
                </c:pt>
                <c:pt idx="11">
                  <c:v>23.375072</c:v>
                </c:pt>
                <c:pt idx="12">
                  <c:v>26.524512</c:v>
                </c:pt>
                <c:pt idx="13">
                  <c:v>29.673952</c:v>
                </c:pt>
                <c:pt idx="14">
                  <c:v>32.823392</c:v>
                </c:pt>
                <c:pt idx="15">
                  <c:v>35.972832</c:v>
                </c:pt>
              </c:numCache>
            </c:numRef>
          </c:val>
          <c:smooth val="0"/>
        </c:ser>
        <c:ser>
          <c:idx val="4"/>
          <c:order val="4"/>
          <c:tx>
            <c:strRef>
              <c:f>对比!$F$273</c:f>
              <c:strCache>
                <c:ptCount val="1"/>
                <c:pt idx="0">
                  <c:v>宽度比</c:v>
                </c:pt>
              </c:strCache>
            </c:strRef>
          </c:tx>
          <c:spPr>
            <a:ln w="12684" cap="rnd" cmpd="sng" algn="ctr">
              <a:solidFill>
                <a:srgbClr val="800080"/>
              </a:solidFill>
              <a:prstDash val="solid"/>
              <a:round/>
            </a:ln>
          </c:spPr>
          <c:marker>
            <c:symbol val="star"/>
            <c:size val="3"/>
            <c:spPr>
              <a:noFill/>
              <a:ln w="9525" cap="flat" cmpd="sng" algn="ctr">
                <a:solidFill>
                  <a:srgbClr val="800080"/>
                </a:solidFill>
                <a:prstDash val="solid"/>
                <a:round/>
              </a:ln>
            </c:spPr>
          </c:marker>
          <c:dLbls>
            <c:delete val="1"/>
          </c:dLbls>
          <c:cat>
            <c:numRef>
              <c:f>对比!$A$274:$A$289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对比!$F$274:$F$289</c:f>
              <c:numCache>
                <c:formatCode>General</c:formatCode>
                <c:ptCount val="16"/>
                <c:pt idx="0">
                  <c:v>-5.986533</c:v>
                </c:pt>
                <c:pt idx="1">
                  <c:v>-4.313393</c:v>
                </c:pt>
                <c:pt idx="2">
                  <c:v>-2.640253</c:v>
                </c:pt>
                <c:pt idx="3">
                  <c:v>-0.967113</c:v>
                </c:pt>
                <c:pt idx="4">
                  <c:v>0.706027</c:v>
                </c:pt>
                <c:pt idx="5">
                  <c:v>2.379167</c:v>
                </c:pt>
                <c:pt idx="6">
                  <c:v>4.05230699999999</c:v>
                </c:pt>
                <c:pt idx="7">
                  <c:v>5.725447</c:v>
                </c:pt>
                <c:pt idx="8">
                  <c:v>7.39858699999996</c:v>
                </c:pt>
                <c:pt idx="9">
                  <c:v>9.071727</c:v>
                </c:pt>
                <c:pt idx="10">
                  <c:v>10.744867</c:v>
                </c:pt>
                <c:pt idx="11">
                  <c:v>12.418007</c:v>
                </c:pt>
                <c:pt idx="12">
                  <c:v>14.091147</c:v>
                </c:pt>
                <c:pt idx="13">
                  <c:v>15.764287</c:v>
                </c:pt>
                <c:pt idx="14">
                  <c:v>17.437427</c:v>
                </c:pt>
                <c:pt idx="15">
                  <c:v>19.110567</c:v>
                </c:pt>
              </c:numCache>
            </c:numRef>
          </c:val>
          <c:smooth val="0"/>
        </c:ser>
        <c:dLbls>
          <c:showLegendKey val="0"/>
          <c:showVal val="0"/>
          <c:showCatName val="0"/>
          <c:showSerName val="0"/>
          <c:showPercent val="0"/>
          <c:showBubbleSize val="0"/>
        </c:dLbls>
        <c:marker val="1"/>
        <c:smooth val="0"/>
        <c:axId val="-1591859840"/>
        <c:axId val="-1591870176"/>
      </c:lineChart>
      <c:catAx>
        <c:axId val="-1591859840"/>
        <c:scaling>
          <c:orientation val="minMax"/>
        </c:scaling>
        <c:delete val="0"/>
        <c:axPos val="b"/>
        <c:title>
          <c:tx>
            <c:rich>
              <a:bodyPr rot="0" spcFirstLastPara="0" vertOverflow="ellipsis" vert="horz" wrap="square" anchor="ctr" anchorCtr="1"/>
              <a:lstStyle/>
              <a:p>
                <a:pPr>
                  <a:defRPr lang="zh-CN" sz="104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33333333333333"/>
              <c:y val="0.765957446808517"/>
            </c:manualLayout>
          </c:layout>
          <c:overlay val="0"/>
          <c:spPr>
            <a:noFill/>
            <a:ln w="25369">
              <a:noFill/>
            </a:ln>
          </c:spPr>
        </c:title>
        <c:numFmt formatCode="General" sourceLinked="1"/>
        <c:majorTickMark val="in"/>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zh-CN" sz="10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70176"/>
        <c:crosses val="autoZero"/>
        <c:auto val="1"/>
        <c:lblAlgn val="ctr"/>
        <c:lblOffset val="100"/>
        <c:tickLblSkip val="1"/>
        <c:noMultiLvlLbl val="0"/>
      </c:catAx>
      <c:valAx>
        <c:axId val="-1591870176"/>
        <c:scaling>
          <c:orientation val="minMax"/>
        </c:scaling>
        <c:delete val="0"/>
        <c:axPos val="l"/>
        <c:majorGridlines>
          <c:spPr>
            <a:ln w="3171" cap="flat" cmpd="sng" algn="ctr">
              <a:solidFill>
                <a:srgbClr val="000000"/>
              </a:solidFill>
              <a:prstDash val="solid"/>
              <a:round/>
            </a:ln>
          </c:spPr>
        </c:majorGridlines>
        <c:title>
          <c:tx>
            <c:rich>
              <a:bodyPr rot="-5400000" spcFirstLastPara="0" vertOverflow="ellipsis" vert="horz" wrap="square" anchor="ctr" anchorCtr="1"/>
              <a:lstStyle/>
              <a:p>
                <a:pPr>
                  <a:defRPr lang="zh-CN" sz="104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52872491166397"/>
              <c:y val="0.246808510638298"/>
            </c:manualLayout>
          </c:layout>
          <c:overlay val="0"/>
          <c:spPr>
            <a:noFill/>
            <a:ln w="25369">
              <a:noFill/>
            </a:ln>
          </c:spPr>
        </c:title>
        <c:numFmt formatCode="General" sourceLinked="1"/>
        <c:majorTickMark val="in"/>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zh-CN" sz="10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59840"/>
        <c:crosses val="autoZero"/>
        <c:crossBetween val="between"/>
      </c:valAx>
      <c:spPr>
        <a:solidFill>
          <a:srgbClr val="C0C0C0"/>
        </a:solidFill>
        <a:ln w="12684">
          <a:solidFill>
            <a:srgbClr val="808080"/>
          </a:solidFill>
          <a:prstDash val="solid"/>
        </a:ln>
      </c:spPr>
    </c:plotArea>
    <c:legend>
      <c:legendPos val="b"/>
      <c:layout>
        <c:manualLayout>
          <c:xMode val="edge"/>
          <c:yMode val="edge"/>
          <c:x val="0.177011461266658"/>
          <c:y val="0.906382978723404"/>
          <c:w val="0.786206781099963"/>
          <c:h val="0.0851063829787237"/>
        </c:manualLayout>
      </c:layout>
      <c:overlay val="0"/>
      <c:spPr>
        <a:solidFill>
          <a:srgbClr val="FFFFFF"/>
        </a:solidFill>
        <a:ln w="25369">
          <a:noFill/>
        </a:ln>
      </c:spPr>
      <c:txPr>
        <a:bodyPr rot="0" spcFirstLastPara="0" vertOverflow="ellipsis" vert="horz" wrap="square" anchor="ctr" anchorCtr="1"/>
        <a:lstStyle/>
        <a:p>
          <a:pPr>
            <a:defRPr lang="zh-CN" sz="96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54ef276b-bd26-4e9b-97c9-bbb451095ada}"/>
      </c:ext>
    </c:extLst>
  </c:chart>
  <c:spPr>
    <a:solidFill>
      <a:srgbClr val="FFFFFF"/>
    </a:solidFill>
    <a:ln w="3171" cap="flat" cmpd="sng" algn="ctr">
      <a:solidFill>
        <a:srgbClr val="000000"/>
      </a:solidFill>
      <a:prstDash val="solid"/>
      <a:round/>
    </a:ln>
  </c:spPr>
  <c:txPr>
    <a:bodyPr/>
    <a:lstStyle/>
    <a:p>
      <a:pPr>
        <a:defRPr lang="zh-CN" sz="105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17241379312"/>
          <c:y val="0.0858369098712447"/>
          <c:w val="0.81149425287357"/>
          <c:h val="0.635193133047211"/>
        </c:manualLayout>
      </c:layout>
      <c:lineChart>
        <c:grouping val="standard"/>
        <c:varyColors val="0"/>
        <c:ser>
          <c:idx val="0"/>
          <c:order val="0"/>
          <c:tx>
            <c:strRef>
              <c:f>对比!$B$294</c:f>
              <c:strCache>
                <c:ptCount val="1"/>
                <c:pt idx="0">
                  <c:v>朗肯</c:v>
                </c:pt>
              </c:strCache>
            </c:strRef>
          </c:tx>
          <c:spPr>
            <a:ln w="12670" cap="rnd" cmpd="sng" algn="ctr">
              <a:solidFill>
                <a:srgbClr val="000080"/>
              </a:solidFill>
              <a:prstDash val="solid"/>
              <a:round/>
            </a:ln>
          </c:spPr>
          <c:marker>
            <c:symbol val="diamond"/>
            <c:size val="3"/>
            <c:spPr>
              <a:solidFill>
                <a:srgbClr val="000080"/>
              </a:solidFill>
              <a:ln w="9525" cap="flat" cmpd="sng" algn="ctr">
                <a:solidFill>
                  <a:srgbClr val="000080"/>
                </a:solidFill>
                <a:prstDash val="solid"/>
                <a:round/>
              </a:ln>
            </c:spPr>
          </c:marker>
          <c:dLbls>
            <c:delete val="1"/>
          </c:dLbls>
          <c:cat>
            <c:numRef>
              <c:f>对比!$A$295:$A$310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对比!$B$295:$B$310</c:f>
              <c:numCache>
                <c:formatCode>General</c:formatCode>
                <c:ptCount val="16"/>
                <c:pt idx="0">
                  <c:v>-50.307</c:v>
                </c:pt>
                <c:pt idx="1">
                  <c:v>-36.247</c:v>
                </c:pt>
                <c:pt idx="2">
                  <c:v>-22.187</c:v>
                </c:pt>
                <c:pt idx="3">
                  <c:v>-8.127</c:v>
                </c:pt>
                <c:pt idx="4">
                  <c:v>5.933</c:v>
                </c:pt>
                <c:pt idx="5">
                  <c:v>19.9929999999998</c:v>
                </c:pt>
                <c:pt idx="6">
                  <c:v>34.053</c:v>
                </c:pt>
                <c:pt idx="7">
                  <c:v>48.113</c:v>
                </c:pt>
                <c:pt idx="8">
                  <c:v>62.173</c:v>
                </c:pt>
                <c:pt idx="9">
                  <c:v>76.233</c:v>
                </c:pt>
                <c:pt idx="10">
                  <c:v>90.293</c:v>
                </c:pt>
                <c:pt idx="11">
                  <c:v>104.353</c:v>
                </c:pt>
                <c:pt idx="12">
                  <c:v>118.413</c:v>
                </c:pt>
                <c:pt idx="13">
                  <c:v>132.473</c:v>
                </c:pt>
                <c:pt idx="14">
                  <c:v>146.533</c:v>
                </c:pt>
                <c:pt idx="15">
                  <c:v>160.593</c:v>
                </c:pt>
              </c:numCache>
            </c:numRef>
          </c:val>
          <c:smooth val="0"/>
        </c:ser>
        <c:ser>
          <c:idx val="1"/>
          <c:order val="1"/>
          <c:tx>
            <c:strRef>
              <c:f>对比!$C$294</c:f>
              <c:strCache>
                <c:ptCount val="1"/>
                <c:pt idx="0">
                  <c:v>[1]</c:v>
                </c:pt>
              </c:strCache>
            </c:strRef>
          </c:tx>
          <c:spPr>
            <a:ln w="12670" cap="rnd" cmpd="sng" algn="ctr">
              <a:solidFill>
                <a:srgbClr val="FF00FF"/>
              </a:solidFill>
              <a:prstDash val="solid"/>
              <a:round/>
            </a:ln>
          </c:spPr>
          <c:marker>
            <c:symbol val="square"/>
            <c:size val="3"/>
            <c:spPr>
              <a:solidFill>
                <a:srgbClr val="FF00FF"/>
              </a:solidFill>
              <a:ln w="9525" cap="flat" cmpd="sng" algn="ctr">
                <a:solidFill>
                  <a:srgbClr val="FF00FF"/>
                </a:solidFill>
                <a:prstDash val="solid"/>
                <a:round/>
              </a:ln>
            </c:spPr>
          </c:marker>
          <c:dLbls>
            <c:delete val="1"/>
          </c:dLbls>
          <c:cat>
            <c:numRef>
              <c:f>对比!$A$295:$A$310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对比!$C$295:$C$310</c:f>
              <c:numCache>
                <c:formatCode>General</c:formatCode>
                <c:ptCount val="16"/>
                <c:pt idx="0">
                  <c:v>-11.973</c:v>
                </c:pt>
                <c:pt idx="1">
                  <c:v>-6.077</c:v>
                </c:pt>
                <c:pt idx="2">
                  <c:v>-0.181</c:v>
                </c:pt>
                <c:pt idx="3">
                  <c:v>5.71499999999999</c:v>
                </c:pt>
                <c:pt idx="4">
                  <c:v>11.612</c:v>
                </c:pt>
                <c:pt idx="5">
                  <c:v>17.508</c:v>
                </c:pt>
                <c:pt idx="6">
                  <c:v>23.404</c:v>
                </c:pt>
                <c:pt idx="7">
                  <c:v>29.3</c:v>
                </c:pt>
                <c:pt idx="8">
                  <c:v>35.196</c:v>
                </c:pt>
                <c:pt idx="9">
                  <c:v>41.092</c:v>
                </c:pt>
                <c:pt idx="10">
                  <c:v>46.988</c:v>
                </c:pt>
                <c:pt idx="11">
                  <c:v>52.885</c:v>
                </c:pt>
                <c:pt idx="12">
                  <c:v>58.781</c:v>
                </c:pt>
                <c:pt idx="13">
                  <c:v>64.677</c:v>
                </c:pt>
                <c:pt idx="14">
                  <c:v>70.573</c:v>
                </c:pt>
                <c:pt idx="15">
                  <c:v>76.469</c:v>
                </c:pt>
              </c:numCache>
            </c:numRef>
          </c:val>
          <c:smooth val="0"/>
        </c:ser>
        <c:ser>
          <c:idx val="2"/>
          <c:order val="2"/>
          <c:tx>
            <c:strRef>
              <c:f>对比!$D$294</c:f>
              <c:strCache>
                <c:ptCount val="1"/>
                <c:pt idx="0">
                  <c:v>new</c:v>
                </c:pt>
              </c:strCache>
            </c:strRef>
          </c:tx>
          <c:spPr>
            <a:ln w="12670" cap="rnd" cmpd="sng" algn="ctr">
              <a:solidFill>
                <a:srgbClr val="FFFF00"/>
              </a:solidFill>
              <a:prstDash val="solid"/>
              <a:round/>
            </a:ln>
          </c:spPr>
          <c:marker>
            <c:symbol val="triangle"/>
            <c:size val="3"/>
            <c:spPr>
              <a:solidFill>
                <a:srgbClr val="FFFF00"/>
              </a:solidFill>
              <a:ln w="9525" cap="flat" cmpd="sng" algn="ctr">
                <a:solidFill>
                  <a:srgbClr val="FFFF00"/>
                </a:solidFill>
                <a:prstDash val="solid"/>
                <a:round/>
              </a:ln>
            </c:spPr>
          </c:marker>
          <c:dLbls>
            <c:delete val="1"/>
          </c:dLbls>
          <c:cat>
            <c:numRef>
              <c:f>对比!$A$295:$A$310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对比!$D$295:$D$310</c:f>
              <c:numCache>
                <c:formatCode>General</c:formatCode>
                <c:ptCount val="16"/>
                <c:pt idx="0">
                  <c:v>-50.307</c:v>
                </c:pt>
                <c:pt idx="1">
                  <c:v>-36.247</c:v>
                </c:pt>
                <c:pt idx="2">
                  <c:v>-22.187</c:v>
                </c:pt>
                <c:pt idx="3">
                  <c:v>-8.127</c:v>
                </c:pt>
                <c:pt idx="4">
                  <c:v>32.956</c:v>
                </c:pt>
                <c:pt idx="5">
                  <c:v>39.854</c:v>
                </c:pt>
                <c:pt idx="6">
                  <c:v>46.307</c:v>
                </c:pt>
                <c:pt idx="7">
                  <c:v>52.358</c:v>
                </c:pt>
                <c:pt idx="8">
                  <c:v>58.051</c:v>
                </c:pt>
                <c:pt idx="9">
                  <c:v>63.417</c:v>
                </c:pt>
                <c:pt idx="10">
                  <c:v>68.487</c:v>
                </c:pt>
                <c:pt idx="11">
                  <c:v>73.288</c:v>
                </c:pt>
                <c:pt idx="12">
                  <c:v>77.841</c:v>
                </c:pt>
                <c:pt idx="13">
                  <c:v>82.17</c:v>
                </c:pt>
                <c:pt idx="14">
                  <c:v>86.29</c:v>
                </c:pt>
                <c:pt idx="15">
                  <c:v>90.2170000000001</c:v>
                </c:pt>
              </c:numCache>
            </c:numRef>
          </c:val>
          <c:smooth val="0"/>
        </c:ser>
        <c:ser>
          <c:idx val="3"/>
          <c:order val="3"/>
          <c:tx>
            <c:strRef>
              <c:f>对比!$E$294</c:f>
              <c:strCache>
                <c:ptCount val="1"/>
                <c:pt idx="0">
                  <c:v>面积比</c:v>
                </c:pt>
              </c:strCache>
            </c:strRef>
          </c:tx>
          <c:spPr>
            <a:ln w="12670" cap="rnd" cmpd="sng" algn="ctr">
              <a:solidFill>
                <a:srgbClr val="00FFFF"/>
              </a:solidFill>
              <a:prstDash val="solid"/>
              <a:round/>
            </a:ln>
          </c:spPr>
          <c:marker>
            <c:symbol val="x"/>
            <c:size val="3"/>
            <c:spPr>
              <a:noFill/>
              <a:ln w="9525" cap="flat" cmpd="sng" algn="ctr">
                <a:solidFill>
                  <a:srgbClr val="00FFFF"/>
                </a:solidFill>
                <a:prstDash val="solid"/>
                <a:round/>
              </a:ln>
            </c:spPr>
          </c:marker>
          <c:dLbls>
            <c:delete val="1"/>
          </c:dLbls>
          <c:cat>
            <c:numRef>
              <c:f>对比!$A$295:$A$310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对比!$E$295:$E$310</c:f>
              <c:numCache>
                <c:formatCode>General</c:formatCode>
                <c:ptCount val="16"/>
                <c:pt idx="0">
                  <c:v>-21.12894</c:v>
                </c:pt>
                <c:pt idx="1">
                  <c:v>-15.22374</c:v>
                </c:pt>
                <c:pt idx="2">
                  <c:v>-9.31854</c:v>
                </c:pt>
                <c:pt idx="3">
                  <c:v>-3.41334</c:v>
                </c:pt>
                <c:pt idx="4">
                  <c:v>2.49185999999997</c:v>
                </c:pt>
                <c:pt idx="5">
                  <c:v>8.39706</c:v>
                </c:pt>
                <c:pt idx="6">
                  <c:v>14.30226</c:v>
                </c:pt>
                <c:pt idx="7">
                  <c:v>20.20746</c:v>
                </c:pt>
                <c:pt idx="8">
                  <c:v>26.11266</c:v>
                </c:pt>
                <c:pt idx="9">
                  <c:v>32.01786</c:v>
                </c:pt>
                <c:pt idx="10">
                  <c:v>37.92306</c:v>
                </c:pt>
                <c:pt idx="11">
                  <c:v>43.82826</c:v>
                </c:pt>
                <c:pt idx="12">
                  <c:v>49.73346</c:v>
                </c:pt>
                <c:pt idx="13">
                  <c:v>55.63866</c:v>
                </c:pt>
                <c:pt idx="14">
                  <c:v>61.54386</c:v>
                </c:pt>
                <c:pt idx="15">
                  <c:v>67.4490600000007</c:v>
                </c:pt>
              </c:numCache>
            </c:numRef>
          </c:val>
          <c:smooth val="0"/>
        </c:ser>
        <c:ser>
          <c:idx val="4"/>
          <c:order val="4"/>
          <c:tx>
            <c:strRef>
              <c:f>对比!$F$294</c:f>
              <c:strCache>
                <c:ptCount val="1"/>
                <c:pt idx="0">
                  <c:v>宽度比</c:v>
                </c:pt>
              </c:strCache>
            </c:strRef>
          </c:tx>
          <c:spPr>
            <a:ln w="12670" cap="rnd" cmpd="sng" algn="ctr">
              <a:solidFill>
                <a:srgbClr val="800080"/>
              </a:solidFill>
              <a:prstDash val="solid"/>
              <a:round/>
            </a:ln>
          </c:spPr>
          <c:marker>
            <c:symbol val="star"/>
            <c:size val="3"/>
            <c:spPr>
              <a:noFill/>
              <a:ln w="9525" cap="flat" cmpd="sng" algn="ctr">
                <a:solidFill>
                  <a:srgbClr val="800080"/>
                </a:solidFill>
                <a:prstDash val="solid"/>
                <a:round/>
              </a:ln>
            </c:spPr>
          </c:marker>
          <c:dLbls>
            <c:delete val="1"/>
          </c:dLbls>
          <c:cat>
            <c:numRef>
              <c:f>对比!$A$295:$A$310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对比!$F$295:$F$310</c:f>
              <c:numCache>
                <c:formatCode>General</c:formatCode>
                <c:ptCount val="16"/>
                <c:pt idx="0">
                  <c:v>-11.973066</c:v>
                </c:pt>
                <c:pt idx="1">
                  <c:v>-8.626786</c:v>
                </c:pt>
                <c:pt idx="2">
                  <c:v>-5.280506</c:v>
                </c:pt>
                <c:pt idx="3">
                  <c:v>-1.934226</c:v>
                </c:pt>
                <c:pt idx="4">
                  <c:v>1.412054</c:v>
                </c:pt>
                <c:pt idx="5">
                  <c:v>4.758334</c:v>
                </c:pt>
                <c:pt idx="6">
                  <c:v>8.104614</c:v>
                </c:pt>
                <c:pt idx="7">
                  <c:v>11.4508940000001</c:v>
                </c:pt>
                <c:pt idx="8">
                  <c:v>14.797174</c:v>
                </c:pt>
                <c:pt idx="9">
                  <c:v>18.143454</c:v>
                </c:pt>
                <c:pt idx="10">
                  <c:v>21.4897339999997</c:v>
                </c:pt>
                <c:pt idx="11">
                  <c:v>24.836014</c:v>
                </c:pt>
                <c:pt idx="12">
                  <c:v>28.1822939999999</c:v>
                </c:pt>
                <c:pt idx="13">
                  <c:v>31.528574</c:v>
                </c:pt>
                <c:pt idx="14">
                  <c:v>34.874854</c:v>
                </c:pt>
                <c:pt idx="15">
                  <c:v>38.221134</c:v>
                </c:pt>
              </c:numCache>
            </c:numRef>
          </c:val>
          <c:smooth val="0"/>
        </c:ser>
        <c:dLbls>
          <c:showLegendKey val="0"/>
          <c:showVal val="0"/>
          <c:showCatName val="0"/>
          <c:showSerName val="0"/>
          <c:showPercent val="0"/>
          <c:showBubbleSize val="0"/>
        </c:dLbls>
        <c:marker val="1"/>
        <c:smooth val="0"/>
        <c:axId val="-1591863648"/>
        <c:axId val="-1591864736"/>
      </c:lineChart>
      <c:catAx>
        <c:axId val="-1591863648"/>
        <c:scaling>
          <c:orientation val="minMax"/>
        </c:scaling>
        <c:delete val="0"/>
        <c:axPos val="b"/>
        <c:title>
          <c:tx>
            <c:rich>
              <a:bodyPr rot="0" spcFirstLastPara="0" vertOverflow="ellipsis" vert="horz" wrap="square" anchor="ctr" anchorCtr="1"/>
              <a:lstStyle/>
              <a:p>
                <a:pPr>
                  <a:defRPr lang="zh-CN" sz="10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33333333333333"/>
              <c:y val="0.763948497854087"/>
            </c:manualLayout>
          </c:layout>
          <c:overlay val="0"/>
          <c:spPr>
            <a:noFill/>
            <a:ln w="25339">
              <a:noFill/>
            </a:ln>
          </c:spPr>
        </c:title>
        <c:numFmt formatCode="General" sourceLinked="1"/>
        <c:majorTickMark val="in"/>
        <c:minorTickMark val="none"/>
        <c:tickLblPos val="nextTo"/>
        <c:spPr>
          <a:ln w="3168"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64736"/>
        <c:crosses val="autoZero"/>
        <c:auto val="1"/>
        <c:lblAlgn val="ctr"/>
        <c:lblOffset val="100"/>
        <c:tickLblSkip val="1"/>
        <c:noMultiLvlLbl val="0"/>
      </c:catAx>
      <c:valAx>
        <c:axId val="-1591864736"/>
        <c:scaling>
          <c:orientation val="minMax"/>
        </c:scaling>
        <c:delete val="0"/>
        <c:axPos val="l"/>
        <c:majorGridlines>
          <c:spPr>
            <a:ln w="3168" cap="flat" cmpd="sng" algn="ctr">
              <a:solidFill>
                <a:srgbClr val="000000"/>
              </a:solidFill>
              <a:prstDash val="solid"/>
              <a:round/>
            </a:ln>
          </c:spPr>
        </c:majorGridlines>
        <c:title>
          <c:tx>
            <c:rich>
              <a:bodyPr rot="-5400000" spcFirstLastPara="0" vertOverflow="ellipsis" vert="horz" wrap="square" anchor="ctr" anchorCtr="1"/>
              <a:lstStyle/>
              <a:p>
                <a:pPr>
                  <a:defRPr lang="zh-CN" sz="10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52872491166397"/>
              <c:y val="0.244635193133047"/>
            </c:manualLayout>
          </c:layout>
          <c:overlay val="0"/>
          <c:spPr>
            <a:noFill/>
            <a:ln w="25339">
              <a:noFill/>
            </a:ln>
          </c:spPr>
        </c:title>
        <c:numFmt formatCode="General" sourceLinked="1"/>
        <c:majorTickMark val="in"/>
        <c:minorTickMark val="none"/>
        <c:tickLblPos val="nextTo"/>
        <c:spPr>
          <a:ln w="3168"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63648"/>
        <c:crosses val="autoZero"/>
        <c:crossBetween val="between"/>
      </c:valAx>
      <c:spPr>
        <a:solidFill>
          <a:srgbClr val="C0C0C0"/>
        </a:solidFill>
        <a:ln w="12670">
          <a:solidFill>
            <a:srgbClr val="808080"/>
          </a:solidFill>
          <a:prstDash val="solid"/>
        </a:ln>
      </c:spPr>
    </c:plotArea>
    <c:legend>
      <c:legendPos val="b"/>
      <c:layout>
        <c:manualLayout>
          <c:xMode val="edge"/>
          <c:yMode val="edge"/>
          <c:x val="0.177011461266658"/>
          <c:y val="0.905579399141626"/>
          <c:w val="0.786206781099963"/>
          <c:h val="0.0858369098712447"/>
        </c:manualLayout>
      </c:layout>
      <c:overlay val="0"/>
      <c:spPr>
        <a:solidFill>
          <a:srgbClr val="FFFFFF"/>
        </a:solidFill>
        <a:ln w="25339">
          <a:noFill/>
        </a:ln>
      </c:spPr>
      <c:txPr>
        <a:bodyPr rot="0" spcFirstLastPara="0" vertOverflow="ellipsis" vert="horz" wrap="square" anchor="ctr" anchorCtr="1"/>
        <a:lstStyle/>
        <a:p>
          <a:pPr>
            <a:defRPr lang="zh-CN" sz="94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465308cf-cf81-4c7a-9c97-e29709293d8b}"/>
      </c:ext>
    </c:extLst>
  </c:chart>
  <c:spPr>
    <a:solidFill>
      <a:srgbClr val="FFFFFF"/>
    </a:solidFill>
    <a:ln w="3168" cap="flat" cmpd="sng" algn="ctr">
      <a:solidFill>
        <a:srgbClr val="000000"/>
      </a:solidFill>
      <a:prstDash val="solid"/>
      <a:round/>
    </a:ln>
  </c:spPr>
  <c:txPr>
    <a:bodyPr/>
    <a:lstStyle/>
    <a:p>
      <a:pPr>
        <a:defRPr lang="zh-CN" sz="10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17241379312"/>
          <c:y val="0.0843881856540084"/>
          <c:w val="0.81149425287357"/>
          <c:h val="0.641350210970465"/>
        </c:manualLayout>
      </c:layout>
      <c:lineChart>
        <c:grouping val="standard"/>
        <c:varyColors val="0"/>
        <c:ser>
          <c:idx val="0"/>
          <c:order val="0"/>
          <c:tx>
            <c:strRef>
              <c:f>对比!$B$314</c:f>
              <c:strCache>
                <c:ptCount val="1"/>
                <c:pt idx="0">
                  <c:v>朗肯</c:v>
                </c:pt>
              </c:strCache>
            </c:strRef>
          </c:tx>
          <c:spPr>
            <a:ln w="12684" cap="rnd" cmpd="sng" algn="ctr">
              <a:solidFill>
                <a:srgbClr val="000080"/>
              </a:solidFill>
              <a:prstDash val="solid"/>
              <a:round/>
            </a:ln>
          </c:spPr>
          <c:marker>
            <c:symbol val="diamond"/>
            <c:size val="3"/>
            <c:spPr>
              <a:solidFill>
                <a:srgbClr val="000080"/>
              </a:solidFill>
              <a:ln w="9525" cap="flat" cmpd="sng" algn="ctr">
                <a:solidFill>
                  <a:srgbClr val="000080"/>
                </a:solidFill>
                <a:prstDash val="solid"/>
                <a:round/>
              </a:ln>
            </c:spPr>
          </c:marker>
          <c:dLbls>
            <c:delete val="1"/>
          </c:dLbls>
          <c:cat>
            <c:numRef>
              <c:f>对比!$A$315:$A$330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对比!$B$315:$B$330</c:f>
              <c:numCache>
                <c:formatCode>General</c:formatCode>
                <c:ptCount val="16"/>
                <c:pt idx="0">
                  <c:v>-50.307</c:v>
                </c:pt>
                <c:pt idx="1">
                  <c:v>-36.247</c:v>
                </c:pt>
                <c:pt idx="2">
                  <c:v>-22.187</c:v>
                </c:pt>
                <c:pt idx="3">
                  <c:v>-8.127</c:v>
                </c:pt>
                <c:pt idx="4">
                  <c:v>5.933</c:v>
                </c:pt>
                <c:pt idx="5">
                  <c:v>19.9929999999998</c:v>
                </c:pt>
                <c:pt idx="6">
                  <c:v>34.053</c:v>
                </c:pt>
                <c:pt idx="7">
                  <c:v>48.113</c:v>
                </c:pt>
                <c:pt idx="8">
                  <c:v>62.173</c:v>
                </c:pt>
                <c:pt idx="9">
                  <c:v>76.233</c:v>
                </c:pt>
                <c:pt idx="10">
                  <c:v>90.293</c:v>
                </c:pt>
                <c:pt idx="11">
                  <c:v>104.353</c:v>
                </c:pt>
                <c:pt idx="12">
                  <c:v>118.413</c:v>
                </c:pt>
                <c:pt idx="13">
                  <c:v>132.473</c:v>
                </c:pt>
                <c:pt idx="14">
                  <c:v>146.533</c:v>
                </c:pt>
                <c:pt idx="15">
                  <c:v>160.593</c:v>
                </c:pt>
              </c:numCache>
            </c:numRef>
          </c:val>
          <c:smooth val="0"/>
        </c:ser>
        <c:ser>
          <c:idx val="1"/>
          <c:order val="1"/>
          <c:tx>
            <c:strRef>
              <c:f>对比!$C$314</c:f>
              <c:strCache>
                <c:ptCount val="1"/>
                <c:pt idx="0">
                  <c:v>[1]</c:v>
                </c:pt>
              </c:strCache>
            </c:strRef>
          </c:tx>
          <c:spPr>
            <a:ln w="12684" cap="rnd" cmpd="sng" algn="ctr">
              <a:solidFill>
                <a:srgbClr val="FF00FF"/>
              </a:solidFill>
              <a:prstDash val="solid"/>
              <a:round/>
            </a:ln>
          </c:spPr>
          <c:marker>
            <c:symbol val="square"/>
            <c:size val="3"/>
            <c:spPr>
              <a:solidFill>
                <a:srgbClr val="FF00FF"/>
              </a:solidFill>
              <a:ln w="9525" cap="flat" cmpd="sng" algn="ctr">
                <a:solidFill>
                  <a:srgbClr val="FF00FF"/>
                </a:solidFill>
                <a:prstDash val="solid"/>
                <a:round/>
              </a:ln>
            </c:spPr>
          </c:marker>
          <c:dLbls>
            <c:delete val="1"/>
          </c:dLbls>
          <c:cat>
            <c:numRef>
              <c:f>对比!$A$315:$A$330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对比!$C$315:$C$330</c:f>
              <c:numCache>
                <c:formatCode>General</c:formatCode>
                <c:ptCount val="16"/>
                <c:pt idx="0">
                  <c:v>-18.01</c:v>
                </c:pt>
                <c:pt idx="1">
                  <c:v>-9.745</c:v>
                </c:pt>
                <c:pt idx="2">
                  <c:v>-1.48</c:v>
                </c:pt>
                <c:pt idx="3">
                  <c:v>6.785</c:v>
                </c:pt>
                <c:pt idx="4">
                  <c:v>15.05</c:v>
                </c:pt>
                <c:pt idx="5">
                  <c:v>23.315</c:v>
                </c:pt>
                <c:pt idx="6">
                  <c:v>31.58</c:v>
                </c:pt>
                <c:pt idx="7">
                  <c:v>39.845</c:v>
                </c:pt>
                <c:pt idx="8">
                  <c:v>48.11</c:v>
                </c:pt>
                <c:pt idx="9">
                  <c:v>56.375</c:v>
                </c:pt>
                <c:pt idx="10">
                  <c:v>64.64</c:v>
                </c:pt>
                <c:pt idx="11">
                  <c:v>72.905</c:v>
                </c:pt>
                <c:pt idx="12">
                  <c:v>81.17</c:v>
                </c:pt>
                <c:pt idx="13">
                  <c:v>89.435</c:v>
                </c:pt>
                <c:pt idx="14">
                  <c:v>97.7</c:v>
                </c:pt>
                <c:pt idx="15">
                  <c:v>105.965</c:v>
                </c:pt>
              </c:numCache>
            </c:numRef>
          </c:val>
          <c:smooth val="0"/>
        </c:ser>
        <c:ser>
          <c:idx val="2"/>
          <c:order val="2"/>
          <c:tx>
            <c:strRef>
              <c:f>对比!$D$314</c:f>
              <c:strCache>
                <c:ptCount val="1"/>
                <c:pt idx="0">
                  <c:v>new</c:v>
                </c:pt>
              </c:strCache>
            </c:strRef>
          </c:tx>
          <c:spPr>
            <a:ln w="12684" cap="rnd" cmpd="sng" algn="ctr">
              <a:solidFill>
                <a:srgbClr val="FFFF00"/>
              </a:solidFill>
              <a:prstDash val="solid"/>
              <a:round/>
            </a:ln>
          </c:spPr>
          <c:marker>
            <c:symbol val="triangle"/>
            <c:size val="3"/>
            <c:spPr>
              <a:solidFill>
                <a:srgbClr val="FFFF00"/>
              </a:solidFill>
              <a:ln w="9525" cap="flat" cmpd="sng" algn="ctr">
                <a:solidFill>
                  <a:srgbClr val="FFFF00"/>
                </a:solidFill>
                <a:prstDash val="solid"/>
                <a:round/>
              </a:ln>
            </c:spPr>
          </c:marker>
          <c:dLbls>
            <c:delete val="1"/>
          </c:dLbls>
          <c:cat>
            <c:numRef>
              <c:f>对比!$A$315:$A$330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对比!$D$315:$D$330</c:f>
              <c:numCache>
                <c:formatCode>General</c:formatCode>
                <c:ptCount val="16"/>
                <c:pt idx="0">
                  <c:v>-50.307</c:v>
                </c:pt>
                <c:pt idx="1">
                  <c:v>-36.247</c:v>
                </c:pt>
                <c:pt idx="2">
                  <c:v>-22.187</c:v>
                </c:pt>
                <c:pt idx="3">
                  <c:v>-8.127</c:v>
                </c:pt>
                <c:pt idx="4">
                  <c:v>5.933</c:v>
                </c:pt>
                <c:pt idx="5">
                  <c:v>19.9929999999998</c:v>
                </c:pt>
                <c:pt idx="6">
                  <c:v>56.7620000000003</c:v>
                </c:pt>
                <c:pt idx="7">
                  <c:v>64.709</c:v>
                </c:pt>
                <c:pt idx="8">
                  <c:v>72.251</c:v>
                </c:pt>
                <c:pt idx="9">
                  <c:v>79.423</c:v>
                </c:pt>
                <c:pt idx="10">
                  <c:v>86.252</c:v>
                </c:pt>
                <c:pt idx="11">
                  <c:v>92.766</c:v>
                </c:pt>
                <c:pt idx="12">
                  <c:v>98.987</c:v>
                </c:pt>
                <c:pt idx="13">
                  <c:v>104.938</c:v>
                </c:pt>
                <c:pt idx="14">
                  <c:v>110.636</c:v>
                </c:pt>
                <c:pt idx="15">
                  <c:v>116.1</c:v>
                </c:pt>
              </c:numCache>
            </c:numRef>
          </c:val>
          <c:smooth val="0"/>
        </c:ser>
        <c:ser>
          <c:idx val="3"/>
          <c:order val="3"/>
          <c:tx>
            <c:strRef>
              <c:f>对比!$E$314</c:f>
              <c:strCache>
                <c:ptCount val="1"/>
                <c:pt idx="0">
                  <c:v>面积比</c:v>
                </c:pt>
              </c:strCache>
            </c:strRef>
          </c:tx>
          <c:spPr>
            <a:ln w="12684" cap="rnd" cmpd="sng" algn="ctr">
              <a:solidFill>
                <a:srgbClr val="00FFFF"/>
              </a:solidFill>
              <a:prstDash val="solid"/>
              <a:round/>
            </a:ln>
          </c:spPr>
          <c:marker>
            <c:symbol val="x"/>
            <c:size val="3"/>
            <c:spPr>
              <a:noFill/>
              <a:ln w="9525" cap="flat" cmpd="sng" algn="ctr">
                <a:solidFill>
                  <a:srgbClr val="00FFFF"/>
                </a:solidFill>
                <a:prstDash val="solid"/>
                <a:round/>
              </a:ln>
            </c:spPr>
          </c:marker>
          <c:dLbls>
            <c:delete val="1"/>
          </c:dLbls>
          <c:cat>
            <c:numRef>
              <c:f>对比!$A$315:$A$330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对比!$E$315:$E$330</c:f>
              <c:numCache>
                <c:formatCode>General</c:formatCode>
                <c:ptCount val="16"/>
                <c:pt idx="0">
                  <c:v>-29.530209</c:v>
                </c:pt>
                <c:pt idx="1">
                  <c:v>-21.276989</c:v>
                </c:pt>
                <c:pt idx="2">
                  <c:v>-13.023769</c:v>
                </c:pt>
                <c:pt idx="3">
                  <c:v>-4.770549</c:v>
                </c:pt>
                <c:pt idx="4">
                  <c:v>3.482671</c:v>
                </c:pt>
                <c:pt idx="5">
                  <c:v>11.735891</c:v>
                </c:pt>
                <c:pt idx="6">
                  <c:v>19.9891109999998</c:v>
                </c:pt>
                <c:pt idx="7">
                  <c:v>28.2423309999998</c:v>
                </c:pt>
                <c:pt idx="8">
                  <c:v>36.495551</c:v>
                </c:pt>
                <c:pt idx="9">
                  <c:v>44.748771</c:v>
                </c:pt>
                <c:pt idx="10">
                  <c:v>53.001991</c:v>
                </c:pt>
                <c:pt idx="11">
                  <c:v>61.255211</c:v>
                </c:pt>
                <c:pt idx="12">
                  <c:v>69.508431</c:v>
                </c:pt>
                <c:pt idx="13">
                  <c:v>77.7616510000003</c:v>
                </c:pt>
                <c:pt idx="14">
                  <c:v>86.014871</c:v>
                </c:pt>
                <c:pt idx="15">
                  <c:v>94.268091</c:v>
                </c:pt>
              </c:numCache>
            </c:numRef>
          </c:val>
          <c:smooth val="0"/>
        </c:ser>
        <c:ser>
          <c:idx val="4"/>
          <c:order val="4"/>
          <c:tx>
            <c:strRef>
              <c:f>对比!$F$314</c:f>
              <c:strCache>
                <c:ptCount val="1"/>
                <c:pt idx="0">
                  <c:v>宽度比</c:v>
                </c:pt>
              </c:strCache>
            </c:strRef>
          </c:tx>
          <c:spPr>
            <a:ln w="12684" cap="rnd" cmpd="sng" algn="ctr">
              <a:solidFill>
                <a:srgbClr val="800080"/>
              </a:solidFill>
              <a:prstDash val="solid"/>
              <a:round/>
            </a:ln>
          </c:spPr>
          <c:marker>
            <c:symbol val="star"/>
            <c:size val="3"/>
            <c:spPr>
              <a:noFill/>
              <a:ln w="9525" cap="flat" cmpd="sng" algn="ctr">
                <a:solidFill>
                  <a:srgbClr val="800080"/>
                </a:solidFill>
                <a:prstDash val="solid"/>
                <a:round/>
              </a:ln>
            </c:spPr>
          </c:marker>
          <c:dLbls>
            <c:delete val="1"/>
          </c:dLbls>
          <c:cat>
            <c:numRef>
              <c:f>对比!$A$315:$A$330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对比!$F$315:$F$330</c:f>
              <c:numCache>
                <c:formatCode>General</c:formatCode>
                <c:ptCount val="16"/>
                <c:pt idx="0">
                  <c:v>-18.009906</c:v>
                </c:pt>
                <c:pt idx="1">
                  <c:v>-12.9764260000001</c:v>
                </c:pt>
                <c:pt idx="2">
                  <c:v>-7.942946</c:v>
                </c:pt>
                <c:pt idx="3">
                  <c:v>-2.90946599999998</c:v>
                </c:pt>
                <c:pt idx="4">
                  <c:v>2.124014</c:v>
                </c:pt>
                <c:pt idx="5">
                  <c:v>7.15749399999999</c:v>
                </c:pt>
                <c:pt idx="6">
                  <c:v>12.190974</c:v>
                </c:pt>
                <c:pt idx="7">
                  <c:v>17.224454</c:v>
                </c:pt>
                <c:pt idx="8">
                  <c:v>22.257934</c:v>
                </c:pt>
                <c:pt idx="9">
                  <c:v>27.291414</c:v>
                </c:pt>
                <c:pt idx="10">
                  <c:v>32.324894</c:v>
                </c:pt>
                <c:pt idx="11">
                  <c:v>37.358374</c:v>
                </c:pt>
                <c:pt idx="12">
                  <c:v>42.391854</c:v>
                </c:pt>
                <c:pt idx="13">
                  <c:v>47.4253340000001</c:v>
                </c:pt>
                <c:pt idx="14">
                  <c:v>52.458814</c:v>
                </c:pt>
                <c:pt idx="15">
                  <c:v>57.492294</c:v>
                </c:pt>
              </c:numCache>
            </c:numRef>
          </c:val>
          <c:smooth val="0"/>
        </c:ser>
        <c:dLbls>
          <c:showLegendKey val="0"/>
          <c:showVal val="0"/>
          <c:showCatName val="0"/>
          <c:showSerName val="0"/>
          <c:showPercent val="0"/>
          <c:showBubbleSize val="0"/>
        </c:dLbls>
        <c:marker val="1"/>
        <c:smooth val="0"/>
        <c:axId val="-1591878336"/>
        <c:axId val="-1591860384"/>
      </c:lineChart>
      <c:catAx>
        <c:axId val="-1591878336"/>
        <c:scaling>
          <c:orientation val="minMax"/>
        </c:scaling>
        <c:delete val="0"/>
        <c:axPos val="b"/>
        <c:title>
          <c:tx>
            <c:rich>
              <a:bodyPr rot="0" spcFirstLastPara="0" vertOverflow="ellipsis" vert="horz" wrap="square" anchor="ctr" anchorCtr="1"/>
              <a:lstStyle/>
              <a:p>
                <a:pPr>
                  <a:defRPr lang="zh-CN" sz="104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33333333333333"/>
              <c:y val="0.767932489451477"/>
            </c:manualLayout>
          </c:layout>
          <c:overlay val="0"/>
          <c:spPr>
            <a:noFill/>
            <a:ln w="25369">
              <a:noFill/>
            </a:ln>
          </c:spPr>
        </c:title>
        <c:numFmt formatCode="General" sourceLinked="1"/>
        <c:majorTickMark val="in"/>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zh-CN" sz="10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60384"/>
        <c:crosses val="autoZero"/>
        <c:auto val="1"/>
        <c:lblAlgn val="ctr"/>
        <c:lblOffset val="100"/>
        <c:tickLblSkip val="1"/>
        <c:noMultiLvlLbl val="0"/>
      </c:catAx>
      <c:valAx>
        <c:axId val="-1591860384"/>
        <c:scaling>
          <c:orientation val="minMax"/>
        </c:scaling>
        <c:delete val="0"/>
        <c:axPos val="l"/>
        <c:majorGridlines>
          <c:spPr>
            <a:ln w="3171" cap="flat" cmpd="sng" algn="ctr">
              <a:solidFill>
                <a:srgbClr val="000000"/>
              </a:solidFill>
              <a:prstDash val="solid"/>
              <a:round/>
            </a:ln>
          </c:spPr>
        </c:majorGridlines>
        <c:title>
          <c:tx>
            <c:rich>
              <a:bodyPr rot="-5400000" spcFirstLastPara="0" vertOverflow="ellipsis" vert="horz" wrap="square" anchor="ctr" anchorCtr="1"/>
              <a:lstStyle/>
              <a:p>
                <a:pPr>
                  <a:defRPr lang="zh-CN" sz="104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52872491166397"/>
              <c:y val="0.248945147679328"/>
            </c:manualLayout>
          </c:layout>
          <c:overlay val="0"/>
          <c:spPr>
            <a:noFill/>
            <a:ln w="25369">
              <a:noFill/>
            </a:ln>
          </c:spPr>
        </c:title>
        <c:numFmt formatCode="General" sourceLinked="1"/>
        <c:majorTickMark val="in"/>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zh-CN" sz="10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78336"/>
        <c:crosses val="autoZero"/>
        <c:crossBetween val="between"/>
      </c:valAx>
      <c:spPr>
        <a:solidFill>
          <a:srgbClr val="C0C0C0"/>
        </a:solidFill>
        <a:ln w="12684">
          <a:solidFill>
            <a:srgbClr val="808080"/>
          </a:solidFill>
          <a:prstDash val="solid"/>
        </a:ln>
      </c:spPr>
    </c:plotArea>
    <c:legend>
      <c:legendPos val="b"/>
      <c:layout>
        <c:manualLayout>
          <c:xMode val="edge"/>
          <c:yMode val="edge"/>
          <c:x val="0.12940855191469"/>
          <c:y val="0.907172995780591"/>
          <c:w val="0.833809540383452"/>
          <c:h val="0.0843881856540084"/>
        </c:manualLayout>
      </c:layout>
      <c:overlay val="0"/>
      <c:spPr>
        <a:solidFill>
          <a:srgbClr val="FFFFFF"/>
        </a:solidFill>
        <a:ln w="25369">
          <a:noFill/>
        </a:ln>
      </c:spPr>
      <c:txPr>
        <a:bodyPr rot="0" spcFirstLastPara="0" vertOverflow="ellipsis" vert="horz" wrap="square" anchor="ctr" anchorCtr="1"/>
        <a:lstStyle/>
        <a:p>
          <a:pPr>
            <a:defRPr lang="zh-CN" sz="96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dccaa110-7fca-4a12-b923-90d9a002103d}"/>
      </c:ext>
    </c:extLst>
  </c:chart>
  <c:spPr>
    <a:solidFill>
      <a:srgbClr val="FFFFFF"/>
    </a:solidFill>
    <a:ln w="3171" cap="flat" cmpd="sng" algn="ctr">
      <a:solidFill>
        <a:srgbClr val="000000"/>
      </a:solidFill>
      <a:prstDash val="solid"/>
      <a:round/>
    </a:ln>
  </c:spPr>
  <c:txPr>
    <a:bodyPr/>
    <a:lstStyle/>
    <a:p>
      <a:pPr>
        <a:defRPr lang="zh-CN" sz="105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372881355932"/>
          <c:y val="0.0826771653543307"/>
          <c:w val="0.811440677966102"/>
          <c:h val="0.6496062992126"/>
        </c:manualLayout>
      </c:layout>
      <c:lineChart>
        <c:grouping val="standard"/>
        <c:varyColors val="0"/>
        <c:ser>
          <c:idx val="0"/>
          <c:order val="0"/>
          <c:tx>
            <c:strRef>
              <c:f>对比!$B$335</c:f>
              <c:strCache>
                <c:ptCount val="1"/>
                <c:pt idx="0">
                  <c:v>朗肯</c:v>
                </c:pt>
              </c:strCache>
            </c:strRef>
          </c:tx>
          <c:spPr>
            <a:ln w="12696" cap="rnd" cmpd="sng" algn="ctr">
              <a:solidFill>
                <a:srgbClr val="000080"/>
              </a:solidFill>
              <a:prstDash val="solid"/>
              <a:round/>
            </a:ln>
          </c:spPr>
          <c:marker>
            <c:symbol val="diamond"/>
            <c:size val="4"/>
            <c:spPr>
              <a:solidFill>
                <a:srgbClr val="000080"/>
              </a:solidFill>
              <a:ln w="9525" cap="flat" cmpd="sng" algn="ctr">
                <a:solidFill>
                  <a:srgbClr val="000080"/>
                </a:solidFill>
                <a:prstDash val="solid"/>
                <a:round/>
              </a:ln>
            </c:spPr>
          </c:marker>
          <c:dLbls>
            <c:delete val="1"/>
          </c:dLbls>
          <c:cat>
            <c:numRef>
              <c:f>对比!$A$336:$A$351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对比!$B$336:$B$351</c:f>
              <c:numCache>
                <c:formatCode>General</c:formatCode>
                <c:ptCount val="16"/>
                <c:pt idx="0">
                  <c:v>-50.307</c:v>
                </c:pt>
                <c:pt idx="1">
                  <c:v>-36.247</c:v>
                </c:pt>
                <c:pt idx="2">
                  <c:v>-22.187</c:v>
                </c:pt>
                <c:pt idx="3">
                  <c:v>-8.127</c:v>
                </c:pt>
                <c:pt idx="4">
                  <c:v>5.933</c:v>
                </c:pt>
                <c:pt idx="5">
                  <c:v>19.9929999999998</c:v>
                </c:pt>
                <c:pt idx="6">
                  <c:v>34.053</c:v>
                </c:pt>
                <c:pt idx="7">
                  <c:v>48.113</c:v>
                </c:pt>
                <c:pt idx="8">
                  <c:v>62.173</c:v>
                </c:pt>
                <c:pt idx="9">
                  <c:v>76.233</c:v>
                </c:pt>
                <c:pt idx="10">
                  <c:v>90.293</c:v>
                </c:pt>
                <c:pt idx="11">
                  <c:v>104.353</c:v>
                </c:pt>
                <c:pt idx="12">
                  <c:v>118.413</c:v>
                </c:pt>
                <c:pt idx="13">
                  <c:v>132.473</c:v>
                </c:pt>
                <c:pt idx="14">
                  <c:v>146.533</c:v>
                </c:pt>
                <c:pt idx="15">
                  <c:v>160.593</c:v>
                </c:pt>
              </c:numCache>
            </c:numRef>
          </c:val>
          <c:smooth val="0"/>
        </c:ser>
        <c:ser>
          <c:idx val="1"/>
          <c:order val="1"/>
          <c:tx>
            <c:strRef>
              <c:f>对比!$C$335</c:f>
              <c:strCache>
                <c:ptCount val="1"/>
                <c:pt idx="0">
                  <c:v>[1]</c:v>
                </c:pt>
              </c:strCache>
            </c:strRef>
          </c:tx>
          <c:spPr>
            <a:ln w="12696" cap="rnd" cmpd="sng" algn="ctr">
              <a:solidFill>
                <a:srgbClr val="FF00FF"/>
              </a:solidFill>
              <a:prstDash val="solid"/>
              <a:round/>
            </a:ln>
          </c:spPr>
          <c:marker>
            <c:symbol val="square"/>
            <c:size val="4"/>
            <c:spPr>
              <a:solidFill>
                <a:srgbClr val="FF00FF"/>
              </a:solidFill>
              <a:ln w="9525" cap="flat" cmpd="sng" algn="ctr">
                <a:solidFill>
                  <a:srgbClr val="FF00FF"/>
                </a:solidFill>
                <a:prstDash val="solid"/>
                <a:round/>
              </a:ln>
            </c:spPr>
          </c:marker>
          <c:dLbls>
            <c:delete val="1"/>
          </c:dLbls>
          <c:cat>
            <c:numRef>
              <c:f>对比!$A$336:$A$351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对比!$C$336:$C$351</c:f>
              <c:numCache>
                <c:formatCode>General</c:formatCode>
                <c:ptCount val="16"/>
                <c:pt idx="0">
                  <c:v>-23.9959999999999</c:v>
                </c:pt>
                <c:pt idx="1">
                  <c:v>-13.782</c:v>
                </c:pt>
                <c:pt idx="2">
                  <c:v>-3.568</c:v>
                </c:pt>
                <c:pt idx="3">
                  <c:v>6.646</c:v>
                </c:pt>
                <c:pt idx="4">
                  <c:v>16.86</c:v>
                </c:pt>
                <c:pt idx="5">
                  <c:v>27.074</c:v>
                </c:pt>
                <c:pt idx="6">
                  <c:v>37.289</c:v>
                </c:pt>
                <c:pt idx="7">
                  <c:v>47.503</c:v>
                </c:pt>
                <c:pt idx="8">
                  <c:v>57.717</c:v>
                </c:pt>
                <c:pt idx="9">
                  <c:v>67.931</c:v>
                </c:pt>
                <c:pt idx="10">
                  <c:v>78.145</c:v>
                </c:pt>
                <c:pt idx="11">
                  <c:v>88.36</c:v>
                </c:pt>
                <c:pt idx="12">
                  <c:v>98.574</c:v>
                </c:pt>
                <c:pt idx="13">
                  <c:v>108.788</c:v>
                </c:pt>
                <c:pt idx="14">
                  <c:v>119.002</c:v>
                </c:pt>
                <c:pt idx="15">
                  <c:v>129.216</c:v>
                </c:pt>
              </c:numCache>
            </c:numRef>
          </c:val>
          <c:smooth val="0"/>
        </c:ser>
        <c:ser>
          <c:idx val="2"/>
          <c:order val="2"/>
          <c:tx>
            <c:strRef>
              <c:f>对比!$D$335</c:f>
              <c:strCache>
                <c:ptCount val="1"/>
                <c:pt idx="0">
                  <c:v>new</c:v>
                </c:pt>
              </c:strCache>
            </c:strRef>
          </c:tx>
          <c:spPr>
            <a:ln w="12696" cap="rnd" cmpd="sng" algn="ctr">
              <a:solidFill>
                <a:srgbClr val="FFFF00"/>
              </a:solidFill>
              <a:prstDash val="solid"/>
              <a:round/>
            </a:ln>
          </c:spPr>
          <c:marker>
            <c:symbol val="triangle"/>
            <c:size val="4"/>
            <c:spPr>
              <a:solidFill>
                <a:srgbClr val="FFFF00"/>
              </a:solidFill>
              <a:ln w="9525" cap="flat" cmpd="sng" algn="ctr">
                <a:solidFill>
                  <a:srgbClr val="FFFF00"/>
                </a:solidFill>
                <a:prstDash val="solid"/>
                <a:round/>
              </a:ln>
            </c:spPr>
          </c:marker>
          <c:dLbls>
            <c:delete val="1"/>
          </c:dLbls>
          <c:cat>
            <c:numRef>
              <c:f>对比!$A$336:$A$351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对比!$D$336:$D$351</c:f>
              <c:numCache>
                <c:formatCode>General</c:formatCode>
                <c:ptCount val="16"/>
                <c:pt idx="0">
                  <c:v>-50.307</c:v>
                </c:pt>
                <c:pt idx="1">
                  <c:v>-36.247</c:v>
                </c:pt>
                <c:pt idx="2">
                  <c:v>-22.187</c:v>
                </c:pt>
                <c:pt idx="3">
                  <c:v>-8.127</c:v>
                </c:pt>
                <c:pt idx="4">
                  <c:v>5.933</c:v>
                </c:pt>
                <c:pt idx="5">
                  <c:v>19.9929999999998</c:v>
                </c:pt>
                <c:pt idx="6">
                  <c:v>34.053</c:v>
                </c:pt>
                <c:pt idx="7">
                  <c:v>48.113</c:v>
                </c:pt>
                <c:pt idx="8">
                  <c:v>81.938</c:v>
                </c:pt>
                <c:pt idx="9">
                  <c:v>90.539</c:v>
                </c:pt>
                <c:pt idx="10">
                  <c:v>98.777</c:v>
                </c:pt>
                <c:pt idx="11">
                  <c:v>106.679</c:v>
                </c:pt>
                <c:pt idx="12">
                  <c:v>114.266</c:v>
                </c:pt>
                <c:pt idx="13">
                  <c:v>121.559</c:v>
                </c:pt>
                <c:pt idx="14">
                  <c:v>128.577</c:v>
                </c:pt>
                <c:pt idx="15">
                  <c:v>135.335</c:v>
                </c:pt>
              </c:numCache>
            </c:numRef>
          </c:val>
          <c:smooth val="0"/>
        </c:ser>
        <c:ser>
          <c:idx val="3"/>
          <c:order val="3"/>
          <c:tx>
            <c:strRef>
              <c:f>对比!$E$335</c:f>
              <c:strCache>
                <c:ptCount val="1"/>
                <c:pt idx="0">
                  <c:v>面积比</c:v>
                </c:pt>
              </c:strCache>
            </c:strRef>
          </c:tx>
          <c:spPr>
            <a:ln w="12696" cap="rnd" cmpd="sng" algn="ctr">
              <a:solidFill>
                <a:srgbClr val="00FFFF"/>
              </a:solidFill>
              <a:prstDash val="solid"/>
              <a:round/>
            </a:ln>
          </c:spPr>
          <c:marker>
            <c:symbol val="x"/>
            <c:size val="4"/>
            <c:spPr>
              <a:noFill/>
              <a:ln w="9525" cap="flat" cmpd="sng" algn="ctr">
                <a:solidFill>
                  <a:srgbClr val="00FFFF"/>
                </a:solidFill>
                <a:prstDash val="solid"/>
                <a:round/>
              </a:ln>
            </c:spPr>
          </c:marker>
          <c:dLbls>
            <c:delete val="1"/>
          </c:dLbls>
          <c:cat>
            <c:numRef>
              <c:f>对比!$A$336:$A$351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对比!$E$336:$E$351</c:f>
              <c:numCache>
                <c:formatCode>General</c:formatCode>
                <c:ptCount val="16"/>
                <c:pt idx="0">
                  <c:v>-36.522882</c:v>
                </c:pt>
                <c:pt idx="1">
                  <c:v>-26.315322</c:v>
                </c:pt>
                <c:pt idx="2">
                  <c:v>-16.107762</c:v>
                </c:pt>
                <c:pt idx="3">
                  <c:v>-5.90020200000004</c:v>
                </c:pt>
                <c:pt idx="4">
                  <c:v>4.30735799999999</c:v>
                </c:pt>
                <c:pt idx="5">
                  <c:v>14.514918</c:v>
                </c:pt>
                <c:pt idx="6">
                  <c:v>24.7224779999999</c:v>
                </c:pt>
                <c:pt idx="7">
                  <c:v>34.930038</c:v>
                </c:pt>
                <c:pt idx="8">
                  <c:v>45.137598</c:v>
                </c:pt>
                <c:pt idx="9">
                  <c:v>55.345158</c:v>
                </c:pt>
                <c:pt idx="10">
                  <c:v>65.5527179999997</c:v>
                </c:pt>
                <c:pt idx="11">
                  <c:v>75.760278</c:v>
                </c:pt>
                <c:pt idx="12">
                  <c:v>85.967838</c:v>
                </c:pt>
                <c:pt idx="13">
                  <c:v>96.175397999999</c:v>
                </c:pt>
                <c:pt idx="14">
                  <c:v>106.382958</c:v>
                </c:pt>
                <c:pt idx="15">
                  <c:v>116.590518</c:v>
                </c:pt>
              </c:numCache>
            </c:numRef>
          </c:val>
          <c:smooth val="0"/>
        </c:ser>
        <c:ser>
          <c:idx val="4"/>
          <c:order val="4"/>
          <c:tx>
            <c:strRef>
              <c:f>对比!$F$335</c:f>
              <c:strCache>
                <c:ptCount val="1"/>
                <c:pt idx="0">
                  <c:v>宽度比</c:v>
                </c:pt>
              </c:strCache>
            </c:strRef>
          </c:tx>
          <c:spPr>
            <a:ln w="12696" cap="rnd" cmpd="sng" algn="ctr">
              <a:solidFill>
                <a:srgbClr val="800080"/>
              </a:solidFill>
              <a:prstDash val="solid"/>
              <a:round/>
            </a:ln>
          </c:spPr>
          <c:marker>
            <c:symbol val="star"/>
            <c:size val="4"/>
            <c:spPr>
              <a:noFill/>
              <a:ln w="9525" cap="flat" cmpd="sng" algn="ctr">
                <a:solidFill>
                  <a:srgbClr val="800080"/>
                </a:solidFill>
                <a:prstDash val="solid"/>
                <a:round/>
              </a:ln>
            </c:spPr>
          </c:marker>
          <c:dLbls>
            <c:delete val="1"/>
          </c:dLbls>
          <c:cat>
            <c:numRef>
              <c:f>对比!$A$336:$A$351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对比!$F$336:$F$351</c:f>
              <c:numCache>
                <c:formatCode>General</c:formatCode>
                <c:ptCount val="16"/>
                <c:pt idx="0">
                  <c:v>-23.9964389999999</c:v>
                </c:pt>
                <c:pt idx="1">
                  <c:v>-17.289819</c:v>
                </c:pt>
                <c:pt idx="2">
                  <c:v>-10.583199</c:v>
                </c:pt>
                <c:pt idx="3">
                  <c:v>-3.87657899999997</c:v>
                </c:pt>
                <c:pt idx="4">
                  <c:v>2.83004099999997</c:v>
                </c:pt>
                <c:pt idx="5">
                  <c:v>9.536661</c:v>
                </c:pt>
                <c:pt idx="6">
                  <c:v>16.243281</c:v>
                </c:pt>
                <c:pt idx="7">
                  <c:v>22.949901</c:v>
                </c:pt>
                <c:pt idx="8">
                  <c:v>29.656521</c:v>
                </c:pt>
                <c:pt idx="9">
                  <c:v>36.363141</c:v>
                </c:pt>
                <c:pt idx="10">
                  <c:v>43.069761</c:v>
                </c:pt>
                <c:pt idx="11">
                  <c:v>49.776381</c:v>
                </c:pt>
                <c:pt idx="12">
                  <c:v>56.483001</c:v>
                </c:pt>
                <c:pt idx="13">
                  <c:v>63.189621</c:v>
                </c:pt>
                <c:pt idx="14">
                  <c:v>69.896241</c:v>
                </c:pt>
                <c:pt idx="15">
                  <c:v>76.6028609999999</c:v>
                </c:pt>
              </c:numCache>
            </c:numRef>
          </c:val>
          <c:smooth val="0"/>
        </c:ser>
        <c:dLbls>
          <c:showLegendKey val="0"/>
          <c:showVal val="0"/>
          <c:showCatName val="0"/>
          <c:showSerName val="0"/>
          <c:showPercent val="0"/>
          <c:showBubbleSize val="0"/>
        </c:dLbls>
        <c:marker val="1"/>
        <c:smooth val="0"/>
        <c:axId val="-1591854944"/>
        <c:axId val="-1591858208"/>
      </c:lineChart>
      <c:catAx>
        <c:axId val="-1591854944"/>
        <c:scaling>
          <c:orientation val="minMax"/>
        </c:scaling>
        <c:delete val="0"/>
        <c:axPos val="b"/>
        <c:title>
          <c:tx>
            <c:rich>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36016894946948"/>
              <c:y val="0.775590551181103"/>
            </c:manualLayout>
          </c:layout>
          <c:overlay val="0"/>
          <c:spPr>
            <a:noFill/>
            <a:ln w="25392">
              <a:noFill/>
            </a:ln>
          </c:spPr>
        </c:title>
        <c:numFmt formatCode="General" sourceLinked="1"/>
        <c:majorTickMark val="in"/>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58208"/>
        <c:crosses val="autoZero"/>
        <c:auto val="1"/>
        <c:lblAlgn val="ctr"/>
        <c:lblOffset val="100"/>
        <c:tickLblSkip val="1"/>
        <c:noMultiLvlLbl val="0"/>
      </c:catAx>
      <c:valAx>
        <c:axId val="-1591858208"/>
        <c:scaling>
          <c:orientation val="minMax"/>
        </c:scaling>
        <c:delete val="0"/>
        <c:axPos val="l"/>
        <c:majorGridlines>
          <c:spPr>
            <a:ln w="3174" cap="flat" cmpd="sng" algn="ctr">
              <a:solidFill>
                <a:srgbClr val="000000"/>
              </a:solidFill>
              <a:prstDash val="solid"/>
              <a:round/>
            </a:ln>
          </c:spPr>
        </c:majorGridlines>
        <c:title>
          <c:tx>
            <c:rich>
              <a:bodyPr rot="-540000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33051015681863"/>
              <c:y val="0.251968503937011"/>
            </c:manualLayout>
          </c:layout>
          <c:overlay val="0"/>
          <c:spPr>
            <a:noFill/>
            <a:ln w="25392">
              <a:noFill/>
            </a:ln>
          </c:spPr>
        </c:title>
        <c:numFmt formatCode="General" sourceLinked="1"/>
        <c:majorTickMark val="in"/>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54944"/>
        <c:crosses val="autoZero"/>
        <c:crossBetween val="between"/>
      </c:valAx>
      <c:spPr>
        <a:solidFill>
          <a:srgbClr val="C0C0C0"/>
        </a:solidFill>
        <a:ln w="12696">
          <a:solidFill>
            <a:srgbClr val="808080"/>
          </a:solidFill>
          <a:prstDash val="solid"/>
        </a:ln>
      </c:spPr>
    </c:plotArea>
    <c:legend>
      <c:legendPos val="b"/>
      <c:layout>
        <c:manualLayout>
          <c:xMode val="edge"/>
          <c:yMode val="edge"/>
          <c:x val="0.110044992539797"/>
          <c:y val="0.909448818897638"/>
          <c:w val="0.839107397359565"/>
          <c:h val="0.0826771653543307"/>
        </c:manualLayout>
      </c:layout>
      <c:overlay val="0"/>
      <c:spPr>
        <a:solidFill>
          <a:srgbClr val="FFFFFF"/>
        </a:solidFill>
        <a:ln w="25392">
          <a:noFill/>
        </a:ln>
      </c:spPr>
      <c:txPr>
        <a:bodyPr rot="0" spcFirstLastPara="0" vertOverflow="ellipsis" vert="horz" wrap="square" anchor="ctr" anchorCtr="1"/>
        <a:lstStyle/>
        <a:p>
          <a:pPr>
            <a:defRPr lang="zh-CN" sz="103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5b6fcceb-6a90-4c7e-b1cb-b86f6367ff4c}"/>
      </c:ext>
    </c:extLst>
  </c:chart>
  <c:spPr>
    <a:solidFill>
      <a:srgbClr val="FFFFFF"/>
    </a:solidFill>
    <a:ln w="3174" cap="flat" cmpd="sng" algn="ctr">
      <a:solidFill>
        <a:srgbClr val="000000"/>
      </a:solidFill>
      <a:prstDash val="solid"/>
      <a:round/>
    </a:ln>
  </c:spPr>
  <c:txPr>
    <a:bodyPr/>
    <a:lstStyle/>
    <a:p>
      <a:pPr>
        <a:defRPr lang="zh-CN" sz="11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372881355932"/>
          <c:y val="0.0826771653543307"/>
          <c:w val="0.811440677966102"/>
          <c:h val="0.6496062992126"/>
        </c:manualLayout>
      </c:layout>
      <c:lineChart>
        <c:grouping val="standard"/>
        <c:varyColors val="0"/>
        <c:ser>
          <c:idx val="0"/>
          <c:order val="0"/>
          <c:tx>
            <c:strRef>
              <c:f>对比!$B$356</c:f>
              <c:strCache>
                <c:ptCount val="1"/>
                <c:pt idx="0">
                  <c:v>朗肯</c:v>
                </c:pt>
              </c:strCache>
            </c:strRef>
          </c:tx>
          <c:spPr>
            <a:ln w="12696" cap="rnd" cmpd="sng" algn="ctr">
              <a:solidFill>
                <a:srgbClr val="000080"/>
              </a:solidFill>
              <a:prstDash val="solid"/>
              <a:round/>
            </a:ln>
          </c:spPr>
          <c:marker>
            <c:symbol val="diamond"/>
            <c:size val="4"/>
            <c:spPr>
              <a:solidFill>
                <a:srgbClr val="000080"/>
              </a:solidFill>
              <a:ln w="9525" cap="flat" cmpd="sng" algn="ctr">
                <a:solidFill>
                  <a:srgbClr val="000080"/>
                </a:solidFill>
                <a:prstDash val="solid"/>
                <a:round/>
              </a:ln>
            </c:spPr>
          </c:marker>
          <c:dLbls>
            <c:delete val="1"/>
          </c:dLbls>
          <c:cat>
            <c:numRef>
              <c:f>对比!$A$357:$A$372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对比!$B$357:$B$372</c:f>
              <c:numCache>
                <c:formatCode>General</c:formatCode>
                <c:ptCount val="16"/>
                <c:pt idx="0">
                  <c:v>-50.307</c:v>
                </c:pt>
                <c:pt idx="1">
                  <c:v>-36.247</c:v>
                </c:pt>
                <c:pt idx="2">
                  <c:v>-22.187</c:v>
                </c:pt>
                <c:pt idx="3">
                  <c:v>-8.127</c:v>
                </c:pt>
                <c:pt idx="4">
                  <c:v>5.933</c:v>
                </c:pt>
                <c:pt idx="5">
                  <c:v>19.9929999999998</c:v>
                </c:pt>
                <c:pt idx="6">
                  <c:v>34.053</c:v>
                </c:pt>
                <c:pt idx="7">
                  <c:v>48.113</c:v>
                </c:pt>
                <c:pt idx="8">
                  <c:v>62.173</c:v>
                </c:pt>
                <c:pt idx="9">
                  <c:v>76.233</c:v>
                </c:pt>
                <c:pt idx="10">
                  <c:v>90.293</c:v>
                </c:pt>
                <c:pt idx="11">
                  <c:v>104.353</c:v>
                </c:pt>
                <c:pt idx="12">
                  <c:v>118.413</c:v>
                </c:pt>
                <c:pt idx="13">
                  <c:v>132.473</c:v>
                </c:pt>
                <c:pt idx="14">
                  <c:v>146.533</c:v>
                </c:pt>
                <c:pt idx="15">
                  <c:v>160.593</c:v>
                </c:pt>
              </c:numCache>
            </c:numRef>
          </c:val>
          <c:smooth val="0"/>
        </c:ser>
        <c:ser>
          <c:idx val="1"/>
          <c:order val="1"/>
          <c:tx>
            <c:strRef>
              <c:f>对比!$C$356</c:f>
              <c:strCache>
                <c:ptCount val="1"/>
                <c:pt idx="0">
                  <c:v>[1]</c:v>
                </c:pt>
              </c:strCache>
            </c:strRef>
          </c:tx>
          <c:spPr>
            <a:ln w="12696" cap="rnd" cmpd="sng" algn="ctr">
              <a:solidFill>
                <a:srgbClr val="FF00FF"/>
              </a:solidFill>
              <a:prstDash val="solid"/>
              <a:round/>
            </a:ln>
          </c:spPr>
          <c:marker>
            <c:symbol val="square"/>
            <c:size val="4"/>
            <c:spPr>
              <a:solidFill>
                <a:srgbClr val="FF00FF"/>
              </a:solidFill>
              <a:ln w="9525" cap="flat" cmpd="sng" algn="ctr">
                <a:solidFill>
                  <a:srgbClr val="FF00FF"/>
                </a:solidFill>
                <a:prstDash val="solid"/>
                <a:round/>
              </a:ln>
            </c:spPr>
          </c:marker>
          <c:dLbls>
            <c:delete val="1"/>
          </c:dLbls>
          <c:cat>
            <c:numRef>
              <c:f>对比!$A$357:$A$372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对比!$C$357:$C$372</c:f>
              <c:numCache>
                <c:formatCode>General</c:formatCode>
                <c:ptCount val="16"/>
                <c:pt idx="0">
                  <c:v>-29.9829999999998</c:v>
                </c:pt>
                <c:pt idx="1">
                  <c:v>-18.218</c:v>
                </c:pt>
                <c:pt idx="2">
                  <c:v>-6.453</c:v>
                </c:pt>
                <c:pt idx="3">
                  <c:v>5.31299999999999</c:v>
                </c:pt>
                <c:pt idx="4">
                  <c:v>17.078</c:v>
                </c:pt>
                <c:pt idx="5">
                  <c:v>28.843</c:v>
                </c:pt>
                <c:pt idx="6">
                  <c:v>40.608</c:v>
                </c:pt>
                <c:pt idx="7">
                  <c:v>52.373</c:v>
                </c:pt>
                <c:pt idx="8">
                  <c:v>64.138</c:v>
                </c:pt>
                <c:pt idx="9">
                  <c:v>75.904</c:v>
                </c:pt>
                <c:pt idx="10">
                  <c:v>87.669</c:v>
                </c:pt>
                <c:pt idx="11">
                  <c:v>99.434</c:v>
                </c:pt>
                <c:pt idx="12">
                  <c:v>111.199</c:v>
                </c:pt>
                <c:pt idx="13">
                  <c:v>122.964</c:v>
                </c:pt>
                <c:pt idx="14">
                  <c:v>134.73</c:v>
                </c:pt>
                <c:pt idx="15">
                  <c:v>146.495</c:v>
                </c:pt>
              </c:numCache>
            </c:numRef>
          </c:val>
          <c:smooth val="0"/>
        </c:ser>
        <c:ser>
          <c:idx val="2"/>
          <c:order val="2"/>
          <c:tx>
            <c:strRef>
              <c:f>对比!$D$356</c:f>
              <c:strCache>
                <c:ptCount val="1"/>
                <c:pt idx="0">
                  <c:v>new</c:v>
                </c:pt>
              </c:strCache>
            </c:strRef>
          </c:tx>
          <c:spPr>
            <a:ln w="12696" cap="rnd" cmpd="sng" algn="ctr">
              <a:solidFill>
                <a:srgbClr val="FFFF00"/>
              </a:solidFill>
              <a:prstDash val="solid"/>
              <a:round/>
            </a:ln>
          </c:spPr>
          <c:marker>
            <c:symbol val="triangle"/>
            <c:size val="4"/>
            <c:spPr>
              <a:solidFill>
                <a:srgbClr val="FFFF00"/>
              </a:solidFill>
              <a:ln w="9525" cap="flat" cmpd="sng" algn="ctr">
                <a:solidFill>
                  <a:srgbClr val="FFFF00"/>
                </a:solidFill>
                <a:prstDash val="solid"/>
                <a:round/>
              </a:ln>
            </c:spPr>
          </c:marker>
          <c:dLbls>
            <c:delete val="1"/>
          </c:dLbls>
          <c:cat>
            <c:numRef>
              <c:f>对比!$A$357:$A$372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对比!$D$357:$D$372</c:f>
              <c:numCache>
                <c:formatCode>General</c:formatCode>
                <c:ptCount val="16"/>
                <c:pt idx="0">
                  <c:v>-50.307</c:v>
                </c:pt>
                <c:pt idx="1">
                  <c:v>-36.247</c:v>
                </c:pt>
                <c:pt idx="2">
                  <c:v>-22.187</c:v>
                </c:pt>
                <c:pt idx="3">
                  <c:v>-8.127</c:v>
                </c:pt>
                <c:pt idx="4">
                  <c:v>5.933</c:v>
                </c:pt>
                <c:pt idx="5">
                  <c:v>19.9929999999998</c:v>
                </c:pt>
                <c:pt idx="6">
                  <c:v>34.053</c:v>
                </c:pt>
                <c:pt idx="7">
                  <c:v>48.113</c:v>
                </c:pt>
                <c:pt idx="8">
                  <c:v>62.173</c:v>
                </c:pt>
                <c:pt idx="9">
                  <c:v>76.233</c:v>
                </c:pt>
                <c:pt idx="10">
                  <c:v>107.862</c:v>
                </c:pt>
                <c:pt idx="11">
                  <c:v>116.907</c:v>
                </c:pt>
                <c:pt idx="12">
                  <c:v>125.626</c:v>
                </c:pt>
                <c:pt idx="13">
                  <c:v>134.043</c:v>
                </c:pt>
                <c:pt idx="14">
                  <c:v>142.171</c:v>
                </c:pt>
                <c:pt idx="15">
                  <c:v>149.835</c:v>
                </c:pt>
              </c:numCache>
            </c:numRef>
          </c:val>
          <c:smooth val="0"/>
        </c:ser>
        <c:ser>
          <c:idx val="3"/>
          <c:order val="3"/>
          <c:tx>
            <c:strRef>
              <c:f>对比!$E$356</c:f>
              <c:strCache>
                <c:ptCount val="1"/>
                <c:pt idx="0">
                  <c:v>面积比</c:v>
                </c:pt>
              </c:strCache>
            </c:strRef>
          </c:tx>
          <c:spPr>
            <a:ln w="12696" cap="rnd" cmpd="sng" algn="ctr">
              <a:solidFill>
                <a:srgbClr val="00FFFF"/>
              </a:solidFill>
              <a:prstDash val="solid"/>
              <a:round/>
            </a:ln>
          </c:spPr>
          <c:marker>
            <c:symbol val="x"/>
            <c:size val="4"/>
            <c:spPr>
              <a:noFill/>
              <a:ln w="9525" cap="flat" cmpd="sng" algn="ctr">
                <a:solidFill>
                  <a:srgbClr val="00FFFF"/>
                </a:solidFill>
                <a:prstDash val="solid"/>
                <a:round/>
              </a:ln>
            </c:spPr>
          </c:marker>
          <c:dLbls>
            <c:delete val="1"/>
          </c:dLbls>
          <c:cat>
            <c:numRef>
              <c:f>对比!$A$357:$A$372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对比!$E$357:$E$372</c:f>
              <c:numCache>
                <c:formatCode>General</c:formatCode>
                <c:ptCount val="16"/>
                <c:pt idx="0">
                  <c:v>-42.106959</c:v>
                </c:pt>
                <c:pt idx="1">
                  <c:v>-30.338739</c:v>
                </c:pt>
                <c:pt idx="2">
                  <c:v>-18.570519</c:v>
                </c:pt>
                <c:pt idx="3">
                  <c:v>-6.802299</c:v>
                </c:pt>
                <c:pt idx="4">
                  <c:v>4.96592099999999</c:v>
                </c:pt>
                <c:pt idx="5">
                  <c:v>16.734141</c:v>
                </c:pt>
                <c:pt idx="6">
                  <c:v>28.502361</c:v>
                </c:pt>
                <c:pt idx="7">
                  <c:v>40.270581</c:v>
                </c:pt>
                <c:pt idx="8">
                  <c:v>52.038801</c:v>
                </c:pt>
                <c:pt idx="9">
                  <c:v>63.807021</c:v>
                </c:pt>
                <c:pt idx="10">
                  <c:v>75.5752409999999</c:v>
                </c:pt>
                <c:pt idx="11">
                  <c:v>87.343461</c:v>
                </c:pt>
                <c:pt idx="12">
                  <c:v>99.111681</c:v>
                </c:pt>
                <c:pt idx="13">
                  <c:v>110.879901</c:v>
                </c:pt>
                <c:pt idx="14">
                  <c:v>122.648121</c:v>
                </c:pt>
                <c:pt idx="15">
                  <c:v>134.416341</c:v>
                </c:pt>
              </c:numCache>
            </c:numRef>
          </c:val>
          <c:smooth val="0"/>
        </c:ser>
        <c:ser>
          <c:idx val="4"/>
          <c:order val="4"/>
          <c:tx>
            <c:strRef>
              <c:f>对比!$F$356</c:f>
              <c:strCache>
                <c:ptCount val="1"/>
                <c:pt idx="0">
                  <c:v>宽度比</c:v>
                </c:pt>
              </c:strCache>
            </c:strRef>
          </c:tx>
          <c:spPr>
            <a:ln w="12696" cap="rnd" cmpd="sng" algn="ctr">
              <a:solidFill>
                <a:srgbClr val="800080"/>
              </a:solidFill>
              <a:prstDash val="solid"/>
              <a:round/>
            </a:ln>
          </c:spPr>
          <c:marker>
            <c:symbol val="star"/>
            <c:size val="4"/>
            <c:spPr>
              <a:noFill/>
              <a:ln w="9525" cap="flat" cmpd="sng" algn="ctr">
                <a:solidFill>
                  <a:srgbClr val="800080"/>
                </a:solidFill>
                <a:prstDash val="solid"/>
                <a:round/>
              </a:ln>
            </c:spPr>
          </c:marker>
          <c:dLbls>
            <c:delete val="1"/>
          </c:dLbls>
          <c:cat>
            <c:numRef>
              <c:f>对比!$A$357:$A$372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对比!$F$357:$F$372</c:f>
              <c:numCache>
                <c:formatCode>General</c:formatCode>
                <c:ptCount val="16"/>
                <c:pt idx="0">
                  <c:v>-29.982972</c:v>
                </c:pt>
                <c:pt idx="1">
                  <c:v>-21.603212</c:v>
                </c:pt>
                <c:pt idx="2">
                  <c:v>-13.223452</c:v>
                </c:pt>
                <c:pt idx="3">
                  <c:v>-4.843692</c:v>
                </c:pt>
                <c:pt idx="4">
                  <c:v>3.536068</c:v>
                </c:pt>
                <c:pt idx="5">
                  <c:v>11.915828</c:v>
                </c:pt>
                <c:pt idx="6">
                  <c:v>20.2955879999998</c:v>
                </c:pt>
                <c:pt idx="7">
                  <c:v>28.675348</c:v>
                </c:pt>
                <c:pt idx="8">
                  <c:v>37.055108</c:v>
                </c:pt>
                <c:pt idx="9">
                  <c:v>45.434868</c:v>
                </c:pt>
                <c:pt idx="10">
                  <c:v>53.8146279999997</c:v>
                </c:pt>
                <c:pt idx="11">
                  <c:v>62.194388</c:v>
                </c:pt>
                <c:pt idx="12">
                  <c:v>70.574148</c:v>
                </c:pt>
                <c:pt idx="13">
                  <c:v>78.953908</c:v>
                </c:pt>
                <c:pt idx="14">
                  <c:v>87.333668</c:v>
                </c:pt>
                <c:pt idx="15">
                  <c:v>95.713428</c:v>
                </c:pt>
              </c:numCache>
            </c:numRef>
          </c:val>
          <c:smooth val="0"/>
        </c:ser>
        <c:dLbls>
          <c:showLegendKey val="0"/>
          <c:showVal val="0"/>
          <c:showCatName val="0"/>
          <c:showSerName val="0"/>
          <c:showPercent val="0"/>
          <c:showBubbleSize val="0"/>
        </c:dLbls>
        <c:marker val="1"/>
        <c:smooth val="0"/>
        <c:axId val="-1591876160"/>
        <c:axId val="-1591851136"/>
      </c:lineChart>
      <c:catAx>
        <c:axId val="-1591876160"/>
        <c:scaling>
          <c:orientation val="minMax"/>
        </c:scaling>
        <c:delete val="0"/>
        <c:axPos val="b"/>
        <c:title>
          <c:tx>
            <c:rich>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36016894946948"/>
              <c:y val="0.775590551181103"/>
            </c:manualLayout>
          </c:layout>
          <c:overlay val="0"/>
          <c:spPr>
            <a:noFill/>
            <a:ln w="25392">
              <a:noFill/>
            </a:ln>
          </c:spPr>
        </c:title>
        <c:numFmt formatCode="General" sourceLinked="1"/>
        <c:majorTickMark val="in"/>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51136"/>
        <c:crosses val="autoZero"/>
        <c:auto val="1"/>
        <c:lblAlgn val="ctr"/>
        <c:lblOffset val="100"/>
        <c:tickLblSkip val="1"/>
        <c:noMultiLvlLbl val="0"/>
      </c:catAx>
      <c:valAx>
        <c:axId val="-1591851136"/>
        <c:scaling>
          <c:orientation val="minMax"/>
        </c:scaling>
        <c:delete val="0"/>
        <c:axPos val="l"/>
        <c:majorGridlines>
          <c:spPr>
            <a:ln w="3174" cap="flat" cmpd="sng" algn="ctr">
              <a:solidFill>
                <a:srgbClr val="000000"/>
              </a:solidFill>
              <a:prstDash val="solid"/>
              <a:round/>
            </a:ln>
          </c:spPr>
        </c:majorGridlines>
        <c:title>
          <c:tx>
            <c:rich>
              <a:bodyPr rot="-540000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33051015681863"/>
              <c:y val="0.251968503937011"/>
            </c:manualLayout>
          </c:layout>
          <c:overlay val="0"/>
          <c:spPr>
            <a:noFill/>
            <a:ln w="25392">
              <a:noFill/>
            </a:ln>
          </c:spPr>
        </c:title>
        <c:numFmt formatCode="General" sourceLinked="1"/>
        <c:majorTickMark val="in"/>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76160"/>
        <c:crosses val="autoZero"/>
        <c:crossBetween val="between"/>
      </c:valAx>
      <c:spPr>
        <a:solidFill>
          <a:srgbClr val="C0C0C0"/>
        </a:solidFill>
        <a:ln w="12696">
          <a:solidFill>
            <a:srgbClr val="808080"/>
          </a:solidFill>
          <a:prstDash val="solid"/>
        </a:ln>
      </c:spPr>
    </c:plotArea>
    <c:legend>
      <c:legendPos val="b"/>
      <c:layout>
        <c:manualLayout>
          <c:xMode val="edge"/>
          <c:yMode val="edge"/>
          <c:x val="0.145295516525535"/>
          <c:y val="0.909448818897638"/>
          <c:w val="0.803856783036093"/>
          <c:h val="0.0826771653543307"/>
        </c:manualLayout>
      </c:layout>
      <c:overlay val="0"/>
      <c:spPr>
        <a:solidFill>
          <a:srgbClr val="FFFFFF"/>
        </a:solidFill>
        <a:ln w="25392">
          <a:noFill/>
        </a:ln>
      </c:spPr>
      <c:txPr>
        <a:bodyPr rot="0" spcFirstLastPara="0" vertOverflow="ellipsis" vert="horz" wrap="square" anchor="ctr" anchorCtr="1"/>
        <a:lstStyle/>
        <a:p>
          <a:pPr>
            <a:defRPr lang="zh-CN" sz="103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61403dd4-24ba-4876-a3fb-565ef2b6a2aa}"/>
      </c:ext>
    </c:extLst>
  </c:chart>
  <c:spPr>
    <a:solidFill>
      <a:srgbClr val="FFFFFF"/>
    </a:solidFill>
    <a:ln w="3174" cap="flat" cmpd="sng" algn="ctr">
      <a:solidFill>
        <a:srgbClr val="000000"/>
      </a:solidFill>
      <a:prstDash val="solid"/>
      <a:round/>
    </a:ln>
  </c:spPr>
  <c:txPr>
    <a:bodyPr/>
    <a:lstStyle/>
    <a:p>
      <a:pPr>
        <a:defRPr lang="zh-CN" sz="11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372881355932"/>
          <c:y val="0.0826771653543307"/>
          <c:w val="0.811440677966102"/>
          <c:h val="0.6496062992126"/>
        </c:manualLayout>
      </c:layout>
      <c:lineChart>
        <c:grouping val="standard"/>
        <c:varyColors val="0"/>
        <c:ser>
          <c:idx val="0"/>
          <c:order val="0"/>
          <c:tx>
            <c:strRef>
              <c:f>对比!$B$376</c:f>
              <c:strCache>
                <c:ptCount val="1"/>
                <c:pt idx="0">
                  <c:v>朗肯</c:v>
                </c:pt>
              </c:strCache>
            </c:strRef>
          </c:tx>
          <c:spPr>
            <a:ln w="12696" cap="rnd" cmpd="sng" algn="ctr">
              <a:solidFill>
                <a:srgbClr val="000080"/>
              </a:solidFill>
              <a:prstDash val="solid"/>
              <a:round/>
            </a:ln>
          </c:spPr>
          <c:marker>
            <c:symbol val="diamond"/>
            <c:size val="4"/>
            <c:spPr>
              <a:solidFill>
                <a:srgbClr val="000080"/>
              </a:solidFill>
              <a:ln w="9525" cap="flat" cmpd="sng" algn="ctr">
                <a:solidFill>
                  <a:srgbClr val="000080"/>
                </a:solidFill>
                <a:prstDash val="solid"/>
                <a:round/>
              </a:ln>
            </c:spPr>
          </c:marker>
          <c:dLbls>
            <c:delete val="1"/>
          </c:dLbls>
          <c:cat>
            <c:numRef>
              <c:f>对比!$A$377:$A$392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对比!$B$377:$B$392</c:f>
              <c:numCache>
                <c:formatCode>General</c:formatCode>
                <c:ptCount val="16"/>
                <c:pt idx="0">
                  <c:v>-50.307</c:v>
                </c:pt>
                <c:pt idx="1">
                  <c:v>-36.247</c:v>
                </c:pt>
                <c:pt idx="2">
                  <c:v>-22.187</c:v>
                </c:pt>
                <c:pt idx="3">
                  <c:v>-8.127</c:v>
                </c:pt>
                <c:pt idx="4">
                  <c:v>5.933</c:v>
                </c:pt>
                <c:pt idx="5">
                  <c:v>19.9929999999998</c:v>
                </c:pt>
                <c:pt idx="6">
                  <c:v>34.053</c:v>
                </c:pt>
                <c:pt idx="7">
                  <c:v>48.113</c:v>
                </c:pt>
                <c:pt idx="8">
                  <c:v>62.173</c:v>
                </c:pt>
                <c:pt idx="9">
                  <c:v>76.233</c:v>
                </c:pt>
                <c:pt idx="10">
                  <c:v>90.293</c:v>
                </c:pt>
                <c:pt idx="11">
                  <c:v>104.353</c:v>
                </c:pt>
                <c:pt idx="12">
                  <c:v>118.413</c:v>
                </c:pt>
                <c:pt idx="13">
                  <c:v>132.473</c:v>
                </c:pt>
                <c:pt idx="14">
                  <c:v>146.533</c:v>
                </c:pt>
                <c:pt idx="15">
                  <c:v>160.593</c:v>
                </c:pt>
              </c:numCache>
            </c:numRef>
          </c:val>
          <c:smooth val="0"/>
        </c:ser>
        <c:ser>
          <c:idx val="1"/>
          <c:order val="1"/>
          <c:tx>
            <c:strRef>
              <c:f>对比!$C$376</c:f>
              <c:strCache>
                <c:ptCount val="1"/>
                <c:pt idx="0">
                  <c:v>[1]</c:v>
                </c:pt>
              </c:strCache>
            </c:strRef>
          </c:tx>
          <c:spPr>
            <a:ln w="12696" cap="rnd" cmpd="sng" algn="ctr">
              <a:solidFill>
                <a:srgbClr val="FF00FF"/>
              </a:solidFill>
              <a:prstDash val="solid"/>
              <a:round/>
            </a:ln>
          </c:spPr>
          <c:marker>
            <c:symbol val="square"/>
            <c:size val="4"/>
            <c:spPr>
              <a:solidFill>
                <a:srgbClr val="FF00FF"/>
              </a:solidFill>
              <a:ln w="9525" cap="flat" cmpd="sng" algn="ctr">
                <a:solidFill>
                  <a:srgbClr val="FF00FF"/>
                </a:solidFill>
                <a:prstDash val="solid"/>
                <a:round/>
              </a:ln>
            </c:spPr>
          </c:marker>
          <c:dLbls>
            <c:delete val="1"/>
          </c:dLbls>
          <c:cat>
            <c:numRef>
              <c:f>对比!$A$377:$A$392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对比!$C$377:$C$392</c:f>
              <c:numCache>
                <c:formatCode>General</c:formatCode>
                <c:ptCount val="16"/>
                <c:pt idx="0">
                  <c:v>-35.97</c:v>
                </c:pt>
                <c:pt idx="1">
                  <c:v>-23.052</c:v>
                </c:pt>
                <c:pt idx="2">
                  <c:v>-10.134</c:v>
                </c:pt>
                <c:pt idx="3">
                  <c:v>2.784</c:v>
                </c:pt>
                <c:pt idx="4">
                  <c:v>15.702</c:v>
                </c:pt>
                <c:pt idx="5">
                  <c:v>28.62</c:v>
                </c:pt>
                <c:pt idx="6">
                  <c:v>41.538</c:v>
                </c:pt>
                <c:pt idx="7">
                  <c:v>54.456</c:v>
                </c:pt>
                <c:pt idx="8">
                  <c:v>67.374</c:v>
                </c:pt>
                <c:pt idx="9">
                  <c:v>80.292</c:v>
                </c:pt>
                <c:pt idx="10">
                  <c:v>93.21</c:v>
                </c:pt>
                <c:pt idx="11">
                  <c:v>106.128</c:v>
                </c:pt>
                <c:pt idx="12">
                  <c:v>119.046</c:v>
                </c:pt>
                <c:pt idx="13">
                  <c:v>131.964</c:v>
                </c:pt>
                <c:pt idx="14">
                  <c:v>144.882000000001</c:v>
                </c:pt>
                <c:pt idx="15">
                  <c:v>157.8</c:v>
                </c:pt>
              </c:numCache>
            </c:numRef>
          </c:val>
          <c:smooth val="0"/>
        </c:ser>
        <c:ser>
          <c:idx val="2"/>
          <c:order val="2"/>
          <c:tx>
            <c:strRef>
              <c:f>对比!$D$376</c:f>
              <c:strCache>
                <c:ptCount val="1"/>
                <c:pt idx="0">
                  <c:v>new</c:v>
                </c:pt>
              </c:strCache>
            </c:strRef>
          </c:tx>
          <c:spPr>
            <a:ln w="12696" cap="rnd" cmpd="sng" algn="ctr">
              <a:solidFill>
                <a:srgbClr val="FFFF00"/>
              </a:solidFill>
              <a:prstDash val="solid"/>
              <a:round/>
            </a:ln>
          </c:spPr>
          <c:marker>
            <c:symbol val="triangle"/>
            <c:size val="4"/>
            <c:spPr>
              <a:solidFill>
                <a:srgbClr val="FFFF00"/>
              </a:solidFill>
              <a:ln w="9525" cap="flat" cmpd="sng" algn="ctr">
                <a:solidFill>
                  <a:srgbClr val="FFFF00"/>
                </a:solidFill>
                <a:prstDash val="solid"/>
                <a:round/>
              </a:ln>
            </c:spPr>
          </c:marker>
          <c:dLbls>
            <c:delete val="1"/>
          </c:dLbls>
          <c:cat>
            <c:numRef>
              <c:f>对比!$A$377:$A$392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对比!$D$377:$D$392</c:f>
              <c:numCache>
                <c:formatCode>General</c:formatCode>
                <c:ptCount val="16"/>
                <c:pt idx="0">
                  <c:v>-50.307</c:v>
                </c:pt>
                <c:pt idx="1">
                  <c:v>-36.247</c:v>
                </c:pt>
                <c:pt idx="2">
                  <c:v>-22.187</c:v>
                </c:pt>
                <c:pt idx="3">
                  <c:v>-8.127</c:v>
                </c:pt>
                <c:pt idx="4">
                  <c:v>5.933</c:v>
                </c:pt>
                <c:pt idx="5">
                  <c:v>19.9929999999998</c:v>
                </c:pt>
                <c:pt idx="6">
                  <c:v>34.053</c:v>
                </c:pt>
                <c:pt idx="7">
                  <c:v>48.113</c:v>
                </c:pt>
                <c:pt idx="8">
                  <c:v>62.173</c:v>
                </c:pt>
                <c:pt idx="9">
                  <c:v>76.233</c:v>
                </c:pt>
                <c:pt idx="10">
                  <c:v>90.293</c:v>
                </c:pt>
                <c:pt idx="11">
                  <c:v>124.562</c:v>
                </c:pt>
                <c:pt idx="12">
                  <c:v>134.236</c:v>
                </c:pt>
                <c:pt idx="13">
                  <c:v>143.602</c:v>
                </c:pt>
                <c:pt idx="14">
                  <c:v>152.676</c:v>
                </c:pt>
                <c:pt idx="15">
                  <c:v>161.369</c:v>
                </c:pt>
              </c:numCache>
            </c:numRef>
          </c:val>
          <c:smooth val="0"/>
        </c:ser>
        <c:ser>
          <c:idx val="3"/>
          <c:order val="3"/>
          <c:tx>
            <c:strRef>
              <c:f>对比!$E$376</c:f>
              <c:strCache>
                <c:ptCount val="1"/>
                <c:pt idx="0">
                  <c:v>面积比</c:v>
                </c:pt>
              </c:strCache>
            </c:strRef>
          </c:tx>
          <c:spPr>
            <a:ln w="12696" cap="rnd" cmpd="sng" algn="ctr">
              <a:solidFill>
                <a:srgbClr val="00FFFF"/>
              </a:solidFill>
              <a:prstDash val="solid"/>
              <a:round/>
            </a:ln>
          </c:spPr>
          <c:marker>
            <c:symbol val="x"/>
            <c:size val="4"/>
            <c:spPr>
              <a:noFill/>
              <a:ln w="9525" cap="flat" cmpd="sng" algn="ctr">
                <a:solidFill>
                  <a:srgbClr val="00FFFF"/>
                </a:solidFill>
                <a:prstDash val="solid"/>
                <a:round/>
              </a:ln>
            </c:spPr>
          </c:marker>
          <c:dLbls>
            <c:delete val="1"/>
          </c:dLbls>
          <c:cat>
            <c:numRef>
              <c:f>对比!$A$377:$A$392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对比!$E$377:$E$392</c:f>
              <c:numCache>
                <c:formatCode>General</c:formatCode>
                <c:ptCount val="16"/>
                <c:pt idx="0">
                  <c:v>-46.2321330000004</c:v>
                </c:pt>
                <c:pt idx="1">
                  <c:v>-33.310993</c:v>
                </c:pt>
                <c:pt idx="2">
                  <c:v>-20.389853</c:v>
                </c:pt>
                <c:pt idx="3">
                  <c:v>-7.468713</c:v>
                </c:pt>
                <c:pt idx="4">
                  <c:v>5.452427</c:v>
                </c:pt>
                <c:pt idx="5">
                  <c:v>18.373567</c:v>
                </c:pt>
                <c:pt idx="6">
                  <c:v>31.2947069999999</c:v>
                </c:pt>
                <c:pt idx="7">
                  <c:v>44.215847</c:v>
                </c:pt>
                <c:pt idx="8">
                  <c:v>57.136987</c:v>
                </c:pt>
                <c:pt idx="9">
                  <c:v>70.058127</c:v>
                </c:pt>
                <c:pt idx="10">
                  <c:v>82.979267</c:v>
                </c:pt>
                <c:pt idx="11">
                  <c:v>95.900407</c:v>
                </c:pt>
                <c:pt idx="12">
                  <c:v>108.821547</c:v>
                </c:pt>
                <c:pt idx="13">
                  <c:v>121.742687</c:v>
                </c:pt>
                <c:pt idx="14">
                  <c:v>134.663827</c:v>
                </c:pt>
                <c:pt idx="15">
                  <c:v>147.584967</c:v>
                </c:pt>
              </c:numCache>
            </c:numRef>
          </c:val>
          <c:smooth val="0"/>
        </c:ser>
        <c:ser>
          <c:idx val="4"/>
          <c:order val="4"/>
          <c:tx>
            <c:strRef>
              <c:f>对比!$F$376</c:f>
              <c:strCache>
                <c:ptCount val="1"/>
                <c:pt idx="0">
                  <c:v>宽度比</c:v>
                </c:pt>
              </c:strCache>
            </c:strRef>
          </c:tx>
          <c:spPr>
            <a:ln w="12696" cap="rnd" cmpd="sng" algn="ctr">
              <a:solidFill>
                <a:srgbClr val="800080"/>
              </a:solidFill>
              <a:prstDash val="solid"/>
              <a:round/>
            </a:ln>
          </c:spPr>
          <c:marker>
            <c:symbol val="star"/>
            <c:size val="4"/>
            <c:spPr>
              <a:noFill/>
              <a:ln w="9525" cap="flat" cmpd="sng" algn="ctr">
                <a:solidFill>
                  <a:srgbClr val="800080"/>
                </a:solidFill>
                <a:prstDash val="solid"/>
                <a:round/>
              </a:ln>
            </c:spPr>
          </c:marker>
          <c:dLbls>
            <c:delete val="1"/>
          </c:dLbls>
          <c:cat>
            <c:numRef>
              <c:f>对比!$A$377:$A$392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对比!$F$377:$F$392</c:f>
              <c:numCache>
                <c:formatCode>General</c:formatCode>
                <c:ptCount val="16"/>
                <c:pt idx="0">
                  <c:v>-35.969505</c:v>
                </c:pt>
                <c:pt idx="1">
                  <c:v>-25.916605</c:v>
                </c:pt>
                <c:pt idx="2">
                  <c:v>-15.863705</c:v>
                </c:pt>
                <c:pt idx="3">
                  <c:v>-5.81080499999997</c:v>
                </c:pt>
                <c:pt idx="4">
                  <c:v>4.242095</c:v>
                </c:pt>
                <c:pt idx="5">
                  <c:v>14.294995</c:v>
                </c:pt>
                <c:pt idx="6">
                  <c:v>24.347895</c:v>
                </c:pt>
                <c:pt idx="7">
                  <c:v>34.400795</c:v>
                </c:pt>
                <c:pt idx="8">
                  <c:v>44.453695</c:v>
                </c:pt>
                <c:pt idx="9">
                  <c:v>54.506595</c:v>
                </c:pt>
                <c:pt idx="10">
                  <c:v>64.559495</c:v>
                </c:pt>
                <c:pt idx="11">
                  <c:v>74.612395</c:v>
                </c:pt>
                <c:pt idx="12">
                  <c:v>84.665295</c:v>
                </c:pt>
                <c:pt idx="13">
                  <c:v>94.718195</c:v>
                </c:pt>
                <c:pt idx="14">
                  <c:v>104.771095</c:v>
                </c:pt>
                <c:pt idx="15">
                  <c:v>114.823995</c:v>
                </c:pt>
              </c:numCache>
            </c:numRef>
          </c:val>
          <c:smooth val="0"/>
        </c:ser>
        <c:dLbls>
          <c:showLegendKey val="0"/>
          <c:showVal val="0"/>
          <c:showCatName val="0"/>
          <c:showSerName val="0"/>
          <c:showPercent val="0"/>
          <c:showBubbleSize val="0"/>
        </c:dLbls>
        <c:marker val="1"/>
        <c:smooth val="0"/>
        <c:axId val="-1732752416"/>
        <c:axId val="-1732763296"/>
      </c:lineChart>
      <c:catAx>
        <c:axId val="-1732752416"/>
        <c:scaling>
          <c:orientation val="minMax"/>
        </c:scaling>
        <c:delete val="0"/>
        <c:axPos val="b"/>
        <c:title>
          <c:tx>
            <c:rich>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36016894946948"/>
              <c:y val="0.775590551181103"/>
            </c:manualLayout>
          </c:layout>
          <c:overlay val="0"/>
          <c:spPr>
            <a:noFill/>
            <a:ln w="25392">
              <a:noFill/>
            </a:ln>
          </c:spPr>
        </c:title>
        <c:numFmt formatCode="General" sourceLinked="1"/>
        <c:majorTickMark val="in"/>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732763296"/>
        <c:crosses val="autoZero"/>
        <c:auto val="1"/>
        <c:lblAlgn val="ctr"/>
        <c:lblOffset val="100"/>
        <c:tickLblSkip val="1"/>
        <c:noMultiLvlLbl val="0"/>
      </c:catAx>
      <c:valAx>
        <c:axId val="-1732763296"/>
        <c:scaling>
          <c:orientation val="minMax"/>
        </c:scaling>
        <c:delete val="0"/>
        <c:axPos val="l"/>
        <c:majorGridlines>
          <c:spPr>
            <a:ln w="3174" cap="flat" cmpd="sng" algn="ctr">
              <a:solidFill>
                <a:srgbClr val="000000"/>
              </a:solidFill>
              <a:prstDash val="solid"/>
              <a:round/>
            </a:ln>
          </c:spPr>
        </c:majorGridlines>
        <c:title>
          <c:tx>
            <c:rich>
              <a:bodyPr rot="-540000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33051015681863"/>
              <c:y val="0.251968503937011"/>
            </c:manualLayout>
          </c:layout>
          <c:overlay val="0"/>
          <c:spPr>
            <a:noFill/>
            <a:ln w="25392">
              <a:noFill/>
            </a:ln>
          </c:spPr>
        </c:title>
        <c:numFmt formatCode="General" sourceLinked="1"/>
        <c:majorTickMark val="in"/>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732752416"/>
        <c:crosses val="autoZero"/>
        <c:crossBetween val="between"/>
      </c:valAx>
      <c:spPr>
        <a:solidFill>
          <a:srgbClr val="C0C0C0"/>
        </a:solidFill>
        <a:ln w="12696">
          <a:solidFill>
            <a:srgbClr val="808080"/>
          </a:solidFill>
          <a:prstDash val="solid"/>
        </a:ln>
      </c:spPr>
    </c:plotArea>
    <c:legend>
      <c:legendPos val="b"/>
      <c:layout>
        <c:manualLayout>
          <c:xMode val="edge"/>
          <c:yMode val="edge"/>
          <c:x val="0.139012498478797"/>
          <c:y val="0.909448818897638"/>
          <c:w val="0.81013989906967"/>
          <c:h val="0.0826771653543307"/>
        </c:manualLayout>
      </c:layout>
      <c:overlay val="0"/>
      <c:spPr>
        <a:solidFill>
          <a:srgbClr val="FFFFFF"/>
        </a:solidFill>
        <a:ln w="25392">
          <a:noFill/>
        </a:ln>
      </c:spPr>
      <c:txPr>
        <a:bodyPr rot="0" spcFirstLastPara="0" vertOverflow="ellipsis" vert="horz" wrap="square" anchor="ctr" anchorCtr="1"/>
        <a:lstStyle/>
        <a:p>
          <a:pPr>
            <a:defRPr lang="zh-CN" sz="103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5fc8e7e1-2815-4e35-984c-74707a9489b2}"/>
      </c:ext>
    </c:extLst>
  </c:chart>
  <c:spPr>
    <a:solidFill>
      <a:srgbClr val="FFFFFF"/>
    </a:solidFill>
    <a:ln w="3174" cap="flat" cmpd="sng" algn="ctr">
      <a:solidFill>
        <a:srgbClr val="000000"/>
      </a:solidFill>
      <a:prstDash val="solid"/>
      <a:round/>
    </a:ln>
  </c:spPr>
  <c:txPr>
    <a:bodyPr/>
    <a:lstStyle/>
    <a:p>
      <a:pPr>
        <a:defRPr lang="zh-CN" sz="11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425287356325"/>
          <c:y val="0.0854700854700855"/>
          <c:w val="0.827586206896551"/>
          <c:h val="0.636752136752137"/>
        </c:manualLayout>
      </c:layout>
      <c:lineChart>
        <c:grouping val="standard"/>
        <c:varyColors val="0"/>
        <c:ser>
          <c:idx val="0"/>
          <c:order val="0"/>
          <c:tx>
            <c:strRef>
              <c:f>Sheet2!$B$23</c:f>
              <c:strCache>
                <c:ptCount val="1"/>
                <c:pt idx="0">
                  <c:v>朗肯</c:v>
                </c:pt>
              </c:strCache>
            </c:strRef>
          </c:tx>
          <c:spPr>
            <a:ln w="11717" cap="rnd" cmpd="sng" algn="ctr">
              <a:solidFill>
                <a:srgbClr val="000080"/>
              </a:solidFill>
              <a:prstDash val="solid"/>
              <a:round/>
            </a:ln>
          </c:spPr>
          <c:marker>
            <c:symbol val="diamond"/>
            <c:size val="3"/>
            <c:spPr>
              <a:solidFill>
                <a:srgbClr val="000080"/>
              </a:solidFill>
              <a:ln w="9525" cap="flat" cmpd="sng" algn="ctr">
                <a:solidFill>
                  <a:srgbClr val="000080"/>
                </a:solidFill>
                <a:prstDash val="solid"/>
                <a:round/>
              </a:ln>
            </c:spPr>
          </c:marker>
          <c:dLbls>
            <c:delete val="1"/>
          </c:dLbls>
          <c:cat>
            <c:numRef>
              <c:f>Sheet2!$A$24:$A$39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Sheet2!$B$24:$B$39</c:f>
              <c:numCache>
                <c:formatCode>General</c:formatCode>
                <c:ptCount val="16"/>
                <c:pt idx="0">
                  <c:v>-28</c:v>
                </c:pt>
                <c:pt idx="1">
                  <c:v>-18.2</c:v>
                </c:pt>
                <c:pt idx="2">
                  <c:v>-8.4</c:v>
                </c:pt>
                <c:pt idx="3">
                  <c:v>1.4</c:v>
                </c:pt>
                <c:pt idx="4">
                  <c:v>11.2</c:v>
                </c:pt>
                <c:pt idx="5">
                  <c:v>21</c:v>
                </c:pt>
                <c:pt idx="6">
                  <c:v>30.8</c:v>
                </c:pt>
                <c:pt idx="7">
                  <c:v>40.6</c:v>
                </c:pt>
                <c:pt idx="8">
                  <c:v>50.4</c:v>
                </c:pt>
                <c:pt idx="9">
                  <c:v>60.2</c:v>
                </c:pt>
                <c:pt idx="10">
                  <c:v>70</c:v>
                </c:pt>
                <c:pt idx="11">
                  <c:v>79.8</c:v>
                </c:pt>
                <c:pt idx="12">
                  <c:v>89.6</c:v>
                </c:pt>
                <c:pt idx="13">
                  <c:v>99.4</c:v>
                </c:pt>
                <c:pt idx="14">
                  <c:v>109.2</c:v>
                </c:pt>
                <c:pt idx="15">
                  <c:v>119</c:v>
                </c:pt>
              </c:numCache>
            </c:numRef>
          </c:val>
          <c:smooth val="0"/>
        </c:ser>
        <c:ser>
          <c:idx val="1"/>
          <c:order val="1"/>
          <c:tx>
            <c:strRef>
              <c:f>Sheet2!$C$23</c:f>
              <c:strCache>
                <c:ptCount val="1"/>
                <c:pt idx="0">
                  <c:v>[1]</c:v>
                </c:pt>
              </c:strCache>
            </c:strRef>
          </c:tx>
          <c:spPr>
            <a:ln w="11717" cap="rnd" cmpd="sng" algn="ctr">
              <a:solidFill>
                <a:srgbClr val="FF00FF"/>
              </a:solidFill>
              <a:prstDash val="solid"/>
              <a:round/>
            </a:ln>
          </c:spPr>
          <c:marker>
            <c:symbol val="square"/>
            <c:size val="3"/>
            <c:spPr>
              <a:solidFill>
                <a:srgbClr val="FF00FF"/>
              </a:solidFill>
              <a:ln w="9525" cap="flat" cmpd="sng" algn="ctr">
                <a:solidFill>
                  <a:srgbClr val="FF00FF"/>
                </a:solidFill>
                <a:prstDash val="solid"/>
                <a:round/>
              </a:ln>
            </c:spPr>
          </c:marker>
          <c:dLbls>
            <c:delete val="1"/>
          </c:dLbls>
          <c:cat>
            <c:numRef>
              <c:f>Sheet2!$A$24:$A$39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Sheet2!$C$24:$C$39</c:f>
              <c:numCache>
                <c:formatCode>General</c:formatCode>
                <c:ptCount val="16"/>
                <c:pt idx="0">
                  <c:v>-8.008</c:v>
                </c:pt>
                <c:pt idx="1">
                  <c:v>-3.204</c:v>
                </c:pt>
                <c:pt idx="2">
                  <c:v>1.6</c:v>
                </c:pt>
                <c:pt idx="3">
                  <c:v>6.404</c:v>
                </c:pt>
                <c:pt idx="4">
                  <c:v>11.208</c:v>
                </c:pt>
                <c:pt idx="5">
                  <c:v>16.012</c:v>
                </c:pt>
                <c:pt idx="6">
                  <c:v>20.816</c:v>
                </c:pt>
                <c:pt idx="7">
                  <c:v>25.62</c:v>
                </c:pt>
                <c:pt idx="8">
                  <c:v>30.424</c:v>
                </c:pt>
                <c:pt idx="9">
                  <c:v>35.2280000000003</c:v>
                </c:pt>
                <c:pt idx="10">
                  <c:v>40.032</c:v>
                </c:pt>
                <c:pt idx="11">
                  <c:v>44.836</c:v>
                </c:pt>
                <c:pt idx="12">
                  <c:v>49.64</c:v>
                </c:pt>
                <c:pt idx="13">
                  <c:v>54.444</c:v>
                </c:pt>
                <c:pt idx="14">
                  <c:v>59.248</c:v>
                </c:pt>
                <c:pt idx="15">
                  <c:v>64.052</c:v>
                </c:pt>
              </c:numCache>
            </c:numRef>
          </c:val>
          <c:smooth val="0"/>
        </c:ser>
        <c:ser>
          <c:idx val="2"/>
          <c:order val="2"/>
          <c:tx>
            <c:strRef>
              <c:f>Sheet2!$D$23</c:f>
              <c:strCache>
                <c:ptCount val="1"/>
                <c:pt idx="0">
                  <c:v>new</c:v>
                </c:pt>
              </c:strCache>
            </c:strRef>
          </c:tx>
          <c:spPr>
            <a:ln w="11717" cap="rnd" cmpd="sng" algn="ctr">
              <a:solidFill>
                <a:srgbClr val="FFFF00"/>
              </a:solidFill>
              <a:prstDash val="solid"/>
              <a:round/>
            </a:ln>
          </c:spPr>
          <c:marker>
            <c:symbol val="triangle"/>
            <c:size val="3"/>
            <c:spPr>
              <a:solidFill>
                <a:srgbClr val="FFFF00"/>
              </a:solidFill>
              <a:ln w="9525" cap="flat" cmpd="sng" algn="ctr">
                <a:solidFill>
                  <a:srgbClr val="FFFF00"/>
                </a:solidFill>
                <a:prstDash val="solid"/>
                <a:round/>
              </a:ln>
            </c:spPr>
          </c:marker>
          <c:dLbls>
            <c:delete val="1"/>
          </c:dLbls>
          <c:cat>
            <c:numRef>
              <c:f>Sheet2!$A$24:$A$39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Sheet2!$D$24:$D$39</c:f>
              <c:numCache>
                <c:formatCode>General</c:formatCode>
                <c:ptCount val="16"/>
                <c:pt idx="0">
                  <c:v>-28</c:v>
                </c:pt>
                <c:pt idx="1">
                  <c:v>-18.2</c:v>
                </c:pt>
                <c:pt idx="2">
                  <c:v>-8.4</c:v>
                </c:pt>
                <c:pt idx="3">
                  <c:v>1.4</c:v>
                </c:pt>
                <c:pt idx="4">
                  <c:v>11.2</c:v>
                </c:pt>
                <c:pt idx="5">
                  <c:v>34.096</c:v>
                </c:pt>
                <c:pt idx="6">
                  <c:v>39.086</c:v>
                </c:pt>
                <c:pt idx="7">
                  <c:v>43.545</c:v>
                </c:pt>
                <c:pt idx="8">
                  <c:v>47.56</c:v>
                </c:pt>
                <c:pt idx="9">
                  <c:v>51.203</c:v>
                </c:pt>
                <c:pt idx="10">
                  <c:v>54.524</c:v>
                </c:pt>
                <c:pt idx="11">
                  <c:v>57.572</c:v>
                </c:pt>
                <c:pt idx="12">
                  <c:v>60.378</c:v>
                </c:pt>
                <c:pt idx="13">
                  <c:v>62.978</c:v>
                </c:pt>
                <c:pt idx="14">
                  <c:v>65.391</c:v>
                </c:pt>
                <c:pt idx="15">
                  <c:v>67.641</c:v>
                </c:pt>
              </c:numCache>
            </c:numRef>
          </c:val>
          <c:smooth val="0"/>
        </c:ser>
        <c:ser>
          <c:idx val="3"/>
          <c:order val="3"/>
          <c:tx>
            <c:strRef>
              <c:f>Sheet2!$E$23</c:f>
              <c:strCache>
                <c:ptCount val="1"/>
                <c:pt idx="0">
                  <c:v>面积比</c:v>
                </c:pt>
              </c:strCache>
            </c:strRef>
          </c:tx>
          <c:spPr>
            <a:ln w="11717" cap="rnd" cmpd="sng" algn="ctr">
              <a:solidFill>
                <a:srgbClr val="00FFFF"/>
              </a:solidFill>
              <a:prstDash val="solid"/>
              <a:round/>
            </a:ln>
          </c:spPr>
          <c:marker>
            <c:symbol val="x"/>
            <c:size val="3"/>
            <c:spPr>
              <a:noFill/>
              <a:ln w="9525" cap="flat" cmpd="sng" algn="ctr">
                <a:solidFill>
                  <a:srgbClr val="00FFFF"/>
                </a:solidFill>
                <a:prstDash val="solid"/>
                <a:round/>
              </a:ln>
            </c:spPr>
          </c:marker>
          <c:dLbls>
            <c:delete val="1"/>
          </c:dLbls>
          <c:cat>
            <c:numRef>
              <c:f>Sheet2!$A$24:$A$39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Sheet2!$E$24:$E$39</c:f>
              <c:numCache>
                <c:formatCode>General</c:formatCode>
                <c:ptCount val="16"/>
                <c:pt idx="0">
                  <c:v>-13.72</c:v>
                </c:pt>
                <c:pt idx="1">
                  <c:v>-8.918</c:v>
                </c:pt>
                <c:pt idx="2">
                  <c:v>-4.11599999999998</c:v>
                </c:pt>
                <c:pt idx="3">
                  <c:v>0.686</c:v>
                </c:pt>
                <c:pt idx="4">
                  <c:v>5.488</c:v>
                </c:pt>
                <c:pt idx="5">
                  <c:v>10.29</c:v>
                </c:pt>
                <c:pt idx="6">
                  <c:v>15.092</c:v>
                </c:pt>
                <c:pt idx="7">
                  <c:v>19.894</c:v>
                </c:pt>
                <c:pt idx="8">
                  <c:v>24.696</c:v>
                </c:pt>
                <c:pt idx="9">
                  <c:v>29.498</c:v>
                </c:pt>
                <c:pt idx="10">
                  <c:v>34.3</c:v>
                </c:pt>
                <c:pt idx="11">
                  <c:v>39.102</c:v>
                </c:pt>
                <c:pt idx="12">
                  <c:v>43.904</c:v>
                </c:pt>
                <c:pt idx="13">
                  <c:v>48.706</c:v>
                </c:pt>
                <c:pt idx="14">
                  <c:v>53.508</c:v>
                </c:pt>
                <c:pt idx="15">
                  <c:v>58.31</c:v>
                </c:pt>
              </c:numCache>
            </c:numRef>
          </c:val>
          <c:smooth val="0"/>
        </c:ser>
        <c:ser>
          <c:idx val="4"/>
          <c:order val="4"/>
          <c:tx>
            <c:strRef>
              <c:f>Sheet2!$F$23</c:f>
              <c:strCache>
                <c:ptCount val="1"/>
                <c:pt idx="0">
                  <c:v>宽度比</c:v>
                </c:pt>
              </c:strCache>
            </c:strRef>
          </c:tx>
          <c:spPr>
            <a:ln w="11717" cap="rnd" cmpd="sng" algn="ctr">
              <a:solidFill>
                <a:srgbClr val="800080"/>
              </a:solidFill>
              <a:prstDash val="solid"/>
              <a:round/>
            </a:ln>
          </c:spPr>
          <c:marker>
            <c:symbol val="star"/>
            <c:size val="3"/>
            <c:spPr>
              <a:noFill/>
              <a:ln w="9525" cap="flat" cmpd="sng" algn="ctr">
                <a:solidFill>
                  <a:srgbClr val="800080"/>
                </a:solidFill>
                <a:prstDash val="solid"/>
                <a:round/>
              </a:ln>
            </c:spPr>
          </c:marker>
          <c:dLbls>
            <c:delete val="1"/>
          </c:dLbls>
          <c:cat>
            <c:numRef>
              <c:f>Sheet2!$A$24:$A$39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Sheet2!$F$24:$F$39</c:f>
              <c:numCache>
                <c:formatCode>General</c:formatCode>
                <c:ptCount val="16"/>
                <c:pt idx="0">
                  <c:v>-8.008</c:v>
                </c:pt>
                <c:pt idx="1">
                  <c:v>-5.2052</c:v>
                </c:pt>
                <c:pt idx="2">
                  <c:v>-2.4024</c:v>
                </c:pt>
                <c:pt idx="3">
                  <c:v>0.4004</c:v>
                </c:pt>
                <c:pt idx="4">
                  <c:v>3.2032</c:v>
                </c:pt>
                <c:pt idx="5">
                  <c:v>6.006</c:v>
                </c:pt>
                <c:pt idx="6">
                  <c:v>8.8088</c:v>
                </c:pt>
                <c:pt idx="7">
                  <c:v>11.6116</c:v>
                </c:pt>
                <c:pt idx="8">
                  <c:v>14.4144</c:v>
                </c:pt>
                <c:pt idx="9">
                  <c:v>17.2172</c:v>
                </c:pt>
                <c:pt idx="10">
                  <c:v>20.02</c:v>
                </c:pt>
                <c:pt idx="11">
                  <c:v>22.8227999999998</c:v>
                </c:pt>
                <c:pt idx="12">
                  <c:v>25.6255999999998</c:v>
                </c:pt>
                <c:pt idx="13">
                  <c:v>28.4283999999998</c:v>
                </c:pt>
                <c:pt idx="14">
                  <c:v>31.2312</c:v>
                </c:pt>
                <c:pt idx="15">
                  <c:v>34.034</c:v>
                </c:pt>
              </c:numCache>
            </c:numRef>
          </c:val>
          <c:smooth val="0"/>
        </c:ser>
        <c:dLbls>
          <c:showLegendKey val="0"/>
          <c:showVal val="0"/>
          <c:showCatName val="0"/>
          <c:showSerName val="0"/>
          <c:showPercent val="0"/>
          <c:showBubbleSize val="0"/>
        </c:dLbls>
        <c:marker val="1"/>
        <c:smooth val="0"/>
        <c:axId val="-1527470800"/>
        <c:axId val="-1527465360"/>
      </c:lineChart>
      <c:catAx>
        <c:axId val="-1527470800"/>
        <c:scaling>
          <c:orientation val="minMax"/>
        </c:scaling>
        <c:delete val="0"/>
        <c:axPos val="b"/>
        <c:title>
          <c:tx>
            <c:rich>
              <a:bodyPr rot="0" spcFirstLastPara="0" vertOverflow="ellipsis" vert="horz" wrap="square" anchor="ctr" anchorCtr="1"/>
              <a:lstStyle/>
              <a:p>
                <a:pPr>
                  <a:defRPr lang="zh-CN" sz="94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6436723883314"/>
              <c:y val="0.764957264957265"/>
            </c:manualLayout>
          </c:layout>
          <c:overlay val="0"/>
          <c:spPr>
            <a:noFill/>
            <a:ln w="23434">
              <a:noFill/>
            </a:ln>
          </c:spPr>
        </c:title>
        <c:numFmt formatCode="General" sourceLinked="1"/>
        <c:majorTickMark val="in"/>
        <c:minorTickMark val="none"/>
        <c:tickLblPos val="nextTo"/>
        <c:spPr>
          <a:ln w="2929" cap="flat" cmpd="sng" algn="ctr">
            <a:solidFill>
              <a:srgbClr val="000000"/>
            </a:solidFill>
            <a:prstDash val="solid"/>
            <a:round/>
          </a:ln>
        </c:spPr>
        <c:txPr>
          <a:bodyPr rot="0" spcFirstLastPara="0" vertOverflow="ellipsis" vert="horz" wrap="square" anchor="ctr" anchorCtr="1"/>
          <a:lstStyle/>
          <a:p>
            <a:pPr>
              <a:defRPr lang="zh-CN" sz="94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65360"/>
        <c:crosses val="autoZero"/>
        <c:auto val="1"/>
        <c:lblAlgn val="ctr"/>
        <c:lblOffset val="100"/>
        <c:tickLblSkip val="1"/>
        <c:noMultiLvlLbl val="0"/>
      </c:catAx>
      <c:valAx>
        <c:axId val="-1527465360"/>
        <c:scaling>
          <c:orientation val="minMax"/>
        </c:scaling>
        <c:delete val="0"/>
        <c:axPos val="l"/>
        <c:majorGridlines>
          <c:spPr>
            <a:ln w="2929" cap="flat" cmpd="sng" algn="ctr">
              <a:solidFill>
                <a:srgbClr val="000000"/>
              </a:solidFill>
              <a:prstDash val="solid"/>
              <a:round/>
            </a:ln>
          </c:spPr>
        </c:majorGridlines>
        <c:title>
          <c:tx>
            <c:rich>
              <a:bodyPr rot="-5400000" spcFirstLastPara="0" vertOverflow="ellipsis" vert="horz" wrap="square" anchor="ctr" anchorCtr="1"/>
              <a:lstStyle/>
              <a:p>
                <a:pPr>
                  <a:defRPr lang="zh-CN" sz="94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52872491166397"/>
              <c:y val="0.243589743589745"/>
            </c:manualLayout>
          </c:layout>
          <c:overlay val="0"/>
          <c:spPr>
            <a:noFill/>
            <a:ln w="23434">
              <a:noFill/>
            </a:ln>
          </c:spPr>
        </c:title>
        <c:numFmt formatCode="General" sourceLinked="1"/>
        <c:majorTickMark val="in"/>
        <c:minorTickMark val="none"/>
        <c:tickLblPos val="nextTo"/>
        <c:spPr>
          <a:ln w="2929" cap="flat" cmpd="sng" algn="ctr">
            <a:solidFill>
              <a:srgbClr val="000000"/>
            </a:solidFill>
            <a:prstDash val="solid"/>
            <a:round/>
          </a:ln>
        </c:spPr>
        <c:txPr>
          <a:bodyPr rot="0" spcFirstLastPara="0" vertOverflow="ellipsis" vert="horz" wrap="square" anchor="ctr" anchorCtr="1"/>
          <a:lstStyle/>
          <a:p>
            <a:pPr>
              <a:defRPr lang="zh-CN" sz="94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70800"/>
        <c:crosses val="autoZero"/>
        <c:crossBetween val="between"/>
      </c:valAx>
      <c:spPr>
        <a:solidFill>
          <a:srgbClr val="C0C0C0"/>
        </a:solidFill>
        <a:ln w="11717">
          <a:solidFill>
            <a:srgbClr val="808080"/>
          </a:solidFill>
          <a:prstDash val="solid"/>
        </a:ln>
      </c:spPr>
    </c:plotArea>
    <c:legend>
      <c:legendPos val="b"/>
      <c:layout>
        <c:manualLayout>
          <c:xMode val="edge"/>
          <c:yMode val="edge"/>
          <c:x val="0.170114851816644"/>
          <c:y val="0.905982905982898"/>
          <c:w val="0.786206781099963"/>
          <c:h val="0.0854700854700855"/>
        </c:manualLayout>
      </c:layout>
      <c:overlay val="0"/>
      <c:spPr>
        <a:solidFill>
          <a:srgbClr val="FFFFFF"/>
        </a:solidFill>
        <a:ln w="23434">
          <a:noFill/>
        </a:ln>
      </c:spPr>
      <c:txPr>
        <a:bodyPr rot="0" spcFirstLastPara="0" vertOverflow="ellipsis" vert="horz" wrap="square" anchor="ctr" anchorCtr="1"/>
        <a:lstStyle/>
        <a:p>
          <a:pPr>
            <a:defRPr lang="zh-CN" sz="87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748b54f4-3ab6-4d86-8cb2-ab18821e7cf2}"/>
      </c:ext>
    </c:extLst>
  </c:chart>
  <c:spPr>
    <a:solidFill>
      <a:srgbClr val="FFFFFF"/>
    </a:solidFill>
    <a:ln w="2929" cap="flat" cmpd="sng" algn="ctr">
      <a:solidFill>
        <a:srgbClr val="000000"/>
      </a:solidFill>
      <a:prstDash val="solid"/>
      <a:round/>
    </a:ln>
  </c:spPr>
  <c:txPr>
    <a:bodyPr/>
    <a:lstStyle/>
    <a:p>
      <a:pPr>
        <a:defRPr lang="zh-CN" sz="94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372881355932"/>
          <c:y val="0.0826771653543307"/>
          <c:w val="0.811440677966102"/>
          <c:h val="0.6496062992126"/>
        </c:manualLayout>
      </c:layout>
      <c:lineChart>
        <c:grouping val="standard"/>
        <c:varyColors val="0"/>
        <c:ser>
          <c:idx val="0"/>
          <c:order val="0"/>
          <c:tx>
            <c:strRef>
              <c:f>对比!$B$396</c:f>
              <c:strCache>
                <c:ptCount val="1"/>
                <c:pt idx="0">
                  <c:v>朗肯</c:v>
                </c:pt>
              </c:strCache>
            </c:strRef>
          </c:tx>
          <c:spPr>
            <a:ln w="12623" cap="rnd" cmpd="sng" algn="ctr">
              <a:solidFill>
                <a:srgbClr val="000080"/>
              </a:solidFill>
              <a:prstDash val="solid"/>
              <a:round/>
            </a:ln>
          </c:spPr>
          <c:marker>
            <c:symbol val="diamond"/>
            <c:size val="4"/>
            <c:spPr>
              <a:solidFill>
                <a:srgbClr val="000080"/>
              </a:solidFill>
              <a:ln w="9525" cap="flat" cmpd="sng" algn="ctr">
                <a:solidFill>
                  <a:srgbClr val="000080"/>
                </a:solidFill>
                <a:prstDash val="solid"/>
                <a:round/>
              </a:ln>
            </c:spPr>
          </c:marker>
          <c:dLbls>
            <c:delete val="1"/>
          </c:dLbls>
          <c:cat>
            <c:numRef>
              <c:f>对比!$A$397:$A$412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对比!$B$397:$B$412</c:f>
              <c:numCache>
                <c:formatCode>General</c:formatCode>
                <c:ptCount val="16"/>
                <c:pt idx="0">
                  <c:v>-50.307</c:v>
                </c:pt>
                <c:pt idx="1">
                  <c:v>-36.247</c:v>
                </c:pt>
                <c:pt idx="2">
                  <c:v>-22.187</c:v>
                </c:pt>
                <c:pt idx="3">
                  <c:v>-8.127</c:v>
                </c:pt>
                <c:pt idx="4">
                  <c:v>5.933</c:v>
                </c:pt>
                <c:pt idx="5">
                  <c:v>19.9929999999998</c:v>
                </c:pt>
                <c:pt idx="6">
                  <c:v>34.053</c:v>
                </c:pt>
                <c:pt idx="7">
                  <c:v>48.113</c:v>
                </c:pt>
                <c:pt idx="8">
                  <c:v>62.173</c:v>
                </c:pt>
                <c:pt idx="9">
                  <c:v>76.233</c:v>
                </c:pt>
                <c:pt idx="10">
                  <c:v>90.293</c:v>
                </c:pt>
                <c:pt idx="11">
                  <c:v>104.353</c:v>
                </c:pt>
                <c:pt idx="12">
                  <c:v>118.413</c:v>
                </c:pt>
                <c:pt idx="13">
                  <c:v>132.473</c:v>
                </c:pt>
                <c:pt idx="14">
                  <c:v>146.533</c:v>
                </c:pt>
                <c:pt idx="15">
                  <c:v>160.593</c:v>
                </c:pt>
              </c:numCache>
            </c:numRef>
          </c:val>
          <c:smooth val="0"/>
        </c:ser>
        <c:ser>
          <c:idx val="1"/>
          <c:order val="1"/>
          <c:tx>
            <c:strRef>
              <c:f>对比!$C$396</c:f>
              <c:strCache>
                <c:ptCount val="1"/>
                <c:pt idx="0">
                  <c:v>[1]</c:v>
                </c:pt>
              </c:strCache>
            </c:strRef>
          </c:tx>
          <c:spPr>
            <a:ln w="12623" cap="rnd" cmpd="sng" algn="ctr">
              <a:solidFill>
                <a:srgbClr val="FF00FF"/>
              </a:solidFill>
              <a:prstDash val="solid"/>
              <a:round/>
            </a:ln>
          </c:spPr>
          <c:marker>
            <c:symbol val="square"/>
            <c:size val="4"/>
            <c:spPr>
              <a:solidFill>
                <a:srgbClr val="FF00FF"/>
              </a:solidFill>
              <a:ln w="9525" cap="flat" cmpd="sng" algn="ctr">
                <a:solidFill>
                  <a:srgbClr val="FF00FF"/>
                </a:solidFill>
                <a:prstDash val="solid"/>
                <a:round/>
              </a:ln>
            </c:spPr>
          </c:marker>
          <c:dLbls>
            <c:delete val="1"/>
          </c:dLbls>
          <c:cat>
            <c:numRef>
              <c:f>对比!$A$397:$A$412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对比!$C$397:$C$412</c:f>
              <c:numCache>
                <c:formatCode>General</c:formatCode>
                <c:ptCount val="16"/>
                <c:pt idx="0">
                  <c:v>-42.006</c:v>
                </c:pt>
                <c:pt idx="1">
                  <c:v>-28.329</c:v>
                </c:pt>
                <c:pt idx="2">
                  <c:v>-14.652</c:v>
                </c:pt>
                <c:pt idx="3">
                  <c:v>-0.975000000000001</c:v>
                </c:pt>
                <c:pt idx="4">
                  <c:v>12.702</c:v>
                </c:pt>
                <c:pt idx="5">
                  <c:v>26.38</c:v>
                </c:pt>
                <c:pt idx="6">
                  <c:v>40.057</c:v>
                </c:pt>
                <c:pt idx="7">
                  <c:v>53.734</c:v>
                </c:pt>
                <c:pt idx="8">
                  <c:v>67.4110000000005</c:v>
                </c:pt>
                <c:pt idx="9">
                  <c:v>81.089</c:v>
                </c:pt>
                <c:pt idx="10">
                  <c:v>94.766</c:v>
                </c:pt>
                <c:pt idx="11">
                  <c:v>108.443</c:v>
                </c:pt>
                <c:pt idx="12">
                  <c:v>122.12</c:v>
                </c:pt>
                <c:pt idx="13">
                  <c:v>135.797</c:v>
                </c:pt>
                <c:pt idx="14">
                  <c:v>149.475</c:v>
                </c:pt>
                <c:pt idx="15">
                  <c:v>163.152</c:v>
                </c:pt>
              </c:numCache>
            </c:numRef>
          </c:val>
          <c:smooth val="0"/>
        </c:ser>
        <c:ser>
          <c:idx val="2"/>
          <c:order val="2"/>
          <c:tx>
            <c:strRef>
              <c:f>对比!$D$396</c:f>
              <c:strCache>
                <c:ptCount val="1"/>
                <c:pt idx="0">
                  <c:v>new</c:v>
                </c:pt>
              </c:strCache>
            </c:strRef>
          </c:tx>
          <c:spPr>
            <a:ln w="12623" cap="rnd" cmpd="sng" algn="ctr">
              <a:solidFill>
                <a:srgbClr val="FFFF00"/>
              </a:solidFill>
              <a:prstDash val="solid"/>
              <a:round/>
            </a:ln>
          </c:spPr>
          <c:marker>
            <c:symbol val="triangle"/>
            <c:size val="4"/>
            <c:spPr>
              <a:solidFill>
                <a:srgbClr val="FFFF00"/>
              </a:solidFill>
              <a:ln w="9525" cap="flat" cmpd="sng" algn="ctr">
                <a:solidFill>
                  <a:srgbClr val="FFFF00"/>
                </a:solidFill>
                <a:prstDash val="solid"/>
                <a:round/>
              </a:ln>
            </c:spPr>
          </c:marker>
          <c:dLbls>
            <c:delete val="1"/>
          </c:dLbls>
          <c:cat>
            <c:numRef>
              <c:f>对比!$A$397:$A$412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对比!$D$397:$D$412</c:f>
              <c:numCache>
                <c:formatCode>General</c:formatCode>
                <c:ptCount val="16"/>
                <c:pt idx="0">
                  <c:v>-50.307</c:v>
                </c:pt>
                <c:pt idx="1">
                  <c:v>-36.247</c:v>
                </c:pt>
                <c:pt idx="2">
                  <c:v>-22.187</c:v>
                </c:pt>
                <c:pt idx="3">
                  <c:v>-8.127</c:v>
                </c:pt>
                <c:pt idx="4">
                  <c:v>5.933</c:v>
                </c:pt>
                <c:pt idx="5">
                  <c:v>19.9929999999998</c:v>
                </c:pt>
                <c:pt idx="6">
                  <c:v>34.053</c:v>
                </c:pt>
                <c:pt idx="7">
                  <c:v>48.113</c:v>
                </c:pt>
                <c:pt idx="8">
                  <c:v>62.173</c:v>
                </c:pt>
                <c:pt idx="9">
                  <c:v>76.233</c:v>
                </c:pt>
                <c:pt idx="10">
                  <c:v>90.293</c:v>
                </c:pt>
                <c:pt idx="11">
                  <c:v>104.353</c:v>
                </c:pt>
                <c:pt idx="12">
                  <c:v>118.413</c:v>
                </c:pt>
                <c:pt idx="13">
                  <c:v>151.016</c:v>
                </c:pt>
                <c:pt idx="14">
                  <c:v>160.902</c:v>
                </c:pt>
                <c:pt idx="15">
                  <c:v>170.932</c:v>
                </c:pt>
              </c:numCache>
            </c:numRef>
          </c:val>
          <c:smooth val="0"/>
        </c:ser>
        <c:ser>
          <c:idx val="3"/>
          <c:order val="3"/>
          <c:tx>
            <c:strRef>
              <c:f>对比!$E$396</c:f>
              <c:strCache>
                <c:ptCount val="1"/>
                <c:pt idx="0">
                  <c:v>面积比</c:v>
                </c:pt>
              </c:strCache>
            </c:strRef>
          </c:tx>
          <c:spPr>
            <a:ln w="12623" cap="rnd" cmpd="sng" algn="ctr">
              <a:solidFill>
                <a:srgbClr val="00FFFF"/>
              </a:solidFill>
              <a:prstDash val="solid"/>
              <a:round/>
            </a:ln>
          </c:spPr>
          <c:marker>
            <c:symbol val="x"/>
            <c:size val="4"/>
            <c:spPr>
              <a:noFill/>
              <a:ln w="9525" cap="flat" cmpd="sng" algn="ctr">
                <a:solidFill>
                  <a:srgbClr val="00FFFF"/>
                </a:solidFill>
                <a:prstDash val="solid"/>
                <a:round/>
              </a:ln>
            </c:spPr>
          </c:marker>
          <c:dLbls>
            <c:delete val="1"/>
          </c:dLbls>
          <c:cat>
            <c:numRef>
              <c:f>对比!$A$397:$A$412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对比!$E$397:$E$412</c:f>
              <c:numCache>
                <c:formatCode>General</c:formatCode>
                <c:ptCount val="16"/>
                <c:pt idx="0">
                  <c:v>-48.948711</c:v>
                </c:pt>
                <c:pt idx="1">
                  <c:v>-35.2683310000004</c:v>
                </c:pt>
                <c:pt idx="2">
                  <c:v>-21.5879510000001</c:v>
                </c:pt>
                <c:pt idx="3">
                  <c:v>-7.907571</c:v>
                </c:pt>
                <c:pt idx="4">
                  <c:v>5.772809</c:v>
                </c:pt>
                <c:pt idx="5">
                  <c:v>19.453189</c:v>
                </c:pt>
                <c:pt idx="6">
                  <c:v>33.133569</c:v>
                </c:pt>
                <c:pt idx="7">
                  <c:v>46.813949</c:v>
                </c:pt>
                <c:pt idx="8">
                  <c:v>60.494329</c:v>
                </c:pt>
                <c:pt idx="9">
                  <c:v>74.1747089999991</c:v>
                </c:pt>
                <c:pt idx="10">
                  <c:v>87.8550889999991</c:v>
                </c:pt>
                <c:pt idx="11">
                  <c:v>101.535469</c:v>
                </c:pt>
                <c:pt idx="12">
                  <c:v>115.215849</c:v>
                </c:pt>
                <c:pt idx="13">
                  <c:v>128.896229000001</c:v>
                </c:pt>
                <c:pt idx="14">
                  <c:v>142.576609</c:v>
                </c:pt>
                <c:pt idx="15">
                  <c:v>156.256989</c:v>
                </c:pt>
              </c:numCache>
            </c:numRef>
          </c:val>
          <c:smooth val="0"/>
        </c:ser>
        <c:ser>
          <c:idx val="4"/>
          <c:order val="4"/>
          <c:tx>
            <c:strRef>
              <c:f>对比!$F$396</c:f>
              <c:strCache>
                <c:ptCount val="1"/>
                <c:pt idx="0">
                  <c:v>宽度比</c:v>
                </c:pt>
              </c:strCache>
            </c:strRef>
          </c:tx>
          <c:spPr>
            <a:ln w="12623" cap="rnd" cmpd="sng" algn="ctr">
              <a:solidFill>
                <a:srgbClr val="800080"/>
              </a:solidFill>
              <a:prstDash val="solid"/>
              <a:round/>
            </a:ln>
          </c:spPr>
          <c:marker>
            <c:symbol val="star"/>
            <c:size val="4"/>
            <c:spPr>
              <a:noFill/>
              <a:ln w="9525" cap="flat" cmpd="sng" algn="ctr">
                <a:solidFill>
                  <a:srgbClr val="800080"/>
                </a:solidFill>
                <a:prstDash val="solid"/>
                <a:round/>
              </a:ln>
            </c:spPr>
          </c:marker>
          <c:dLbls>
            <c:delete val="1"/>
          </c:dLbls>
          <c:cat>
            <c:numRef>
              <c:f>对比!$A$397:$A$412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对比!$F$397:$F$412</c:f>
              <c:numCache>
                <c:formatCode>General</c:formatCode>
                <c:ptCount val="16"/>
                <c:pt idx="0">
                  <c:v>-41.956038</c:v>
                </c:pt>
                <c:pt idx="1">
                  <c:v>-30.229998</c:v>
                </c:pt>
                <c:pt idx="2">
                  <c:v>-18.5039580000002</c:v>
                </c:pt>
                <c:pt idx="3">
                  <c:v>-6.777918</c:v>
                </c:pt>
                <c:pt idx="4">
                  <c:v>4.948122</c:v>
                </c:pt>
                <c:pt idx="5">
                  <c:v>16.674162</c:v>
                </c:pt>
                <c:pt idx="6">
                  <c:v>28.400202</c:v>
                </c:pt>
                <c:pt idx="7">
                  <c:v>40.126242</c:v>
                </c:pt>
                <c:pt idx="8">
                  <c:v>51.852282</c:v>
                </c:pt>
                <c:pt idx="9">
                  <c:v>63.5783220000002</c:v>
                </c:pt>
                <c:pt idx="10">
                  <c:v>75.304362</c:v>
                </c:pt>
                <c:pt idx="11">
                  <c:v>87.030402</c:v>
                </c:pt>
                <c:pt idx="12">
                  <c:v>98.756442</c:v>
                </c:pt>
                <c:pt idx="13">
                  <c:v>110.482482</c:v>
                </c:pt>
                <c:pt idx="14">
                  <c:v>122.208522</c:v>
                </c:pt>
                <c:pt idx="15">
                  <c:v>133.934562</c:v>
                </c:pt>
              </c:numCache>
            </c:numRef>
          </c:val>
          <c:smooth val="0"/>
        </c:ser>
        <c:dLbls>
          <c:showLegendKey val="0"/>
          <c:showVal val="0"/>
          <c:showCatName val="0"/>
          <c:showSerName val="0"/>
          <c:showPercent val="0"/>
          <c:showBubbleSize val="0"/>
        </c:dLbls>
        <c:marker val="1"/>
        <c:smooth val="0"/>
        <c:axId val="-1732754592"/>
        <c:axId val="-1732751872"/>
      </c:lineChart>
      <c:catAx>
        <c:axId val="-1732754592"/>
        <c:scaling>
          <c:orientation val="minMax"/>
        </c:scaling>
        <c:delete val="0"/>
        <c:axPos val="b"/>
        <c:title>
          <c:tx>
            <c:rich>
              <a:bodyPr rot="0" spcFirstLastPara="0" vertOverflow="ellipsis" vert="horz" wrap="square" anchor="ctr" anchorCtr="1"/>
              <a:lstStyle/>
              <a:p>
                <a:pPr>
                  <a:defRPr lang="zh-CN" sz="11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36016868184364"/>
              <c:y val="0.775590767203489"/>
            </c:manualLayout>
          </c:layout>
          <c:overlay val="0"/>
          <c:spPr>
            <a:noFill/>
            <a:ln w="25246">
              <a:noFill/>
            </a:ln>
          </c:spPr>
        </c:title>
        <c:numFmt formatCode="General" sourceLinked="1"/>
        <c:majorTickMark val="in"/>
        <c:minorTickMark val="none"/>
        <c:tickLblPos val="nextTo"/>
        <c:spPr>
          <a:ln w="3156" cap="flat" cmpd="sng" algn="ctr">
            <a:solidFill>
              <a:srgbClr val="000000"/>
            </a:solidFill>
            <a:prstDash val="solid"/>
            <a:round/>
          </a:ln>
        </c:spPr>
        <c:txPr>
          <a:bodyPr rot="0" spcFirstLastPara="0" vertOverflow="ellipsis" vert="horz" wrap="square" anchor="ctr" anchorCtr="1"/>
          <a:lstStyle/>
          <a:p>
            <a:pPr>
              <a:defRPr lang="zh-CN" sz="11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732751872"/>
        <c:crosses val="autoZero"/>
        <c:auto val="1"/>
        <c:lblAlgn val="ctr"/>
        <c:lblOffset val="100"/>
        <c:tickLblSkip val="1"/>
        <c:noMultiLvlLbl val="0"/>
      </c:catAx>
      <c:valAx>
        <c:axId val="-1732751872"/>
        <c:scaling>
          <c:orientation val="minMax"/>
        </c:scaling>
        <c:delete val="0"/>
        <c:axPos val="l"/>
        <c:majorGridlines>
          <c:spPr>
            <a:ln w="3156" cap="flat" cmpd="sng" algn="ctr">
              <a:solidFill>
                <a:srgbClr val="000000"/>
              </a:solidFill>
              <a:prstDash val="solid"/>
              <a:round/>
            </a:ln>
          </c:spPr>
        </c:majorGridlines>
        <c:title>
          <c:tx>
            <c:rich>
              <a:bodyPr rot="-5400000" spcFirstLastPara="0" vertOverflow="ellipsis" vert="horz" wrap="square" anchor="ctr" anchorCtr="1"/>
              <a:lstStyle/>
              <a:p>
                <a:pPr>
                  <a:defRPr lang="zh-CN" sz="11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33051098738181"/>
              <c:y val="0.251968503937011"/>
            </c:manualLayout>
          </c:layout>
          <c:overlay val="0"/>
          <c:spPr>
            <a:noFill/>
            <a:ln w="25246">
              <a:noFill/>
            </a:ln>
          </c:spPr>
        </c:title>
        <c:numFmt formatCode="General" sourceLinked="1"/>
        <c:majorTickMark val="in"/>
        <c:minorTickMark val="none"/>
        <c:tickLblPos val="nextTo"/>
        <c:spPr>
          <a:ln w="3156" cap="flat" cmpd="sng" algn="ctr">
            <a:solidFill>
              <a:srgbClr val="000000"/>
            </a:solidFill>
            <a:prstDash val="solid"/>
            <a:round/>
          </a:ln>
        </c:spPr>
        <c:txPr>
          <a:bodyPr rot="0" spcFirstLastPara="0" vertOverflow="ellipsis" vert="horz" wrap="square" anchor="ctr" anchorCtr="1"/>
          <a:lstStyle/>
          <a:p>
            <a:pPr>
              <a:defRPr lang="zh-CN" sz="11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732754592"/>
        <c:crosses val="autoZero"/>
        <c:crossBetween val="between"/>
      </c:valAx>
      <c:spPr>
        <a:solidFill>
          <a:srgbClr val="C0C0C0"/>
        </a:solidFill>
        <a:ln w="12623">
          <a:solidFill>
            <a:srgbClr val="808080"/>
          </a:solidFill>
          <a:prstDash val="solid"/>
        </a:ln>
      </c:spPr>
    </c:plotArea>
    <c:legend>
      <c:legendPos val="b"/>
      <c:layout>
        <c:manualLayout>
          <c:xMode val="edge"/>
          <c:yMode val="edge"/>
          <c:x val="0.10643153526971"/>
          <c:y val="0.909449034920018"/>
          <c:w val="0.842720619466142"/>
          <c:h val="0.082676949331951"/>
        </c:manualLayout>
      </c:layout>
      <c:overlay val="0"/>
      <c:spPr>
        <a:solidFill>
          <a:srgbClr val="FFFFFF"/>
        </a:solidFill>
        <a:ln w="25246">
          <a:noFill/>
        </a:ln>
      </c:spPr>
      <c:txPr>
        <a:bodyPr rot="0" spcFirstLastPara="0" vertOverflow="ellipsis" vert="horz" wrap="square" anchor="ctr" anchorCtr="1"/>
        <a:lstStyle/>
        <a:p>
          <a:pPr>
            <a:defRPr lang="zh-CN" sz="103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9dfa7928-6c20-471c-bf3a-1f6a6f8648b1}"/>
      </c:ext>
    </c:extLst>
  </c:chart>
  <c:spPr>
    <a:solidFill>
      <a:srgbClr val="FFFFFF"/>
    </a:solidFill>
    <a:ln w="3156" cap="flat" cmpd="sng" algn="ctr">
      <a:solidFill>
        <a:srgbClr val="000000"/>
      </a:solidFill>
      <a:prstDash val="solid"/>
      <a:round/>
    </a:ln>
  </c:spPr>
  <c:txPr>
    <a:bodyPr/>
    <a:lstStyle/>
    <a:p>
      <a:pPr>
        <a:defRPr lang="zh-CN" sz="112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372881355932"/>
          <c:y val="0.0826771653543307"/>
          <c:w val="0.811440677966102"/>
          <c:h val="0.6496062992126"/>
        </c:manualLayout>
      </c:layout>
      <c:lineChart>
        <c:grouping val="standard"/>
        <c:varyColors val="0"/>
        <c:ser>
          <c:idx val="0"/>
          <c:order val="0"/>
          <c:tx>
            <c:strRef>
              <c:f>对比!$B$418</c:f>
              <c:strCache>
                <c:ptCount val="1"/>
                <c:pt idx="0">
                  <c:v>朗肯</c:v>
                </c:pt>
              </c:strCache>
            </c:strRef>
          </c:tx>
          <c:spPr>
            <a:ln w="12696" cap="rnd" cmpd="sng" algn="ctr">
              <a:solidFill>
                <a:srgbClr val="000080"/>
              </a:solidFill>
              <a:prstDash val="solid"/>
              <a:round/>
            </a:ln>
          </c:spPr>
          <c:marker>
            <c:symbol val="diamond"/>
            <c:size val="4"/>
            <c:spPr>
              <a:solidFill>
                <a:srgbClr val="000080"/>
              </a:solidFill>
              <a:ln w="9525" cap="flat" cmpd="sng" algn="ctr">
                <a:solidFill>
                  <a:srgbClr val="000080"/>
                </a:solidFill>
                <a:prstDash val="solid"/>
                <a:round/>
              </a:ln>
            </c:spPr>
          </c:marker>
          <c:dLbls>
            <c:delete val="1"/>
          </c:dLbls>
          <c:cat>
            <c:numRef>
              <c:f>对比!$A$419:$A$434</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对比!$B$419:$B$434</c:f>
              <c:numCache>
                <c:formatCode>General</c:formatCode>
                <c:ptCount val="16"/>
                <c:pt idx="0">
                  <c:v>-50.307</c:v>
                </c:pt>
                <c:pt idx="1">
                  <c:v>-36.247</c:v>
                </c:pt>
                <c:pt idx="2">
                  <c:v>-22.187</c:v>
                </c:pt>
                <c:pt idx="3">
                  <c:v>-8.127</c:v>
                </c:pt>
                <c:pt idx="4">
                  <c:v>5.933</c:v>
                </c:pt>
                <c:pt idx="5">
                  <c:v>19.9929999999998</c:v>
                </c:pt>
                <c:pt idx="6">
                  <c:v>34.053</c:v>
                </c:pt>
                <c:pt idx="7">
                  <c:v>48.113</c:v>
                </c:pt>
                <c:pt idx="8">
                  <c:v>62.173</c:v>
                </c:pt>
                <c:pt idx="9">
                  <c:v>76.233</c:v>
                </c:pt>
                <c:pt idx="10">
                  <c:v>90.293</c:v>
                </c:pt>
                <c:pt idx="11">
                  <c:v>104.353</c:v>
                </c:pt>
                <c:pt idx="12">
                  <c:v>118.413</c:v>
                </c:pt>
                <c:pt idx="13">
                  <c:v>132.473</c:v>
                </c:pt>
                <c:pt idx="14">
                  <c:v>146.533</c:v>
                </c:pt>
                <c:pt idx="15">
                  <c:v>160.593</c:v>
                </c:pt>
              </c:numCache>
            </c:numRef>
          </c:val>
          <c:smooth val="0"/>
        </c:ser>
        <c:ser>
          <c:idx val="1"/>
          <c:order val="1"/>
          <c:tx>
            <c:strRef>
              <c:f>对比!$C$418</c:f>
              <c:strCache>
                <c:ptCount val="1"/>
                <c:pt idx="0">
                  <c:v>b=0.8H</c:v>
                </c:pt>
              </c:strCache>
            </c:strRef>
          </c:tx>
          <c:spPr>
            <a:ln w="12696" cap="rnd" cmpd="sng" algn="ctr">
              <a:solidFill>
                <a:srgbClr val="FF00FF"/>
              </a:solidFill>
              <a:prstDash val="solid"/>
              <a:round/>
            </a:ln>
          </c:spPr>
          <c:marker>
            <c:symbol val="square"/>
            <c:size val="4"/>
            <c:spPr>
              <a:solidFill>
                <a:srgbClr val="FF00FF"/>
              </a:solidFill>
              <a:ln w="9525" cap="flat" cmpd="sng" algn="ctr">
                <a:solidFill>
                  <a:srgbClr val="FF00FF"/>
                </a:solidFill>
                <a:prstDash val="solid"/>
                <a:round/>
              </a:ln>
            </c:spPr>
          </c:marker>
          <c:dLbls>
            <c:delete val="1"/>
          </c:dLbls>
          <c:cat>
            <c:numRef>
              <c:f>对比!$A$419:$A$434</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对比!$C$419:$C$434</c:f>
              <c:numCache>
                <c:formatCode>General</c:formatCode>
                <c:ptCount val="16"/>
                <c:pt idx="0">
                  <c:v>-47.54</c:v>
                </c:pt>
                <c:pt idx="1">
                  <c:v>-33.523</c:v>
                </c:pt>
                <c:pt idx="2">
                  <c:v>-19.505</c:v>
                </c:pt>
                <c:pt idx="3">
                  <c:v>-5.488</c:v>
                </c:pt>
                <c:pt idx="4">
                  <c:v>8.53</c:v>
                </c:pt>
                <c:pt idx="5">
                  <c:v>22.547</c:v>
                </c:pt>
                <c:pt idx="6">
                  <c:v>36.565</c:v>
                </c:pt>
                <c:pt idx="7">
                  <c:v>50.582</c:v>
                </c:pt>
                <c:pt idx="8">
                  <c:v>64.6</c:v>
                </c:pt>
                <c:pt idx="9">
                  <c:v>78.617</c:v>
                </c:pt>
                <c:pt idx="10">
                  <c:v>92.635</c:v>
                </c:pt>
                <c:pt idx="11">
                  <c:v>106.652</c:v>
                </c:pt>
                <c:pt idx="12">
                  <c:v>120.669</c:v>
                </c:pt>
                <c:pt idx="13">
                  <c:v>134.687</c:v>
                </c:pt>
                <c:pt idx="14">
                  <c:v>148.704</c:v>
                </c:pt>
                <c:pt idx="15">
                  <c:v>162.722</c:v>
                </c:pt>
              </c:numCache>
            </c:numRef>
          </c:val>
          <c:smooth val="0"/>
        </c:ser>
        <c:ser>
          <c:idx val="2"/>
          <c:order val="2"/>
          <c:tx>
            <c:strRef>
              <c:f>对比!$D$418</c:f>
              <c:strCache>
                <c:ptCount val="1"/>
                <c:pt idx="0">
                  <c:v>b=0.9H</c:v>
                </c:pt>
              </c:strCache>
            </c:strRef>
          </c:tx>
          <c:spPr>
            <a:ln w="12696" cap="rnd" cmpd="sng" algn="ctr">
              <a:solidFill>
                <a:srgbClr val="FFFF00"/>
              </a:solidFill>
              <a:prstDash val="solid"/>
              <a:round/>
            </a:ln>
          </c:spPr>
          <c:marker>
            <c:symbol val="triangle"/>
            <c:size val="4"/>
            <c:spPr>
              <a:solidFill>
                <a:srgbClr val="FFFF00"/>
              </a:solidFill>
              <a:ln w="9525" cap="flat" cmpd="sng" algn="ctr">
                <a:solidFill>
                  <a:srgbClr val="FFFF00"/>
                </a:solidFill>
                <a:prstDash val="solid"/>
                <a:round/>
              </a:ln>
            </c:spPr>
          </c:marker>
          <c:dLbls>
            <c:delete val="1"/>
          </c:dLbls>
          <c:cat>
            <c:numRef>
              <c:f>对比!$A$419:$A$434</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对比!$D$419:$D$434</c:f>
              <c:numCache>
                <c:formatCode>General</c:formatCode>
                <c:ptCount val="16"/>
                <c:pt idx="0">
                  <c:v>-53.979</c:v>
                </c:pt>
                <c:pt idx="1">
                  <c:v>-39.994</c:v>
                </c:pt>
                <c:pt idx="2">
                  <c:v>-26.009</c:v>
                </c:pt>
                <c:pt idx="3">
                  <c:v>-12.024</c:v>
                </c:pt>
                <c:pt idx="4">
                  <c:v>1.961</c:v>
                </c:pt>
                <c:pt idx="5">
                  <c:v>15.946</c:v>
                </c:pt>
                <c:pt idx="6">
                  <c:v>29.931</c:v>
                </c:pt>
                <c:pt idx="7">
                  <c:v>43.916</c:v>
                </c:pt>
                <c:pt idx="8">
                  <c:v>57.901</c:v>
                </c:pt>
                <c:pt idx="9">
                  <c:v>71.886</c:v>
                </c:pt>
                <c:pt idx="10">
                  <c:v>85.871</c:v>
                </c:pt>
                <c:pt idx="11">
                  <c:v>99.856</c:v>
                </c:pt>
                <c:pt idx="12">
                  <c:v>113.841</c:v>
                </c:pt>
                <c:pt idx="13">
                  <c:v>127.826</c:v>
                </c:pt>
                <c:pt idx="14">
                  <c:v>141.812</c:v>
                </c:pt>
                <c:pt idx="15">
                  <c:v>155.797</c:v>
                </c:pt>
              </c:numCache>
            </c:numRef>
          </c:val>
          <c:smooth val="0"/>
        </c:ser>
        <c:ser>
          <c:idx val="3"/>
          <c:order val="3"/>
          <c:tx>
            <c:strRef>
              <c:f>对比!$E$418</c:f>
              <c:strCache>
                <c:ptCount val="1"/>
                <c:pt idx="0">
                  <c:v>b=H</c:v>
                </c:pt>
              </c:strCache>
            </c:strRef>
          </c:tx>
          <c:spPr>
            <a:ln w="12696" cap="rnd" cmpd="sng" algn="ctr">
              <a:solidFill>
                <a:srgbClr val="00FFFF"/>
              </a:solidFill>
              <a:prstDash val="solid"/>
              <a:round/>
            </a:ln>
          </c:spPr>
          <c:marker>
            <c:symbol val="x"/>
            <c:size val="4"/>
            <c:spPr>
              <a:noFill/>
              <a:ln w="9525" cap="flat" cmpd="sng" algn="ctr">
                <a:solidFill>
                  <a:srgbClr val="00FFFF"/>
                </a:solidFill>
                <a:prstDash val="solid"/>
                <a:round/>
              </a:ln>
            </c:spPr>
          </c:marker>
          <c:dLbls>
            <c:delete val="1"/>
          </c:dLbls>
          <c:cat>
            <c:numRef>
              <c:f>对比!$A$419:$A$434</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对比!$E$419:$E$434</c:f>
              <c:numCache>
                <c:formatCode>General</c:formatCode>
                <c:ptCount val="16"/>
                <c:pt idx="0">
                  <c:v>-59.966</c:v>
                </c:pt>
                <c:pt idx="1">
                  <c:v>-46.424</c:v>
                </c:pt>
                <c:pt idx="2">
                  <c:v>-32.883</c:v>
                </c:pt>
                <c:pt idx="3">
                  <c:v>-19.341</c:v>
                </c:pt>
                <c:pt idx="4">
                  <c:v>-5.799</c:v>
                </c:pt>
                <c:pt idx="5">
                  <c:v>7.742</c:v>
                </c:pt>
                <c:pt idx="6">
                  <c:v>21.2839999999999</c:v>
                </c:pt>
                <c:pt idx="7">
                  <c:v>34.826</c:v>
                </c:pt>
                <c:pt idx="8">
                  <c:v>48.368</c:v>
                </c:pt>
                <c:pt idx="9">
                  <c:v>61.909</c:v>
                </c:pt>
                <c:pt idx="10">
                  <c:v>75.451</c:v>
                </c:pt>
                <c:pt idx="11">
                  <c:v>88.993</c:v>
                </c:pt>
                <c:pt idx="12">
                  <c:v>102.534</c:v>
                </c:pt>
                <c:pt idx="13">
                  <c:v>116.076</c:v>
                </c:pt>
                <c:pt idx="14">
                  <c:v>129.618</c:v>
                </c:pt>
                <c:pt idx="15">
                  <c:v>143.159</c:v>
                </c:pt>
              </c:numCache>
            </c:numRef>
          </c:val>
          <c:smooth val="0"/>
        </c:ser>
        <c:dLbls>
          <c:showLegendKey val="0"/>
          <c:showVal val="0"/>
          <c:showCatName val="0"/>
          <c:showSerName val="0"/>
          <c:showPercent val="0"/>
          <c:showBubbleSize val="0"/>
        </c:dLbls>
        <c:marker val="1"/>
        <c:smooth val="0"/>
        <c:axId val="-1732754048"/>
        <c:axId val="-1732761120"/>
      </c:lineChart>
      <c:catAx>
        <c:axId val="-1732754048"/>
        <c:scaling>
          <c:orientation val="minMax"/>
        </c:scaling>
        <c:delete val="0"/>
        <c:axPos val="b"/>
        <c:title>
          <c:tx>
            <c:rich>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36016894946948"/>
              <c:y val="0.775590551181103"/>
            </c:manualLayout>
          </c:layout>
          <c:overlay val="0"/>
          <c:spPr>
            <a:noFill/>
            <a:ln w="25392">
              <a:noFill/>
            </a:ln>
          </c:spPr>
        </c:title>
        <c:numFmt formatCode="General" sourceLinked="1"/>
        <c:majorTickMark val="in"/>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732761120"/>
        <c:crosses val="autoZero"/>
        <c:auto val="1"/>
        <c:lblAlgn val="ctr"/>
        <c:lblOffset val="100"/>
        <c:tickLblSkip val="1"/>
        <c:noMultiLvlLbl val="0"/>
      </c:catAx>
      <c:valAx>
        <c:axId val="-1732761120"/>
        <c:scaling>
          <c:orientation val="minMax"/>
        </c:scaling>
        <c:delete val="0"/>
        <c:axPos val="l"/>
        <c:majorGridlines>
          <c:spPr>
            <a:ln w="3174" cap="flat" cmpd="sng" algn="ctr">
              <a:solidFill>
                <a:srgbClr val="000000"/>
              </a:solidFill>
              <a:prstDash val="solid"/>
              <a:round/>
            </a:ln>
          </c:spPr>
        </c:majorGridlines>
        <c:title>
          <c:tx>
            <c:rich>
              <a:bodyPr rot="-540000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33051015681863"/>
              <c:y val="0.251968503937011"/>
            </c:manualLayout>
          </c:layout>
          <c:overlay val="0"/>
          <c:spPr>
            <a:noFill/>
            <a:ln w="25392">
              <a:noFill/>
            </a:ln>
          </c:spPr>
        </c:title>
        <c:numFmt formatCode="General" sourceLinked="1"/>
        <c:majorTickMark val="in"/>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zh-CN" sz="11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732754048"/>
        <c:crosses val="autoZero"/>
        <c:crossBetween val="between"/>
      </c:valAx>
      <c:spPr>
        <a:solidFill>
          <a:srgbClr val="C0C0C0"/>
        </a:solidFill>
        <a:ln w="12696">
          <a:solidFill>
            <a:srgbClr val="808080"/>
          </a:solidFill>
          <a:prstDash val="solid"/>
        </a:ln>
      </c:spPr>
    </c:plotArea>
    <c:legend>
      <c:legendPos val="b"/>
      <c:layout>
        <c:manualLayout>
          <c:xMode val="edge"/>
          <c:yMode val="edge"/>
          <c:x val="0.141570716941366"/>
          <c:y val="0.909448818897638"/>
          <c:w val="0.750378377506505"/>
          <c:h val="0.0826771653543307"/>
        </c:manualLayout>
      </c:layout>
      <c:overlay val="0"/>
      <c:spPr>
        <a:solidFill>
          <a:srgbClr val="FFFFFF"/>
        </a:solidFill>
        <a:ln w="25392">
          <a:noFill/>
        </a:ln>
      </c:spPr>
      <c:txPr>
        <a:bodyPr rot="0" spcFirstLastPara="0" vertOverflow="ellipsis" vert="horz" wrap="square" anchor="ctr" anchorCtr="1"/>
        <a:lstStyle/>
        <a:p>
          <a:pPr>
            <a:defRPr lang="zh-CN" sz="103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358ed4ea-43e6-4e34-9efb-6070fbf19cd2}"/>
      </c:ext>
    </c:extLst>
  </c:chart>
  <c:spPr>
    <a:solidFill>
      <a:srgbClr val="FFFFFF"/>
    </a:solidFill>
    <a:ln w="3174" cap="flat" cmpd="sng" algn="ctr">
      <a:solidFill>
        <a:srgbClr val="000000"/>
      </a:solidFill>
      <a:prstDash val="solid"/>
      <a:round/>
    </a:ln>
  </c:spPr>
  <c:txPr>
    <a:bodyPr/>
    <a:lstStyle/>
    <a:p>
      <a:pPr>
        <a:defRPr lang="zh-CN" sz="11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425287356325"/>
          <c:y val="0.0854700854700855"/>
          <c:w val="0.827586206896551"/>
          <c:h val="0.636752136752137"/>
        </c:manualLayout>
      </c:layout>
      <c:lineChart>
        <c:grouping val="standard"/>
        <c:varyColors val="0"/>
        <c:ser>
          <c:idx val="0"/>
          <c:order val="0"/>
          <c:tx>
            <c:strRef>
              <c:f>对比!$B$43</c:f>
              <c:strCache>
                <c:ptCount val="1"/>
                <c:pt idx="0">
                  <c:v>朗肯</c:v>
                </c:pt>
              </c:strCache>
            </c:strRef>
          </c:tx>
          <c:spPr>
            <a:ln w="12706" cap="rnd" cmpd="sng" algn="ctr">
              <a:solidFill>
                <a:srgbClr val="000080"/>
              </a:solidFill>
              <a:prstDash val="solid"/>
              <a:round/>
            </a:ln>
          </c:spPr>
          <c:marker>
            <c:symbol val="diamond"/>
            <c:size val="4"/>
            <c:spPr>
              <a:solidFill>
                <a:srgbClr val="000080"/>
              </a:solidFill>
              <a:ln w="9525" cap="flat" cmpd="sng" algn="ctr">
                <a:solidFill>
                  <a:srgbClr val="000080"/>
                </a:solidFill>
                <a:prstDash val="solid"/>
                <a:round/>
              </a:ln>
            </c:spPr>
          </c:marker>
          <c:dLbls>
            <c:delete val="1"/>
          </c:dLbls>
          <c:cat>
            <c:numRef>
              <c:f>对比!$A$44:$A$59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对比!$B$44:$B$59</c:f>
              <c:numCache>
                <c:formatCode>General</c:formatCode>
                <c:ptCount val="16"/>
                <c:pt idx="0">
                  <c:v>-28</c:v>
                </c:pt>
                <c:pt idx="1">
                  <c:v>-18.2</c:v>
                </c:pt>
                <c:pt idx="2">
                  <c:v>-8.4</c:v>
                </c:pt>
                <c:pt idx="3">
                  <c:v>1.4</c:v>
                </c:pt>
                <c:pt idx="4">
                  <c:v>11.2</c:v>
                </c:pt>
                <c:pt idx="5">
                  <c:v>21</c:v>
                </c:pt>
                <c:pt idx="6">
                  <c:v>30.8</c:v>
                </c:pt>
                <c:pt idx="7">
                  <c:v>40.6</c:v>
                </c:pt>
                <c:pt idx="8">
                  <c:v>50.4</c:v>
                </c:pt>
                <c:pt idx="9">
                  <c:v>60.2</c:v>
                </c:pt>
                <c:pt idx="10">
                  <c:v>70</c:v>
                </c:pt>
                <c:pt idx="11">
                  <c:v>79.8</c:v>
                </c:pt>
                <c:pt idx="12">
                  <c:v>89.6</c:v>
                </c:pt>
                <c:pt idx="13">
                  <c:v>99.4</c:v>
                </c:pt>
                <c:pt idx="14">
                  <c:v>109.2</c:v>
                </c:pt>
                <c:pt idx="15">
                  <c:v>119</c:v>
                </c:pt>
              </c:numCache>
            </c:numRef>
          </c:val>
          <c:smooth val="0"/>
        </c:ser>
        <c:ser>
          <c:idx val="1"/>
          <c:order val="1"/>
          <c:tx>
            <c:strRef>
              <c:f>对比!$C$43</c:f>
              <c:strCache>
                <c:ptCount val="1"/>
                <c:pt idx="0">
                  <c:v>[1]</c:v>
                </c:pt>
              </c:strCache>
            </c:strRef>
          </c:tx>
          <c:spPr>
            <a:ln w="12706" cap="rnd" cmpd="sng" algn="ctr">
              <a:solidFill>
                <a:srgbClr val="FF00FF"/>
              </a:solidFill>
              <a:prstDash val="solid"/>
              <a:round/>
            </a:ln>
          </c:spPr>
          <c:marker>
            <c:symbol val="square"/>
            <c:size val="4"/>
            <c:spPr>
              <a:solidFill>
                <a:srgbClr val="FF00FF"/>
              </a:solidFill>
              <a:ln w="9525" cap="flat" cmpd="sng" algn="ctr">
                <a:solidFill>
                  <a:srgbClr val="FF00FF"/>
                </a:solidFill>
                <a:prstDash val="solid"/>
                <a:round/>
              </a:ln>
            </c:spPr>
          </c:marker>
          <c:dLbls>
            <c:delete val="1"/>
          </c:dLbls>
          <c:cat>
            <c:numRef>
              <c:f>对比!$A$44:$A$59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对比!$C$44:$C$59</c:f>
              <c:numCache>
                <c:formatCode>General</c:formatCode>
                <c:ptCount val="16"/>
                <c:pt idx="0">
                  <c:v>-11.984</c:v>
                </c:pt>
                <c:pt idx="1">
                  <c:v>-5.39</c:v>
                </c:pt>
                <c:pt idx="2">
                  <c:v>1.20299999999999</c:v>
                </c:pt>
                <c:pt idx="3">
                  <c:v>7.797</c:v>
                </c:pt>
                <c:pt idx="4">
                  <c:v>14.39</c:v>
                </c:pt>
                <c:pt idx="5">
                  <c:v>20.984</c:v>
                </c:pt>
                <c:pt idx="6">
                  <c:v>27.578</c:v>
                </c:pt>
                <c:pt idx="7">
                  <c:v>34.171</c:v>
                </c:pt>
                <c:pt idx="8">
                  <c:v>40.7650000000003</c:v>
                </c:pt>
                <c:pt idx="9">
                  <c:v>47.358</c:v>
                </c:pt>
                <c:pt idx="10">
                  <c:v>53.952</c:v>
                </c:pt>
                <c:pt idx="11">
                  <c:v>60.546</c:v>
                </c:pt>
                <c:pt idx="12">
                  <c:v>67.139</c:v>
                </c:pt>
                <c:pt idx="13">
                  <c:v>73.733</c:v>
                </c:pt>
                <c:pt idx="14">
                  <c:v>80.326</c:v>
                </c:pt>
                <c:pt idx="15">
                  <c:v>86.92</c:v>
                </c:pt>
              </c:numCache>
            </c:numRef>
          </c:val>
          <c:smooth val="0"/>
        </c:ser>
        <c:ser>
          <c:idx val="2"/>
          <c:order val="2"/>
          <c:tx>
            <c:strRef>
              <c:f>对比!$D$43</c:f>
              <c:strCache>
                <c:ptCount val="1"/>
                <c:pt idx="0">
                  <c:v>new</c:v>
                </c:pt>
              </c:strCache>
            </c:strRef>
          </c:tx>
          <c:spPr>
            <a:ln w="12706" cap="rnd" cmpd="sng" algn="ctr">
              <a:solidFill>
                <a:srgbClr val="FFFF00"/>
              </a:solidFill>
              <a:prstDash val="solid"/>
              <a:round/>
            </a:ln>
          </c:spPr>
          <c:marker>
            <c:symbol val="triangle"/>
            <c:size val="4"/>
            <c:spPr>
              <a:solidFill>
                <a:srgbClr val="FFFF00"/>
              </a:solidFill>
              <a:ln w="9525" cap="flat" cmpd="sng" algn="ctr">
                <a:solidFill>
                  <a:srgbClr val="FFFF00"/>
                </a:solidFill>
                <a:prstDash val="solid"/>
                <a:round/>
              </a:ln>
            </c:spPr>
          </c:marker>
          <c:dLbls>
            <c:delete val="1"/>
          </c:dLbls>
          <c:cat>
            <c:numRef>
              <c:f>对比!$A$44:$A$59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对比!$D$44:$D$59</c:f>
              <c:numCache>
                <c:formatCode>General</c:formatCode>
                <c:ptCount val="16"/>
                <c:pt idx="0">
                  <c:v>-28</c:v>
                </c:pt>
                <c:pt idx="1">
                  <c:v>-18.2</c:v>
                </c:pt>
                <c:pt idx="2">
                  <c:v>-8.4</c:v>
                </c:pt>
                <c:pt idx="3">
                  <c:v>1.4</c:v>
                </c:pt>
                <c:pt idx="4">
                  <c:v>11.2</c:v>
                </c:pt>
                <c:pt idx="5">
                  <c:v>21</c:v>
                </c:pt>
                <c:pt idx="6">
                  <c:v>30.8</c:v>
                </c:pt>
                <c:pt idx="7">
                  <c:v>53.263</c:v>
                </c:pt>
                <c:pt idx="8">
                  <c:v>58.913</c:v>
                </c:pt>
                <c:pt idx="9">
                  <c:v>64.098</c:v>
                </c:pt>
                <c:pt idx="10">
                  <c:v>68.8759999999999</c:v>
                </c:pt>
                <c:pt idx="11">
                  <c:v>73.3</c:v>
                </c:pt>
                <c:pt idx="12">
                  <c:v>77.409</c:v>
                </c:pt>
                <c:pt idx="13">
                  <c:v>81.2410000000002</c:v>
                </c:pt>
                <c:pt idx="14">
                  <c:v>84.8249999999999</c:v>
                </c:pt>
                <c:pt idx="15">
                  <c:v>88.186</c:v>
                </c:pt>
              </c:numCache>
            </c:numRef>
          </c:val>
          <c:smooth val="0"/>
        </c:ser>
        <c:ser>
          <c:idx val="3"/>
          <c:order val="3"/>
          <c:tx>
            <c:strRef>
              <c:f>对比!$E$43</c:f>
              <c:strCache>
                <c:ptCount val="1"/>
                <c:pt idx="0">
                  <c:v>面积比</c:v>
                </c:pt>
              </c:strCache>
            </c:strRef>
          </c:tx>
          <c:spPr>
            <a:ln w="12706" cap="rnd" cmpd="sng" algn="ctr">
              <a:solidFill>
                <a:srgbClr val="00FFFF"/>
              </a:solidFill>
              <a:prstDash val="solid"/>
              <a:round/>
            </a:ln>
          </c:spPr>
          <c:marker>
            <c:symbol val="x"/>
            <c:size val="4"/>
            <c:spPr>
              <a:noFill/>
              <a:ln w="9525" cap="flat" cmpd="sng" algn="ctr">
                <a:solidFill>
                  <a:srgbClr val="00FFFF"/>
                </a:solidFill>
                <a:prstDash val="solid"/>
                <a:round/>
              </a:ln>
            </c:spPr>
          </c:marker>
          <c:dLbls>
            <c:delete val="1"/>
          </c:dLbls>
          <c:cat>
            <c:numRef>
              <c:f>对比!$A$44:$A$59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对比!$E$44:$E$59</c:f>
              <c:numCache>
                <c:formatCode>General</c:formatCode>
                <c:ptCount val="16"/>
                <c:pt idx="0">
                  <c:v>-18.844</c:v>
                </c:pt>
                <c:pt idx="1">
                  <c:v>-12.2486</c:v>
                </c:pt>
                <c:pt idx="2">
                  <c:v>-5.6532</c:v>
                </c:pt>
                <c:pt idx="3">
                  <c:v>0.9422</c:v>
                </c:pt>
                <c:pt idx="4">
                  <c:v>7.5376</c:v>
                </c:pt>
                <c:pt idx="5">
                  <c:v>14.133</c:v>
                </c:pt>
                <c:pt idx="6">
                  <c:v>20.7283999999998</c:v>
                </c:pt>
                <c:pt idx="7">
                  <c:v>27.3238</c:v>
                </c:pt>
                <c:pt idx="8">
                  <c:v>33.9192</c:v>
                </c:pt>
                <c:pt idx="9">
                  <c:v>40.5146</c:v>
                </c:pt>
                <c:pt idx="10">
                  <c:v>47.11</c:v>
                </c:pt>
                <c:pt idx="11">
                  <c:v>53.7054</c:v>
                </c:pt>
                <c:pt idx="12">
                  <c:v>60.3008</c:v>
                </c:pt>
                <c:pt idx="13">
                  <c:v>66.8962</c:v>
                </c:pt>
                <c:pt idx="14">
                  <c:v>73.4916000000007</c:v>
                </c:pt>
                <c:pt idx="15">
                  <c:v>80.087</c:v>
                </c:pt>
              </c:numCache>
            </c:numRef>
          </c:val>
          <c:smooth val="0"/>
        </c:ser>
        <c:ser>
          <c:idx val="4"/>
          <c:order val="4"/>
          <c:tx>
            <c:strRef>
              <c:f>对比!$F$43</c:f>
              <c:strCache>
                <c:ptCount val="1"/>
                <c:pt idx="0">
                  <c:v>宽度比</c:v>
                </c:pt>
              </c:strCache>
            </c:strRef>
          </c:tx>
          <c:spPr>
            <a:ln w="12706" cap="rnd" cmpd="sng" algn="ctr">
              <a:solidFill>
                <a:srgbClr val="800080"/>
              </a:solidFill>
              <a:prstDash val="solid"/>
              <a:round/>
            </a:ln>
          </c:spPr>
          <c:marker>
            <c:symbol val="star"/>
            <c:size val="4"/>
            <c:spPr>
              <a:noFill/>
              <a:ln w="9525" cap="flat" cmpd="sng" algn="ctr">
                <a:solidFill>
                  <a:srgbClr val="800080"/>
                </a:solidFill>
                <a:prstDash val="solid"/>
                <a:round/>
              </a:ln>
            </c:spPr>
          </c:marker>
          <c:dLbls>
            <c:delete val="1"/>
          </c:dLbls>
          <c:cat>
            <c:numRef>
              <c:f>对比!$A$44:$A$59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对比!$F$44:$F$59</c:f>
              <c:numCache>
                <c:formatCode>General</c:formatCode>
                <c:ptCount val="16"/>
                <c:pt idx="0">
                  <c:v>-11.984</c:v>
                </c:pt>
                <c:pt idx="1">
                  <c:v>-7.7896</c:v>
                </c:pt>
                <c:pt idx="2">
                  <c:v>-3.5952</c:v>
                </c:pt>
                <c:pt idx="3">
                  <c:v>0.5992</c:v>
                </c:pt>
                <c:pt idx="4">
                  <c:v>4.7936</c:v>
                </c:pt>
                <c:pt idx="5">
                  <c:v>8.988</c:v>
                </c:pt>
                <c:pt idx="6">
                  <c:v>13.1824</c:v>
                </c:pt>
                <c:pt idx="7">
                  <c:v>17.3768</c:v>
                </c:pt>
                <c:pt idx="8">
                  <c:v>21.5712</c:v>
                </c:pt>
                <c:pt idx="9">
                  <c:v>25.7655999999997</c:v>
                </c:pt>
                <c:pt idx="10">
                  <c:v>29.96</c:v>
                </c:pt>
                <c:pt idx="11">
                  <c:v>34.1544</c:v>
                </c:pt>
                <c:pt idx="12">
                  <c:v>38.3488</c:v>
                </c:pt>
                <c:pt idx="13">
                  <c:v>42.5432</c:v>
                </c:pt>
                <c:pt idx="14">
                  <c:v>46.7376</c:v>
                </c:pt>
                <c:pt idx="15">
                  <c:v>50.932</c:v>
                </c:pt>
              </c:numCache>
            </c:numRef>
          </c:val>
          <c:smooth val="0"/>
        </c:ser>
        <c:dLbls>
          <c:showLegendKey val="0"/>
          <c:showVal val="0"/>
          <c:showCatName val="0"/>
          <c:showSerName val="0"/>
          <c:showPercent val="0"/>
          <c:showBubbleSize val="0"/>
        </c:dLbls>
        <c:marker val="1"/>
        <c:smooth val="0"/>
        <c:axId val="-1527457744"/>
        <c:axId val="-1527458832"/>
      </c:lineChart>
      <c:catAx>
        <c:axId val="-1527457744"/>
        <c:scaling>
          <c:orientation val="minMax"/>
        </c:scaling>
        <c:delete val="0"/>
        <c:axPos val="b"/>
        <c:title>
          <c:tx>
            <c:rich>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6436723883314"/>
              <c:y val="0.764957264957265"/>
            </c:manualLayout>
          </c:layout>
          <c:overlay val="0"/>
          <c:spPr>
            <a:noFill/>
            <a:ln w="25411">
              <a:noFill/>
            </a:ln>
          </c:spPr>
        </c:title>
        <c:numFmt formatCode="General" sourceLinked="1"/>
        <c:majorTickMark val="in"/>
        <c:minorTickMark val="none"/>
        <c:tickLblPos val="nextTo"/>
        <c:spPr>
          <a:ln w="3177"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58832"/>
        <c:crosses val="autoZero"/>
        <c:auto val="1"/>
        <c:lblAlgn val="ctr"/>
        <c:lblOffset val="100"/>
        <c:tickLblSkip val="1"/>
        <c:noMultiLvlLbl val="0"/>
      </c:catAx>
      <c:valAx>
        <c:axId val="-1527458832"/>
        <c:scaling>
          <c:orientation val="minMax"/>
        </c:scaling>
        <c:delete val="0"/>
        <c:axPos val="l"/>
        <c:majorGridlines>
          <c:spPr>
            <a:ln w="3177" cap="flat" cmpd="sng" algn="ctr">
              <a:solidFill>
                <a:srgbClr val="000000"/>
              </a:solidFill>
              <a:prstDash val="solid"/>
              <a:round/>
            </a:ln>
          </c:spPr>
        </c:majorGridlines>
        <c:title>
          <c:tx>
            <c:rich>
              <a:bodyPr rot="-540000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52872491166397"/>
              <c:y val="0.243589743589745"/>
            </c:manualLayout>
          </c:layout>
          <c:overlay val="0"/>
          <c:spPr>
            <a:noFill/>
            <a:ln w="25411">
              <a:noFill/>
            </a:ln>
          </c:spPr>
        </c:title>
        <c:numFmt formatCode="General" sourceLinked="1"/>
        <c:majorTickMark val="in"/>
        <c:minorTickMark val="none"/>
        <c:tickLblPos val="nextTo"/>
        <c:spPr>
          <a:ln w="3177"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57744"/>
        <c:crosses val="autoZero"/>
        <c:crossBetween val="between"/>
      </c:valAx>
      <c:spPr>
        <a:solidFill>
          <a:srgbClr val="C0C0C0"/>
        </a:solidFill>
        <a:ln w="12706">
          <a:solidFill>
            <a:srgbClr val="808080"/>
          </a:solidFill>
          <a:prstDash val="solid"/>
        </a:ln>
      </c:spPr>
    </c:plotArea>
    <c:legend>
      <c:legendPos val="b"/>
      <c:layout>
        <c:manualLayout>
          <c:xMode val="edge"/>
          <c:yMode val="edge"/>
          <c:x val="0.170114851816644"/>
          <c:y val="0.905982905982898"/>
          <c:w val="0.786206781099963"/>
          <c:h val="0.0854700854700855"/>
        </c:manualLayout>
      </c:layout>
      <c:overlay val="0"/>
      <c:spPr>
        <a:solidFill>
          <a:srgbClr val="FFFFFF"/>
        </a:solidFill>
        <a:ln w="25411">
          <a:noFill/>
        </a:ln>
      </c:spPr>
      <c:txPr>
        <a:bodyPr rot="0" spcFirstLastPara="0" vertOverflow="ellipsis" vert="horz" wrap="square" anchor="ctr" anchorCtr="1"/>
        <a:lstStyle/>
        <a:p>
          <a:pPr>
            <a:defRPr lang="zh-CN" sz="94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6cee4541-f2e3-4665-834d-a9cc57585bbd}"/>
      </c:ext>
    </c:extLst>
  </c:chart>
  <c:spPr>
    <a:solidFill>
      <a:srgbClr val="FFFFFF"/>
    </a:solidFill>
    <a:ln w="3177" cap="flat" cmpd="sng" algn="ctr">
      <a:solidFill>
        <a:srgbClr val="000000"/>
      </a:solidFill>
      <a:prstDash val="solid"/>
      <a:round/>
    </a:ln>
  </c:spPr>
  <c:txPr>
    <a:bodyPr/>
    <a:lstStyle/>
    <a:p>
      <a:pPr>
        <a:defRPr lang="zh-CN" sz="10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425287356325"/>
          <c:y val="0.0854700854700855"/>
          <c:w val="0.827586206896551"/>
          <c:h val="0.636752136752137"/>
        </c:manualLayout>
      </c:layout>
      <c:lineChart>
        <c:grouping val="standard"/>
        <c:varyColors val="0"/>
        <c:ser>
          <c:idx val="0"/>
          <c:order val="0"/>
          <c:tx>
            <c:strRef>
              <c:f>对比!$B$63</c:f>
              <c:strCache>
                <c:ptCount val="1"/>
                <c:pt idx="0">
                  <c:v>朗肯</c:v>
                </c:pt>
              </c:strCache>
            </c:strRef>
          </c:tx>
          <c:spPr>
            <a:ln w="12706" cap="rnd" cmpd="sng" algn="ctr">
              <a:solidFill>
                <a:srgbClr val="000080"/>
              </a:solidFill>
              <a:prstDash val="solid"/>
              <a:round/>
            </a:ln>
          </c:spPr>
          <c:marker>
            <c:symbol val="diamond"/>
            <c:size val="4"/>
            <c:spPr>
              <a:solidFill>
                <a:srgbClr val="000080"/>
              </a:solidFill>
              <a:ln w="9525" cap="flat" cmpd="sng" algn="ctr">
                <a:solidFill>
                  <a:srgbClr val="000080"/>
                </a:solidFill>
                <a:prstDash val="solid"/>
                <a:round/>
              </a:ln>
            </c:spPr>
          </c:marker>
          <c:dLbls>
            <c:delete val="1"/>
          </c:dLbls>
          <c:cat>
            <c:numRef>
              <c:f>对比!$A$64:$A$79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对比!$B$64:$B$79</c:f>
              <c:numCache>
                <c:formatCode>General</c:formatCode>
                <c:ptCount val="16"/>
                <c:pt idx="0">
                  <c:v>-28</c:v>
                </c:pt>
                <c:pt idx="1">
                  <c:v>-18.2</c:v>
                </c:pt>
                <c:pt idx="2">
                  <c:v>-8.4</c:v>
                </c:pt>
                <c:pt idx="3">
                  <c:v>1.4</c:v>
                </c:pt>
                <c:pt idx="4">
                  <c:v>11.2</c:v>
                </c:pt>
                <c:pt idx="5">
                  <c:v>21</c:v>
                </c:pt>
                <c:pt idx="6">
                  <c:v>30.8</c:v>
                </c:pt>
                <c:pt idx="7">
                  <c:v>40.6</c:v>
                </c:pt>
                <c:pt idx="8">
                  <c:v>50.4</c:v>
                </c:pt>
                <c:pt idx="9">
                  <c:v>60.2</c:v>
                </c:pt>
                <c:pt idx="10">
                  <c:v>70</c:v>
                </c:pt>
                <c:pt idx="11">
                  <c:v>79.8</c:v>
                </c:pt>
                <c:pt idx="12">
                  <c:v>89.6</c:v>
                </c:pt>
                <c:pt idx="13">
                  <c:v>99.4</c:v>
                </c:pt>
                <c:pt idx="14">
                  <c:v>109.2</c:v>
                </c:pt>
                <c:pt idx="15">
                  <c:v>119</c:v>
                </c:pt>
              </c:numCache>
            </c:numRef>
          </c:val>
          <c:smooth val="0"/>
        </c:ser>
        <c:ser>
          <c:idx val="1"/>
          <c:order val="1"/>
          <c:tx>
            <c:strRef>
              <c:f>对比!$C$63</c:f>
              <c:strCache>
                <c:ptCount val="1"/>
                <c:pt idx="0">
                  <c:v>[1]</c:v>
                </c:pt>
              </c:strCache>
            </c:strRef>
          </c:tx>
          <c:spPr>
            <a:ln w="12706" cap="rnd" cmpd="sng" algn="ctr">
              <a:solidFill>
                <a:srgbClr val="FF00FF"/>
              </a:solidFill>
              <a:prstDash val="solid"/>
              <a:round/>
            </a:ln>
          </c:spPr>
          <c:marker>
            <c:symbol val="square"/>
            <c:size val="4"/>
            <c:spPr>
              <a:solidFill>
                <a:srgbClr val="FF00FF"/>
              </a:solidFill>
              <a:ln w="9525" cap="flat" cmpd="sng" algn="ctr">
                <a:solidFill>
                  <a:srgbClr val="FF00FF"/>
                </a:solidFill>
                <a:prstDash val="solid"/>
                <a:round/>
              </a:ln>
            </c:spPr>
          </c:marker>
          <c:dLbls>
            <c:delete val="1"/>
          </c:dLbls>
          <c:cat>
            <c:numRef>
              <c:f>对比!$A$64:$A$79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对比!$C$64:$C$79</c:f>
              <c:numCache>
                <c:formatCode>General</c:formatCode>
                <c:ptCount val="16"/>
                <c:pt idx="0">
                  <c:v>-15.988</c:v>
                </c:pt>
                <c:pt idx="1">
                  <c:v>-7.992</c:v>
                </c:pt>
                <c:pt idx="2" c:formatCode="0.00E+00">
                  <c:v>0.004796</c:v>
                </c:pt>
                <c:pt idx="3">
                  <c:v>8.001</c:v>
                </c:pt>
                <c:pt idx="4">
                  <c:v>15.998</c:v>
                </c:pt>
                <c:pt idx="5">
                  <c:v>23.994</c:v>
                </c:pt>
                <c:pt idx="6">
                  <c:v>31.99</c:v>
                </c:pt>
                <c:pt idx="7">
                  <c:v>39.987</c:v>
                </c:pt>
                <c:pt idx="8">
                  <c:v>47.983</c:v>
                </c:pt>
                <c:pt idx="9">
                  <c:v>55.98</c:v>
                </c:pt>
                <c:pt idx="10">
                  <c:v>63.976</c:v>
                </c:pt>
                <c:pt idx="11">
                  <c:v>71.972</c:v>
                </c:pt>
                <c:pt idx="12">
                  <c:v>79.969</c:v>
                </c:pt>
                <c:pt idx="13">
                  <c:v>87.965</c:v>
                </c:pt>
                <c:pt idx="14">
                  <c:v>95.962</c:v>
                </c:pt>
                <c:pt idx="15">
                  <c:v>103.958</c:v>
                </c:pt>
              </c:numCache>
            </c:numRef>
          </c:val>
          <c:smooth val="0"/>
        </c:ser>
        <c:ser>
          <c:idx val="2"/>
          <c:order val="2"/>
          <c:tx>
            <c:strRef>
              <c:f>对比!$D$63</c:f>
              <c:strCache>
                <c:ptCount val="1"/>
                <c:pt idx="0">
                  <c:v>new</c:v>
                </c:pt>
              </c:strCache>
            </c:strRef>
          </c:tx>
          <c:spPr>
            <a:ln w="12706" cap="rnd" cmpd="sng" algn="ctr">
              <a:solidFill>
                <a:srgbClr val="FFFF00"/>
              </a:solidFill>
              <a:prstDash val="solid"/>
              <a:round/>
            </a:ln>
          </c:spPr>
          <c:marker>
            <c:symbol val="triangle"/>
            <c:size val="4"/>
            <c:spPr>
              <a:solidFill>
                <a:srgbClr val="FFFF00"/>
              </a:solidFill>
              <a:ln w="9525" cap="flat" cmpd="sng" algn="ctr">
                <a:solidFill>
                  <a:srgbClr val="FFFF00"/>
                </a:solidFill>
                <a:prstDash val="solid"/>
                <a:round/>
              </a:ln>
            </c:spPr>
          </c:marker>
          <c:dLbls>
            <c:delete val="1"/>
          </c:dLbls>
          <c:cat>
            <c:numRef>
              <c:f>对比!$A$64:$A$79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对比!$D$64:$D$79</c:f>
              <c:numCache>
                <c:formatCode>General</c:formatCode>
                <c:ptCount val="16"/>
                <c:pt idx="0">
                  <c:v>-28</c:v>
                </c:pt>
                <c:pt idx="1">
                  <c:v>-18.2</c:v>
                </c:pt>
                <c:pt idx="2">
                  <c:v>-8.4</c:v>
                </c:pt>
                <c:pt idx="3">
                  <c:v>1.4</c:v>
                </c:pt>
                <c:pt idx="4">
                  <c:v>11.2</c:v>
                </c:pt>
                <c:pt idx="5">
                  <c:v>21</c:v>
                </c:pt>
                <c:pt idx="6">
                  <c:v>30.8</c:v>
                </c:pt>
                <c:pt idx="7">
                  <c:v>40.6</c:v>
                </c:pt>
                <c:pt idx="8">
                  <c:v>50.4</c:v>
                </c:pt>
                <c:pt idx="9">
                  <c:v>72.732</c:v>
                </c:pt>
                <c:pt idx="10">
                  <c:v>78.785</c:v>
                </c:pt>
                <c:pt idx="11">
                  <c:v>84.429</c:v>
                </c:pt>
                <c:pt idx="12">
                  <c:v>89.708</c:v>
                </c:pt>
                <c:pt idx="13">
                  <c:v>94.662</c:v>
                </c:pt>
                <c:pt idx="14">
                  <c:v>99.32</c:v>
                </c:pt>
                <c:pt idx="15">
                  <c:v>103.712</c:v>
                </c:pt>
              </c:numCache>
            </c:numRef>
          </c:val>
          <c:smooth val="0"/>
        </c:ser>
        <c:ser>
          <c:idx val="3"/>
          <c:order val="3"/>
          <c:tx>
            <c:strRef>
              <c:f>对比!$E$63</c:f>
              <c:strCache>
                <c:ptCount val="1"/>
                <c:pt idx="0">
                  <c:v>面积比</c:v>
                </c:pt>
              </c:strCache>
            </c:strRef>
          </c:tx>
          <c:spPr>
            <a:ln w="12706" cap="rnd" cmpd="sng" algn="ctr">
              <a:solidFill>
                <a:srgbClr val="00FFFF"/>
              </a:solidFill>
              <a:prstDash val="solid"/>
              <a:round/>
            </a:ln>
          </c:spPr>
          <c:marker>
            <c:symbol val="x"/>
            <c:size val="4"/>
            <c:spPr>
              <a:noFill/>
              <a:ln w="9525" cap="flat" cmpd="sng" algn="ctr">
                <a:solidFill>
                  <a:srgbClr val="00FFFF"/>
                </a:solidFill>
                <a:prstDash val="solid"/>
                <a:round/>
              </a:ln>
            </c:spPr>
          </c:marker>
          <c:dLbls>
            <c:delete val="1"/>
          </c:dLbls>
          <c:cat>
            <c:numRef>
              <c:f>对比!$A$64:$A$79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对比!$E$64:$E$79</c:f>
              <c:numCache>
                <c:formatCode>General</c:formatCode>
                <c:ptCount val="16"/>
                <c:pt idx="0">
                  <c:v>-22.848</c:v>
                </c:pt>
                <c:pt idx="1">
                  <c:v>-14.8512</c:v>
                </c:pt>
                <c:pt idx="2">
                  <c:v>-6.8544</c:v>
                </c:pt>
                <c:pt idx="3">
                  <c:v>1.1424</c:v>
                </c:pt>
                <c:pt idx="4">
                  <c:v>9.1392</c:v>
                </c:pt>
                <c:pt idx="5">
                  <c:v>17.136</c:v>
                </c:pt>
                <c:pt idx="6">
                  <c:v>25.1328</c:v>
                </c:pt>
                <c:pt idx="7">
                  <c:v>33.1296</c:v>
                </c:pt>
                <c:pt idx="8">
                  <c:v>41.1264</c:v>
                </c:pt>
                <c:pt idx="9">
                  <c:v>49.1232</c:v>
                </c:pt>
                <c:pt idx="10">
                  <c:v>57.12</c:v>
                </c:pt>
                <c:pt idx="11">
                  <c:v>65.1168</c:v>
                </c:pt>
                <c:pt idx="12">
                  <c:v>73.1136</c:v>
                </c:pt>
                <c:pt idx="13">
                  <c:v>81.1104</c:v>
                </c:pt>
                <c:pt idx="14">
                  <c:v>89.1072</c:v>
                </c:pt>
                <c:pt idx="15">
                  <c:v>97.104</c:v>
                </c:pt>
              </c:numCache>
            </c:numRef>
          </c:val>
          <c:smooth val="0"/>
        </c:ser>
        <c:ser>
          <c:idx val="4"/>
          <c:order val="4"/>
          <c:tx>
            <c:strRef>
              <c:f>对比!$F$63</c:f>
              <c:strCache>
                <c:ptCount val="1"/>
                <c:pt idx="0">
                  <c:v>宽度比</c:v>
                </c:pt>
              </c:strCache>
            </c:strRef>
          </c:tx>
          <c:spPr>
            <a:ln w="12706" cap="rnd" cmpd="sng" algn="ctr">
              <a:solidFill>
                <a:srgbClr val="800080"/>
              </a:solidFill>
              <a:prstDash val="solid"/>
              <a:round/>
            </a:ln>
          </c:spPr>
          <c:marker>
            <c:symbol val="star"/>
            <c:size val="4"/>
            <c:spPr>
              <a:noFill/>
              <a:ln w="9525" cap="flat" cmpd="sng" algn="ctr">
                <a:solidFill>
                  <a:srgbClr val="800080"/>
                </a:solidFill>
                <a:prstDash val="solid"/>
                <a:round/>
              </a:ln>
            </c:spPr>
          </c:marker>
          <c:dLbls>
            <c:delete val="1"/>
          </c:dLbls>
          <c:cat>
            <c:numRef>
              <c:f>对比!$A$64:$A$79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对比!$F$64:$F$79</c:f>
              <c:numCache>
                <c:formatCode>General</c:formatCode>
                <c:ptCount val="16"/>
                <c:pt idx="0">
                  <c:v>-15.988</c:v>
                </c:pt>
                <c:pt idx="1">
                  <c:v>-10.3922</c:v>
                </c:pt>
                <c:pt idx="2">
                  <c:v>-4.7964</c:v>
                </c:pt>
                <c:pt idx="3">
                  <c:v>0.7994</c:v>
                </c:pt>
                <c:pt idx="4">
                  <c:v>6.3952</c:v>
                </c:pt>
                <c:pt idx="5">
                  <c:v>11.991</c:v>
                </c:pt>
                <c:pt idx="6">
                  <c:v>17.5868</c:v>
                </c:pt>
                <c:pt idx="7">
                  <c:v>23.1825999999998</c:v>
                </c:pt>
                <c:pt idx="8">
                  <c:v>28.7783999999998</c:v>
                </c:pt>
                <c:pt idx="9">
                  <c:v>34.3742</c:v>
                </c:pt>
                <c:pt idx="10">
                  <c:v>39.97</c:v>
                </c:pt>
                <c:pt idx="11">
                  <c:v>45.5658</c:v>
                </c:pt>
                <c:pt idx="12">
                  <c:v>51.1616</c:v>
                </c:pt>
                <c:pt idx="13">
                  <c:v>56.7574</c:v>
                </c:pt>
                <c:pt idx="14">
                  <c:v>62.3532</c:v>
                </c:pt>
                <c:pt idx="15">
                  <c:v>67.949</c:v>
                </c:pt>
              </c:numCache>
            </c:numRef>
          </c:val>
          <c:smooth val="0"/>
        </c:ser>
        <c:dLbls>
          <c:showLegendKey val="0"/>
          <c:showVal val="0"/>
          <c:showCatName val="0"/>
          <c:showSerName val="0"/>
          <c:showPercent val="0"/>
          <c:showBubbleSize val="0"/>
        </c:dLbls>
        <c:marker val="1"/>
        <c:smooth val="0"/>
        <c:axId val="-1527468624"/>
        <c:axId val="-1527466992"/>
      </c:lineChart>
      <c:catAx>
        <c:axId val="-1527468624"/>
        <c:scaling>
          <c:orientation val="minMax"/>
        </c:scaling>
        <c:delete val="0"/>
        <c:axPos val="b"/>
        <c:title>
          <c:tx>
            <c:rich>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6436723883314"/>
              <c:y val="0.764957264957265"/>
            </c:manualLayout>
          </c:layout>
          <c:overlay val="0"/>
          <c:spPr>
            <a:noFill/>
            <a:ln w="25411">
              <a:noFill/>
            </a:ln>
          </c:spPr>
        </c:title>
        <c:numFmt formatCode="General" sourceLinked="1"/>
        <c:majorTickMark val="in"/>
        <c:minorTickMark val="none"/>
        <c:tickLblPos val="nextTo"/>
        <c:spPr>
          <a:ln w="3177"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66992"/>
        <c:crosses val="autoZero"/>
        <c:auto val="1"/>
        <c:lblAlgn val="ctr"/>
        <c:lblOffset val="100"/>
        <c:tickLblSkip val="1"/>
        <c:noMultiLvlLbl val="0"/>
      </c:catAx>
      <c:valAx>
        <c:axId val="-1527466992"/>
        <c:scaling>
          <c:orientation val="minMax"/>
        </c:scaling>
        <c:delete val="0"/>
        <c:axPos val="l"/>
        <c:majorGridlines>
          <c:spPr>
            <a:ln w="3177" cap="flat" cmpd="sng" algn="ctr">
              <a:solidFill>
                <a:srgbClr val="000000"/>
              </a:solidFill>
              <a:prstDash val="solid"/>
              <a:round/>
            </a:ln>
          </c:spPr>
        </c:majorGridlines>
        <c:title>
          <c:tx>
            <c:rich>
              <a:bodyPr rot="-540000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52872491166397"/>
              <c:y val="0.243589743589745"/>
            </c:manualLayout>
          </c:layout>
          <c:overlay val="0"/>
          <c:spPr>
            <a:noFill/>
            <a:ln w="25411">
              <a:noFill/>
            </a:ln>
          </c:spPr>
        </c:title>
        <c:numFmt formatCode="General" sourceLinked="1"/>
        <c:majorTickMark val="in"/>
        <c:minorTickMark val="none"/>
        <c:tickLblPos val="nextTo"/>
        <c:spPr>
          <a:ln w="3177"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68624"/>
        <c:crosses val="autoZero"/>
        <c:crossBetween val="between"/>
      </c:valAx>
      <c:spPr>
        <a:solidFill>
          <a:srgbClr val="C0C0C0"/>
        </a:solidFill>
        <a:ln w="12706">
          <a:solidFill>
            <a:srgbClr val="808080"/>
          </a:solidFill>
          <a:prstDash val="solid"/>
        </a:ln>
      </c:spPr>
    </c:plotArea>
    <c:legend>
      <c:legendPos val="b"/>
      <c:layout>
        <c:manualLayout>
          <c:xMode val="edge"/>
          <c:yMode val="edge"/>
          <c:x val="0.170114851816644"/>
          <c:y val="0.905982905982898"/>
          <c:w val="0.786206781099963"/>
          <c:h val="0.0854700854700855"/>
        </c:manualLayout>
      </c:layout>
      <c:overlay val="0"/>
      <c:spPr>
        <a:solidFill>
          <a:srgbClr val="FFFFFF"/>
        </a:solidFill>
        <a:ln w="25411">
          <a:noFill/>
        </a:ln>
      </c:spPr>
      <c:txPr>
        <a:bodyPr rot="0" spcFirstLastPara="0" vertOverflow="ellipsis" vert="horz" wrap="square" anchor="ctr" anchorCtr="1"/>
        <a:lstStyle/>
        <a:p>
          <a:pPr>
            <a:defRPr lang="zh-CN" sz="94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40272a64-1ddd-4403-b8b7-25cc07f7fb13}"/>
      </c:ext>
    </c:extLst>
  </c:chart>
  <c:spPr>
    <a:solidFill>
      <a:srgbClr val="FFFFFF"/>
    </a:solidFill>
    <a:ln w="3177" cap="flat" cmpd="sng" algn="ctr">
      <a:solidFill>
        <a:srgbClr val="000000"/>
      </a:solidFill>
      <a:prstDash val="solid"/>
      <a:round/>
    </a:ln>
  </c:spPr>
  <c:txPr>
    <a:bodyPr/>
    <a:lstStyle/>
    <a:p>
      <a:pPr>
        <a:defRPr lang="zh-CN" sz="10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425287356325"/>
          <c:y val="0.0854700854700855"/>
          <c:w val="0.827586206896551"/>
          <c:h val="0.636752136752137"/>
        </c:manualLayout>
      </c:layout>
      <c:lineChart>
        <c:grouping val="standard"/>
        <c:varyColors val="0"/>
        <c:ser>
          <c:idx val="0"/>
          <c:order val="0"/>
          <c:tx>
            <c:strRef>
              <c:f>对比!$B$84</c:f>
              <c:strCache>
                <c:ptCount val="1"/>
                <c:pt idx="0">
                  <c:v>朗肯</c:v>
                </c:pt>
              </c:strCache>
            </c:strRef>
          </c:tx>
          <c:spPr>
            <a:ln w="12683" cap="rnd" cmpd="sng" algn="ctr">
              <a:solidFill>
                <a:srgbClr val="000080"/>
              </a:solidFill>
              <a:prstDash val="solid"/>
              <a:round/>
            </a:ln>
          </c:spPr>
          <c:marker>
            <c:symbol val="diamond"/>
            <c:size val="3"/>
            <c:spPr>
              <a:solidFill>
                <a:srgbClr val="000080"/>
              </a:solidFill>
              <a:ln w="9525" cap="flat" cmpd="sng" algn="ctr">
                <a:solidFill>
                  <a:srgbClr val="000080"/>
                </a:solidFill>
                <a:prstDash val="solid"/>
                <a:round/>
              </a:ln>
            </c:spPr>
          </c:marker>
          <c:dLbls>
            <c:delete val="1"/>
          </c:dLbls>
          <c:cat>
            <c:numRef>
              <c:f>对比!$A$85:$A$100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对比!$B$85:$B$100</c:f>
              <c:numCache>
                <c:formatCode>General</c:formatCode>
                <c:ptCount val="16"/>
                <c:pt idx="0">
                  <c:v>-28</c:v>
                </c:pt>
                <c:pt idx="1">
                  <c:v>-18.2</c:v>
                </c:pt>
                <c:pt idx="2">
                  <c:v>-8.4</c:v>
                </c:pt>
                <c:pt idx="3">
                  <c:v>1.4</c:v>
                </c:pt>
                <c:pt idx="4">
                  <c:v>11.2</c:v>
                </c:pt>
                <c:pt idx="5">
                  <c:v>21</c:v>
                </c:pt>
                <c:pt idx="6">
                  <c:v>30.8</c:v>
                </c:pt>
                <c:pt idx="7">
                  <c:v>40.6</c:v>
                </c:pt>
                <c:pt idx="8">
                  <c:v>50.4</c:v>
                </c:pt>
                <c:pt idx="9">
                  <c:v>60.2</c:v>
                </c:pt>
                <c:pt idx="10">
                  <c:v>70</c:v>
                </c:pt>
                <c:pt idx="11">
                  <c:v>79.8</c:v>
                </c:pt>
                <c:pt idx="12">
                  <c:v>89.6</c:v>
                </c:pt>
                <c:pt idx="13">
                  <c:v>99.4</c:v>
                </c:pt>
                <c:pt idx="14">
                  <c:v>109.2</c:v>
                </c:pt>
                <c:pt idx="15">
                  <c:v>119</c:v>
                </c:pt>
              </c:numCache>
            </c:numRef>
          </c:val>
          <c:smooth val="0"/>
        </c:ser>
        <c:ser>
          <c:idx val="1"/>
          <c:order val="1"/>
          <c:tx>
            <c:strRef>
              <c:f>对比!$C$84</c:f>
              <c:strCache>
                <c:ptCount val="1"/>
                <c:pt idx="0">
                  <c:v>[1]</c:v>
                </c:pt>
              </c:strCache>
            </c:strRef>
          </c:tx>
          <c:spPr>
            <a:ln w="12683" cap="rnd" cmpd="sng" algn="ctr">
              <a:solidFill>
                <a:srgbClr val="FF00FF"/>
              </a:solidFill>
              <a:prstDash val="solid"/>
              <a:round/>
            </a:ln>
          </c:spPr>
          <c:marker>
            <c:symbol val="square"/>
            <c:size val="3"/>
            <c:spPr>
              <a:solidFill>
                <a:srgbClr val="FF00FF"/>
              </a:solidFill>
              <a:ln w="9525" cap="flat" cmpd="sng" algn="ctr">
                <a:solidFill>
                  <a:srgbClr val="FF00FF"/>
                </a:solidFill>
                <a:prstDash val="solid"/>
                <a:round/>
              </a:ln>
            </c:spPr>
          </c:marker>
          <c:dLbls>
            <c:delete val="1"/>
          </c:dLbls>
          <c:cat>
            <c:numRef>
              <c:f>对比!$A$85:$A$100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对比!$C$85:$C$100</c:f>
              <c:numCache>
                <c:formatCode>General</c:formatCode>
                <c:ptCount val="16"/>
                <c:pt idx="0">
                  <c:v>-19.992</c:v>
                </c:pt>
                <c:pt idx="1">
                  <c:v>-10.994</c:v>
                </c:pt>
                <c:pt idx="2">
                  <c:v>-1.995</c:v>
                </c:pt>
                <c:pt idx="3">
                  <c:v>7.003</c:v>
                </c:pt>
                <c:pt idx="4">
                  <c:v>16.002</c:v>
                </c:pt>
                <c:pt idx="5">
                  <c:v>25</c:v>
                </c:pt>
                <c:pt idx="6">
                  <c:v>33.998</c:v>
                </c:pt>
                <c:pt idx="7">
                  <c:v>42.997</c:v>
                </c:pt>
                <c:pt idx="8">
                  <c:v>51.995</c:v>
                </c:pt>
                <c:pt idx="9">
                  <c:v>60.994</c:v>
                </c:pt>
                <c:pt idx="10">
                  <c:v>69.992</c:v>
                </c:pt>
                <c:pt idx="11">
                  <c:v>78.99</c:v>
                </c:pt>
                <c:pt idx="12">
                  <c:v>87.989</c:v>
                </c:pt>
                <c:pt idx="13">
                  <c:v>96.987</c:v>
                </c:pt>
                <c:pt idx="14">
                  <c:v>105.986</c:v>
                </c:pt>
                <c:pt idx="15">
                  <c:v>114.984</c:v>
                </c:pt>
              </c:numCache>
            </c:numRef>
          </c:val>
          <c:smooth val="0"/>
        </c:ser>
        <c:ser>
          <c:idx val="2"/>
          <c:order val="2"/>
          <c:tx>
            <c:strRef>
              <c:f>对比!$D$84</c:f>
              <c:strCache>
                <c:ptCount val="1"/>
                <c:pt idx="0">
                  <c:v>new</c:v>
                </c:pt>
              </c:strCache>
            </c:strRef>
          </c:tx>
          <c:spPr>
            <a:ln w="12683" cap="rnd" cmpd="sng" algn="ctr">
              <a:solidFill>
                <a:srgbClr val="FFFF00"/>
              </a:solidFill>
              <a:prstDash val="solid"/>
              <a:round/>
            </a:ln>
          </c:spPr>
          <c:marker>
            <c:symbol val="triangle"/>
            <c:size val="3"/>
            <c:spPr>
              <a:solidFill>
                <a:srgbClr val="FFFF00"/>
              </a:solidFill>
              <a:ln w="9525" cap="flat" cmpd="sng" algn="ctr">
                <a:solidFill>
                  <a:srgbClr val="FFFF00"/>
                </a:solidFill>
                <a:prstDash val="solid"/>
                <a:round/>
              </a:ln>
            </c:spPr>
          </c:marker>
          <c:dLbls>
            <c:delete val="1"/>
          </c:dLbls>
          <c:cat>
            <c:numRef>
              <c:f>对比!$A$85:$A$100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对比!$D$85:$D$100</c:f>
              <c:numCache>
                <c:formatCode>General</c:formatCode>
                <c:ptCount val="16"/>
                <c:pt idx="0">
                  <c:v>-28</c:v>
                </c:pt>
                <c:pt idx="1">
                  <c:v>-18.2</c:v>
                </c:pt>
                <c:pt idx="2">
                  <c:v>-8.4</c:v>
                </c:pt>
                <c:pt idx="3">
                  <c:v>1.4</c:v>
                </c:pt>
                <c:pt idx="4">
                  <c:v>11.2</c:v>
                </c:pt>
                <c:pt idx="5">
                  <c:v>21</c:v>
                </c:pt>
                <c:pt idx="6">
                  <c:v>30.8</c:v>
                </c:pt>
                <c:pt idx="7">
                  <c:v>40.6</c:v>
                </c:pt>
                <c:pt idx="8">
                  <c:v>50.4</c:v>
                </c:pt>
                <c:pt idx="9">
                  <c:v>60.2</c:v>
                </c:pt>
                <c:pt idx="10">
                  <c:v>70</c:v>
                </c:pt>
                <c:pt idx="11">
                  <c:v>92.356</c:v>
                </c:pt>
                <c:pt idx="12">
                  <c:v>98.68</c:v>
                </c:pt>
                <c:pt idx="13">
                  <c:v>104.641</c:v>
                </c:pt>
                <c:pt idx="14">
                  <c:v>110.273</c:v>
                </c:pt>
                <c:pt idx="15">
                  <c:v>115.61</c:v>
                </c:pt>
              </c:numCache>
            </c:numRef>
          </c:val>
          <c:smooth val="0"/>
        </c:ser>
        <c:ser>
          <c:idx val="3"/>
          <c:order val="3"/>
          <c:tx>
            <c:strRef>
              <c:f>对比!$E$84</c:f>
              <c:strCache>
                <c:ptCount val="1"/>
                <c:pt idx="0">
                  <c:v>面积比</c:v>
                </c:pt>
              </c:strCache>
            </c:strRef>
          </c:tx>
          <c:spPr>
            <a:ln w="12683" cap="rnd" cmpd="sng" algn="ctr">
              <a:solidFill>
                <a:srgbClr val="00FFFF"/>
              </a:solidFill>
              <a:prstDash val="solid"/>
              <a:round/>
            </a:ln>
          </c:spPr>
          <c:marker>
            <c:symbol val="x"/>
            <c:size val="3"/>
            <c:spPr>
              <a:noFill/>
              <a:ln w="9525" cap="flat" cmpd="sng" algn="ctr">
                <a:solidFill>
                  <a:srgbClr val="00FFFF"/>
                </a:solidFill>
                <a:prstDash val="solid"/>
                <a:round/>
              </a:ln>
            </c:spPr>
          </c:marker>
          <c:dLbls>
            <c:delete val="1"/>
          </c:dLbls>
          <c:cat>
            <c:numRef>
              <c:f>对比!$A$85:$A$100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对比!$E$85:$E$100</c:f>
              <c:numCache>
                <c:formatCode>General</c:formatCode>
                <c:ptCount val="16"/>
                <c:pt idx="0">
                  <c:v>-25.704</c:v>
                </c:pt>
                <c:pt idx="1">
                  <c:v>-16.7076</c:v>
                </c:pt>
                <c:pt idx="2">
                  <c:v>-7.7112</c:v>
                </c:pt>
                <c:pt idx="3">
                  <c:v>1.28519999999999</c:v>
                </c:pt>
                <c:pt idx="4">
                  <c:v>10.2816</c:v>
                </c:pt>
                <c:pt idx="5">
                  <c:v>19.278</c:v>
                </c:pt>
                <c:pt idx="6">
                  <c:v>28.2744</c:v>
                </c:pt>
                <c:pt idx="7">
                  <c:v>37.2708</c:v>
                </c:pt>
                <c:pt idx="8">
                  <c:v>46.2672</c:v>
                </c:pt>
                <c:pt idx="9">
                  <c:v>55.2636</c:v>
                </c:pt>
                <c:pt idx="10">
                  <c:v>64.26</c:v>
                </c:pt>
                <c:pt idx="11">
                  <c:v>73.2564</c:v>
                </c:pt>
                <c:pt idx="12">
                  <c:v>82.2528</c:v>
                </c:pt>
                <c:pt idx="13">
                  <c:v>91.2492000000006</c:v>
                </c:pt>
                <c:pt idx="14">
                  <c:v>100.2456</c:v>
                </c:pt>
                <c:pt idx="15">
                  <c:v>109.242</c:v>
                </c:pt>
              </c:numCache>
            </c:numRef>
          </c:val>
          <c:smooth val="0"/>
        </c:ser>
        <c:ser>
          <c:idx val="4"/>
          <c:order val="4"/>
          <c:tx>
            <c:strRef>
              <c:f>对比!$F$84</c:f>
              <c:strCache>
                <c:ptCount val="1"/>
                <c:pt idx="0">
                  <c:v>宽度比</c:v>
                </c:pt>
              </c:strCache>
            </c:strRef>
          </c:tx>
          <c:spPr>
            <a:ln w="12683" cap="rnd" cmpd="sng" algn="ctr">
              <a:solidFill>
                <a:srgbClr val="800080"/>
              </a:solidFill>
              <a:prstDash val="solid"/>
              <a:round/>
            </a:ln>
          </c:spPr>
          <c:marker>
            <c:symbol val="star"/>
            <c:size val="3"/>
            <c:spPr>
              <a:noFill/>
              <a:ln w="9525" cap="flat" cmpd="sng" algn="ctr">
                <a:solidFill>
                  <a:srgbClr val="800080"/>
                </a:solidFill>
                <a:prstDash val="solid"/>
                <a:round/>
              </a:ln>
            </c:spPr>
          </c:marker>
          <c:dLbls>
            <c:delete val="1"/>
          </c:dLbls>
          <c:cat>
            <c:numRef>
              <c:f>对比!$A$85:$A$100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对比!$F$85:$F$100</c:f>
              <c:numCache>
                <c:formatCode>General</c:formatCode>
                <c:ptCount val="16"/>
                <c:pt idx="0">
                  <c:v>-19.992</c:v>
                </c:pt>
                <c:pt idx="1">
                  <c:v>-12.9948</c:v>
                </c:pt>
                <c:pt idx="2">
                  <c:v>-5.9976</c:v>
                </c:pt>
                <c:pt idx="3">
                  <c:v>0.999599999999999</c:v>
                </c:pt>
                <c:pt idx="4">
                  <c:v>7.9968</c:v>
                </c:pt>
                <c:pt idx="5">
                  <c:v>14.994</c:v>
                </c:pt>
                <c:pt idx="6">
                  <c:v>21.9912</c:v>
                </c:pt>
                <c:pt idx="7">
                  <c:v>28.9883999999997</c:v>
                </c:pt>
                <c:pt idx="8">
                  <c:v>35.9856</c:v>
                </c:pt>
                <c:pt idx="9">
                  <c:v>42.9828</c:v>
                </c:pt>
                <c:pt idx="10">
                  <c:v>49.98</c:v>
                </c:pt>
                <c:pt idx="11">
                  <c:v>56.9772</c:v>
                </c:pt>
                <c:pt idx="12">
                  <c:v>63.9744</c:v>
                </c:pt>
                <c:pt idx="13">
                  <c:v>70.9716</c:v>
                </c:pt>
                <c:pt idx="14">
                  <c:v>77.9688</c:v>
                </c:pt>
                <c:pt idx="15">
                  <c:v>84.966</c:v>
                </c:pt>
              </c:numCache>
            </c:numRef>
          </c:val>
          <c:smooth val="0"/>
        </c:ser>
        <c:dLbls>
          <c:showLegendKey val="0"/>
          <c:showVal val="0"/>
          <c:showCatName val="0"/>
          <c:showSerName val="0"/>
          <c:showPercent val="0"/>
          <c:showBubbleSize val="0"/>
        </c:dLbls>
        <c:marker val="1"/>
        <c:smooth val="0"/>
        <c:axId val="-1527464272"/>
        <c:axId val="-1527478416"/>
      </c:lineChart>
      <c:catAx>
        <c:axId val="-1527464272"/>
        <c:scaling>
          <c:orientation val="minMax"/>
        </c:scaling>
        <c:delete val="0"/>
        <c:axPos val="b"/>
        <c:title>
          <c:tx>
            <c:rich>
              <a:bodyPr rot="0" spcFirstLastPara="0" vertOverflow="ellipsis" vert="horz" wrap="square" anchor="ctr" anchorCtr="1"/>
              <a:lstStyle/>
              <a:p>
                <a:pPr>
                  <a:defRPr lang="zh-CN" sz="10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6436723883314"/>
              <c:y val="0.764957264957265"/>
            </c:manualLayout>
          </c:layout>
          <c:overlay val="0"/>
          <c:spPr>
            <a:noFill/>
            <a:ln w="25365">
              <a:noFill/>
            </a:ln>
          </c:spPr>
        </c:title>
        <c:numFmt formatCode="General" sourceLinked="1"/>
        <c:majorTickMark val="in"/>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78416"/>
        <c:crosses val="autoZero"/>
        <c:auto val="1"/>
        <c:lblAlgn val="ctr"/>
        <c:lblOffset val="100"/>
        <c:tickLblSkip val="1"/>
        <c:noMultiLvlLbl val="0"/>
      </c:catAx>
      <c:valAx>
        <c:axId val="-1527478416"/>
        <c:scaling>
          <c:orientation val="minMax"/>
        </c:scaling>
        <c:delete val="0"/>
        <c:axPos val="l"/>
        <c:majorGridlines>
          <c:spPr>
            <a:ln w="3171" cap="flat" cmpd="sng" algn="ctr">
              <a:solidFill>
                <a:srgbClr val="000000"/>
              </a:solidFill>
              <a:prstDash val="solid"/>
              <a:round/>
            </a:ln>
          </c:spPr>
        </c:majorGridlines>
        <c:title>
          <c:tx>
            <c:rich>
              <a:bodyPr rot="-5400000" spcFirstLastPara="0" vertOverflow="ellipsis" vert="horz" wrap="square" anchor="ctr" anchorCtr="1"/>
              <a:lstStyle/>
              <a:p>
                <a:pPr>
                  <a:defRPr lang="zh-CN" sz="10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52872491166397"/>
              <c:y val="0.243589743589745"/>
            </c:manualLayout>
          </c:layout>
          <c:overlay val="0"/>
          <c:spPr>
            <a:noFill/>
            <a:ln w="25365">
              <a:noFill/>
            </a:ln>
          </c:spPr>
        </c:title>
        <c:numFmt formatCode="General" sourceLinked="1"/>
        <c:majorTickMark val="in"/>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64272"/>
        <c:crosses val="autoZero"/>
        <c:crossBetween val="between"/>
      </c:valAx>
      <c:spPr>
        <a:solidFill>
          <a:srgbClr val="C0C0C0"/>
        </a:solidFill>
        <a:ln w="12683">
          <a:solidFill>
            <a:srgbClr val="808080"/>
          </a:solidFill>
          <a:prstDash val="solid"/>
        </a:ln>
      </c:spPr>
    </c:plotArea>
    <c:legend>
      <c:legendPos val="b"/>
      <c:layout>
        <c:manualLayout>
          <c:xMode val="edge"/>
          <c:yMode val="edge"/>
          <c:x val="0.170114851816644"/>
          <c:y val="0.905982905982898"/>
          <c:w val="0.786206781099963"/>
          <c:h val="0.0854700854700855"/>
        </c:manualLayout>
      </c:layout>
      <c:overlay val="0"/>
      <c:spPr>
        <a:solidFill>
          <a:srgbClr val="FFFFFF"/>
        </a:solidFill>
        <a:ln w="25365">
          <a:noFill/>
        </a:ln>
      </c:spPr>
      <c:txPr>
        <a:bodyPr rot="0" spcFirstLastPara="0" vertOverflow="ellipsis" vert="horz" wrap="square" anchor="ctr" anchorCtr="1"/>
        <a:lstStyle/>
        <a:p>
          <a:pPr>
            <a:defRPr lang="zh-CN" sz="94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3cc63f8b-47c2-4e7b-a715-d3375cfdbd65}"/>
      </c:ext>
    </c:extLst>
  </c:chart>
  <c:spPr>
    <a:solidFill>
      <a:srgbClr val="FFFFFF"/>
    </a:solidFill>
    <a:ln w="3171" cap="flat" cmpd="sng" algn="ctr">
      <a:solidFill>
        <a:srgbClr val="000000"/>
      </a:solidFill>
      <a:prstDash val="solid"/>
      <a:round/>
    </a:ln>
  </c:spPr>
  <c:txPr>
    <a:bodyPr/>
    <a:lstStyle/>
    <a:p>
      <a:pPr>
        <a:defRPr lang="zh-CN" sz="10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425287356325"/>
          <c:y val="0.0854700854700855"/>
          <c:w val="0.827586206896551"/>
          <c:h val="0.636752136752137"/>
        </c:manualLayout>
      </c:layout>
      <c:lineChart>
        <c:grouping val="standard"/>
        <c:varyColors val="0"/>
        <c:ser>
          <c:idx val="0"/>
          <c:order val="0"/>
          <c:tx>
            <c:strRef>
              <c:f>对比!$B$105</c:f>
              <c:strCache>
                <c:ptCount val="1"/>
                <c:pt idx="0">
                  <c:v>朗肯</c:v>
                </c:pt>
              </c:strCache>
            </c:strRef>
          </c:tx>
          <c:spPr>
            <a:ln w="12683" cap="rnd" cmpd="sng" algn="ctr">
              <a:solidFill>
                <a:srgbClr val="000080"/>
              </a:solidFill>
              <a:prstDash val="solid"/>
              <a:round/>
            </a:ln>
          </c:spPr>
          <c:marker>
            <c:symbol val="diamond"/>
            <c:size val="3"/>
            <c:spPr>
              <a:solidFill>
                <a:srgbClr val="000080"/>
              </a:solidFill>
              <a:ln w="9525" cap="flat" cmpd="sng" algn="ctr">
                <a:solidFill>
                  <a:srgbClr val="000080"/>
                </a:solidFill>
                <a:prstDash val="solid"/>
                <a:round/>
              </a:ln>
            </c:spPr>
          </c:marker>
          <c:dLbls>
            <c:delete val="1"/>
          </c:dLbls>
          <c:cat>
            <c:numRef>
              <c:f>对比!$A$106:$A$121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对比!$B$106:$B$121</c:f>
              <c:numCache>
                <c:formatCode>General</c:formatCode>
                <c:ptCount val="16"/>
                <c:pt idx="0">
                  <c:v>-28</c:v>
                </c:pt>
                <c:pt idx="1">
                  <c:v>-18.2</c:v>
                </c:pt>
                <c:pt idx="2">
                  <c:v>-8.4</c:v>
                </c:pt>
                <c:pt idx="3">
                  <c:v>1.4</c:v>
                </c:pt>
                <c:pt idx="4">
                  <c:v>11.2</c:v>
                </c:pt>
                <c:pt idx="5">
                  <c:v>21</c:v>
                </c:pt>
                <c:pt idx="6">
                  <c:v>30.8</c:v>
                </c:pt>
                <c:pt idx="7">
                  <c:v>40.6</c:v>
                </c:pt>
                <c:pt idx="8">
                  <c:v>50.4</c:v>
                </c:pt>
                <c:pt idx="9">
                  <c:v>60.2</c:v>
                </c:pt>
                <c:pt idx="10">
                  <c:v>70</c:v>
                </c:pt>
                <c:pt idx="11">
                  <c:v>79.8</c:v>
                </c:pt>
                <c:pt idx="12">
                  <c:v>89.6</c:v>
                </c:pt>
                <c:pt idx="13">
                  <c:v>99.4</c:v>
                </c:pt>
                <c:pt idx="14">
                  <c:v>109.2</c:v>
                </c:pt>
                <c:pt idx="15">
                  <c:v>119</c:v>
                </c:pt>
              </c:numCache>
            </c:numRef>
          </c:val>
          <c:smooth val="0"/>
        </c:ser>
        <c:ser>
          <c:idx val="1"/>
          <c:order val="1"/>
          <c:tx>
            <c:strRef>
              <c:f>对比!$C$105</c:f>
              <c:strCache>
                <c:ptCount val="1"/>
                <c:pt idx="0">
                  <c:v>[1]</c:v>
                </c:pt>
              </c:strCache>
            </c:strRef>
          </c:tx>
          <c:spPr>
            <a:ln w="12683" cap="rnd" cmpd="sng" algn="ctr">
              <a:solidFill>
                <a:srgbClr val="FF00FF"/>
              </a:solidFill>
              <a:prstDash val="solid"/>
              <a:round/>
            </a:ln>
          </c:spPr>
          <c:marker>
            <c:symbol val="square"/>
            <c:size val="3"/>
            <c:spPr>
              <a:solidFill>
                <a:srgbClr val="FF00FF"/>
              </a:solidFill>
              <a:ln w="9525" cap="flat" cmpd="sng" algn="ctr">
                <a:solidFill>
                  <a:srgbClr val="FF00FF"/>
                </a:solidFill>
                <a:prstDash val="solid"/>
                <a:round/>
              </a:ln>
            </c:spPr>
          </c:marker>
          <c:dLbls>
            <c:delete val="1"/>
          </c:dLbls>
          <c:cat>
            <c:numRef>
              <c:f>对比!$A$106:$A$121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对比!$C$106:$C$121</c:f>
              <c:numCache>
                <c:formatCode>General</c:formatCode>
                <c:ptCount val="16"/>
                <c:pt idx="0">
                  <c:v>-23.9959999999999</c:v>
                </c:pt>
                <c:pt idx="1">
                  <c:v>-14.396</c:v>
                </c:pt>
                <c:pt idx="2">
                  <c:v>-4.797</c:v>
                </c:pt>
                <c:pt idx="3">
                  <c:v>4.803</c:v>
                </c:pt>
                <c:pt idx="4">
                  <c:v>14.402</c:v>
                </c:pt>
                <c:pt idx="5">
                  <c:v>24.002</c:v>
                </c:pt>
                <c:pt idx="6">
                  <c:v>33.602</c:v>
                </c:pt>
                <c:pt idx="7">
                  <c:v>43.201</c:v>
                </c:pt>
                <c:pt idx="8">
                  <c:v>52.801</c:v>
                </c:pt>
                <c:pt idx="9">
                  <c:v>62.4</c:v>
                </c:pt>
                <c:pt idx="10">
                  <c:v>72</c:v>
                </c:pt>
                <c:pt idx="11">
                  <c:v>81.6</c:v>
                </c:pt>
                <c:pt idx="12">
                  <c:v>91.199</c:v>
                </c:pt>
                <c:pt idx="13">
                  <c:v>100.799</c:v>
                </c:pt>
                <c:pt idx="14">
                  <c:v>110.398</c:v>
                </c:pt>
                <c:pt idx="15">
                  <c:v>119.998</c:v>
                </c:pt>
              </c:numCache>
            </c:numRef>
          </c:val>
          <c:smooth val="0"/>
        </c:ser>
        <c:ser>
          <c:idx val="2"/>
          <c:order val="2"/>
          <c:tx>
            <c:strRef>
              <c:f>对比!$D$105</c:f>
              <c:strCache>
                <c:ptCount val="1"/>
                <c:pt idx="0">
                  <c:v>new</c:v>
                </c:pt>
              </c:strCache>
            </c:strRef>
          </c:tx>
          <c:spPr>
            <a:ln w="12683" cap="rnd" cmpd="sng" algn="ctr">
              <a:solidFill>
                <a:srgbClr val="FFFF00"/>
              </a:solidFill>
              <a:prstDash val="solid"/>
              <a:round/>
            </a:ln>
          </c:spPr>
          <c:marker>
            <c:symbol val="triangle"/>
            <c:size val="3"/>
            <c:spPr>
              <a:solidFill>
                <a:srgbClr val="FFFF00"/>
              </a:solidFill>
              <a:ln w="9525" cap="flat" cmpd="sng" algn="ctr">
                <a:solidFill>
                  <a:srgbClr val="FFFF00"/>
                </a:solidFill>
                <a:prstDash val="solid"/>
                <a:round/>
              </a:ln>
            </c:spPr>
          </c:marker>
          <c:dLbls>
            <c:delete val="1"/>
          </c:dLbls>
          <c:cat>
            <c:numRef>
              <c:f>对比!$A$106:$A$121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对比!$D$106:$D$121</c:f>
              <c:numCache>
                <c:formatCode>General</c:formatCode>
                <c:ptCount val="16"/>
                <c:pt idx="0">
                  <c:v>-28</c:v>
                </c:pt>
                <c:pt idx="1">
                  <c:v>-18.2</c:v>
                </c:pt>
                <c:pt idx="2">
                  <c:v>-8.4</c:v>
                </c:pt>
                <c:pt idx="3">
                  <c:v>1.4</c:v>
                </c:pt>
                <c:pt idx="4">
                  <c:v>11.2</c:v>
                </c:pt>
                <c:pt idx="5">
                  <c:v>21</c:v>
                </c:pt>
                <c:pt idx="6">
                  <c:v>30.8</c:v>
                </c:pt>
                <c:pt idx="7">
                  <c:v>40.6</c:v>
                </c:pt>
                <c:pt idx="8">
                  <c:v>50.4</c:v>
                </c:pt>
                <c:pt idx="9">
                  <c:v>60.2</c:v>
                </c:pt>
                <c:pt idx="10">
                  <c:v>70</c:v>
                </c:pt>
                <c:pt idx="11">
                  <c:v>79.8</c:v>
                </c:pt>
                <c:pt idx="12">
                  <c:v>89.6</c:v>
                </c:pt>
                <c:pt idx="13">
                  <c:v>112.071</c:v>
                </c:pt>
                <c:pt idx="14">
                  <c:v>118.587</c:v>
                </c:pt>
                <c:pt idx="15">
                  <c:v>124.78</c:v>
                </c:pt>
              </c:numCache>
            </c:numRef>
          </c:val>
          <c:smooth val="0"/>
        </c:ser>
        <c:ser>
          <c:idx val="3"/>
          <c:order val="3"/>
          <c:tx>
            <c:strRef>
              <c:f>对比!$E$105</c:f>
              <c:strCache>
                <c:ptCount val="1"/>
                <c:pt idx="0">
                  <c:v>面积比</c:v>
                </c:pt>
              </c:strCache>
            </c:strRef>
          </c:tx>
          <c:spPr>
            <a:ln w="12683" cap="rnd" cmpd="sng" algn="ctr">
              <a:solidFill>
                <a:srgbClr val="00FFFF"/>
              </a:solidFill>
              <a:prstDash val="solid"/>
              <a:round/>
            </a:ln>
          </c:spPr>
          <c:marker>
            <c:symbol val="x"/>
            <c:size val="3"/>
            <c:spPr>
              <a:noFill/>
              <a:ln w="9525" cap="flat" cmpd="sng" algn="ctr">
                <a:solidFill>
                  <a:srgbClr val="00FFFF"/>
                </a:solidFill>
                <a:prstDash val="solid"/>
                <a:round/>
              </a:ln>
            </c:spPr>
          </c:marker>
          <c:dLbls>
            <c:delete val="1"/>
          </c:dLbls>
          <c:cat>
            <c:numRef>
              <c:f>对比!$A$106:$A$121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对比!$E$106:$E$121</c:f>
              <c:numCache>
                <c:formatCode>General</c:formatCode>
                <c:ptCount val="16"/>
                <c:pt idx="0">
                  <c:v>-27.44</c:v>
                </c:pt>
                <c:pt idx="1">
                  <c:v>-17.836</c:v>
                </c:pt>
                <c:pt idx="2">
                  <c:v>-8.232</c:v>
                </c:pt>
                <c:pt idx="3">
                  <c:v>1.37199999999999</c:v>
                </c:pt>
                <c:pt idx="4">
                  <c:v>10.976</c:v>
                </c:pt>
                <c:pt idx="5">
                  <c:v>20.58</c:v>
                </c:pt>
                <c:pt idx="6">
                  <c:v>30.184</c:v>
                </c:pt>
                <c:pt idx="7">
                  <c:v>39.788</c:v>
                </c:pt>
                <c:pt idx="8">
                  <c:v>49.392</c:v>
                </c:pt>
                <c:pt idx="9">
                  <c:v>58.996</c:v>
                </c:pt>
                <c:pt idx="10">
                  <c:v>68.6</c:v>
                </c:pt>
                <c:pt idx="11">
                  <c:v>78.204</c:v>
                </c:pt>
                <c:pt idx="12">
                  <c:v>87.808</c:v>
                </c:pt>
                <c:pt idx="13">
                  <c:v>97.412</c:v>
                </c:pt>
                <c:pt idx="14">
                  <c:v>107.016</c:v>
                </c:pt>
                <c:pt idx="15">
                  <c:v>116.62</c:v>
                </c:pt>
              </c:numCache>
            </c:numRef>
          </c:val>
          <c:smooth val="0"/>
        </c:ser>
        <c:ser>
          <c:idx val="4"/>
          <c:order val="4"/>
          <c:tx>
            <c:strRef>
              <c:f>对比!$F$105</c:f>
              <c:strCache>
                <c:ptCount val="1"/>
                <c:pt idx="0">
                  <c:v>宽度比</c:v>
                </c:pt>
              </c:strCache>
            </c:strRef>
          </c:tx>
          <c:spPr>
            <a:ln w="12683" cap="rnd" cmpd="sng" algn="ctr">
              <a:solidFill>
                <a:srgbClr val="800080"/>
              </a:solidFill>
              <a:prstDash val="solid"/>
              <a:round/>
            </a:ln>
          </c:spPr>
          <c:marker>
            <c:symbol val="star"/>
            <c:size val="3"/>
            <c:spPr>
              <a:noFill/>
              <a:ln w="9525" cap="flat" cmpd="sng" algn="ctr">
                <a:solidFill>
                  <a:srgbClr val="800080"/>
                </a:solidFill>
                <a:prstDash val="solid"/>
                <a:round/>
              </a:ln>
            </c:spPr>
          </c:marker>
          <c:dLbls>
            <c:delete val="1"/>
          </c:dLbls>
          <c:cat>
            <c:numRef>
              <c:f>对比!$A$106:$A$121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对比!$F$106:$F$121</c:f>
              <c:numCache>
                <c:formatCode>General</c:formatCode>
                <c:ptCount val="16"/>
                <c:pt idx="0">
                  <c:v>-23.9959999999999</c:v>
                </c:pt>
                <c:pt idx="1">
                  <c:v>-15.5974</c:v>
                </c:pt>
                <c:pt idx="2">
                  <c:v>-7.1988</c:v>
                </c:pt>
                <c:pt idx="3">
                  <c:v>1.1998</c:v>
                </c:pt>
                <c:pt idx="4">
                  <c:v>9.5984</c:v>
                </c:pt>
                <c:pt idx="5">
                  <c:v>17.997</c:v>
                </c:pt>
                <c:pt idx="6">
                  <c:v>26.3956</c:v>
                </c:pt>
                <c:pt idx="7">
                  <c:v>34.7942</c:v>
                </c:pt>
                <c:pt idx="8">
                  <c:v>43.1928</c:v>
                </c:pt>
                <c:pt idx="9">
                  <c:v>51.5914</c:v>
                </c:pt>
                <c:pt idx="10">
                  <c:v>59.99</c:v>
                </c:pt>
                <c:pt idx="11">
                  <c:v>68.3886</c:v>
                </c:pt>
                <c:pt idx="12">
                  <c:v>76.7872</c:v>
                </c:pt>
                <c:pt idx="13">
                  <c:v>85.1858</c:v>
                </c:pt>
                <c:pt idx="14">
                  <c:v>93.5844</c:v>
                </c:pt>
                <c:pt idx="15">
                  <c:v>101.983</c:v>
                </c:pt>
              </c:numCache>
            </c:numRef>
          </c:val>
          <c:smooth val="0"/>
        </c:ser>
        <c:dLbls>
          <c:showLegendKey val="0"/>
          <c:showVal val="0"/>
          <c:showCatName val="0"/>
          <c:showSerName val="0"/>
          <c:showPercent val="0"/>
          <c:showBubbleSize val="0"/>
        </c:dLbls>
        <c:marker val="1"/>
        <c:smooth val="0"/>
        <c:axId val="-1527460464"/>
        <c:axId val="-1527459920"/>
      </c:lineChart>
      <c:catAx>
        <c:axId val="-1527460464"/>
        <c:scaling>
          <c:orientation val="minMax"/>
        </c:scaling>
        <c:delete val="0"/>
        <c:axPos val="b"/>
        <c:title>
          <c:tx>
            <c:rich>
              <a:bodyPr rot="0" spcFirstLastPara="0" vertOverflow="ellipsis" vert="horz" wrap="square" anchor="ctr" anchorCtr="1"/>
              <a:lstStyle/>
              <a:p>
                <a:pPr>
                  <a:defRPr lang="zh-CN" sz="10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6436723883314"/>
              <c:y val="0.764957264957265"/>
            </c:manualLayout>
          </c:layout>
          <c:overlay val="0"/>
          <c:spPr>
            <a:noFill/>
            <a:ln w="25365">
              <a:noFill/>
            </a:ln>
          </c:spPr>
        </c:title>
        <c:numFmt formatCode="General" sourceLinked="1"/>
        <c:majorTickMark val="in"/>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59920"/>
        <c:crosses val="autoZero"/>
        <c:auto val="1"/>
        <c:lblAlgn val="ctr"/>
        <c:lblOffset val="100"/>
        <c:tickLblSkip val="1"/>
        <c:noMultiLvlLbl val="0"/>
      </c:catAx>
      <c:valAx>
        <c:axId val="-1527459920"/>
        <c:scaling>
          <c:orientation val="minMax"/>
        </c:scaling>
        <c:delete val="0"/>
        <c:axPos val="l"/>
        <c:majorGridlines>
          <c:spPr>
            <a:ln w="3171" cap="flat" cmpd="sng" algn="ctr">
              <a:solidFill>
                <a:srgbClr val="000000"/>
              </a:solidFill>
              <a:prstDash val="solid"/>
              <a:round/>
            </a:ln>
          </c:spPr>
        </c:majorGridlines>
        <c:title>
          <c:tx>
            <c:rich>
              <a:bodyPr rot="-5400000" spcFirstLastPara="0" vertOverflow="ellipsis" vert="horz" wrap="square" anchor="ctr" anchorCtr="1"/>
              <a:lstStyle/>
              <a:p>
                <a:pPr>
                  <a:defRPr lang="zh-CN" sz="10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52872491166397"/>
              <c:y val="0.243589743589745"/>
            </c:manualLayout>
          </c:layout>
          <c:overlay val="0"/>
          <c:spPr>
            <a:noFill/>
            <a:ln w="25365">
              <a:noFill/>
            </a:ln>
          </c:spPr>
        </c:title>
        <c:numFmt formatCode="General" sourceLinked="1"/>
        <c:majorTickMark val="in"/>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60464"/>
        <c:crosses val="autoZero"/>
        <c:crossBetween val="between"/>
      </c:valAx>
      <c:spPr>
        <a:solidFill>
          <a:srgbClr val="C0C0C0"/>
        </a:solidFill>
        <a:ln w="12683">
          <a:solidFill>
            <a:srgbClr val="808080"/>
          </a:solidFill>
          <a:prstDash val="solid"/>
        </a:ln>
      </c:spPr>
    </c:plotArea>
    <c:legend>
      <c:legendPos val="b"/>
      <c:layout>
        <c:manualLayout>
          <c:xMode val="edge"/>
          <c:yMode val="edge"/>
          <c:x val="0.170114851816644"/>
          <c:y val="0.905982905982898"/>
          <c:w val="0.786206781099963"/>
          <c:h val="0.0854700854700855"/>
        </c:manualLayout>
      </c:layout>
      <c:overlay val="0"/>
      <c:spPr>
        <a:solidFill>
          <a:srgbClr val="FFFFFF"/>
        </a:solidFill>
        <a:ln w="25365">
          <a:noFill/>
        </a:ln>
      </c:spPr>
      <c:txPr>
        <a:bodyPr rot="0" spcFirstLastPara="0" vertOverflow="ellipsis" vert="horz" wrap="square" anchor="ctr" anchorCtr="1"/>
        <a:lstStyle/>
        <a:p>
          <a:pPr>
            <a:defRPr lang="zh-CN" sz="94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65619264-25bf-4944-b0a8-9976492441c1}"/>
      </c:ext>
    </c:extLst>
  </c:chart>
  <c:spPr>
    <a:solidFill>
      <a:srgbClr val="FFFFFF"/>
    </a:solidFill>
    <a:ln w="3171" cap="flat" cmpd="sng" algn="ctr">
      <a:solidFill>
        <a:srgbClr val="000000"/>
      </a:solidFill>
      <a:prstDash val="solid"/>
      <a:round/>
    </a:ln>
  </c:spPr>
  <c:txPr>
    <a:bodyPr/>
    <a:lstStyle/>
    <a:p>
      <a:pPr>
        <a:defRPr lang="zh-CN" sz="10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425287356325"/>
          <c:y val="0.0858369098712447"/>
          <c:w val="0.827586206896551"/>
          <c:h val="0.635193133047211"/>
        </c:manualLayout>
      </c:layout>
      <c:lineChart>
        <c:grouping val="standard"/>
        <c:varyColors val="0"/>
        <c:ser>
          <c:idx val="0"/>
          <c:order val="0"/>
          <c:tx>
            <c:strRef>
              <c:f>对比!$B$127</c:f>
              <c:strCache>
                <c:ptCount val="1"/>
                <c:pt idx="0">
                  <c:v>朗肯</c:v>
                </c:pt>
              </c:strCache>
            </c:strRef>
          </c:tx>
          <c:spPr>
            <a:ln w="12679" cap="rnd" cmpd="sng" algn="ctr">
              <a:solidFill>
                <a:srgbClr val="000080"/>
              </a:solidFill>
              <a:prstDash val="solid"/>
              <a:round/>
            </a:ln>
          </c:spPr>
          <c:marker>
            <c:symbol val="diamond"/>
            <c:size val="3"/>
            <c:spPr>
              <a:solidFill>
                <a:srgbClr val="000080"/>
              </a:solidFill>
              <a:ln w="9525" cap="flat" cmpd="sng" algn="ctr">
                <a:solidFill>
                  <a:srgbClr val="000080"/>
                </a:solidFill>
                <a:prstDash val="solid"/>
                <a:round/>
              </a:ln>
            </c:spPr>
          </c:marker>
          <c:dLbls>
            <c:delete val="1"/>
          </c:dLbls>
          <c:cat>
            <c:numRef>
              <c:f>对比!$A$128:$A$143</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对比!$B$128:$B$143</c:f>
              <c:numCache>
                <c:formatCode>General</c:formatCode>
                <c:ptCount val="16"/>
                <c:pt idx="0">
                  <c:v>-28</c:v>
                </c:pt>
                <c:pt idx="1">
                  <c:v>-18.2</c:v>
                </c:pt>
                <c:pt idx="2">
                  <c:v>-8.4</c:v>
                </c:pt>
                <c:pt idx="3">
                  <c:v>1.4</c:v>
                </c:pt>
                <c:pt idx="4">
                  <c:v>11.2</c:v>
                </c:pt>
                <c:pt idx="5">
                  <c:v>21</c:v>
                </c:pt>
                <c:pt idx="6">
                  <c:v>30.8</c:v>
                </c:pt>
                <c:pt idx="7">
                  <c:v>40.6</c:v>
                </c:pt>
                <c:pt idx="8">
                  <c:v>50.4</c:v>
                </c:pt>
                <c:pt idx="9">
                  <c:v>60.2</c:v>
                </c:pt>
                <c:pt idx="10">
                  <c:v>70</c:v>
                </c:pt>
                <c:pt idx="11">
                  <c:v>79.8</c:v>
                </c:pt>
                <c:pt idx="12">
                  <c:v>89.6</c:v>
                </c:pt>
                <c:pt idx="13">
                  <c:v>99.4</c:v>
                </c:pt>
                <c:pt idx="14">
                  <c:v>109.2</c:v>
                </c:pt>
                <c:pt idx="15">
                  <c:v>119</c:v>
                </c:pt>
              </c:numCache>
            </c:numRef>
          </c:val>
          <c:smooth val="0"/>
        </c:ser>
        <c:ser>
          <c:idx val="1"/>
          <c:order val="1"/>
          <c:tx>
            <c:strRef>
              <c:f>对比!$C$127</c:f>
              <c:strCache>
                <c:ptCount val="1"/>
                <c:pt idx="0">
                  <c:v>b=0.8H</c:v>
                </c:pt>
              </c:strCache>
            </c:strRef>
          </c:tx>
          <c:spPr>
            <a:ln w="12679" cap="rnd" cmpd="sng" algn="ctr">
              <a:solidFill>
                <a:srgbClr val="FF00FF"/>
              </a:solidFill>
              <a:prstDash val="solid"/>
              <a:round/>
            </a:ln>
          </c:spPr>
          <c:marker>
            <c:symbol val="square"/>
            <c:size val="3"/>
            <c:spPr>
              <a:solidFill>
                <a:srgbClr val="FF00FF"/>
              </a:solidFill>
              <a:ln w="9525" cap="flat" cmpd="sng" algn="ctr">
                <a:solidFill>
                  <a:srgbClr val="FF00FF"/>
                </a:solidFill>
                <a:prstDash val="solid"/>
                <a:round/>
              </a:ln>
            </c:spPr>
          </c:marker>
          <c:dLbls>
            <c:delete val="1"/>
          </c:dLbls>
          <c:cat>
            <c:numRef>
              <c:f>对比!$A$128:$A$143</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对比!$C$128:$C$143</c:f>
              <c:numCache>
                <c:formatCode>General</c:formatCode>
                <c:ptCount val="16"/>
                <c:pt idx="0">
                  <c:v>-31.979</c:v>
                </c:pt>
                <c:pt idx="1">
                  <c:v>-22.377</c:v>
                </c:pt>
                <c:pt idx="2">
                  <c:v>-12.775</c:v>
                </c:pt>
                <c:pt idx="3">
                  <c:v>-3.172</c:v>
                </c:pt>
                <c:pt idx="4">
                  <c:v>6.43</c:v>
                </c:pt>
                <c:pt idx="5">
                  <c:v>16.032</c:v>
                </c:pt>
                <c:pt idx="6">
                  <c:v>25.6340000000001</c:v>
                </c:pt>
                <c:pt idx="7">
                  <c:v>35.236</c:v>
                </c:pt>
                <c:pt idx="8">
                  <c:v>44.838</c:v>
                </c:pt>
                <c:pt idx="9">
                  <c:v>54.44</c:v>
                </c:pt>
                <c:pt idx="10">
                  <c:v>64.042</c:v>
                </c:pt>
                <c:pt idx="11">
                  <c:v>73.644</c:v>
                </c:pt>
                <c:pt idx="12">
                  <c:v>83.2470000000002</c:v>
                </c:pt>
                <c:pt idx="13">
                  <c:v>92.849</c:v>
                </c:pt>
                <c:pt idx="14">
                  <c:v>102.451</c:v>
                </c:pt>
                <c:pt idx="15">
                  <c:v>112.053</c:v>
                </c:pt>
              </c:numCache>
            </c:numRef>
          </c:val>
          <c:smooth val="0"/>
        </c:ser>
        <c:ser>
          <c:idx val="2"/>
          <c:order val="2"/>
          <c:tx>
            <c:strRef>
              <c:f>对比!$D$127</c:f>
              <c:strCache>
                <c:ptCount val="1"/>
                <c:pt idx="0">
                  <c:v>b=0.9H</c:v>
                </c:pt>
              </c:strCache>
            </c:strRef>
          </c:tx>
          <c:spPr>
            <a:ln w="12679" cap="rnd" cmpd="sng" algn="ctr">
              <a:solidFill>
                <a:srgbClr val="FFFF00"/>
              </a:solidFill>
              <a:prstDash val="solid"/>
              <a:round/>
            </a:ln>
          </c:spPr>
          <c:marker>
            <c:symbol val="triangle"/>
            <c:size val="3"/>
            <c:spPr>
              <a:solidFill>
                <a:srgbClr val="FFFF00"/>
              </a:solidFill>
              <a:ln w="9525" cap="flat" cmpd="sng" algn="ctr">
                <a:solidFill>
                  <a:srgbClr val="FFFF00"/>
                </a:solidFill>
                <a:prstDash val="solid"/>
                <a:round/>
              </a:ln>
            </c:spPr>
          </c:marker>
          <c:dLbls>
            <c:delete val="1"/>
          </c:dLbls>
          <c:cat>
            <c:numRef>
              <c:f>对比!$A$128:$A$143</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对比!$D$128:$D$143</c:f>
              <c:numCache>
                <c:formatCode>General</c:formatCode>
                <c:ptCount val="16"/>
                <c:pt idx="0">
                  <c:v>-35.98</c:v>
                </c:pt>
                <c:pt idx="1">
                  <c:v>-26.9759999999999</c:v>
                </c:pt>
                <c:pt idx="2">
                  <c:v>-17.972</c:v>
                </c:pt>
                <c:pt idx="3">
                  <c:v>-8.968</c:v>
                </c:pt>
                <c:pt idx="4">
                  <c:v>0.036</c:v>
                </c:pt>
                <c:pt idx="5">
                  <c:v>9.04</c:v>
                </c:pt>
                <c:pt idx="6">
                  <c:v>18.044</c:v>
                </c:pt>
                <c:pt idx="7">
                  <c:v>27.048</c:v>
                </c:pt>
                <c:pt idx="8">
                  <c:v>36.052</c:v>
                </c:pt>
                <c:pt idx="9">
                  <c:v>45.056</c:v>
                </c:pt>
                <c:pt idx="10">
                  <c:v>54.06</c:v>
                </c:pt>
                <c:pt idx="11">
                  <c:v>63.064</c:v>
                </c:pt>
                <c:pt idx="12">
                  <c:v>72.068</c:v>
                </c:pt>
                <c:pt idx="13">
                  <c:v>81.072</c:v>
                </c:pt>
                <c:pt idx="14">
                  <c:v>90.076</c:v>
                </c:pt>
                <c:pt idx="15">
                  <c:v>99.08</c:v>
                </c:pt>
              </c:numCache>
            </c:numRef>
          </c:val>
          <c:smooth val="0"/>
        </c:ser>
        <c:ser>
          <c:idx val="3"/>
          <c:order val="3"/>
          <c:tx>
            <c:strRef>
              <c:f>对比!$E$127</c:f>
              <c:strCache>
                <c:ptCount val="1"/>
                <c:pt idx="0">
                  <c:v>b=H</c:v>
                </c:pt>
              </c:strCache>
            </c:strRef>
          </c:tx>
          <c:spPr>
            <a:ln w="12679" cap="rnd" cmpd="sng" algn="ctr">
              <a:solidFill>
                <a:srgbClr val="00FFFF"/>
              </a:solidFill>
              <a:prstDash val="solid"/>
              <a:round/>
            </a:ln>
          </c:spPr>
          <c:marker>
            <c:symbol val="x"/>
            <c:size val="3"/>
            <c:spPr>
              <a:noFill/>
              <a:ln w="9525" cap="flat" cmpd="sng" algn="ctr">
                <a:solidFill>
                  <a:srgbClr val="00FFFF"/>
                </a:solidFill>
                <a:prstDash val="solid"/>
                <a:round/>
              </a:ln>
            </c:spPr>
          </c:marker>
          <c:dLbls>
            <c:delete val="1"/>
          </c:dLbls>
          <c:cat>
            <c:numRef>
              <c:f>对比!$A$128:$A$143</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对比!$E$128:$E$143</c:f>
              <c:numCache>
                <c:formatCode>General</c:formatCode>
                <c:ptCount val="16"/>
                <c:pt idx="0">
                  <c:v>-39.984</c:v>
                </c:pt>
                <c:pt idx="1">
                  <c:v>-31.979</c:v>
                </c:pt>
                <c:pt idx="2">
                  <c:v>-23.974</c:v>
                </c:pt>
                <c:pt idx="3">
                  <c:v>-15.97</c:v>
                </c:pt>
                <c:pt idx="4">
                  <c:v>-7.96499999999999</c:v>
                </c:pt>
                <c:pt idx="5">
                  <c:v>0.04</c:v>
                </c:pt>
                <c:pt idx="6">
                  <c:v>8.045</c:v>
                </c:pt>
                <c:pt idx="7">
                  <c:v>16.05</c:v>
                </c:pt>
                <c:pt idx="8">
                  <c:v>24.054</c:v>
                </c:pt>
                <c:pt idx="9">
                  <c:v>32.059</c:v>
                </c:pt>
                <c:pt idx="10">
                  <c:v>40.064</c:v>
                </c:pt>
                <c:pt idx="11">
                  <c:v>48.069</c:v>
                </c:pt>
                <c:pt idx="12">
                  <c:v>56.074</c:v>
                </c:pt>
                <c:pt idx="13">
                  <c:v>64.078</c:v>
                </c:pt>
                <c:pt idx="14">
                  <c:v>72.083</c:v>
                </c:pt>
                <c:pt idx="15">
                  <c:v>80.088</c:v>
                </c:pt>
              </c:numCache>
            </c:numRef>
          </c:val>
          <c:smooth val="0"/>
        </c:ser>
        <c:dLbls>
          <c:showLegendKey val="0"/>
          <c:showVal val="0"/>
          <c:showCatName val="0"/>
          <c:showSerName val="0"/>
          <c:showPercent val="0"/>
          <c:showBubbleSize val="0"/>
        </c:dLbls>
        <c:marker val="1"/>
        <c:smooth val="0"/>
        <c:axId val="-1527455568"/>
        <c:axId val="-1527455024"/>
      </c:lineChart>
      <c:catAx>
        <c:axId val="-1527455568"/>
        <c:scaling>
          <c:orientation val="minMax"/>
        </c:scaling>
        <c:delete val="0"/>
        <c:axPos val="b"/>
        <c:title>
          <c:tx>
            <c:rich>
              <a:bodyPr rot="0" spcFirstLastPara="0" vertOverflow="ellipsis" vert="horz" wrap="square" anchor="ctr" anchorCtr="1"/>
              <a:lstStyle/>
              <a:p>
                <a:pPr>
                  <a:defRPr lang="zh-CN" sz="10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6436723883314"/>
              <c:y val="0.763948497854087"/>
            </c:manualLayout>
          </c:layout>
          <c:overlay val="0"/>
          <c:spPr>
            <a:noFill/>
            <a:ln w="25356">
              <a:noFill/>
            </a:ln>
          </c:spPr>
        </c:title>
        <c:numFmt formatCode="General" sourceLinked="1"/>
        <c:majorTickMark val="in"/>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55024"/>
        <c:crosses val="autoZero"/>
        <c:auto val="1"/>
        <c:lblAlgn val="l"/>
        <c:lblOffset val="100"/>
        <c:tickLblSkip val="1"/>
        <c:noMultiLvlLbl val="0"/>
      </c:catAx>
      <c:valAx>
        <c:axId val="-1527455024"/>
        <c:scaling>
          <c:orientation val="minMax"/>
        </c:scaling>
        <c:delete val="0"/>
        <c:axPos val="l"/>
        <c:majorGridlines>
          <c:spPr>
            <a:ln w="3170" cap="flat" cmpd="sng" algn="ctr">
              <a:solidFill>
                <a:srgbClr val="000000"/>
              </a:solidFill>
              <a:prstDash val="solid"/>
              <a:round/>
            </a:ln>
          </c:spPr>
        </c:majorGridlines>
        <c:title>
          <c:tx>
            <c:rich>
              <a:bodyPr rot="-5400000" spcFirstLastPara="0" vertOverflow="ellipsis" vert="horz" wrap="square" anchor="ctr" anchorCtr="1"/>
              <a:lstStyle/>
              <a:p>
                <a:pPr>
                  <a:defRPr lang="zh-CN" sz="102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52872491166397"/>
              <c:y val="0.244635193133047"/>
            </c:manualLayout>
          </c:layout>
          <c:overlay val="0"/>
          <c:spPr>
            <a:noFill/>
            <a:ln w="25356">
              <a:noFill/>
            </a:ln>
          </c:spPr>
        </c:title>
        <c:numFmt formatCode="General" sourceLinked="1"/>
        <c:majorTickMark val="in"/>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27455568"/>
        <c:crosses val="autoZero"/>
        <c:crossBetween val="between"/>
      </c:valAx>
      <c:spPr>
        <a:solidFill>
          <a:srgbClr val="C0C0C0"/>
        </a:solidFill>
        <a:ln w="12679">
          <a:solidFill>
            <a:srgbClr val="808080"/>
          </a:solidFill>
          <a:prstDash val="solid"/>
        </a:ln>
      </c:spPr>
    </c:plotArea>
    <c:legend>
      <c:legendPos val="b"/>
      <c:layout>
        <c:manualLayout>
          <c:xMode val="edge"/>
          <c:yMode val="edge"/>
          <c:x val="0.23678151848331"/>
          <c:y val="0.905579399141626"/>
          <c:w val="0.652873447766638"/>
          <c:h val="0.0858369098712447"/>
        </c:manualLayout>
      </c:layout>
      <c:overlay val="0"/>
      <c:spPr>
        <a:solidFill>
          <a:srgbClr val="FFFFFF"/>
        </a:solidFill>
        <a:ln w="25356">
          <a:noFill/>
        </a:ln>
      </c:spPr>
      <c:txPr>
        <a:bodyPr rot="0" spcFirstLastPara="0" vertOverflow="ellipsis" vert="horz" wrap="square" anchor="ctr" anchorCtr="1"/>
        <a:lstStyle/>
        <a:p>
          <a:pPr>
            <a:defRPr lang="zh-CN" sz="94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7b752c75-b8d4-4ded-93e0-56cf5c8f44ab}"/>
      </c:ext>
    </c:extLst>
  </c:chart>
  <c:spPr>
    <a:solidFill>
      <a:srgbClr val="FFFFFF"/>
    </a:solidFill>
    <a:ln w="3170" cap="flat" cmpd="sng" algn="ctr">
      <a:solidFill>
        <a:srgbClr val="000000"/>
      </a:solidFill>
      <a:prstDash val="solid"/>
      <a:round/>
    </a:ln>
  </c:spPr>
  <c:txPr>
    <a:bodyPr/>
    <a:lstStyle/>
    <a:p>
      <a:pPr>
        <a:defRPr lang="zh-CN" sz="10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717761557181"/>
          <c:y val="0.090497737556561"/>
          <c:w val="0.81995133819952"/>
          <c:h val="0.542986425339366"/>
        </c:manualLayout>
      </c:layout>
      <c:lineChart>
        <c:grouping val="standard"/>
        <c:varyColors val="0"/>
        <c:ser>
          <c:idx val="0"/>
          <c:order val="0"/>
          <c:tx>
            <c:strRef>
              <c:f>对比!$B$149</c:f>
              <c:strCache>
                <c:ptCount val="1"/>
                <c:pt idx="0">
                  <c:v>朗肯</c:v>
                </c:pt>
              </c:strCache>
            </c:strRef>
          </c:tx>
          <c:spPr>
            <a:ln w="12686" cap="rnd" cmpd="sng" algn="ctr">
              <a:solidFill>
                <a:srgbClr val="000080"/>
              </a:solidFill>
              <a:prstDash val="solid"/>
              <a:round/>
            </a:ln>
          </c:spPr>
          <c:marker>
            <c:symbol val="diamond"/>
            <c:size val="3"/>
            <c:spPr>
              <a:solidFill>
                <a:srgbClr val="000080"/>
              </a:solidFill>
              <a:ln w="9525" cap="flat" cmpd="sng" algn="ctr">
                <a:solidFill>
                  <a:srgbClr val="000080"/>
                </a:solidFill>
                <a:prstDash val="solid"/>
                <a:round/>
              </a:ln>
            </c:spPr>
          </c:marker>
          <c:dLbls>
            <c:delete val="1"/>
          </c:dLbls>
          <c:cat>
            <c:numRef>
              <c:f>对比!$A$150:$A$165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对比!$B$150:$B$165</c:f>
              <c:numCache>
                <c:formatCode>General</c:formatCode>
                <c:ptCount val="16"/>
                <c:pt idx="0">
                  <c:v>0</c:v>
                </c:pt>
                <c:pt idx="1">
                  <c:v>6.66</c:v>
                </c:pt>
                <c:pt idx="2">
                  <c:v>13.32</c:v>
                </c:pt>
                <c:pt idx="3">
                  <c:v>19.98</c:v>
                </c:pt>
                <c:pt idx="4">
                  <c:v>26.64</c:v>
                </c:pt>
                <c:pt idx="5">
                  <c:v>33.3</c:v>
                </c:pt>
                <c:pt idx="6">
                  <c:v>39.96</c:v>
                </c:pt>
                <c:pt idx="7">
                  <c:v>46.62</c:v>
                </c:pt>
                <c:pt idx="8">
                  <c:v>53.28</c:v>
                </c:pt>
                <c:pt idx="9">
                  <c:v>59.94</c:v>
                </c:pt>
                <c:pt idx="10">
                  <c:v>66.6</c:v>
                </c:pt>
                <c:pt idx="11">
                  <c:v>73.26</c:v>
                </c:pt>
                <c:pt idx="12">
                  <c:v>79.92</c:v>
                </c:pt>
                <c:pt idx="13">
                  <c:v>86.58</c:v>
                </c:pt>
                <c:pt idx="14">
                  <c:v>93.24</c:v>
                </c:pt>
                <c:pt idx="15">
                  <c:v>99.9</c:v>
                </c:pt>
              </c:numCache>
            </c:numRef>
          </c:val>
          <c:smooth val="0"/>
        </c:ser>
        <c:ser>
          <c:idx val="1"/>
          <c:order val="1"/>
          <c:tx>
            <c:strRef>
              <c:f>对比!$C$149</c:f>
              <c:strCache>
                <c:ptCount val="1"/>
                <c:pt idx="0">
                  <c:v>[1]</c:v>
                </c:pt>
              </c:strCache>
            </c:strRef>
          </c:tx>
          <c:spPr>
            <a:ln w="12686" cap="rnd" cmpd="sng" algn="ctr">
              <a:solidFill>
                <a:srgbClr val="FF00FF"/>
              </a:solidFill>
              <a:prstDash val="solid"/>
              <a:round/>
            </a:ln>
          </c:spPr>
          <c:marker>
            <c:symbol val="square"/>
            <c:size val="3"/>
            <c:spPr>
              <a:solidFill>
                <a:srgbClr val="FF00FF"/>
              </a:solidFill>
              <a:ln w="9525" cap="flat" cmpd="sng" algn="ctr">
                <a:solidFill>
                  <a:srgbClr val="FF00FF"/>
                </a:solidFill>
                <a:prstDash val="solid"/>
                <a:round/>
              </a:ln>
            </c:spPr>
          </c:marker>
          <c:dLbls>
            <c:delete val="1"/>
          </c:dLbls>
          <c:cat>
            <c:numRef>
              <c:f>对比!$A$150:$A$165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对比!$C$150:$C$165</c:f>
              <c:numCache>
                <c:formatCode>General</c:formatCode>
                <c:ptCount val="16"/>
                <c:pt idx="0">
                  <c:v>0</c:v>
                </c:pt>
                <c:pt idx="1">
                  <c:v>2.105</c:v>
                </c:pt>
                <c:pt idx="2">
                  <c:v>4.21</c:v>
                </c:pt>
                <c:pt idx="3">
                  <c:v>6.31499999999998</c:v>
                </c:pt>
                <c:pt idx="4">
                  <c:v>8.42</c:v>
                </c:pt>
                <c:pt idx="5">
                  <c:v>10.525</c:v>
                </c:pt>
                <c:pt idx="6">
                  <c:v>12.63</c:v>
                </c:pt>
                <c:pt idx="7">
                  <c:v>14.735</c:v>
                </c:pt>
                <c:pt idx="8">
                  <c:v>16.84</c:v>
                </c:pt>
                <c:pt idx="9">
                  <c:v>18.945</c:v>
                </c:pt>
                <c:pt idx="10">
                  <c:v>21.05</c:v>
                </c:pt>
                <c:pt idx="11">
                  <c:v>23.155</c:v>
                </c:pt>
                <c:pt idx="12">
                  <c:v>25.26</c:v>
                </c:pt>
                <c:pt idx="13">
                  <c:v>27.365</c:v>
                </c:pt>
                <c:pt idx="14">
                  <c:v>29.47</c:v>
                </c:pt>
                <c:pt idx="15">
                  <c:v>31.575</c:v>
                </c:pt>
              </c:numCache>
            </c:numRef>
          </c:val>
          <c:smooth val="0"/>
        </c:ser>
        <c:ser>
          <c:idx val="2"/>
          <c:order val="2"/>
          <c:tx>
            <c:strRef>
              <c:f>对比!$D$149</c:f>
              <c:strCache>
                <c:ptCount val="1"/>
                <c:pt idx="0">
                  <c:v>new</c:v>
                </c:pt>
              </c:strCache>
            </c:strRef>
          </c:tx>
          <c:spPr>
            <a:ln w="12686" cap="rnd" cmpd="sng" algn="ctr">
              <a:solidFill>
                <a:srgbClr val="FFFF00"/>
              </a:solidFill>
              <a:prstDash val="solid"/>
              <a:round/>
            </a:ln>
          </c:spPr>
          <c:marker>
            <c:symbol val="triangle"/>
            <c:size val="3"/>
            <c:spPr>
              <a:solidFill>
                <a:srgbClr val="FFFF00"/>
              </a:solidFill>
              <a:ln w="9525" cap="flat" cmpd="sng" algn="ctr">
                <a:solidFill>
                  <a:srgbClr val="FFFF00"/>
                </a:solidFill>
                <a:prstDash val="solid"/>
                <a:round/>
              </a:ln>
            </c:spPr>
          </c:marker>
          <c:dLbls>
            <c:delete val="1"/>
          </c:dLbls>
          <c:cat>
            <c:numRef>
              <c:f>对比!$A$150:$A$165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对比!$D$150:$D$165</c:f>
              <c:numCache>
                <c:formatCode>General</c:formatCode>
                <c:ptCount val="16"/>
                <c:pt idx="0">
                  <c:v>0</c:v>
                </c:pt>
                <c:pt idx="1">
                  <c:v>6.66</c:v>
                </c:pt>
                <c:pt idx="2">
                  <c:v>13.32</c:v>
                </c:pt>
                <c:pt idx="3">
                  <c:v>20.686</c:v>
                </c:pt>
                <c:pt idx="4">
                  <c:v>23.519</c:v>
                </c:pt>
                <c:pt idx="5">
                  <c:v>25.698</c:v>
                </c:pt>
                <c:pt idx="6">
                  <c:v>27.439</c:v>
                </c:pt>
                <c:pt idx="7">
                  <c:v>28.876</c:v>
                </c:pt>
                <c:pt idx="8">
                  <c:v>30.084</c:v>
                </c:pt>
                <c:pt idx="9">
                  <c:v>31.121</c:v>
                </c:pt>
                <c:pt idx="10">
                  <c:v>32.0220000000001</c:v>
                </c:pt>
                <c:pt idx="11">
                  <c:v>32.816</c:v>
                </c:pt>
                <c:pt idx="12">
                  <c:v>33.521</c:v>
                </c:pt>
                <c:pt idx="13">
                  <c:v>34.155</c:v>
                </c:pt>
                <c:pt idx="14">
                  <c:v>34.726</c:v>
                </c:pt>
                <c:pt idx="15">
                  <c:v>35.246</c:v>
                </c:pt>
              </c:numCache>
            </c:numRef>
          </c:val>
          <c:smooth val="0"/>
        </c:ser>
        <c:ser>
          <c:idx val="3"/>
          <c:order val="3"/>
          <c:tx>
            <c:strRef>
              <c:f>对比!$E$149</c:f>
              <c:strCache>
                <c:ptCount val="1"/>
                <c:pt idx="0">
                  <c:v>面积比</c:v>
                </c:pt>
              </c:strCache>
            </c:strRef>
          </c:tx>
          <c:spPr>
            <a:ln w="12686" cap="rnd" cmpd="sng" algn="ctr">
              <a:solidFill>
                <a:srgbClr val="00FFFF"/>
              </a:solidFill>
              <a:prstDash val="solid"/>
              <a:round/>
            </a:ln>
          </c:spPr>
          <c:marker>
            <c:symbol val="x"/>
            <c:size val="3"/>
            <c:spPr>
              <a:noFill/>
              <a:ln w="9525" cap="flat" cmpd="sng" algn="ctr">
                <a:solidFill>
                  <a:srgbClr val="00FFFF"/>
                </a:solidFill>
                <a:prstDash val="solid"/>
                <a:round/>
              </a:ln>
            </c:spPr>
          </c:marker>
          <c:dLbls>
            <c:delete val="1"/>
          </c:dLbls>
          <c:cat>
            <c:numRef>
              <c:f>对比!$A$150:$A$165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对比!$E$150:$E$165</c:f>
              <c:numCache>
                <c:formatCode>General</c:formatCode>
                <c:ptCount val="16"/>
                <c:pt idx="0">
                  <c:v>0</c:v>
                </c:pt>
                <c:pt idx="1">
                  <c:v>2.10456</c:v>
                </c:pt>
                <c:pt idx="2">
                  <c:v>4.20912</c:v>
                </c:pt>
                <c:pt idx="3">
                  <c:v>6.31368</c:v>
                </c:pt>
                <c:pt idx="4">
                  <c:v>8.41824</c:v>
                </c:pt>
                <c:pt idx="5">
                  <c:v>10.5228</c:v>
                </c:pt>
                <c:pt idx="6">
                  <c:v>12.62736</c:v>
                </c:pt>
                <c:pt idx="7">
                  <c:v>14.73192</c:v>
                </c:pt>
                <c:pt idx="8">
                  <c:v>16.83648</c:v>
                </c:pt>
                <c:pt idx="9">
                  <c:v>18.9410399999998</c:v>
                </c:pt>
                <c:pt idx="10">
                  <c:v>21.0455999999998</c:v>
                </c:pt>
                <c:pt idx="11">
                  <c:v>23.15016</c:v>
                </c:pt>
                <c:pt idx="12">
                  <c:v>25.25472</c:v>
                </c:pt>
                <c:pt idx="13">
                  <c:v>27.35928</c:v>
                </c:pt>
                <c:pt idx="14">
                  <c:v>29.4638399999998</c:v>
                </c:pt>
                <c:pt idx="15">
                  <c:v>31.5683999999998</c:v>
                </c:pt>
              </c:numCache>
            </c:numRef>
          </c:val>
          <c:smooth val="0"/>
        </c:ser>
        <c:ser>
          <c:idx val="4"/>
          <c:order val="4"/>
          <c:tx>
            <c:strRef>
              <c:f>对比!$F$149</c:f>
              <c:strCache>
                <c:ptCount val="1"/>
                <c:pt idx="0">
                  <c:v>宽度比</c:v>
                </c:pt>
              </c:strCache>
            </c:strRef>
          </c:tx>
          <c:spPr>
            <a:ln w="12686" cap="rnd" cmpd="sng" algn="ctr">
              <a:solidFill>
                <a:srgbClr val="800080"/>
              </a:solidFill>
              <a:prstDash val="solid"/>
              <a:round/>
            </a:ln>
          </c:spPr>
          <c:marker>
            <c:symbol val="star"/>
            <c:size val="3"/>
            <c:spPr>
              <a:noFill/>
              <a:ln w="9525" cap="flat" cmpd="sng" algn="ctr">
                <a:solidFill>
                  <a:srgbClr val="800080"/>
                </a:solidFill>
                <a:prstDash val="solid"/>
                <a:round/>
              </a:ln>
            </c:spPr>
          </c:marker>
          <c:dLbls>
            <c:delete val="1"/>
          </c:dLbls>
          <c:cat>
            <c:numRef>
              <c:f>对比!$A$150:$A$165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对比!$F$150:$F$165</c:f>
              <c:numCache>
                <c:formatCode>General</c:formatCode>
                <c:ptCount val="16"/>
                <c:pt idx="0">
                  <c:v>0</c:v>
                </c:pt>
                <c:pt idx="1">
                  <c:v>1.15218000000001</c:v>
                </c:pt>
                <c:pt idx="2">
                  <c:v>2.30436</c:v>
                </c:pt>
                <c:pt idx="3">
                  <c:v>3.45654</c:v>
                </c:pt>
                <c:pt idx="4">
                  <c:v>4.60872</c:v>
                </c:pt>
                <c:pt idx="5">
                  <c:v>5.7609</c:v>
                </c:pt>
                <c:pt idx="6">
                  <c:v>6.91308</c:v>
                </c:pt>
                <c:pt idx="7">
                  <c:v>8.06526</c:v>
                </c:pt>
                <c:pt idx="8">
                  <c:v>9.21744</c:v>
                </c:pt>
                <c:pt idx="9">
                  <c:v>10.36962</c:v>
                </c:pt>
                <c:pt idx="10">
                  <c:v>11.5218</c:v>
                </c:pt>
                <c:pt idx="11">
                  <c:v>12.67398</c:v>
                </c:pt>
                <c:pt idx="12">
                  <c:v>13.82616</c:v>
                </c:pt>
                <c:pt idx="13">
                  <c:v>14.97834</c:v>
                </c:pt>
                <c:pt idx="14">
                  <c:v>16.13052</c:v>
                </c:pt>
                <c:pt idx="15">
                  <c:v>17.2826999999997</c:v>
                </c:pt>
              </c:numCache>
            </c:numRef>
          </c:val>
          <c:smooth val="0"/>
        </c:ser>
        <c:dLbls>
          <c:showLegendKey val="0"/>
          <c:showVal val="0"/>
          <c:showCatName val="0"/>
          <c:showSerName val="0"/>
          <c:showPercent val="0"/>
          <c:showBubbleSize val="0"/>
        </c:dLbls>
        <c:marker val="1"/>
        <c:smooth val="0"/>
        <c:axId val="-1591875072"/>
        <c:axId val="-1591850592"/>
      </c:lineChart>
      <c:catAx>
        <c:axId val="-1591875072"/>
        <c:scaling>
          <c:orientation val="minMax"/>
        </c:scaling>
        <c:delete val="0"/>
        <c:axPos val="b"/>
        <c:title>
          <c:tx>
            <c:rich>
              <a:bodyPr rot="0" spcFirstLastPara="0" vertOverflow="ellipsis" vert="horz" wrap="square" anchor="ctr" anchorCtr="1"/>
              <a:lstStyle/>
              <a:p>
                <a:pPr>
                  <a:defRPr lang="zh-CN" sz="97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7980520507221"/>
              <c:y val="0.760180995475114"/>
            </c:manualLayout>
          </c:layout>
          <c:overlay val="0"/>
          <c:spPr>
            <a:noFill/>
            <a:ln w="25371">
              <a:noFill/>
            </a:ln>
          </c:spPr>
        </c:title>
        <c:numFmt formatCode="General" sourceLinked="1"/>
        <c:majorTickMark val="in"/>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zh-CN" sz="97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50592"/>
        <c:crosses val="autoZero"/>
        <c:auto val="1"/>
        <c:lblAlgn val="ctr"/>
        <c:lblOffset val="100"/>
        <c:tickLblSkip val="1"/>
        <c:noMultiLvlLbl val="0"/>
      </c:catAx>
      <c:valAx>
        <c:axId val="-1591850592"/>
        <c:scaling>
          <c:orientation val="minMax"/>
        </c:scaling>
        <c:delete val="0"/>
        <c:axPos val="l"/>
        <c:majorGridlines>
          <c:spPr>
            <a:ln w="3171" cap="flat" cmpd="sng" algn="ctr">
              <a:solidFill>
                <a:srgbClr val="000000"/>
              </a:solidFill>
              <a:prstDash val="solid"/>
              <a:round/>
            </a:ln>
          </c:spPr>
        </c:majorGridlines>
        <c:title>
          <c:tx>
            <c:rich>
              <a:bodyPr rot="-5400000" spcFirstLastPara="0" vertOverflow="ellipsis" vert="horz" wrap="square" anchor="ctr" anchorCtr="1"/>
              <a:lstStyle/>
              <a:p>
                <a:pPr>
                  <a:defRPr lang="zh-CN" sz="97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67640641305376"/>
              <c:y val="0.208144796380092"/>
            </c:manualLayout>
          </c:layout>
          <c:overlay val="0"/>
          <c:spPr>
            <a:noFill/>
            <a:ln w="25371">
              <a:noFill/>
            </a:ln>
          </c:spPr>
        </c:title>
        <c:numFmt formatCode="General" sourceLinked="1"/>
        <c:majorTickMark val="in"/>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zh-CN" sz="97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75072"/>
        <c:crosses val="autoZero"/>
        <c:crossBetween val="between"/>
      </c:valAx>
      <c:spPr>
        <a:solidFill>
          <a:srgbClr val="C0C0C0"/>
        </a:solidFill>
        <a:ln w="12686">
          <a:solidFill>
            <a:srgbClr val="808080"/>
          </a:solidFill>
          <a:prstDash val="solid"/>
        </a:ln>
      </c:spPr>
    </c:plotArea>
    <c:legend>
      <c:legendPos val="b"/>
      <c:layout>
        <c:manualLayout>
          <c:xMode val="edge"/>
          <c:yMode val="edge"/>
          <c:x val="0.165450210289979"/>
          <c:y val="0.904977375565611"/>
          <c:w val="0.800486734338931"/>
          <c:h val="0.0859728506787331"/>
        </c:manualLayout>
      </c:layout>
      <c:overlay val="0"/>
      <c:spPr>
        <a:solidFill>
          <a:srgbClr val="FFFFFF"/>
        </a:solidFill>
        <a:ln w="25371">
          <a:noFill/>
        </a:ln>
      </c:spPr>
      <c:txPr>
        <a:bodyPr rot="0" spcFirstLastPara="0" vertOverflow="ellipsis" vert="horz" wrap="square" anchor="ctr" anchorCtr="1"/>
        <a:lstStyle/>
        <a:p>
          <a:pPr>
            <a:defRPr lang="zh-CN" sz="89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6256b2dd-e220-44fb-869b-86070b25729c}"/>
      </c:ext>
    </c:extLst>
  </c:chart>
  <c:spPr>
    <a:solidFill>
      <a:srgbClr val="FFFFFF"/>
    </a:solidFill>
    <a:ln w="3171" cap="flat" cmpd="sng" algn="ctr">
      <a:solidFill>
        <a:srgbClr val="000000"/>
      </a:solidFill>
      <a:prstDash val="solid"/>
      <a:round/>
    </a:ln>
  </c:spPr>
  <c:txPr>
    <a:bodyPr/>
    <a:lstStyle/>
    <a:p>
      <a:pPr>
        <a:defRPr lang="zh-CN" sz="97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300236406619"/>
          <c:y val="0.087719298245614"/>
          <c:w val="0.825059101654847"/>
          <c:h val="0.557017543859643"/>
        </c:manualLayout>
      </c:layout>
      <c:lineChart>
        <c:grouping val="standard"/>
        <c:varyColors val="0"/>
        <c:ser>
          <c:idx val="0"/>
          <c:order val="0"/>
          <c:tx>
            <c:strRef>
              <c:f>对比!$B$169</c:f>
              <c:strCache>
                <c:ptCount val="1"/>
                <c:pt idx="0">
                  <c:v>朗肯</c:v>
                </c:pt>
              </c:strCache>
            </c:strRef>
          </c:tx>
          <c:spPr>
            <a:ln w="12681" cap="rnd" cmpd="sng" algn="ctr">
              <a:solidFill>
                <a:srgbClr val="000080"/>
              </a:solidFill>
              <a:prstDash val="solid"/>
              <a:round/>
            </a:ln>
          </c:spPr>
          <c:marker>
            <c:symbol val="diamond"/>
            <c:size val="4"/>
            <c:spPr>
              <a:solidFill>
                <a:srgbClr val="000080"/>
              </a:solidFill>
              <a:ln w="9525" cap="flat" cmpd="sng" algn="ctr">
                <a:solidFill>
                  <a:srgbClr val="000080"/>
                </a:solidFill>
                <a:prstDash val="solid"/>
                <a:round/>
              </a:ln>
            </c:spPr>
          </c:marker>
          <c:dLbls>
            <c:delete val="1"/>
          </c:dLbls>
          <c:cat>
            <c:numRef>
              <c:f>对比!$A$170:$A$185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对比!$B$170:$B$185</c:f>
              <c:numCache>
                <c:formatCode>General</c:formatCode>
                <c:ptCount val="16"/>
                <c:pt idx="0">
                  <c:v>0</c:v>
                </c:pt>
                <c:pt idx="1">
                  <c:v>6.66</c:v>
                </c:pt>
                <c:pt idx="2">
                  <c:v>13.32</c:v>
                </c:pt>
                <c:pt idx="3">
                  <c:v>19.98</c:v>
                </c:pt>
                <c:pt idx="4">
                  <c:v>26.64</c:v>
                </c:pt>
                <c:pt idx="5">
                  <c:v>33.3</c:v>
                </c:pt>
                <c:pt idx="6">
                  <c:v>39.96</c:v>
                </c:pt>
                <c:pt idx="7">
                  <c:v>46.62</c:v>
                </c:pt>
                <c:pt idx="8">
                  <c:v>53.28</c:v>
                </c:pt>
                <c:pt idx="9">
                  <c:v>59.94</c:v>
                </c:pt>
                <c:pt idx="10">
                  <c:v>66.6</c:v>
                </c:pt>
                <c:pt idx="11">
                  <c:v>73.26</c:v>
                </c:pt>
                <c:pt idx="12">
                  <c:v>79.92</c:v>
                </c:pt>
                <c:pt idx="13">
                  <c:v>86.58</c:v>
                </c:pt>
                <c:pt idx="14">
                  <c:v>93.24</c:v>
                </c:pt>
                <c:pt idx="15">
                  <c:v>99.9</c:v>
                </c:pt>
              </c:numCache>
            </c:numRef>
          </c:val>
          <c:smooth val="0"/>
        </c:ser>
        <c:ser>
          <c:idx val="1"/>
          <c:order val="1"/>
          <c:tx>
            <c:strRef>
              <c:f>对比!$C$169</c:f>
              <c:strCache>
                <c:ptCount val="1"/>
                <c:pt idx="0">
                  <c:v>[1]</c:v>
                </c:pt>
              </c:strCache>
            </c:strRef>
          </c:tx>
          <c:spPr>
            <a:ln w="12681" cap="rnd" cmpd="sng" algn="ctr">
              <a:solidFill>
                <a:srgbClr val="FF00FF"/>
              </a:solidFill>
              <a:prstDash val="solid"/>
              <a:round/>
            </a:ln>
          </c:spPr>
          <c:marker>
            <c:symbol val="square"/>
            <c:size val="4"/>
            <c:spPr>
              <a:solidFill>
                <a:srgbClr val="FF00FF"/>
              </a:solidFill>
              <a:ln w="9525" cap="flat" cmpd="sng" algn="ctr">
                <a:solidFill>
                  <a:srgbClr val="FF00FF"/>
                </a:solidFill>
                <a:prstDash val="solid"/>
                <a:round/>
              </a:ln>
            </c:spPr>
          </c:marker>
          <c:dLbls>
            <c:delete val="1"/>
          </c:dLbls>
          <c:cat>
            <c:numRef>
              <c:f>对比!$A$170:$A$185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对比!$C$170:$C$185</c:f>
              <c:numCache>
                <c:formatCode>General</c:formatCode>
                <c:ptCount val="16"/>
                <c:pt idx="0">
                  <c:v>0</c:v>
                </c:pt>
                <c:pt idx="1">
                  <c:v>3.82</c:v>
                </c:pt>
                <c:pt idx="2">
                  <c:v>7.64</c:v>
                </c:pt>
                <c:pt idx="3">
                  <c:v>11.46</c:v>
                </c:pt>
                <c:pt idx="4">
                  <c:v>15.28</c:v>
                </c:pt>
                <c:pt idx="5">
                  <c:v>19.101</c:v>
                </c:pt>
                <c:pt idx="6">
                  <c:v>22.921</c:v>
                </c:pt>
                <c:pt idx="7">
                  <c:v>26.741</c:v>
                </c:pt>
                <c:pt idx="8">
                  <c:v>30.561</c:v>
                </c:pt>
                <c:pt idx="9">
                  <c:v>34.381</c:v>
                </c:pt>
                <c:pt idx="10">
                  <c:v>38.201</c:v>
                </c:pt>
                <c:pt idx="11">
                  <c:v>42.021</c:v>
                </c:pt>
                <c:pt idx="12">
                  <c:v>45.841</c:v>
                </c:pt>
                <c:pt idx="13">
                  <c:v>49.662</c:v>
                </c:pt>
                <c:pt idx="14">
                  <c:v>53.482</c:v>
                </c:pt>
                <c:pt idx="15">
                  <c:v>57.302</c:v>
                </c:pt>
              </c:numCache>
            </c:numRef>
          </c:val>
          <c:smooth val="0"/>
        </c:ser>
        <c:ser>
          <c:idx val="2"/>
          <c:order val="2"/>
          <c:tx>
            <c:strRef>
              <c:f>对比!$D$169</c:f>
              <c:strCache>
                <c:ptCount val="1"/>
                <c:pt idx="0">
                  <c:v>new</c:v>
                </c:pt>
              </c:strCache>
            </c:strRef>
          </c:tx>
          <c:spPr>
            <a:ln w="12681" cap="rnd" cmpd="sng" algn="ctr">
              <a:solidFill>
                <a:srgbClr val="FFFF00"/>
              </a:solidFill>
              <a:prstDash val="solid"/>
              <a:round/>
            </a:ln>
          </c:spPr>
          <c:marker>
            <c:symbol val="triangle"/>
            <c:size val="4"/>
            <c:spPr>
              <a:solidFill>
                <a:srgbClr val="FFFF00"/>
              </a:solidFill>
              <a:ln w="9525" cap="flat" cmpd="sng" algn="ctr">
                <a:solidFill>
                  <a:srgbClr val="FFFF00"/>
                </a:solidFill>
                <a:prstDash val="solid"/>
                <a:round/>
              </a:ln>
            </c:spPr>
          </c:marker>
          <c:dLbls>
            <c:delete val="1"/>
          </c:dLbls>
          <c:cat>
            <c:numRef>
              <c:f>对比!$A$170:$A$185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对比!$D$170:$D$185</c:f>
              <c:numCache>
                <c:formatCode>General</c:formatCode>
                <c:ptCount val="16"/>
                <c:pt idx="0">
                  <c:v>0</c:v>
                </c:pt>
                <c:pt idx="1">
                  <c:v>6.66</c:v>
                </c:pt>
                <c:pt idx="2">
                  <c:v>13.32</c:v>
                </c:pt>
                <c:pt idx="3">
                  <c:v>19.98</c:v>
                </c:pt>
                <c:pt idx="4">
                  <c:v>26.64</c:v>
                </c:pt>
                <c:pt idx="5">
                  <c:v>33.3</c:v>
                </c:pt>
                <c:pt idx="6">
                  <c:v>39.742</c:v>
                </c:pt>
                <c:pt idx="7">
                  <c:v>43.004</c:v>
                </c:pt>
                <c:pt idx="8">
                  <c:v>45.811</c:v>
                </c:pt>
                <c:pt idx="9">
                  <c:v>48.2650000000003</c:v>
                </c:pt>
                <c:pt idx="10">
                  <c:v>50.429</c:v>
                </c:pt>
                <c:pt idx="11">
                  <c:v>52.36</c:v>
                </c:pt>
                <c:pt idx="12">
                  <c:v>54.095</c:v>
                </c:pt>
                <c:pt idx="13">
                  <c:v>55.664</c:v>
                </c:pt>
                <c:pt idx="14">
                  <c:v>57.095</c:v>
                </c:pt>
                <c:pt idx="15">
                  <c:v>58.407</c:v>
                </c:pt>
              </c:numCache>
            </c:numRef>
          </c:val>
          <c:smooth val="0"/>
        </c:ser>
        <c:ser>
          <c:idx val="3"/>
          <c:order val="3"/>
          <c:tx>
            <c:strRef>
              <c:f>对比!$E$169</c:f>
              <c:strCache>
                <c:ptCount val="1"/>
                <c:pt idx="0">
                  <c:v>面积比</c:v>
                </c:pt>
              </c:strCache>
            </c:strRef>
          </c:tx>
          <c:spPr>
            <a:ln w="12681" cap="rnd" cmpd="sng" algn="ctr">
              <a:solidFill>
                <a:srgbClr val="00FFFF"/>
              </a:solidFill>
              <a:prstDash val="solid"/>
              <a:round/>
            </a:ln>
          </c:spPr>
          <c:marker>
            <c:symbol val="x"/>
            <c:size val="4"/>
            <c:spPr>
              <a:noFill/>
              <a:ln w="9525" cap="flat" cmpd="sng" algn="ctr">
                <a:solidFill>
                  <a:srgbClr val="00FFFF"/>
                </a:solidFill>
                <a:prstDash val="solid"/>
                <a:round/>
              </a:ln>
            </c:spPr>
          </c:marker>
          <c:dLbls>
            <c:delete val="1"/>
          </c:dLbls>
          <c:cat>
            <c:numRef>
              <c:f>对比!$A$170:$A$185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对比!$E$170:$E$185</c:f>
              <c:numCache>
                <c:formatCode>General</c:formatCode>
                <c:ptCount val="16"/>
                <c:pt idx="0">
                  <c:v>0</c:v>
                </c:pt>
                <c:pt idx="1">
                  <c:v>3.81617999999998</c:v>
                </c:pt>
                <c:pt idx="2">
                  <c:v>7.63236</c:v>
                </c:pt>
                <c:pt idx="3">
                  <c:v>11.44854</c:v>
                </c:pt>
                <c:pt idx="4">
                  <c:v>15.26472</c:v>
                </c:pt>
                <c:pt idx="5">
                  <c:v>19.0809</c:v>
                </c:pt>
                <c:pt idx="6">
                  <c:v>22.89708</c:v>
                </c:pt>
                <c:pt idx="7">
                  <c:v>26.71326</c:v>
                </c:pt>
                <c:pt idx="8">
                  <c:v>30.5294399999998</c:v>
                </c:pt>
                <c:pt idx="9">
                  <c:v>34.34562</c:v>
                </c:pt>
                <c:pt idx="10">
                  <c:v>38.1618</c:v>
                </c:pt>
                <c:pt idx="11">
                  <c:v>41.97798</c:v>
                </c:pt>
                <c:pt idx="12">
                  <c:v>45.79416</c:v>
                </c:pt>
                <c:pt idx="13">
                  <c:v>49.61034</c:v>
                </c:pt>
                <c:pt idx="14">
                  <c:v>53.42652</c:v>
                </c:pt>
                <c:pt idx="15">
                  <c:v>57.2427</c:v>
                </c:pt>
              </c:numCache>
            </c:numRef>
          </c:val>
          <c:smooth val="0"/>
        </c:ser>
        <c:ser>
          <c:idx val="4"/>
          <c:order val="4"/>
          <c:tx>
            <c:strRef>
              <c:f>对比!$F$169</c:f>
              <c:strCache>
                <c:ptCount val="1"/>
                <c:pt idx="0">
                  <c:v>宽度比</c:v>
                </c:pt>
              </c:strCache>
            </c:strRef>
          </c:tx>
          <c:spPr>
            <a:ln w="12681" cap="rnd" cmpd="sng" algn="ctr">
              <a:solidFill>
                <a:srgbClr val="800080"/>
              </a:solidFill>
              <a:prstDash val="solid"/>
              <a:round/>
            </a:ln>
          </c:spPr>
          <c:marker>
            <c:symbol val="star"/>
            <c:size val="4"/>
            <c:spPr>
              <a:noFill/>
              <a:ln w="9525" cap="flat" cmpd="sng" algn="ctr">
                <a:solidFill>
                  <a:srgbClr val="800080"/>
                </a:solidFill>
                <a:prstDash val="solid"/>
                <a:round/>
              </a:ln>
            </c:spPr>
          </c:marker>
          <c:dLbls>
            <c:delete val="1"/>
          </c:dLbls>
          <c:cat>
            <c:numRef>
              <c:f>对比!$A$170:$A$185</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对比!$F$170:$F$185</c:f>
              <c:numCache>
                <c:formatCode>General</c:formatCode>
                <c:ptCount val="16"/>
                <c:pt idx="0">
                  <c:v>0</c:v>
                </c:pt>
                <c:pt idx="1">
                  <c:v>2.30436</c:v>
                </c:pt>
                <c:pt idx="2">
                  <c:v>4.60872</c:v>
                </c:pt>
                <c:pt idx="3">
                  <c:v>6.91308</c:v>
                </c:pt>
                <c:pt idx="4">
                  <c:v>9.21744</c:v>
                </c:pt>
                <c:pt idx="5">
                  <c:v>11.5218</c:v>
                </c:pt>
                <c:pt idx="6">
                  <c:v>13.82616</c:v>
                </c:pt>
                <c:pt idx="7">
                  <c:v>16.13052</c:v>
                </c:pt>
                <c:pt idx="8">
                  <c:v>18.43488</c:v>
                </c:pt>
                <c:pt idx="9">
                  <c:v>20.7392399999999</c:v>
                </c:pt>
                <c:pt idx="10">
                  <c:v>23.0435999999998</c:v>
                </c:pt>
                <c:pt idx="11">
                  <c:v>25.3479600000001</c:v>
                </c:pt>
                <c:pt idx="12">
                  <c:v>27.65232</c:v>
                </c:pt>
                <c:pt idx="13">
                  <c:v>29.9566799999999</c:v>
                </c:pt>
                <c:pt idx="14">
                  <c:v>32.26104</c:v>
                </c:pt>
                <c:pt idx="15">
                  <c:v>34.5654</c:v>
                </c:pt>
              </c:numCache>
            </c:numRef>
          </c:val>
          <c:smooth val="0"/>
        </c:ser>
        <c:dLbls>
          <c:showLegendKey val="0"/>
          <c:showVal val="0"/>
          <c:showCatName val="0"/>
          <c:showSerName val="0"/>
          <c:showPercent val="0"/>
          <c:showBubbleSize val="0"/>
        </c:dLbls>
        <c:marker val="1"/>
        <c:smooth val="0"/>
        <c:axId val="-1591869632"/>
        <c:axId val="-1591863104"/>
      </c:lineChart>
      <c:catAx>
        <c:axId val="-1591869632"/>
        <c:scaling>
          <c:orientation val="minMax"/>
        </c:scaling>
        <c:delete val="0"/>
        <c:axPos val="b"/>
        <c:title>
          <c:tx>
            <c:rich>
              <a:bodyPr rot="0" spcFirstLastPara="0" vertOverflow="ellipsis" vert="horz" wrap="square" anchor="ctr" anchorCtr="1"/>
              <a:lstStyle/>
              <a:p>
                <a:pPr>
                  <a:defRPr lang="zh-CN" sz="99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深度</a:t>
                </a:r>
                <a:endParaRPr lang="zh-CN" altLang="en-US"/>
              </a:p>
            </c:rich>
          </c:tx>
          <c:layout>
            <c:manualLayout>
              <c:xMode val="edge"/>
              <c:yMode val="edge"/>
              <c:x val="0.527186672088525"/>
              <c:y val="0.767543859649131"/>
            </c:manualLayout>
          </c:layout>
          <c:overlay val="0"/>
          <c:spPr>
            <a:noFill/>
            <a:ln w="25362">
              <a:noFill/>
            </a:ln>
          </c:spPr>
        </c:title>
        <c:numFmt formatCode="General" sourceLinked="1"/>
        <c:majorTickMark val="in"/>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63104"/>
        <c:crosses val="autoZero"/>
        <c:auto val="1"/>
        <c:lblAlgn val="ctr"/>
        <c:lblOffset val="100"/>
        <c:tickLblSkip val="1"/>
        <c:noMultiLvlLbl val="0"/>
      </c:catAx>
      <c:valAx>
        <c:axId val="-1591863104"/>
        <c:scaling>
          <c:orientation val="minMax"/>
        </c:scaling>
        <c:delete val="0"/>
        <c:axPos val="l"/>
        <c:majorGridlines>
          <c:spPr>
            <a:ln w="3170" cap="flat" cmpd="sng" algn="ctr">
              <a:solidFill>
                <a:srgbClr val="000000"/>
              </a:solidFill>
              <a:prstDash val="solid"/>
              <a:round/>
            </a:ln>
          </c:spPr>
        </c:majorGridlines>
        <c:title>
          <c:tx>
            <c:rich>
              <a:bodyPr rot="-5400000" spcFirstLastPara="0" vertOverflow="ellipsis" vert="horz" wrap="square" anchor="ctr" anchorCtr="1"/>
              <a:lstStyle/>
              <a:p>
                <a:pPr>
                  <a:defRPr lang="zh-CN" sz="99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土压力强度</a:t>
                </a:r>
                <a:endParaRPr lang="zh-CN" altLang="en-US"/>
              </a:p>
            </c:rich>
          </c:tx>
          <c:layout>
            <c:manualLayout>
              <c:xMode val="edge"/>
              <c:yMode val="edge"/>
              <c:x val="0.0260047071580843"/>
              <c:y val="0.214912280701756"/>
            </c:manualLayout>
          </c:layout>
          <c:overlay val="0"/>
          <c:spPr>
            <a:noFill/>
            <a:ln w="25362">
              <a:noFill/>
            </a:ln>
          </c:spPr>
        </c:title>
        <c:numFmt formatCode="General" sourceLinked="1"/>
        <c:majorTickMark val="in"/>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591869632"/>
        <c:crosses val="autoZero"/>
        <c:crossBetween val="between"/>
      </c:valAx>
      <c:spPr>
        <a:solidFill>
          <a:srgbClr val="C0C0C0"/>
        </a:solidFill>
        <a:ln w="12681">
          <a:solidFill>
            <a:srgbClr val="808080"/>
          </a:solidFill>
          <a:prstDash val="solid"/>
        </a:ln>
      </c:spPr>
    </c:plotArea>
    <c:legend>
      <c:legendPos val="b"/>
      <c:layout>
        <c:manualLayout>
          <c:xMode val="edge"/>
          <c:yMode val="edge"/>
          <c:x val="0.174940914075881"/>
          <c:y val="0.907894736842106"/>
          <c:w val="0.777777777777783"/>
          <c:h val="0.0833333333333334"/>
        </c:manualLayout>
      </c:layout>
      <c:overlay val="0"/>
      <c:spPr>
        <a:solidFill>
          <a:srgbClr val="FFFFFF"/>
        </a:solidFill>
        <a:ln w="25362">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243b62a4-a7cb-4d9c-ac20-6cd296b32179}"/>
      </c:ext>
    </c:extLst>
  </c:chart>
  <c:spPr>
    <a:solidFill>
      <a:srgbClr val="FFFFFF"/>
    </a:solidFill>
    <a:ln w="3170" cap="flat" cmpd="sng" algn="ctr">
      <a:solidFill>
        <a:srgbClr val="000000"/>
      </a:solidFill>
      <a:prstDash val="solid"/>
      <a:round/>
    </a:ln>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50"/>
    <customShpInfo spid="_x0000_s1047"/>
    <customShpInfo spid="_x0000_s1265"/>
    <customShpInfo spid="_x0000_s126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132</Pages>
  <Words>1175</Words>
  <Characters>1509</Characters>
  <Lines>1022</Lines>
  <Paragraphs>287</Paragraphs>
  <TotalTime>46</TotalTime>
  <ScaleCrop>false</ScaleCrop>
  <LinksUpToDate>false</LinksUpToDate>
  <CharactersWithSpaces>1939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2023-05-17T10:51:00Z</dcterms:created>
  <dc:creator>Raxxor</dc:creator>
  <cp:lastModifiedBy> 祺</cp:lastModifiedBy>
  <cp:lastPrinted>2023-04-12T14:16:00Z</cp:lastPrinted>
  <dcterms:modified xsi:type="dcterms:W3CDTF">2025-05-08T08:13:08Z</dcterms:modified>
  <cp:revision>191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809E698EF08F49FCA199AB307A8B1867_13</vt:lpwstr>
  </property>
  <property fmtid="{D5CDD505-2E9C-101B-9397-08002B2CF9AE}" pid="4" name="KSOTemplateDocerSaveRecord">
    <vt:lpwstr>eyJoZGlkIjoiMjA2Njg2MDViYjg2YmYyZWIyNDQ3YjJjNmU5NDM4ZjgiLCJ1c2VySWQiOiI0MzU3NTE4NDAifQ==</vt:lpwstr>
  </property>
</Properties>
</file>