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F8FB2">
      <w:pPr>
        <w:ind w:firstLine="0" w:firstLineChars="0"/>
        <w:rPr>
          <w:rFonts w:ascii="宋体" w:hAnsi="宋体" w:cs="宋体"/>
          <w:b/>
          <w:sz w:val="28"/>
          <w:szCs w:val="28"/>
        </w:rPr>
      </w:pPr>
      <w:bookmarkStart w:id="0" w:name="_Toc404681284"/>
      <w:bookmarkStart w:id="1" w:name="_Toc397965640"/>
      <w:r>
        <w:rPr>
          <w:rFonts w:hint="eastAsia" w:ascii="宋体" w:hAnsi="宋体" w:cs="宋体"/>
          <w:b/>
          <w:sz w:val="28"/>
          <w:szCs w:val="28"/>
        </w:rPr>
        <w:t>U</w:t>
      </w:r>
      <w:r>
        <w:rPr>
          <w:rFonts w:ascii="宋体" w:hAnsi="宋体" w:cs="宋体"/>
          <w:b/>
          <w:sz w:val="28"/>
          <w:szCs w:val="28"/>
        </w:rPr>
        <w:t>G</w:t>
      </w:r>
      <w:bookmarkEnd w:id="0"/>
      <w:bookmarkEnd w:id="1"/>
      <w:bookmarkStart w:id="364" w:name="_GoBack"/>
      <w:bookmarkEnd w:id="364"/>
    </w:p>
    <w:p w14:paraId="0A9093DA">
      <w:pPr>
        <w:ind w:firstLine="2400" w:firstLineChars="500"/>
        <w:jc w:val="both"/>
        <w:rPr>
          <w:rFonts w:hint="default" w:eastAsia="黑体"/>
          <w:b/>
          <w:sz w:val="112"/>
          <w:szCs w:val="112"/>
          <w:lang w:val="en-US" w:eastAsia="zh-CN"/>
        </w:rPr>
      </w:pPr>
      <w:r>
        <w:rPr>
          <w:rFonts w:ascii="黑体" w:eastAsia="黑体"/>
          <w:sz w:val="48"/>
          <w:szCs w:val="48"/>
        </w:rPr>
        <w:t>北京市地方</w:t>
      </w:r>
      <w:r>
        <w:rPr>
          <w:rFonts w:hint="eastAsia" w:ascii="黑体" w:eastAsia="黑体"/>
          <w:sz w:val="48"/>
          <w:szCs w:val="48"/>
        </w:rPr>
        <w:t>标准</w:t>
      </w:r>
      <w:r>
        <w:rPr>
          <w:rFonts w:hint="eastAsia" w:ascii="黑体" w:eastAsia="黑体"/>
          <w:sz w:val="48"/>
          <w:szCs w:val="48"/>
          <w:lang w:val="en-US" w:eastAsia="zh-CN"/>
        </w:rPr>
        <w:t xml:space="preserve">   </w:t>
      </w:r>
      <w:r>
        <w:rPr>
          <w:rFonts w:hint="eastAsia" w:ascii="黑体" w:eastAsia="黑体"/>
          <w:sz w:val="144"/>
          <w:szCs w:val="144"/>
          <w:lang w:val="en-US" w:eastAsia="zh-CN"/>
        </w:rPr>
        <w:t>DB</w:t>
      </w:r>
    </w:p>
    <w:p w14:paraId="0B924983">
      <w:pPr>
        <w:rPr>
          <w:rFonts w:hint="eastAsia" w:ascii="黑体" w:hAnsi="黑体" w:eastAsia="黑体" w:cs="黑体"/>
          <w:bCs/>
          <w:snapToGrid w:val="0"/>
          <w:kern w:val="0"/>
          <w:sz w:val="21"/>
          <w:szCs w:val="21"/>
        </w:rPr>
      </w:pPr>
    </w:p>
    <w:p w14:paraId="66401E8E">
      <w:pPr>
        <w:spacing w:line="240" w:lineRule="auto"/>
        <w:ind w:firstLine="5471" w:firstLineChars="2595"/>
        <w:rPr>
          <w:rFonts w:hint="eastAsia" w:ascii="宋体" w:hAnsi="宋体" w:cs="宋体"/>
          <w:b/>
          <w:snapToGrid w:val="0"/>
          <w:kern w:val="0"/>
          <w:sz w:val="21"/>
          <w:szCs w:val="21"/>
        </w:rPr>
      </w:pPr>
      <w:r>
        <w:rPr>
          <w:rFonts w:hint="eastAsia" w:ascii="宋体" w:hAnsi="宋体" w:cs="宋体"/>
          <w:b/>
          <w:snapToGrid w:val="0"/>
          <w:kern w:val="0"/>
          <w:sz w:val="21"/>
          <w:szCs w:val="21"/>
        </w:rPr>
        <w:t>编  号：DB 11/ X X X X－202X</w:t>
      </w:r>
    </w:p>
    <w:p w14:paraId="2B5F7310">
      <w:pPr>
        <w:spacing w:line="240" w:lineRule="auto"/>
        <w:ind w:firstLine="5473" w:firstLineChars="2596"/>
        <w:rPr>
          <w:rFonts w:hint="eastAsia" w:ascii="宋体" w:hAnsi="宋体" w:cs="宋体"/>
          <w:b/>
          <w:sz w:val="21"/>
          <w:szCs w:val="21"/>
        </w:rPr>
      </w:pPr>
      <w:r>
        <w:rPr>
          <w:rFonts w:hint="eastAsia" w:ascii="宋体" w:hAnsi="宋体" w:cs="宋体"/>
          <w:b/>
          <w:sz w:val="21"/>
          <w:szCs w:val="21"/>
        </w:rPr>
        <w:t>备案号：J×－202×</w:t>
      </w:r>
    </w:p>
    <w:p w14:paraId="536144AB">
      <w:pPr>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49530</wp:posOffset>
                </wp:positionV>
                <wp:extent cx="5351780" cy="0"/>
                <wp:effectExtent l="0" t="0" r="0" b="0"/>
                <wp:wrapNone/>
                <wp:docPr id="123" name="直接连接符 123"/>
                <wp:cNvGraphicFramePr/>
                <a:graphic xmlns:a="http://schemas.openxmlformats.org/drawingml/2006/main">
                  <a:graphicData uri="http://schemas.microsoft.com/office/word/2010/wordprocessingShape">
                    <wps:wsp>
                      <wps:cNvCnPr>
                        <a:cxnSpLocks noChangeShapeType="1"/>
                      </wps:cNvCnPr>
                      <wps:spPr bwMode="auto">
                        <a:xfrm>
                          <a:off x="0" y="0"/>
                          <a:ext cx="535178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pt;margin-top:3.9pt;height:0pt;width:421.4pt;z-index:251660288;mso-width-relative:page;mso-height-relative:page;" filled="f" stroked="t" coordsize="21600,21600" o:gfxdata="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fSqqrU&#10;AAAABgEAAA8AAAAAAAAAAQAgAAAAIgAAAGRycy9kb3ducmV2LnhtbFBLAQIUABQAAAAIAIdO4kDj&#10;UEeE6wEAALwDAAAOAAAAAAAAAAEAIAAAACMBAABkcnMvZTJvRG9jLnhtbFBLBQYAAAAABgAGAFkB&#10;AACABQAAAAA=&#10;">
                <v:fill on="f" focussize="0,0"/>
                <v:stroke color="#000000" joinstyle="round"/>
                <v:imagedata o:title=""/>
                <o:lock v:ext="edit" aspectratio="f"/>
              </v:line>
            </w:pict>
          </mc:Fallback>
        </mc:AlternateContent>
      </w:r>
    </w:p>
    <w:p w14:paraId="314A725D">
      <w:pPr>
        <w:rPr>
          <w:sz w:val="28"/>
          <w:szCs w:val="28"/>
        </w:rPr>
      </w:pPr>
    </w:p>
    <w:p w14:paraId="759CDC82">
      <w:pPr>
        <w:ind w:firstLine="0" w:firstLineChars="0"/>
        <w:jc w:val="center"/>
        <w:rPr>
          <w:rFonts w:hint="default" w:ascii="宋体" w:hAnsi="黑体" w:eastAsia="黑体" w:cs="宋体"/>
          <w:sz w:val="52"/>
          <w:szCs w:val="52"/>
          <w:lang w:val="en-US" w:eastAsia="zh-CN"/>
        </w:rPr>
      </w:pPr>
      <w:r>
        <w:rPr>
          <w:rFonts w:hint="eastAsia" w:ascii="宋体" w:hAnsi="黑体" w:eastAsia="黑体" w:cs="宋体"/>
          <w:sz w:val="52"/>
          <w:szCs w:val="52"/>
          <w:lang w:val="en-US" w:eastAsia="zh-CN"/>
        </w:rPr>
        <w:t>人工冰场施工技术规程</w:t>
      </w:r>
    </w:p>
    <w:p w14:paraId="0F0934FE">
      <w:pPr>
        <w:spacing w:line="324" w:lineRule="auto"/>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14:paraId="4A6B3D19">
      <w:pPr>
        <w:ind w:firstLine="0" w:firstLineChars="0"/>
        <w:jc w:val="center"/>
        <w:rPr>
          <w:rFonts w:hint="eastAsia" w:hAnsi="宋体" w:eastAsia="黑体" w:cs="宋体"/>
          <w:kern w:val="0"/>
          <w:sz w:val="28"/>
          <w:szCs w:val="28"/>
        </w:rPr>
      </w:pPr>
      <w:r>
        <w:rPr>
          <w:rFonts w:hint="eastAsia" w:hAnsi="宋体" w:eastAsia="黑体" w:cs="宋体"/>
          <w:kern w:val="0"/>
          <w:sz w:val="28"/>
          <w:szCs w:val="28"/>
        </w:rPr>
        <w:t>（京津冀区域协同工程建设标准）</w:t>
      </w:r>
    </w:p>
    <w:p w14:paraId="44CEC118">
      <w:pPr>
        <w:ind w:firstLine="0" w:firstLineChars="0"/>
        <w:jc w:val="center"/>
        <w:rPr>
          <w:rFonts w:hint="eastAsia" w:ascii="宋体" w:hAnsi="宋体" w:eastAsia="黑体" w:cs="宋体"/>
          <w:kern w:val="0"/>
          <w:sz w:val="28"/>
          <w:szCs w:val="28"/>
        </w:rPr>
      </w:pPr>
      <w:r>
        <w:rPr>
          <w:rFonts w:hint="eastAsia" w:ascii="宋体" w:hAnsi="宋体" w:eastAsia="黑体" w:cs="宋体"/>
          <w:kern w:val="0"/>
          <w:sz w:val="28"/>
          <w:szCs w:val="28"/>
        </w:rPr>
        <w:t>（征求意见稿）</w:t>
      </w:r>
    </w:p>
    <w:p w14:paraId="1CEC5F73">
      <w:pPr>
        <w:rPr>
          <w:sz w:val="28"/>
          <w:szCs w:val="28"/>
        </w:rPr>
      </w:pPr>
    </w:p>
    <w:p w14:paraId="233C19C2">
      <w:pPr>
        <w:pStyle w:val="4"/>
        <w:jc w:val="both"/>
      </w:pPr>
    </w:p>
    <w:p w14:paraId="5D8A9A60">
      <w:pPr>
        <w:rPr>
          <w:sz w:val="28"/>
          <w:szCs w:val="28"/>
        </w:rPr>
      </w:pPr>
    </w:p>
    <w:p w14:paraId="1E7ED866">
      <w:pPr>
        <w:rPr>
          <w:sz w:val="28"/>
          <w:szCs w:val="28"/>
        </w:rPr>
      </w:pPr>
    </w:p>
    <w:p w14:paraId="68384A2B">
      <w:pPr>
        <w:ind w:left="0" w:leftChars="0" w:firstLine="0" w:firstLineChars="0"/>
        <w:jc w:val="both"/>
        <w:rPr>
          <w:rFonts w:hint="eastAsia" w:ascii="黑体" w:hAnsi="黑体" w:eastAsia="黑体" w:cs="黑体"/>
          <w:bCs/>
          <w:sz w:val="28"/>
          <w:szCs w:val="28"/>
        </w:rPr>
      </w:pPr>
    </w:p>
    <w:p w14:paraId="49971B6D">
      <w:pPr>
        <w:ind w:left="0" w:leftChars="0" w:firstLine="0" w:firstLineChars="0"/>
        <w:jc w:val="both"/>
        <w:rPr>
          <w:rFonts w:eastAsia="黑体"/>
          <w:b/>
          <w:sz w:val="28"/>
          <w:szCs w:val="28"/>
        </w:rPr>
      </w:pPr>
      <w:r>
        <w:rPr>
          <w:rFonts w:hint="eastAsia" w:ascii="黑体" w:hAnsi="黑体" w:eastAsia="黑体" w:cs="黑体"/>
          <w:bCs/>
          <w:sz w:val="28"/>
          <w:szCs w:val="28"/>
        </w:rPr>
        <w:t xml:space="preserve">202×－××－××发布 </w:t>
      </w:r>
      <w:r>
        <w:rPr>
          <w:rFonts w:eastAsia="黑体"/>
          <w:b/>
          <w:sz w:val="28"/>
          <w:szCs w:val="28"/>
        </w:rPr>
        <w:t xml:space="preserve">                </w:t>
      </w:r>
      <w:r>
        <w:rPr>
          <w:rFonts w:hint="eastAsia" w:ascii="黑体" w:hAnsi="黑体" w:eastAsia="黑体" w:cs="黑体"/>
          <w:bCs/>
          <w:sz w:val="28"/>
          <w:szCs w:val="28"/>
        </w:rPr>
        <w:t>202×－××－××实施</w:t>
      </w:r>
    </w:p>
    <w:p w14:paraId="17282282">
      <w:pPr>
        <w:rPr>
          <w:sz w:val="28"/>
          <w:szCs w:val="28"/>
        </w:rPr>
      </w:pPr>
      <w:r>
        <w:rPr>
          <w:rFonts w:ascii="Plotter" w:hAnsi="Plotter" w:cs="Plotter"/>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24765</wp:posOffset>
                </wp:positionV>
                <wp:extent cx="5379720" cy="0"/>
                <wp:effectExtent l="0" t="0" r="0" b="0"/>
                <wp:wrapNone/>
                <wp:docPr id="122" name="直接连接符 122"/>
                <wp:cNvGraphicFramePr/>
                <a:graphic xmlns:a="http://schemas.openxmlformats.org/drawingml/2006/main">
                  <a:graphicData uri="http://schemas.microsoft.com/office/word/2010/wordprocessingShape">
                    <wps:wsp>
                      <wps:cNvCnPr>
                        <a:cxnSpLocks noChangeShapeType="1"/>
                      </wps:cNvCnPr>
                      <wps:spPr bwMode="auto">
                        <a:xfrm>
                          <a:off x="0" y="0"/>
                          <a:ext cx="537972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pt;margin-top:1.95pt;height:0pt;width:423.6pt;z-index:251661312;mso-width-relative:page;mso-height-relative:page;" filled="f" stroked="t" coordsize="21600,21600" o:gfxdata="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6jH9&#10;1QAAAAcBAAAPAAAAAAAAAAEAIAAAACIAAABkcnMvZG93bnJldi54bWxQSwECFAAUAAAACACHTuJA&#10;hK1RE+sBAAC8AwAADgAAAAAAAAABACAAAAAkAQAAZHJzL2Uyb0RvYy54bWxQSwUGAAAAAAYABgBZ&#10;AQAAgQUAAAAA&#10;">
                <v:fill on="f" focussize="0,0"/>
                <v:stroke color="#000000" joinstyle="round"/>
                <v:imagedata o:title=""/>
                <o:lock v:ext="edit" aspectratio="f"/>
              </v:line>
            </w:pict>
          </mc:Fallback>
        </mc:AlternateContent>
      </w:r>
    </w:p>
    <w:p w14:paraId="7CB2BE97">
      <w:pPr>
        <w:ind w:firstLine="1874" w:firstLineChars="800"/>
        <w:rPr>
          <w:rFonts w:eastAsia="黑体" w:cs="宋体"/>
          <w:b/>
          <w:w w:val="73"/>
          <w:kern w:val="0"/>
          <w:sz w:val="32"/>
          <w:szCs w:val="32"/>
        </w:rPr>
      </w:pPr>
      <w:r>
        <w:rPr>
          <w:rFonts w:eastAsia="黑体" w:cs="宋体"/>
          <w:b/>
          <w:w w:val="73"/>
          <w:kern w:val="0"/>
          <w:sz w:val="32"/>
          <w:szCs w:val="32"/>
        </w:rPr>
        <mc:AlternateContent>
          <mc:Choice Requires="wps">
            <w:drawing>
              <wp:anchor distT="45720" distB="45720" distL="114300" distR="114300" simplePos="0" relativeHeight="251662336" behindDoc="0" locked="0" layoutInCell="1" allowOverlap="1">
                <wp:simplePos x="0" y="0"/>
                <wp:positionH relativeFrom="column">
                  <wp:posOffset>3880485</wp:posOffset>
                </wp:positionH>
                <wp:positionV relativeFrom="paragraph">
                  <wp:posOffset>97155</wp:posOffset>
                </wp:positionV>
                <wp:extent cx="1410970" cy="505460"/>
                <wp:effectExtent l="0" t="0" r="0" b="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1410970" cy="1404620"/>
                        </a:xfrm>
                        <a:prstGeom prst="rect">
                          <a:avLst/>
                        </a:prstGeom>
                        <a:noFill/>
                        <a:ln w="9525">
                          <a:noFill/>
                          <a:miter lim="800000"/>
                        </a:ln>
                        <a:effectLst/>
                      </wps:spPr>
                      <wps:txbx>
                        <w:txbxContent>
                          <w:p w14:paraId="5AAB7A50">
                            <w:pPr>
                              <w:ind w:left="0" w:leftChars="0" w:firstLine="0" w:firstLineChars="0"/>
                              <w:rPr>
                                <w:rFonts w:hint="eastAsia" w:ascii="黑体" w:eastAsia="黑体"/>
                                <w:bCs/>
                                <w:sz w:val="32"/>
                                <w:szCs w:val="32"/>
                              </w:rPr>
                            </w:pPr>
                            <w:r>
                              <w:rPr>
                                <w:rFonts w:hint="eastAsia" w:ascii="黑体" w:eastAsia="黑体"/>
                                <w:bCs/>
                                <w:sz w:val="32"/>
                                <w:szCs w:val="32"/>
                              </w:rPr>
                              <w:t>联合发布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5.55pt;margin-top:7.65pt;height:39.8pt;width:111.1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501f1wAAAAkBAAAPAAAAAAAAAAEAIAAAACIAAABkcnMvZG93bnJldi54bWxQSwEC&#10;FAAUAAAACACHTuJAN/Hrbi4CAAA8BAAADgAAAAAAAAABACAAAAAmAQAAZHJzL2Uyb0RvYy54bWxQ&#10;SwUGAAAAAAYABgBZAQAAxgUAAAAA&#10;">
                <v:fill on="f" focussize="0,0"/>
                <v:stroke on="f" miterlimit="8" joinstyle="miter"/>
                <v:imagedata o:title=""/>
                <o:lock v:ext="edit" aspectratio="f"/>
                <v:textbox style="mso-fit-shape-to-text:t;">
                  <w:txbxContent>
                    <w:p w14:paraId="5AAB7A50">
                      <w:pPr>
                        <w:ind w:left="0" w:leftChars="0" w:firstLine="0" w:firstLineChars="0"/>
                        <w:rPr>
                          <w:rFonts w:hint="eastAsia" w:ascii="黑体" w:eastAsia="黑体"/>
                          <w:bCs/>
                          <w:sz w:val="32"/>
                          <w:szCs w:val="32"/>
                        </w:rPr>
                      </w:pPr>
                      <w:r>
                        <w:rPr>
                          <w:rFonts w:hint="eastAsia" w:ascii="黑体" w:eastAsia="黑体"/>
                          <w:bCs/>
                          <w:sz w:val="32"/>
                          <w:szCs w:val="32"/>
                        </w:rPr>
                        <w:t>联合发布</w:t>
                      </w:r>
                    </w:p>
                  </w:txbxContent>
                </v:textbox>
                <w10:wrap type="square"/>
              </v:shape>
            </w:pict>
          </mc:Fallback>
        </mc:AlternateContent>
      </w:r>
      <w:r>
        <w:rPr>
          <w:rFonts w:eastAsia="黑体" w:cs="宋体"/>
          <w:b/>
          <w:w w:val="73"/>
          <w:kern w:val="0"/>
          <w:sz w:val="32"/>
          <w:szCs w:val="32"/>
        </w:rPr>
        <w:t>北京市</w:t>
      </w:r>
      <w:r>
        <w:rPr>
          <w:rFonts w:hint="eastAsia" w:eastAsia="黑体" w:cs="宋体"/>
          <w:b/>
          <w:w w:val="73"/>
          <w:kern w:val="0"/>
          <w:sz w:val="32"/>
          <w:szCs w:val="32"/>
        </w:rPr>
        <w:t>住房和城乡</w:t>
      </w:r>
      <w:r>
        <w:rPr>
          <w:rFonts w:eastAsia="黑体" w:cs="宋体"/>
          <w:b/>
          <w:w w:val="73"/>
          <w:kern w:val="0"/>
          <w:sz w:val="32"/>
          <w:szCs w:val="32"/>
        </w:rPr>
        <w:t>建设委员会</w:t>
      </w:r>
    </w:p>
    <w:p w14:paraId="11BB8523">
      <w:pPr>
        <w:ind w:firstLine="1867" w:firstLineChars="598"/>
        <w:rPr>
          <w:rFonts w:ascii="黑体" w:eastAsia="黑体"/>
          <w:b/>
          <w:sz w:val="32"/>
          <w:szCs w:val="32"/>
        </w:rPr>
      </w:pPr>
      <w:r>
        <w:rPr>
          <w:rFonts w:ascii="黑体" w:eastAsia="黑体"/>
          <w:b/>
          <w:spacing w:val="39"/>
          <w:w w:val="73"/>
          <w:kern w:val="0"/>
          <w:sz w:val="32"/>
          <w:szCs w:val="32"/>
        </w:rPr>
        <w:t>北京市</w:t>
      </w:r>
      <w:r>
        <w:rPr>
          <w:rFonts w:hint="eastAsia" w:ascii="黑体" w:eastAsia="黑体"/>
          <w:b/>
          <w:spacing w:val="39"/>
          <w:w w:val="73"/>
          <w:kern w:val="0"/>
          <w:sz w:val="32"/>
          <w:szCs w:val="32"/>
          <w:lang w:val="en-US" w:eastAsia="zh-CN"/>
        </w:rPr>
        <w:t>市场监督管理局</w:t>
      </w:r>
      <w:r>
        <w:rPr>
          <w:rFonts w:hint="eastAsia" w:eastAsia="黑体"/>
          <w:bCs/>
          <w:w w:val="73"/>
          <w:kern w:val="0"/>
          <w:sz w:val="32"/>
          <w:szCs w:val="32"/>
        </w:rPr>
        <w:t xml:space="preserve"> </w:t>
      </w:r>
      <w:r>
        <w:rPr>
          <w:rFonts w:ascii="黑体" w:eastAsia="黑体"/>
          <w:b/>
          <w:sz w:val="32"/>
          <w:szCs w:val="32"/>
        </w:rPr>
        <w:t xml:space="preserve">   </w:t>
      </w:r>
    </w:p>
    <w:p w14:paraId="51E2F882">
      <w:pPr>
        <w:jc w:val="center"/>
        <w:rPr>
          <w:rFonts w:hint="eastAsia" w:ascii="宋体" w:hAnsi="宋体" w:eastAsia="黑体" w:cs="宋体"/>
          <w:bCs/>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26" w:charSpace="0"/>
        </w:sectPr>
      </w:pPr>
    </w:p>
    <w:p w14:paraId="168CD01F">
      <w:pPr>
        <w:jc w:val="center"/>
        <w:rPr>
          <w:rFonts w:hint="eastAsia" w:ascii="宋体" w:hAnsi="宋体" w:eastAsia="黑体" w:cs="宋体"/>
          <w:bCs/>
          <w:sz w:val="32"/>
          <w:szCs w:val="32"/>
        </w:rPr>
      </w:pPr>
    </w:p>
    <w:p w14:paraId="04763790">
      <w:pPr>
        <w:ind w:firstLine="0" w:firstLineChars="0"/>
        <w:jc w:val="center"/>
        <w:rPr>
          <w:rFonts w:ascii="宋体" w:hAnsi="宋体" w:eastAsia="黑体" w:cs="宋体"/>
          <w:bCs/>
          <w:sz w:val="32"/>
          <w:szCs w:val="32"/>
        </w:rPr>
      </w:pPr>
      <w:r>
        <w:rPr>
          <w:rFonts w:hint="eastAsia" w:ascii="宋体" w:hAnsi="宋体" w:eastAsia="黑体" w:cs="宋体"/>
          <w:bCs/>
          <w:sz w:val="32"/>
          <w:szCs w:val="32"/>
        </w:rPr>
        <w:t>北京市地方标准</w:t>
      </w:r>
    </w:p>
    <w:p w14:paraId="29B26B63">
      <w:pPr>
        <w:jc w:val="center"/>
        <w:rPr>
          <w:rFonts w:ascii="黑体" w:eastAsia="黑体"/>
          <w:b/>
          <w:sz w:val="32"/>
          <w:szCs w:val="32"/>
        </w:rPr>
      </w:pPr>
    </w:p>
    <w:p w14:paraId="044AF738">
      <w:pPr>
        <w:jc w:val="center"/>
        <w:rPr>
          <w:rFonts w:ascii="黑体" w:eastAsia="黑体"/>
          <w:b/>
          <w:sz w:val="32"/>
          <w:szCs w:val="32"/>
        </w:rPr>
      </w:pPr>
    </w:p>
    <w:p w14:paraId="3F6AC2CD">
      <w:pPr>
        <w:jc w:val="center"/>
        <w:rPr>
          <w:rFonts w:ascii="黑体" w:eastAsia="黑体"/>
          <w:b/>
          <w:sz w:val="32"/>
          <w:szCs w:val="32"/>
        </w:rPr>
      </w:pPr>
    </w:p>
    <w:p w14:paraId="653544E9">
      <w:pPr>
        <w:ind w:firstLine="0" w:firstLineChars="0"/>
        <w:jc w:val="center"/>
        <w:rPr>
          <w:rFonts w:hint="default" w:ascii="宋体" w:hAnsi="黑体" w:eastAsia="黑体" w:cs="宋体"/>
          <w:sz w:val="44"/>
          <w:szCs w:val="44"/>
          <w:lang w:val="en-US" w:eastAsia="zh-CN"/>
        </w:rPr>
      </w:pPr>
      <w:r>
        <w:rPr>
          <w:rFonts w:hint="eastAsia" w:ascii="宋体" w:hAnsi="黑体" w:eastAsia="黑体" w:cs="宋体"/>
          <w:sz w:val="44"/>
          <w:szCs w:val="44"/>
          <w:lang w:val="en-US" w:eastAsia="zh-CN"/>
        </w:rPr>
        <w:t>人工冰场施工技术规程</w:t>
      </w:r>
    </w:p>
    <w:p w14:paraId="5D5597BD">
      <w:pPr>
        <w:spacing w:line="324" w:lineRule="auto"/>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14:paraId="0CAAE1DE">
      <w:pPr>
        <w:rPr>
          <w:rFonts w:hint="eastAsia" w:ascii="黑体" w:eastAsia="黑体"/>
          <w:b/>
          <w:sz w:val="32"/>
          <w:szCs w:val="32"/>
        </w:rPr>
      </w:pPr>
    </w:p>
    <w:p w14:paraId="439EC4C6">
      <w:pPr>
        <w:jc w:val="center"/>
        <w:rPr>
          <w:rFonts w:ascii="黑体" w:eastAsia="黑体"/>
          <w:b/>
          <w:sz w:val="32"/>
          <w:szCs w:val="32"/>
        </w:rPr>
      </w:pPr>
    </w:p>
    <w:p w14:paraId="0682E56F">
      <w:pPr>
        <w:jc w:val="center"/>
        <w:rPr>
          <w:rFonts w:ascii="黑体" w:eastAsia="黑体"/>
          <w:b/>
          <w:sz w:val="32"/>
          <w:szCs w:val="32"/>
        </w:rPr>
      </w:pPr>
    </w:p>
    <w:p w14:paraId="0AAAAF89">
      <w:pPr>
        <w:jc w:val="center"/>
        <w:rPr>
          <w:rFonts w:ascii="黑体" w:eastAsia="黑体"/>
          <w:b/>
          <w:sz w:val="32"/>
          <w:szCs w:val="32"/>
        </w:rPr>
      </w:pPr>
    </w:p>
    <w:p w14:paraId="2CB144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Cs/>
          <w:sz w:val="21"/>
          <w:szCs w:val="21"/>
        </w:rPr>
      </w:pP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编</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号：DB11/XXXX-202X</w:t>
      </w:r>
    </w:p>
    <w:p w14:paraId="074D8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Cs/>
          <w:sz w:val="21"/>
          <w:szCs w:val="21"/>
        </w:rPr>
      </w:pPr>
      <w:r>
        <w:rPr>
          <w:rFonts w:hint="eastAsia" w:ascii="黑体" w:hAnsi="黑体" w:eastAsia="黑体" w:cs="黑体"/>
          <w:bCs/>
          <w:sz w:val="21"/>
          <w:szCs w:val="21"/>
        </w:rPr>
        <w:t>备案号：J×   -202×</w:t>
      </w:r>
    </w:p>
    <w:p w14:paraId="467735CE">
      <w:pPr>
        <w:rPr>
          <w:rFonts w:ascii="宋体" w:hAnsi="宋体"/>
          <w:szCs w:val="21"/>
        </w:rPr>
      </w:pPr>
    </w:p>
    <w:p w14:paraId="3471ADE0">
      <w:pPr>
        <w:ind w:firstLine="2100" w:firstLineChars="1000"/>
        <w:rPr>
          <w:rFonts w:ascii="宋体" w:hAnsi="宋体" w:cs="宋体"/>
          <w:sz w:val="21"/>
          <w:szCs w:val="21"/>
        </w:rPr>
      </w:pPr>
      <w:r>
        <w:rPr>
          <w:rFonts w:hint="eastAsia" w:ascii="宋体" w:hAnsi="宋体" w:cs="宋体"/>
          <w:sz w:val="21"/>
          <w:szCs w:val="21"/>
        </w:rPr>
        <w:t>主</w:t>
      </w:r>
      <w:r>
        <w:rPr>
          <w:rFonts w:ascii="宋体" w:hAnsi="宋体" w:cs="宋体"/>
          <w:sz w:val="21"/>
          <w:szCs w:val="21"/>
        </w:rPr>
        <w:t>编部门：</w:t>
      </w:r>
      <w:r>
        <w:rPr>
          <w:rFonts w:hint="eastAsia" w:ascii="宋体" w:hAnsi="宋体" w:cs="宋体"/>
          <w:sz w:val="21"/>
          <w:szCs w:val="21"/>
        </w:rPr>
        <w:t>北京城建集团有限责任公司</w:t>
      </w:r>
    </w:p>
    <w:p w14:paraId="5A0EAA54">
      <w:pPr>
        <w:ind w:firstLine="3139" w:firstLineChars="1495"/>
        <w:rPr>
          <w:rFonts w:ascii="宋体" w:hAnsi="宋体" w:cs="宋体"/>
          <w:sz w:val="21"/>
          <w:szCs w:val="21"/>
        </w:rPr>
      </w:pPr>
      <w:r>
        <w:rPr>
          <w:rFonts w:hint="eastAsia" w:ascii="宋体" w:hAnsi="宋体" w:cs="宋体"/>
          <w:sz w:val="21"/>
          <w:szCs w:val="21"/>
        </w:rPr>
        <w:t>北京城建亚泰建设集团有限公司</w:t>
      </w:r>
    </w:p>
    <w:p w14:paraId="4F2CA1AC">
      <w:pPr>
        <w:ind w:firstLine="3139" w:firstLineChars="1495"/>
        <w:rPr>
          <w:rFonts w:ascii="宋体" w:hAnsi="宋体" w:cs="宋体"/>
          <w:sz w:val="21"/>
          <w:szCs w:val="21"/>
        </w:rPr>
      </w:pPr>
      <w:r>
        <w:rPr>
          <w:rFonts w:hint="eastAsia" w:ascii="宋体" w:hAnsi="宋体" w:cs="宋体"/>
          <w:sz w:val="21"/>
          <w:szCs w:val="21"/>
        </w:rPr>
        <w:t>北京城建北方集团有限公司</w:t>
      </w:r>
    </w:p>
    <w:p w14:paraId="6A164771">
      <w:pPr>
        <w:ind w:firstLine="2179" w:firstLineChars="1038"/>
        <w:rPr>
          <w:rFonts w:hint="eastAsia" w:ascii="宋体" w:hAnsi="宋体" w:eastAsia="宋体" w:cs="宋体"/>
          <w:sz w:val="21"/>
          <w:szCs w:val="21"/>
          <w:lang w:eastAsia="zh-CN"/>
        </w:rPr>
      </w:pPr>
      <w:r>
        <w:rPr>
          <w:rFonts w:hint="eastAsia" w:ascii="宋体" w:hAnsi="宋体" w:cs="宋体"/>
          <w:sz w:val="21"/>
          <w:szCs w:val="21"/>
        </w:rPr>
        <w:t>批准部门：北京市</w:t>
      </w:r>
      <w:r>
        <w:rPr>
          <w:rFonts w:hint="eastAsia" w:hAnsi="宋体" w:cs="宋体"/>
          <w:color w:val="auto"/>
          <w:sz w:val="21"/>
          <w:szCs w:val="21"/>
          <w:u w:val="none"/>
          <w:lang w:val="en-US" w:eastAsia="zh-CN"/>
        </w:rPr>
        <w:t>市场监督管理局</w:t>
      </w:r>
    </w:p>
    <w:p w14:paraId="141AC6CC">
      <w:pPr>
        <w:ind w:firstLine="2179" w:firstLineChars="1038"/>
        <w:rPr>
          <w:rFonts w:hint="eastAsia" w:ascii="宋体" w:hAnsi="宋体" w:cs="宋体"/>
          <w:sz w:val="21"/>
          <w:szCs w:val="21"/>
        </w:rPr>
      </w:pPr>
      <w:r>
        <w:rPr>
          <w:rFonts w:hint="eastAsia" w:ascii="宋体" w:hAnsi="宋体" w:cs="宋体"/>
          <w:sz w:val="21"/>
          <w:szCs w:val="21"/>
        </w:rPr>
        <w:t>实施日期：20××年×月×日</w:t>
      </w:r>
    </w:p>
    <w:p w14:paraId="5DBAD2BE">
      <w:pPr>
        <w:rPr>
          <w:rFonts w:ascii="黑体" w:eastAsia="黑体"/>
          <w:b/>
          <w:sz w:val="32"/>
          <w:szCs w:val="32"/>
        </w:rPr>
      </w:pPr>
    </w:p>
    <w:p w14:paraId="31C1BFFA">
      <w:pPr>
        <w:rPr>
          <w:rFonts w:ascii="黑体" w:eastAsia="黑体"/>
          <w:b/>
          <w:sz w:val="32"/>
          <w:szCs w:val="32"/>
        </w:rPr>
      </w:pPr>
    </w:p>
    <w:p w14:paraId="58F5F62B">
      <w:pPr>
        <w:rPr>
          <w:rFonts w:ascii="黑体" w:eastAsia="黑体"/>
          <w:b/>
          <w:sz w:val="32"/>
          <w:szCs w:val="32"/>
        </w:rPr>
      </w:pPr>
    </w:p>
    <w:p w14:paraId="127DD922">
      <w:pPr>
        <w:spacing w:after="489" w:afterLines="150" w:line="240" w:lineRule="auto"/>
        <w:jc w:val="center"/>
        <w:rPr>
          <w:rFonts w:hint="eastAsia" w:ascii="宋体" w:hAnsi="宋体" w:cs="宋体"/>
          <w:sz w:val="21"/>
          <w:szCs w:val="21"/>
        </w:rPr>
      </w:pPr>
      <w:r>
        <w:rPr>
          <w:rFonts w:hint="eastAsia" w:ascii="宋体" w:hAnsi="宋体" w:cs="宋体"/>
          <w:sz w:val="21"/>
          <w:szCs w:val="21"/>
        </w:rPr>
        <w:t>202×</w:t>
      </w:r>
      <w:r>
        <w:rPr>
          <w:rFonts w:hint="eastAsia" w:ascii="宋体" w:hAnsi="宋体" w:cs="宋体"/>
          <w:bCs/>
          <w:sz w:val="21"/>
          <w:szCs w:val="21"/>
        </w:rPr>
        <w:t>×</w:t>
      </w:r>
      <w:r>
        <w:rPr>
          <w:rFonts w:hint="eastAsia" w:ascii="宋体" w:hAnsi="宋体" w:cs="宋体"/>
          <w:b/>
          <w:sz w:val="21"/>
          <w:szCs w:val="21"/>
        </w:rPr>
        <w:t xml:space="preserve"> </w:t>
      </w:r>
      <w:r>
        <w:rPr>
          <w:rFonts w:hint="eastAsia" w:ascii="宋体" w:hAnsi="宋体" w:cs="宋体"/>
          <w:sz w:val="21"/>
          <w:szCs w:val="21"/>
        </w:rPr>
        <w:t xml:space="preserve"> 北京</w:t>
      </w:r>
    </w:p>
    <w:p w14:paraId="20A72D53">
      <w:pPr>
        <w:spacing w:after="489" w:afterLines="150" w:line="240" w:lineRule="auto"/>
        <w:jc w:val="center"/>
        <w:rPr>
          <w:rFonts w:hint="eastAsia" w:ascii="宋体" w:hAnsi="宋体" w:cs="宋体"/>
          <w:b/>
          <w:bCs/>
          <w:sz w:val="32"/>
          <w:szCs w:val="3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p>
    <w:p w14:paraId="5B97B11D">
      <w:pPr>
        <w:spacing w:after="489" w:afterLines="150" w:line="240" w:lineRule="auto"/>
        <w:ind w:firstLine="0" w:firstLineChars="0"/>
        <w:jc w:val="center"/>
        <w:rPr>
          <w:rFonts w:hint="eastAsia" w:ascii="宋体" w:hAnsi="宋体" w:cs="宋体"/>
          <w:b/>
          <w:bCs/>
          <w:sz w:val="32"/>
          <w:szCs w:val="32"/>
        </w:rPr>
      </w:pPr>
      <w:r>
        <w:rPr>
          <w:rFonts w:hint="eastAsia" w:ascii="宋体" w:hAnsi="宋体" w:cs="宋体"/>
          <w:b/>
          <w:bCs/>
          <w:sz w:val="32"/>
          <w:szCs w:val="32"/>
        </w:rPr>
        <w:t>前    言</w:t>
      </w:r>
    </w:p>
    <w:p w14:paraId="77CE6641">
      <w:pPr>
        <w:tabs>
          <w:tab w:val="left" w:pos="480"/>
        </w:tabs>
        <w:ind w:firstLine="420" w:firstLineChars="200"/>
        <w:rPr>
          <w:rFonts w:hint="eastAsia" w:hAnsi="宋体" w:cs="宋体"/>
          <w:sz w:val="21"/>
          <w:szCs w:val="21"/>
          <w:lang w:val="en-US" w:eastAsia="zh-CN"/>
        </w:rPr>
      </w:pPr>
      <w:r>
        <w:rPr>
          <w:rFonts w:hint="eastAsia" w:hAnsi="宋体" w:cs="宋体"/>
          <w:sz w:val="21"/>
          <w:szCs w:val="21"/>
          <w:lang w:val="en-US" w:eastAsia="zh-CN"/>
        </w:rPr>
        <w:t>根据北京市市场监督管理局《2020 年北京市地方标准修订项目计划》（京市监发[2020]19号）的要求，规程编制组经广泛调查研究，认真总结实践经验，参考国内相关标准，并在广泛征求意见的基础上，制定本规程。</w:t>
      </w:r>
    </w:p>
    <w:p w14:paraId="7AEBF7C0">
      <w:pPr>
        <w:tabs>
          <w:tab w:val="left" w:pos="480"/>
        </w:tabs>
        <w:ind w:firstLine="420"/>
        <w:rPr>
          <w:rFonts w:hint="eastAsia" w:hAnsi="宋体" w:cs="宋体"/>
          <w:sz w:val="21"/>
          <w:szCs w:val="21"/>
        </w:rPr>
      </w:pPr>
      <w:r>
        <w:rPr>
          <w:rFonts w:hint="eastAsia" w:hAnsi="宋体" w:cs="宋体"/>
          <w:sz w:val="21"/>
          <w:szCs w:val="21"/>
        </w:rPr>
        <w:t>本规程是京津冀区域协同工程建设标准，按照京津冀三地互认共享的原则，由三地住房和城乡建设主管部门分别组织实施。</w:t>
      </w:r>
    </w:p>
    <w:p w14:paraId="7577E580">
      <w:pPr>
        <w:tabs>
          <w:tab w:val="left" w:pos="480"/>
        </w:tabs>
        <w:ind w:firstLine="420" w:firstLineChars="200"/>
        <w:rPr>
          <w:rFonts w:hint="eastAsia" w:ascii="宋体" w:hAnsi="宋体" w:cs="宋体"/>
          <w:sz w:val="21"/>
          <w:szCs w:val="21"/>
        </w:rPr>
      </w:pPr>
      <w:r>
        <w:rPr>
          <w:rFonts w:hint="eastAsia" w:hAnsi="宋体" w:cs="宋体"/>
          <w:sz w:val="21"/>
          <w:szCs w:val="21"/>
          <w:lang w:val="en-US" w:eastAsia="zh-CN"/>
        </w:rPr>
        <w:t>本规程的</w:t>
      </w:r>
      <w:r>
        <w:rPr>
          <w:rFonts w:hint="eastAsia" w:ascii="宋体" w:hAnsi="宋体" w:cs="宋体"/>
          <w:sz w:val="21"/>
          <w:szCs w:val="21"/>
        </w:rPr>
        <w:t>主要技术内容是：1总则；2术语；3基本规定；4</w:t>
      </w:r>
      <w:r>
        <w:rPr>
          <w:rFonts w:hint="eastAsia" w:ascii="宋体" w:hAnsi="宋体" w:cs="宋体"/>
          <w:sz w:val="21"/>
          <w:szCs w:val="21"/>
          <w:lang w:val="en-US" w:eastAsia="zh-CN"/>
        </w:rPr>
        <w:t>冰池构造施工</w:t>
      </w:r>
      <w:r>
        <w:rPr>
          <w:rFonts w:hint="eastAsia" w:ascii="宋体" w:hAnsi="宋体" w:cs="宋体"/>
          <w:sz w:val="21"/>
          <w:szCs w:val="21"/>
        </w:rPr>
        <w:t>；5</w:t>
      </w:r>
      <w:r>
        <w:rPr>
          <w:rFonts w:hint="eastAsia" w:ascii="宋体" w:hAnsi="宋体" w:cs="宋体"/>
          <w:sz w:val="21"/>
          <w:szCs w:val="21"/>
          <w:lang w:val="en-US" w:eastAsia="zh-CN"/>
        </w:rPr>
        <w:t>制冰系统安装</w:t>
      </w:r>
      <w:r>
        <w:rPr>
          <w:rFonts w:hint="eastAsia" w:ascii="宋体" w:hAnsi="宋体" w:cs="宋体"/>
          <w:sz w:val="21"/>
          <w:szCs w:val="21"/>
        </w:rPr>
        <w:t>；6</w:t>
      </w:r>
      <w:r>
        <w:rPr>
          <w:rFonts w:hint="eastAsia" w:ascii="宋体" w:hAnsi="宋体" w:cs="宋体"/>
          <w:sz w:val="21"/>
          <w:szCs w:val="21"/>
          <w:lang w:val="en-US" w:eastAsia="zh-CN"/>
        </w:rPr>
        <w:t>给水排水系统安装</w:t>
      </w:r>
      <w:r>
        <w:rPr>
          <w:rFonts w:hint="eastAsia" w:ascii="宋体" w:hAnsi="宋体" w:cs="宋体"/>
          <w:sz w:val="21"/>
          <w:szCs w:val="21"/>
        </w:rPr>
        <w:t>；7</w:t>
      </w:r>
      <w:r>
        <w:rPr>
          <w:rFonts w:hint="eastAsia" w:ascii="宋体" w:hAnsi="宋体" w:cs="宋体"/>
          <w:sz w:val="21"/>
          <w:szCs w:val="21"/>
          <w:lang w:val="en-US" w:eastAsia="zh-CN"/>
        </w:rPr>
        <w:t>除湿系统安装</w:t>
      </w:r>
      <w:r>
        <w:rPr>
          <w:rFonts w:hint="eastAsia" w:ascii="宋体" w:hAnsi="宋体" w:cs="宋体"/>
          <w:sz w:val="21"/>
          <w:szCs w:val="21"/>
        </w:rPr>
        <w:t>；8</w:t>
      </w:r>
      <w:r>
        <w:rPr>
          <w:rFonts w:hint="eastAsia" w:ascii="宋体" w:hAnsi="宋体" w:cs="宋体"/>
          <w:sz w:val="21"/>
          <w:szCs w:val="21"/>
          <w:lang w:val="en-US" w:eastAsia="zh-CN"/>
        </w:rPr>
        <w:t>事故排风系统安装</w:t>
      </w:r>
      <w:r>
        <w:rPr>
          <w:rFonts w:hint="eastAsia" w:ascii="宋体" w:hAnsi="宋体" w:cs="宋体"/>
          <w:sz w:val="21"/>
          <w:szCs w:val="21"/>
        </w:rPr>
        <w:t>；9</w:t>
      </w:r>
      <w:r>
        <w:rPr>
          <w:rFonts w:hint="eastAsia" w:ascii="宋体" w:hAnsi="宋体" w:cs="宋体"/>
          <w:sz w:val="21"/>
          <w:szCs w:val="21"/>
          <w:lang w:val="en-US" w:eastAsia="zh-CN"/>
        </w:rPr>
        <w:t>电气系统安装</w:t>
      </w:r>
      <w:r>
        <w:rPr>
          <w:rFonts w:hint="eastAsia" w:ascii="宋体" w:hAnsi="宋体" w:cs="宋体"/>
          <w:sz w:val="21"/>
          <w:szCs w:val="21"/>
        </w:rPr>
        <w:t>；10</w:t>
      </w:r>
      <w:r>
        <w:rPr>
          <w:rFonts w:hint="eastAsia" w:ascii="宋体" w:hAnsi="宋体" w:cs="宋体"/>
          <w:sz w:val="21"/>
          <w:szCs w:val="21"/>
          <w:lang w:val="en-US" w:eastAsia="zh-CN"/>
        </w:rPr>
        <w:t>自动化监控系统安装；11安全与绿色施工；12</w:t>
      </w:r>
      <w:r>
        <w:rPr>
          <w:rFonts w:hint="eastAsia" w:ascii="宋体" w:hAnsi="宋体" w:cs="宋体"/>
          <w:sz w:val="21"/>
          <w:szCs w:val="21"/>
        </w:rPr>
        <w:t>工程验收及交付。</w:t>
      </w:r>
    </w:p>
    <w:p w14:paraId="1FB789A0">
      <w:pPr>
        <w:tabs>
          <w:tab w:val="left" w:pos="480"/>
        </w:tabs>
        <w:ind w:firstLine="420" w:firstLineChars="200"/>
        <w:rPr>
          <w:rFonts w:hint="eastAsia" w:ascii="宋体" w:hAnsi="宋体" w:cs="宋体"/>
          <w:sz w:val="21"/>
          <w:szCs w:val="21"/>
        </w:rPr>
      </w:pPr>
      <w:r>
        <w:rPr>
          <w:rFonts w:hint="eastAsia" w:hAnsi="宋体" w:cs="宋体"/>
          <w:sz w:val="21"/>
          <w:szCs w:val="21"/>
          <w:lang w:val="en-US" w:eastAsia="zh-CN"/>
        </w:rPr>
        <w:t>本规程</w:t>
      </w:r>
      <w:r>
        <w:rPr>
          <w:rFonts w:hint="eastAsia" w:ascii="宋体" w:hAnsi="宋体" w:cs="宋体"/>
          <w:sz w:val="21"/>
          <w:szCs w:val="21"/>
        </w:rPr>
        <w:t>由北京市住房和城乡建设委员会和北京市市场监督管理局共同负责管理，北京市住房和城乡建设委员会归口并负责组织实施，</w:t>
      </w:r>
      <w:r>
        <w:rPr>
          <w:rFonts w:hint="eastAsia" w:hAnsi="宋体" w:cs="宋体"/>
          <w:sz w:val="21"/>
          <w:szCs w:val="21"/>
          <w:lang w:val="en-US" w:eastAsia="zh-CN"/>
        </w:rPr>
        <w:t>由</w:t>
      </w:r>
      <w:r>
        <w:rPr>
          <w:rFonts w:hint="eastAsia" w:ascii="宋体" w:hAnsi="宋体" w:cs="宋体"/>
          <w:sz w:val="21"/>
          <w:szCs w:val="21"/>
        </w:rPr>
        <w:t>北京城建集团有限责任公司负责具体技术内容的解释。执行过程中如有意见或建议，请寄送北京城建集团有限责任公司《</w:t>
      </w:r>
      <w:r>
        <w:rPr>
          <w:rFonts w:hint="eastAsia" w:ascii="宋体" w:hAnsi="宋体" w:cs="宋体"/>
          <w:sz w:val="21"/>
          <w:szCs w:val="21"/>
          <w:lang w:val="en-US" w:eastAsia="zh-CN"/>
        </w:rPr>
        <w:t>人工冰场施工技术规程</w:t>
      </w:r>
      <w:r>
        <w:rPr>
          <w:rFonts w:hint="eastAsia" w:ascii="宋体" w:hAnsi="宋体" w:cs="宋体"/>
          <w:sz w:val="21"/>
          <w:szCs w:val="21"/>
        </w:rPr>
        <w:t>》编制组（地址：北京市海淀区北太平庄路18号，邮政编码：100088）。</w:t>
      </w:r>
    </w:p>
    <w:p w14:paraId="7356A7CA">
      <w:pPr>
        <w:ind w:firstLine="420" w:firstLineChars="200"/>
        <w:rPr>
          <w:rFonts w:hint="eastAsia" w:ascii="宋体" w:hAnsi="宋体" w:cs="宋体"/>
          <w:kern w:val="0"/>
          <w:sz w:val="21"/>
          <w:szCs w:val="21"/>
        </w:rPr>
      </w:pPr>
      <w:r>
        <w:rPr>
          <w:rFonts w:hint="eastAsia" w:ascii="宋体" w:hAnsi="宋体" w:cs="宋体"/>
          <w:kern w:val="0"/>
          <w:sz w:val="21"/>
          <w:szCs w:val="21"/>
        </w:rPr>
        <w:t>本规程主编单位：北京城建集团有限责任公司</w:t>
      </w:r>
    </w:p>
    <w:p w14:paraId="078C27DE">
      <w:pPr>
        <w:ind w:firstLine="2118" w:firstLineChars="1009"/>
        <w:rPr>
          <w:rFonts w:hint="eastAsia" w:ascii="宋体" w:hAnsi="宋体" w:cs="宋体"/>
          <w:kern w:val="0"/>
          <w:sz w:val="21"/>
          <w:szCs w:val="21"/>
        </w:rPr>
      </w:pPr>
      <w:r>
        <w:rPr>
          <w:rFonts w:hint="eastAsia" w:ascii="宋体" w:hAnsi="宋体" w:cs="宋体"/>
          <w:kern w:val="0"/>
          <w:sz w:val="21"/>
          <w:szCs w:val="21"/>
        </w:rPr>
        <w:t>北京</w:t>
      </w:r>
      <w:r>
        <w:rPr>
          <w:rFonts w:hint="eastAsia" w:ascii="宋体" w:hAnsi="宋体" w:cs="宋体"/>
          <w:sz w:val="21"/>
          <w:szCs w:val="21"/>
        </w:rPr>
        <w:t>建亚泰建设集团有限</w:t>
      </w:r>
      <w:r>
        <w:rPr>
          <w:rFonts w:hint="eastAsia" w:ascii="宋体" w:hAnsi="宋体" w:cs="宋体"/>
          <w:kern w:val="0"/>
          <w:sz w:val="21"/>
          <w:szCs w:val="21"/>
        </w:rPr>
        <w:t>公司</w:t>
      </w:r>
    </w:p>
    <w:p w14:paraId="5C2C9F1B">
      <w:pPr>
        <w:ind w:firstLine="2118" w:firstLineChars="1009"/>
        <w:rPr>
          <w:rFonts w:hint="eastAsia" w:ascii="宋体" w:hAnsi="宋体" w:cs="宋体"/>
          <w:kern w:val="0"/>
          <w:sz w:val="21"/>
          <w:szCs w:val="21"/>
        </w:rPr>
      </w:pPr>
      <w:r>
        <w:rPr>
          <w:rFonts w:hint="eastAsia" w:ascii="宋体" w:hAnsi="宋体" w:cs="宋体"/>
          <w:kern w:val="0"/>
          <w:sz w:val="21"/>
          <w:szCs w:val="21"/>
        </w:rPr>
        <w:t>北京</w:t>
      </w:r>
      <w:r>
        <w:rPr>
          <w:rFonts w:hint="eastAsia" w:ascii="宋体" w:hAnsi="宋体" w:cs="宋体"/>
          <w:sz w:val="21"/>
          <w:szCs w:val="21"/>
        </w:rPr>
        <w:t>城建北方集团有限</w:t>
      </w:r>
      <w:r>
        <w:rPr>
          <w:rFonts w:hint="eastAsia" w:ascii="宋体" w:hAnsi="宋体" w:cs="宋体"/>
          <w:kern w:val="0"/>
          <w:sz w:val="21"/>
          <w:szCs w:val="21"/>
        </w:rPr>
        <w:t>公司</w:t>
      </w:r>
    </w:p>
    <w:p w14:paraId="2BE244CA">
      <w:pPr>
        <w:snapToGrid w:val="0"/>
        <w:spacing w:line="400" w:lineRule="exact"/>
        <w:rPr>
          <w:rFonts w:ascii="宋体" w:hAnsi="宋体" w:eastAsia="宋体"/>
          <w:sz w:val="21"/>
          <w:szCs w:val="21"/>
        </w:rPr>
      </w:pPr>
      <w:r>
        <w:rPr>
          <w:rFonts w:hint="eastAsia" w:ascii="宋体" w:hAnsi="宋体" w:cs="宋体"/>
          <w:sz w:val="21"/>
          <w:szCs w:val="21"/>
        </w:rPr>
        <w:t>本规程参编单位：</w:t>
      </w:r>
      <w:r>
        <w:rPr>
          <w:rFonts w:hint="eastAsia" w:ascii="宋体" w:hAnsi="宋体" w:eastAsia="宋体"/>
          <w:sz w:val="21"/>
          <w:szCs w:val="21"/>
        </w:rPr>
        <w:t>北京亚泰智博制冰科技有限公司</w:t>
      </w:r>
    </w:p>
    <w:p w14:paraId="49DCF71B">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textAlignment w:val="auto"/>
        <w:rPr>
          <w:rFonts w:ascii="宋体" w:hAnsi="宋体" w:eastAsia="宋体"/>
          <w:sz w:val="21"/>
          <w:szCs w:val="21"/>
        </w:rPr>
      </w:pPr>
      <w:r>
        <w:rPr>
          <w:rFonts w:hint="eastAsia" w:ascii="宋体" w:hAnsi="宋体" w:eastAsia="宋体"/>
          <w:sz w:val="21"/>
          <w:szCs w:val="21"/>
        </w:rPr>
        <w:t>中建二局第三建筑工程有限公司</w:t>
      </w:r>
    </w:p>
    <w:p w14:paraId="51A2B1BC">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北京住总集团有限责任公司</w:t>
      </w:r>
    </w:p>
    <w:p w14:paraId="063EFCE1">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深圳大学</w:t>
      </w:r>
    </w:p>
    <w:p w14:paraId="1A91AF7D">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武汉大学</w:t>
      </w:r>
    </w:p>
    <w:p w14:paraId="6EF0BCF7">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浙江大学</w:t>
      </w:r>
    </w:p>
    <w:p w14:paraId="451D14BF">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北京城建七建设工程有限公司</w:t>
      </w:r>
    </w:p>
    <w:p w14:paraId="314765B7">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北京国家速滑馆经营有限责任公司</w:t>
      </w:r>
    </w:p>
    <w:p w14:paraId="2C4035A6">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rPr>
      </w:pPr>
      <w:r>
        <w:rPr>
          <w:rFonts w:hint="eastAsia" w:ascii="宋体" w:hAnsi="宋体" w:eastAsia="宋体"/>
          <w:sz w:val="21"/>
          <w:szCs w:val="21"/>
        </w:rPr>
        <w:t>北京艾尔豪斯膜式技术有限公司</w:t>
      </w:r>
    </w:p>
    <w:p w14:paraId="20CD8F05">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北京城建二建设工程有限公司</w:t>
      </w:r>
    </w:p>
    <w:p w14:paraId="097FB26D">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北京城建远东建设投资集团有限公司</w:t>
      </w:r>
    </w:p>
    <w:p w14:paraId="5290EA5F">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ascii="宋体" w:hAnsi="宋体" w:eastAsia="宋体"/>
          <w:sz w:val="21"/>
          <w:szCs w:val="21"/>
        </w:rPr>
      </w:pPr>
      <w:r>
        <w:rPr>
          <w:rFonts w:hint="eastAsia" w:ascii="宋体" w:hAnsi="宋体" w:eastAsia="宋体"/>
          <w:sz w:val="21"/>
          <w:szCs w:val="21"/>
        </w:rPr>
        <w:t xml:space="preserve">北京城建九建设工程有限公司 </w:t>
      </w:r>
    </w:p>
    <w:p w14:paraId="334BEDC6">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r>
        <w:rPr>
          <w:rFonts w:hint="eastAsia" w:ascii="宋体" w:hAnsi="宋体" w:eastAsia="宋体"/>
          <w:sz w:val="21"/>
          <w:szCs w:val="21"/>
        </w:rPr>
        <w:t>北京城建亚泰宏禹建筑装饰工程有限公司</w:t>
      </w:r>
    </w:p>
    <w:p w14:paraId="5C1FE7FF">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rPr>
      </w:pPr>
      <w:r>
        <w:rPr>
          <w:rFonts w:hint="eastAsia" w:ascii="宋体" w:hAnsi="宋体" w:eastAsia="宋体"/>
          <w:sz w:val="21"/>
          <w:szCs w:val="21"/>
        </w:rPr>
        <w:t>艾斯特制冷与太阳能技术(北京)有限公司</w:t>
      </w:r>
    </w:p>
    <w:p w14:paraId="2C4BB593">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中体场馆运营竞赛管理公司</w:t>
      </w:r>
    </w:p>
    <w:p w14:paraId="44E52F09">
      <w:pPr>
        <w:keepNext w:val="0"/>
        <w:keepLines w:val="0"/>
        <w:pageBreakBefore w:val="0"/>
        <w:widowControl w:val="0"/>
        <w:kinsoku/>
        <w:wordWrap/>
        <w:overflowPunct/>
        <w:topLinePunct w:val="0"/>
        <w:autoSpaceDE/>
        <w:autoSpaceDN/>
        <w:bidi w:val="0"/>
        <w:adjustRightInd/>
        <w:snapToGrid w:val="0"/>
        <w:spacing w:line="400" w:lineRule="exact"/>
        <w:ind w:firstLine="2100" w:firstLineChars="1000"/>
        <w:jc w:val="left"/>
        <w:textAlignment w:val="auto"/>
        <w:rPr>
          <w:rFonts w:hint="default" w:ascii="宋体" w:hAnsi="宋体" w:eastAsia="宋体"/>
          <w:sz w:val="24"/>
          <w:szCs w:val="24"/>
          <w:lang w:val="en-US" w:eastAsia="zh-CN"/>
        </w:rPr>
      </w:pPr>
      <w:r>
        <w:rPr>
          <w:rFonts w:hint="eastAsia" w:ascii="宋体" w:hAnsi="宋体" w:eastAsia="宋体"/>
          <w:sz w:val="21"/>
          <w:szCs w:val="21"/>
          <w:lang w:val="en-US" w:eastAsia="zh-CN"/>
        </w:rPr>
        <w:t>铭星冰雪（北京）科技有限公司</w:t>
      </w:r>
    </w:p>
    <w:p w14:paraId="0C1C0638">
      <w:pPr>
        <w:ind w:firstLine="420" w:firstLineChars="200"/>
        <w:rPr>
          <w:rFonts w:ascii="宋体" w:hAnsi="宋体" w:cs="宋体"/>
          <w:kern w:val="0"/>
          <w:sz w:val="21"/>
          <w:szCs w:val="21"/>
        </w:rPr>
      </w:pPr>
      <w:r>
        <w:rPr>
          <w:rFonts w:hint="eastAsia" w:ascii="宋体" w:hAnsi="宋体" w:cs="宋体"/>
          <w:kern w:val="0"/>
          <w:sz w:val="21"/>
          <w:szCs w:val="21"/>
        </w:rPr>
        <w:t>本规程主要起草人员：</w:t>
      </w:r>
    </w:p>
    <w:p w14:paraId="6C115B81">
      <w:pPr>
        <w:pStyle w:val="2"/>
        <w:ind w:left="0" w:leftChars="0" w:firstLine="420" w:firstLineChars="200"/>
      </w:pPr>
      <w:r>
        <w:rPr>
          <w:rFonts w:hint="eastAsia" w:ascii="宋体" w:hAnsi="宋体" w:cs="宋体"/>
          <w:kern w:val="0"/>
          <w:sz w:val="21"/>
          <w:szCs w:val="21"/>
        </w:rPr>
        <w:t>本规程主要审查人员：</w:t>
      </w:r>
    </w:p>
    <w:p w14:paraId="2CBAA2BD">
      <w:pPr>
        <w:pStyle w:val="2"/>
        <w:rPr>
          <w:rFonts w:ascii="黑体" w:eastAsia="黑体"/>
          <w:b/>
          <w:sz w:val="32"/>
          <w:szCs w:val="32"/>
        </w:rPr>
      </w:pPr>
    </w:p>
    <w:p w14:paraId="07CC35AB">
      <w:pPr>
        <w:pStyle w:val="4"/>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26" w:charSpace="0"/>
        </w:sectPr>
      </w:pPr>
    </w:p>
    <w:sdt>
      <w:sdtPr>
        <w:rPr>
          <w:rFonts w:ascii="宋体" w:hAnsi="宋体" w:eastAsia="宋体" w:cs="Times New Roman"/>
          <w:kern w:val="2"/>
          <w:sz w:val="21"/>
          <w:szCs w:val="24"/>
          <w:lang w:val="en-US" w:eastAsia="zh-CN" w:bidi="ar-SA"/>
        </w:rPr>
        <w:id w:val="147458512"/>
        <w15:color w:val="DBDBDB"/>
        <w:docPartObj>
          <w:docPartGallery w:val="Table of Contents"/>
          <w:docPartUnique/>
        </w:docPartObj>
      </w:sdtPr>
      <w:sdtEndPr>
        <w:rPr>
          <w:rFonts w:hint="eastAsia" w:ascii="宋体" w:hAnsi="宋体" w:eastAsia="宋体" w:cs="宋体"/>
          <w:b/>
          <w:bCs w:val="0"/>
          <w:kern w:val="2"/>
          <w:sz w:val="28"/>
          <w:szCs w:val="28"/>
          <w:lang w:val="en-US" w:eastAsia="zh-CN" w:bidi="ar-SA"/>
        </w:rPr>
      </w:sdtEndPr>
      <w:sdtContent>
        <w:p w14:paraId="7C7FED5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eastAsia="宋体"/>
              <w:lang w:eastAsia="zh-CN"/>
            </w:rPr>
          </w:pPr>
          <w:bookmarkStart w:id="2" w:name="_Toc4505"/>
          <w:bookmarkStart w:id="3" w:name="_Toc24063"/>
          <w:bookmarkStart w:id="4" w:name="_Toc2525"/>
          <w:bookmarkStart w:id="5" w:name="_Toc9059"/>
          <w:bookmarkStart w:id="6" w:name="_Toc7322"/>
          <w:bookmarkStart w:id="7" w:name="_Toc15914"/>
          <w:bookmarkStart w:id="8" w:name="_Toc1276"/>
          <w:bookmarkStart w:id="9" w:name="_Toc30663"/>
          <w:bookmarkStart w:id="10" w:name="_Toc16751"/>
          <w:bookmarkStart w:id="11" w:name="_Toc15519"/>
          <w:bookmarkStart w:id="12" w:name="_Toc20471"/>
          <w:bookmarkStart w:id="13" w:name="_Toc18927"/>
          <w:bookmarkStart w:id="14" w:name="_Toc30794"/>
          <w:r>
            <w:rPr>
              <w:rFonts w:ascii="宋体" w:hAnsi="宋体" w:eastAsia="宋体"/>
              <w:b/>
              <w:bCs/>
              <w:sz w:val="24"/>
              <w:szCs w:val="24"/>
            </w:rPr>
            <w:t>目</w:t>
          </w:r>
          <w:r>
            <w:rPr>
              <w:rFonts w:hint="eastAsia" w:hAnsi="宋体"/>
              <w:b/>
              <w:bCs/>
              <w:sz w:val="24"/>
              <w:szCs w:val="24"/>
              <w:lang w:val="en-US" w:eastAsia="zh-CN"/>
            </w:rPr>
            <w:t xml:space="preserve">    </w:t>
          </w:r>
          <w:bookmarkEnd w:id="2"/>
          <w:bookmarkEnd w:id="3"/>
          <w:bookmarkEnd w:id="4"/>
          <w:bookmarkEnd w:id="5"/>
          <w:bookmarkEnd w:id="6"/>
          <w:bookmarkEnd w:id="7"/>
          <w:bookmarkEnd w:id="8"/>
          <w:bookmarkEnd w:id="9"/>
          <w:bookmarkEnd w:id="10"/>
          <w:bookmarkEnd w:id="11"/>
          <w:bookmarkEnd w:id="12"/>
          <w:r>
            <w:rPr>
              <w:rFonts w:hint="eastAsia" w:hAnsi="宋体"/>
              <w:b/>
              <w:bCs/>
              <w:sz w:val="24"/>
              <w:szCs w:val="24"/>
              <w:lang w:val="en-US" w:eastAsia="zh-CN"/>
            </w:rPr>
            <w:t>次</w:t>
          </w:r>
          <w:bookmarkEnd w:id="13"/>
        </w:p>
        <w:p w14:paraId="445965F0">
          <w:pPr>
            <w:pStyle w:val="11"/>
            <w:tabs>
              <w:tab w:val="right" w:leader="dot" w:pos="8306"/>
            </w:tabs>
            <w:jc w:val="left"/>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TOC \o "1-2" \h \u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_Toc6639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  总</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则</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_Toc6639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6CF2F4B">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_Toc12247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  术</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语</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_Toc12247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380F63E">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_Toc28503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基本规定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_Toc28503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58F1F24">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_Toc13406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 xml:space="preserve">4  </w:t>
          </w:r>
          <w:r>
            <w:rPr>
              <w:rFonts w:hint="eastAsia" w:ascii="宋体" w:hAnsi="宋体" w:eastAsia="宋体" w:cs="宋体"/>
              <w:b w:val="0"/>
              <w:bCs w:val="0"/>
              <w:sz w:val="20"/>
              <w:szCs w:val="20"/>
            </w:rPr>
            <w:t>冰池构造</w:t>
          </w:r>
          <w:r>
            <w:rPr>
              <w:rFonts w:hint="eastAsia" w:ascii="宋体" w:hAnsi="宋体" w:eastAsia="宋体" w:cs="宋体"/>
              <w:b w:val="0"/>
              <w:bCs w:val="0"/>
              <w:sz w:val="20"/>
              <w:szCs w:val="20"/>
              <w:lang w:val="en-US" w:eastAsia="zh-CN"/>
            </w:rPr>
            <w:t>施工</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_Toc13406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D6C3BA3">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_Toc1313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w:t>
          </w:r>
          <w:r>
            <w:rPr>
              <w:rFonts w:hint="eastAsia" w:ascii="宋体" w:hAnsi="宋体" w:eastAsia="宋体" w:cs="宋体"/>
              <w:b w:val="0"/>
              <w:bCs w:val="0"/>
              <w:kern w:val="0"/>
              <w:sz w:val="20"/>
              <w:szCs w:val="20"/>
            </w:rPr>
            <w:t>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_Toc1313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D9025F1">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_Toc29697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4.2  加热层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_Toc29697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69F6127B">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_Toc477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4.3  保温层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_Toc477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04D6E74">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_Toc3845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4.4  膜层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_Toc3845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46A8BD1">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_Toc12485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4.6  找平层及防水保护层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_Toc12485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6FF3517">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_Toc26503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4.7  冰板制冷层</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_Toc26503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6781100">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_Toc18476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4.8  装配式制冰板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_Toc18476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F880561">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_Toc19628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4.9  排水沟等附属构造物</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_Toc19628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A53C190">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_Toc27733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4.10  冰场界墙</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_Toc27733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F9FC5CF">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_Toc25745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 xml:space="preserve">5 </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制冰系统安装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_Toc25745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B9D0B74">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_Toc6694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_Toc6694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9B12CDE">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_Toc29377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5.2  制冰管道安装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_Toc29377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7117A64">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_Toc16465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5.3  制冰设备安装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_Toc16465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2C6D420">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_Toc18220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5.4  制冰系统检测与试验</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_Toc18220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BCBB30D">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_Toc16881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5.5  防腐与绝热</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_Toc16881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D0AD1E6">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_Toc17540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5.6  制冰系统运行调试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_Toc17540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19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C338C19">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_Toc31366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 xml:space="preserve">6  </w:t>
          </w:r>
          <w:r>
            <w:rPr>
              <w:rFonts w:hint="eastAsia" w:ascii="宋体" w:hAnsi="宋体" w:eastAsia="宋体" w:cs="宋体"/>
              <w:b w:val="0"/>
              <w:bCs w:val="0"/>
              <w:sz w:val="20"/>
              <w:szCs w:val="20"/>
              <w:lang w:val="en-US" w:eastAsia="zh-CN"/>
            </w:rPr>
            <w:t>给水排水</w:t>
          </w:r>
          <w:r>
            <w:rPr>
              <w:rFonts w:hint="eastAsia" w:ascii="宋体" w:hAnsi="宋体" w:eastAsia="宋体" w:cs="宋体"/>
              <w:b w:val="0"/>
              <w:bCs w:val="0"/>
              <w:sz w:val="20"/>
              <w:szCs w:val="20"/>
            </w:rPr>
            <w:t>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_Toc31366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9BFAD2A">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_Toc10561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_Toc10561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55BD9FD">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_Toc19706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6.2  管道及附件安装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_Toc19706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FF0F20C">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_Toc11144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6.3  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_Toc11144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22</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38777BC">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_Toc26209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6.4  给水排水系统调试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_Toc26209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857E1CB">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_Toc22329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7  除湿系统安装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_Toc22329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E20116E">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_Toc29114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_Toc29114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0B8789A">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_Toc10124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7.2  除湿设备安装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_Toc10124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8187D82">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_Toc20674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7.3  除湿风管系统安装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_Toc20674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99873BC">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_Toc9487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7.4  空调除湿制冷剂管道系统安装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_Toc9487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E6ED6E6">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_Toc26764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7.5  水系统安装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_Toc26764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37BD626">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_Toc3157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7.6  空调除湿系统试验</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_Toc3157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28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880B2F1">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_Toc2025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7.7  除湿系统调试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_Toc2025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34E1E55">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_Toc2898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8  事故排风系统安装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_Toc2898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277F97D">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_Toc24021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_Toc24021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E25DFE7">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_Toc21123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8.2  管道及部件安装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_Toc21123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5DDDF22">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_Toc26758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8.3  设备安装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_Toc26758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34</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A9C7CE6">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_Toc24646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8.4  事故排风系统调试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_Toc24646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35</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4F099DF">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_Toc18906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9  电气系统安装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_Toc18906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DEDFDE9">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_Toc24598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_Toc24598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C866215">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_Toc5162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9.2  配电系统线路布线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_Toc5162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02066DD">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_Toc1159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9.3  电气箱、柜安装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_Toc1159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03A6B627">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_Toc31445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9.4  电动执行器接线</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_Toc31445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65ED0C2B">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_Toc14896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9.5  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_Toc14896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37</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6172E2E2">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_Toc27644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10  自动化监控系统安装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_Toc27644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CC4BEEF">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_Toc17134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10.1  一般规定</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_Toc17134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6DD1E66F">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_Toc1351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10.2  传感器安装</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_Toc1351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094839F">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_Toc1052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10.3  设备安装及系统集成</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_Toc1052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6319B198">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_Toc9133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rPr>
            <w:t>10.4  系统调试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_Toc9133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39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5A38754">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_Toc26552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11  安全与绿色施工</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_Toc26552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40</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98D8703">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_Toc3727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44"/>
              <w:sz w:val="20"/>
              <w:szCs w:val="20"/>
              <w:lang w:val="en-US" w:eastAsia="zh-CN" w:bidi="ar-SA"/>
            </w:rPr>
            <w:t>12  工程验收及交付</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_Toc3727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1C08B0A2">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_Toc28560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12.1  工程质量验收划分</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_Toc28560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D1C2730">
          <w:pPr>
            <w:pStyle w:val="12"/>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_Toc174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kern w:val="0"/>
              <w:sz w:val="20"/>
              <w:szCs w:val="20"/>
              <w:lang w:val="en-US" w:eastAsia="zh-CN" w:bidi="ar-SA"/>
            </w:rPr>
            <w:t>12.2  施工质量验收的程序及组织</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_Toc174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43</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76B8F25B">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_Toc21221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附录A  标准</w:t>
          </w:r>
          <w:r>
            <w:rPr>
              <w:rFonts w:hint="eastAsia" w:ascii="宋体" w:hAnsi="宋体" w:eastAsia="宋体" w:cs="宋体"/>
              <w:b w:val="0"/>
              <w:bCs w:val="0"/>
              <w:sz w:val="20"/>
              <w:szCs w:val="20"/>
            </w:rPr>
            <w:t>冰</w:t>
          </w:r>
          <w:r>
            <w:rPr>
              <w:rFonts w:hint="eastAsia" w:ascii="宋体" w:hAnsi="宋体" w:eastAsia="宋体" w:cs="宋体"/>
              <w:b w:val="0"/>
              <w:bCs w:val="0"/>
              <w:sz w:val="20"/>
              <w:szCs w:val="20"/>
              <w:lang w:val="en-US" w:eastAsia="zh-CN"/>
            </w:rPr>
            <w:t>球</w:t>
          </w:r>
          <w:r>
            <w:rPr>
              <w:rFonts w:hint="eastAsia" w:ascii="宋体" w:hAnsi="宋体" w:eastAsia="宋体" w:cs="宋体"/>
              <w:b w:val="0"/>
              <w:bCs w:val="0"/>
              <w:sz w:val="20"/>
              <w:szCs w:val="20"/>
            </w:rPr>
            <w:t>场设置及划线</w:t>
          </w:r>
          <w:r>
            <w:rPr>
              <w:rFonts w:hint="eastAsia" w:ascii="宋体" w:hAnsi="宋体" w:eastAsia="宋体" w:cs="宋体"/>
              <w:b w:val="0"/>
              <w:bCs w:val="0"/>
              <w:sz w:val="20"/>
              <w:szCs w:val="20"/>
              <w:lang w:val="en-US" w:eastAsia="zh-CN"/>
            </w:rPr>
            <w:t>参考</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_Toc21221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46</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339E180B">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_Toc9660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lang w:val="en-US" w:eastAsia="zh-CN"/>
            </w:rPr>
            <w:t>附录B  非标小型冰球场场界墙参考做法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_Toc9660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48</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5DE8B1F9">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_Toc559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本规程用词说明</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_Toc559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49</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4C4321F7">
          <w:pPr>
            <w:pStyle w:val="11"/>
            <w:tabs>
              <w:tab w:val="right" w:leader="dot" w:pos="8306"/>
            </w:tabs>
            <w:rPr>
              <w:rFonts w:hint="eastAsia" w:ascii="宋体" w:hAnsi="宋体" w:eastAsia="宋体" w:cs="宋体"/>
              <w:b w:val="0"/>
              <w:bCs w:val="0"/>
              <w:sz w:val="20"/>
              <w:szCs w:val="20"/>
            </w:r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_Toc6560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引用标准名录</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_Toc6560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50</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p w14:paraId="2AA7C81C">
          <w:pPr>
            <w:pStyle w:val="11"/>
            <w:tabs>
              <w:tab w:val="right" w:leader="dot" w:pos="8306"/>
            </w:tabs>
            <w:rPr>
              <w:rFonts w:hint="eastAsia" w:ascii="黑体" w:hAnsi="黑体" w:eastAsia="黑体" w:cs="Times New Roman"/>
              <w:bCs w:val="0"/>
              <w:sz w:val="21"/>
              <w:szCs w:val="20"/>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HYPERLINK \l _Toc2527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条文说明</w:t>
          </w:r>
          <w:r>
            <w:rPr>
              <w:rFonts w:hint="eastAsia" w:ascii="宋体" w:hAnsi="宋体" w:eastAsia="宋体" w:cs="宋体"/>
              <w:b w:val="0"/>
              <w:bCs w:val="0"/>
              <w:sz w:val="20"/>
              <w:szCs w:val="20"/>
            </w:rPr>
            <w:tab/>
          </w:r>
          <w:r>
            <w:rPr>
              <w:rFonts w:hint="eastAsia" w:ascii="宋体" w:hAnsi="宋体" w:eastAsia="宋体" w:cs="宋体"/>
              <w:b w:val="0"/>
              <w:bCs w:val="0"/>
              <w:sz w:val="20"/>
              <w:szCs w:val="20"/>
            </w:rPr>
            <w:fldChar w:fldCharType="begin"/>
          </w:r>
          <w:r>
            <w:rPr>
              <w:rFonts w:hint="eastAsia" w:ascii="宋体" w:hAnsi="宋体" w:eastAsia="宋体" w:cs="宋体"/>
              <w:b w:val="0"/>
              <w:bCs w:val="0"/>
              <w:sz w:val="20"/>
              <w:szCs w:val="20"/>
            </w:rPr>
            <w:instrText xml:space="preserve"> PAGEREF _Toc2527 \h </w:instrText>
          </w:r>
          <w:r>
            <w:rPr>
              <w:rFonts w:hint="eastAsia" w:ascii="宋体" w:hAnsi="宋体" w:eastAsia="宋体" w:cs="宋体"/>
              <w:b w:val="0"/>
              <w:bCs w:val="0"/>
              <w:sz w:val="20"/>
              <w:szCs w:val="20"/>
            </w:rPr>
            <w:fldChar w:fldCharType="separate"/>
          </w:r>
          <w:r>
            <w:rPr>
              <w:rFonts w:hint="eastAsia" w:ascii="宋体" w:hAnsi="宋体" w:eastAsia="宋体" w:cs="宋体"/>
              <w:b w:val="0"/>
              <w:bCs w:val="0"/>
              <w:sz w:val="20"/>
              <w:szCs w:val="20"/>
            </w:rPr>
            <w:t>51</w:t>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r>
            <w:rPr>
              <w:rFonts w:hint="eastAsia" w:ascii="宋体" w:hAnsi="宋体" w:eastAsia="宋体" w:cs="宋体"/>
              <w:b w:val="0"/>
              <w:bCs w:val="0"/>
              <w:sz w:val="20"/>
              <w:szCs w:val="20"/>
            </w:rPr>
            <w:fldChar w:fldCharType="end"/>
          </w:r>
        </w:p>
      </w:sdtContent>
    </w:sdt>
    <w:p w14:paraId="35645244">
      <w:pPr>
        <w:jc w:val="center"/>
      </w:pPr>
      <w:r>
        <w:rPr>
          <w:sz w:val="32"/>
          <w:szCs w:val="32"/>
        </w:rPr>
        <w:t>Contents</w:t>
      </w:r>
    </w:p>
    <w:p w14:paraId="29B940EF">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p>
    <w:p w14:paraId="184BF20B">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Terminology</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p>
    <w:p w14:paraId="79B89975">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Basic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p>
    <w:p w14:paraId="38A86D1F">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Construction of ice pool structure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14:paraId="02BFC7E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14:paraId="3A5A1C21">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Heating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14:paraId="5ACF97E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Thermal insulation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6</w:t>
      </w:r>
    </w:p>
    <w:p w14:paraId="55F08263">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Film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7</w:t>
      </w:r>
    </w:p>
    <w:p w14:paraId="0153A6D5">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Waterproof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7</w:t>
      </w:r>
    </w:p>
    <w:p w14:paraId="4B88DF36">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Leveling layer and waterproof protective layer</w:t>
      </w:r>
      <w:r>
        <w:rPr>
          <w:rFonts w:hint="eastAsia" w:ascii="宋体" w:hAnsi="宋体" w:cs="宋体"/>
          <w:b w:val="0"/>
          <w:bCs/>
          <w:sz w:val="21"/>
          <w:szCs w:val="21"/>
          <w:lang w:val="en-US" w:eastAsia="zh-CN"/>
        </w:rPr>
        <w:tab/>
      </w:r>
      <w:r>
        <w:rPr>
          <w:rFonts w:hint="eastAsia" w:hAnsi="宋体" w:cs="宋体"/>
          <w:b w:val="0"/>
          <w:bCs/>
          <w:sz w:val="21"/>
          <w:szCs w:val="21"/>
          <w:lang w:val="en-US" w:eastAsia="zh-CN"/>
        </w:rPr>
        <w:t>7</w:t>
      </w:r>
    </w:p>
    <w:p w14:paraId="49974A2A">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Ice plate cooling layer</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8</w:t>
      </w:r>
    </w:p>
    <w:p w14:paraId="01897216">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4.8</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Assembled ice plate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9</w:t>
      </w:r>
    </w:p>
    <w:p w14:paraId="49EC254F">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4.9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Auxiliary structures such as drainage ditches</w:t>
      </w:r>
      <w:r>
        <w:rPr>
          <w:rFonts w:hint="eastAsia" w:ascii="宋体" w:hAnsi="宋体" w:cs="宋体"/>
          <w:b w:val="0"/>
          <w:bCs/>
          <w:sz w:val="21"/>
          <w:szCs w:val="21"/>
          <w:lang w:val="en-US" w:eastAsia="zh-CN"/>
        </w:rPr>
        <w:tab/>
      </w:r>
      <w:r>
        <w:rPr>
          <w:rFonts w:hint="eastAsia" w:hAnsi="宋体" w:cs="宋体"/>
          <w:b w:val="0"/>
          <w:bCs/>
          <w:sz w:val="21"/>
          <w:szCs w:val="21"/>
          <w:lang w:val="en-US" w:eastAsia="zh-CN"/>
        </w:rPr>
        <w:t>9</w:t>
      </w:r>
    </w:p>
    <w:p w14:paraId="16855E8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4.10</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Ice rink boundary wall</w:t>
      </w:r>
      <w:r>
        <w:rPr>
          <w:rFonts w:hint="eastAsia" w:ascii="宋体" w:hAnsi="宋体" w:cs="宋体"/>
          <w:b w:val="0"/>
          <w:bCs/>
          <w:sz w:val="21"/>
          <w:szCs w:val="21"/>
          <w:lang w:val="en-US" w:eastAsia="zh-CN"/>
        </w:rPr>
        <w:tab/>
      </w:r>
      <w:r>
        <w:rPr>
          <w:rFonts w:hint="eastAsia" w:hAnsi="宋体" w:cs="宋体"/>
          <w:b w:val="0"/>
          <w:bCs/>
          <w:sz w:val="21"/>
          <w:szCs w:val="21"/>
          <w:lang w:val="en-US" w:eastAsia="zh-CN"/>
        </w:rPr>
        <w:t>9</w:t>
      </w:r>
    </w:p>
    <w:p w14:paraId="7DB7191F">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2</w:t>
      </w:r>
    </w:p>
    <w:p w14:paraId="360207DE">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2</w:t>
      </w:r>
    </w:p>
    <w:p w14:paraId="1F2D383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pipeline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3</w:t>
      </w:r>
    </w:p>
    <w:p w14:paraId="0081B263">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ice making equipment</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6</w:t>
      </w:r>
    </w:p>
    <w:p w14:paraId="5AC5A0B0">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5.4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Ice making system inspection and testing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1</w:t>
      </w:r>
      <w:r>
        <w:rPr>
          <w:rFonts w:hint="eastAsia" w:hAnsi="宋体" w:cs="宋体"/>
          <w:b w:val="0"/>
          <w:bCs/>
          <w:sz w:val="21"/>
          <w:szCs w:val="21"/>
          <w:lang w:val="en-US" w:eastAsia="zh-CN"/>
        </w:rPr>
        <w:t>7</w:t>
      </w:r>
    </w:p>
    <w:p w14:paraId="4F10C7BD">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5.5</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Corrosion prevention and thermal insulation</w:t>
      </w:r>
      <w:r>
        <w:rPr>
          <w:rFonts w:hint="eastAsia" w:ascii="宋体" w:hAnsi="宋体" w:cs="宋体"/>
          <w:b w:val="0"/>
          <w:bCs/>
          <w:sz w:val="21"/>
          <w:szCs w:val="21"/>
          <w:lang w:val="en-US" w:eastAsia="zh-CN"/>
        </w:rPr>
        <w:tab/>
      </w:r>
      <w:r>
        <w:rPr>
          <w:rFonts w:hint="eastAsia" w:hAnsi="宋体" w:cs="宋体"/>
          <w:b w:val="0"/>
          <w:bCs/>
          <w:sz w:val="21"/>
          <w:szCs w:val="21"/>
          <w:lang w:val="en-US" w:eastAsia="zh-CN"/>
        </w:rPr>
        <w:t>19</w:t>
      </w:r>
    </w:p>
    <w:p w14:paraId="3E10B843">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Operation and commissioning of ice making system</w:t>
      </w:r>
      <w:r>
        <w:rPr>
          <w:rFonts w:hint="eastAsia" w:ascii="宋体" w:hAnsi="宋体" w:cs="宋体"/>
          <w:b w:val="0"/>
          <w:bCs/>
          <w:sz w:val="21"/>
          <w:szCs w:val="21"/>
          <w:lang w:val="en-US" w:eastAsia="zh-CN"/>
        </w:rPr>
        <w:tab/>
      </w:r>
      <w:r>
        <w:rPr>
          <w:rFonts w:hint="eastAsia" w:hAnsi="宋体" w:cs="宋体"/>
          <w:b w:val="0"/>
          <w:bCs/>
          <w:sz w:val="21"/>
          <w:szCs w:val="21"/>
          <w:lang w:val="en-US" w:eastAsia="zh-CN"/>
        </w:rPr>
        <w:t>19</w:t>
      </w:r>
    </w:p>
    <w:p w14:paraId="74FD9D40">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water supply and drainage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14:paraId="5E13B6C0">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14:paraId="7EE49408">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Pipeline and accessory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1</w:t>
      </w:r>
    </w:p>
    <w:p w14:paraId="63FCF310">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2</w:t>
      </w:r>
    </w:p>
    <w:p w14:paraId="4F17E55F">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6.4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Water supply and drainage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3</w:t>
      </w:r>
    </w:p>
    <w:p w14:paraId="68C8AAF5">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14:paraId="05100306">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14:paraId="191E8F92">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14:paraId="18AA348C">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dehumidification air duct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5</w:t>
      </w:r>
    </w:p>
    <w:p w14:paraId="500CBA2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7.4 </w:t>
      </w:r>
      <w:r>
        <w:rPr>
          <w:rFonts w:hint="eastAsia" w:ascii="宋体" w:hAnsi="宋体" w:cs="宋体"/>
          <w:b w:val="0"/>
          <w:bCs/>
          <w:sz w:val="21"/>
          <w:szCs w:val="21"/>
          <w:lang w:val="en-US" w:eastAsia="zh-CN"/>
        </w:rPr>
        <w:t xml:space="preserve"> </w:t>
      </w:r>
      <w:r>
        <w:rPr>
          <w:rFonts w:hint="eastAsia" w:ascii="宋体" w:hAnsi="宋体" w:eastAsia="宋体" w:cs="宋体"/>
          <w:b w:val="0"/>
          <w:bCs/>
          <w:sz w:val="18"/>
          <w:szCs w:val="18"/>
          <w:lang w:val="en-US" w:eastAsia="zh-CN"/>
        </w:rPr>
        <w:t>Installation of air-conditioning dehumidification refrigerant pipeline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6</w:t>
      </w:r>
    </w:p>
    <w:p w14:paraId="02E75965">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7.5</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Water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7</w:t>
      </w:r>
    </w:p>
    <w:p w14:paraId="5687AFB9">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7.6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Air conditioning dehumidification system test</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2</w:t>
      </w:r>
      <w:r>
        <w:rPr>
          <w:rFonts w:hint="eastAsia" w:hAnsi="宋体" w:cs="宋体"/>
          <w:b w:val="0"/>
          <w:bCs/>
          <w:sz w:val="21"/>
          <w:szCs w:val="21"/>
          <w:lang w:val="en-US" w:eastAsia="zh-CN"/>
        </w:rPr>
        <w:t>8</w:t>
      </w:r>
    </w:p>
    <w:p w14:paraId="6D65C740">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7.7</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Dehumidification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1</w:t>
      </w:r>
    </w:p>
    <w:p w14:paraId="3B7E0611">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emergency exhaust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14:paraId="0AC174BE">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regulations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14:paraId="6D53386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Installation of pipes and components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3</w:t>
      </w:r>
    </w:p>
    <w:p w14:paraId="6CC89F12">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8.3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Equipment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4</w:t>
      </w:r>
    </w:p>
    <w:p w14:paraId="5394CB12">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Emergency exhaust 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5</w:t>
      </w:r>
    </w:p>
    <w:p w14:paraId="538EB5CC">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Electrical System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14:paraId="60DD58E8">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14:paraId="540698C8">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Power distribution system wiring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14:paraId="5481E5D9">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electrical boxes and cabinets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6</w:t>
      </w:r>
    </w:p>
    <w:p w14:paraId="5B044B7E">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Electric actuator wiring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7</w:t>
      </w:r>
    </w:p>
    <w:p w14:paraId="5B4A826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9.5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System commissioning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7</w:t>
      </w:r>
    </w:p>
    <w:p w14:paraId="0CF1880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Installation of Automatic Monitoring System</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14:paraId="5FE2BE3A">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General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14:paraId="00729681">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10.2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Sensor Installation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14:paraId="51AEF843">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10.3</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Equipment Installation and System Integration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3</w:t>
      </w:r>
      <w:r>
        <w:rPr>
          <w:rFonts w:hint="eastAsia" w:hAnsi="宋体" w:cs="宋体"/>
          <w:b w:val="0"/>
          <w:bCs/>
          <w:sz w:val="21"/>
          <w:szCs w:val="21"/>
          <w:lang w:val="en-US" w:eastAsia="zh-CN"/>
        </w:rPr>
        <w:t>8</w:t>
      </w:r>
    </w:p>
    <w:p w14:paraId="111AF8E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10.4</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System Debugging</w:t>
      </w:r>
      <w:r>
        <w:rPr>
          <w:rFonts w:hint="eastAsia" w:ascii="宋体" w:hAnsi="宋体" w:cs="宋体"/>
          <w:b w:val="0"/>
          <w:bCs/>
          <w:sz w:val="21"/>
          <w:szCs w:val="21"/>
          <w:lang w:val="en-US" w:eastAsia="zh-CN"/>
        </w:rPr>
        <w:tab/>
      </w:r>
      <w:r>
        <w:rPr>
          <w:rFonts w:hint="eastAsia" w:hAnsi="宋体" w:cs="宋体"/>
          <w:b w:val="0"/>
          <w:bCs/>
          <w:sz w:val="21"/>
          <w:szCs w:val="21"/>
          <w:lang w:val="en-US" w:eastAsia="zh-CN"/>
        </w:rPr>
        <w:t>39</w:t>
      </w:r>
    </w:p>
    <w:p w14:paraId="5E73B321">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Safety and Green Construction</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0</w:t>
      </w:r>
    </w:p>
    <w:p w14:paraId="5783611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 xml:space="preserve"> Project Acceptance and Delivery</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14:paraId="5A8DC1AB">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12.1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Division of project quality acceptance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14:paraId="45F32513">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12.2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Procedure and organization of construction quality acceptance</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3</w:t>
      </w:r>
    </w:p>
    <w:p w14:paraId="7F09FE6A">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Appendix A Standard Ice Field Setting and Marking</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w:t>
      </w:r>
      <w:r>
        <w:rPr>
          <w:rFonts w:hint="eastAsia" w:hAnsi="宋体" w:cs="宋体"/>
          <w:b w:val="0"/>
          <w:bCs/>
          <w:sz w:val="21"/>
          <w:szCs w:val="21"/>
          <w:lang w:val="en-US" w:eastAsia="zh-CN"/>
        </w:rPr>
        <w:t>6</w:t>
      </w:r>
    </w:p>
    <w:p w14:paraId="7286E8DB">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18"/>
          <w:szCs w:val="18"/>
          <w:lang w:val="en-US" w:eastAsia="zh-CN"/>
        </w:rPr>
        <w:t>Appendix B Routine Practices for Boundary Walls of Non standard Small Ice Hockey Field</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48</w:t>
      </w:r>
    </w:p>
    <w:p w14:paraId="5B7B77FC">
      <w:pPr>
        <w:pStyle w:val="11"/>
        <w:keepNext w:val="0"/>
        <w:keepLines w:val="0"/>
        <w:pageBreakBefore w:val="0"/>
        <w:widowControl w:val="0"/>
        <w:tabs>
          <w:tab w:val="right" w:leader="dot" w:pos="8296"/>
        </w:tabs>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kern w:val="2"/>
          <w:sz w:val="20"/>
          <w:szCs w:val="20"/>
          <w:lang w:val="en-US" w:eastAsia="zh-CN" w:bidi="ar-SA"/>
        </w:rPr>
      </w:pPr>
      <w:r>
        <w:rPr>
          <w:rFonts w:hint="eastAsia" w:ascii="宋体" w:hAnsi="宋体" w:eastAsia="宋体" w:cs="宋体"/>
          <w:b w:val="0"/>
          <w:bCs/>
          <w:kern w:val="2"/>
          <w:sz w:val="21"/>
          <w:szCs w:val="21"/>
          <w:lang w:val="en-US" w:eastAsia="zh-CN" w:bidi="ar-SA"/>
        </w:rPr>
        <w:fldChar w:fldCharType="begin"/>
      </w:r>
      <w:r>
        <w:rPr>
          <w:rFonts w:hint="eastAsia" w:ascii="宋体" w:hAnsi="宋体" w:eastAsia="宋体" w:cs="宋体"/>
          <w:b w:val="0"/>
          <w:bCs/>
          <w:kern w:val="2"/>
          <w:sz w:val="21"/>
          <w:szCs w:val="21"/>
          <w:lang w:val="en-US" w:eastAsia="zh-CN" w:bidi="ar-SA"/>
        </w:rPr>
        <w:instrText xml:space="preserve"> HYPERLINK \l _Toc1318 </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Explanation of wording in this standard</w:t>
      </w:r>
      <w:r>
        <w:rPr>
          <w:rFonts w:hint="eastAsia" w:ascii="宋体" w:hAnsi="宋体" w:eastAsia="宋体" w:cs="宋体"/>
          <w:b w:val="0"/>
          <w:bCs/>
          <w:kern w:val="2"/>
          <w:sz w:val="21"/>
          <w:szCs w:val="21"/>
          <w:lang w:val="en-US" w:eastAsia="zh-CN" w:bidi="ar-SA"/>
        </w:rPr>
        <w:tab/>
      </w:r>
      <w:r>
        <w:rPr>
          <w:rFonts w:hint="eastAsia" w:ascii="宋体" w:hAnsi="宋体" w:eastAsia="宋体" w:cs="宋体"/>
          <w:b w:val="0"/>
          <w:bCs/>
          <w:kern w:val="2"/>
          <w:sz w:val="21"/>
          <w:szCs w:val="21"/>
          <w:lang w:val="en-US" w:eastAsia="zh-CN" w:bidi="ar-SA"/>
        </w:rPr>
        <w:fldChar w:fldCharType="end"/>
      </w:r>
      <w:r>
        <w:rPr>
          <w:rFonts w:hint="eastAsia" w:hAnsi="宋体" w:cs="宋体"/>
          <w:b w:val="0"/>
          <w:bCs/>
          <w:kern w:val="2"/>
          <w:sz w:val="20"/>
          <w:szCs w:val="20"/>
          <w:lang w:val="en-US" w:eastAsia="zh-CN" w:bidi="ar-SA"/>
        </w:rPr>
        <w:t>4</w:t>
      </w:r>
      <w:r>
        <w:rPr>
          <w:rFonts w:hint="eastAsia" w:ascii="宋体" w:hAnsi="宋体" w:eastAsia="宋体" w:cs="宋体"/>
          <w:b w:val="0"/>
          <w:bCs/>
          <w:kern w:val="2"/>
          <w:sz w:val="20"/>
          <w:szCs w:val="20"/>
          <w:lang w:val="en-US" w:eastAsia="zh-CN" w:bidi="ar-SA"/>
        </w:rPr>
        <w:t>9</w:t>
      </w:r>
    </w:p>
    <w:p w14:paraId="6B2930C4">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List of Quoted Standards</w:t>
      </w:r>
      <w:r>
        <w:rPr>
          <w:rFonts w:hint="eastAsia" w:ascii="宋体" w:hAnsi="宋体" w:cs="宋体"/>
          <w:b w:val="0"/>
          <w:bCs/>
          <w:sz w:val="21"/>
          <w:szCs w:val="21"/>
          <w:lang w:val="en-US" w:eastAsia="zh-CN"/>
        </w:rPr>
        <w:tab/>
      </w:r>
      <w:r>
        <w:rPr>
          <w:rFonts w:hint="eastAsia" w:hAnsi="宋体" w:cs="宋体"/>
          <w:b w:val="0"/>
          <w:bCs/>
          <w:sz w:val="21"/>
          <w:szCs w:val="21"/>
          <w:lang w:val="en-US" w:eastAsia="zh-CN"/>
        </w:rPr>
        <w:t>50</w:t>
      </w:r>
    </w:p>
    <w:p w14:paraId="6302ABC7">
      <w:pPr>
        <w:pStyle w:val="4"/>
        <w:keepNext w:val="0"/>
        <w:keepLines w:val="0"/>
        <w:pageBreakBefore w:val="0"/>
        <w:widowControl w:val="0"/>
        <w:numPr>
          <w:ilvl w:val="0"/>
          <w:numId w:val="0"/>
        </w:numPr>
        <w:tabs>
          <w:tab w:val="right" w:leader="dot" w:pos="8295"/>
        </w:tabs>
        <w:kinsoku/>
        <w:wordWrap/>
        <w:overflowPunct/>
        <w:topLinePunct w:val="0"/>
        <w:autoSpaceDE/>
        <w:autoSpaceDN/>
        <w:bidi w:val="0"/>
        <w:adjustRightInd/>
        <w:snapToGrid/>
        <w:ind w:leftChars="0"/>
        <w:jc w:val="left"/>
        <w:textAlignment w:val="auto"/>
        <w:rPr>
          <w:rFonts w:hint="eastAsia" w:ascii="宋体" w:hAnsi="宋体" w:eastAsia="宋体" w:cs="宋体"/>
          <w:b w:val="0"/>
          <w:bCs/>
          <w:sz w:val="21"/>
          <w:szCs w:val="21"/>
          <w:lang w:val="en-US" w:eastAsia="zh-CN"/>
        </w:rPr>
      </w:pPr>
      <w:r>
        <w:rPr>
          <w:rFonts w:hint="eastAsia" w:hAnsi="宋体" w:cs="宋体"/>
          <w:b w:val="0"/>
          <w:bCs/>
          <w:sz w:val="21"/>
          <w:szCs w:val="21"/>
          <w:lang w:val="en-US" w:eastAsia="zh-CN"/>
        </w:rPr>
        <w:t>Addition:Explanation of Provisions</w:t>
      </w:r>
      <w:r>
        <w:rPr>
          <w:rFonts w:hint="eastAsia" w:ascii="宋体" w:hAnsi="宋体" w:cs="宋体"/>
          <w:b w:val="0"/>
          <w:bCs/>
          <w:sz w:val="21"/>
          <w:szCs w:val="21"/>
          <w:lang w:val="en-US" w:eastAsia="zh-CN"/>
        </w:rPr>
        <w:tab/>
      </w:r>
      <w:r>
        <w:rPr>
          <w:rFonts w:hint="eastAsia" w:ascii="宋体" w:hAnsi="宋体" w:eastAsia="宋体" w:cs="宋体"/>
          <w:b w:val="0"/>
          <w:bCs/>
          <w:sz w:val="21"/>
          <w:szCs w:val="21"/>
          <w:lang w:val="en-US" w:eastAsia="zh-CN"/>
        </w:rPr>
        <w:t>51</w:t>
      </w:r>
    </w:p>
    <w:p w14:paraId="190E1B00">
      <w:pPr>
        <w:pStyle w:val="5"/>
        <w:pageBreakBefore/>
        <w:widowControl/>
        <w:numPr>
          <w:ilvl w:val="0"/>
          <w:numId w:val="0"/>
        </w:numPr>
        <w:spacing w:before="489" w:beforeLines="150" w:after="489" w:afterLines="150" w:line="240" w:lineRule="auto"/>
        <w:ind w:firstLine="0" w:firstLineChars="0"/>
        <w:jc w:val="left"/>
        <w:rPr>
          <w:rFonts w:hint="eastAsia" w:ascii="黑体" w:hAnsi="黑体" w:eastAsia="黑体" w:cs="Times New Roman"/>
          <w:bCs w:val="0"/>
          <w:sz w:val="21"/>
          <w:szCs w:val="20"/>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A411B6E">
      <w:pPr>
        <w:pStyle w:val="5"/>
        <w:pageBreakBefore/>
        <w:widowControl/>
        <w:numPr>
          <w:ilvl w:val="0"/>
          <w:numId w:val="0"/>
        </w:numPr>
        <w:spacing w:before="489" w:beforeLines="150" w:after="489" w:afterLines="150" w:line="240" w:lineRule="auto"/>
        <w:ind w:firstLine="0" w:firstLineChars="0"/>
        <w:jc w:val="center"/>
        <w:rPr>
          <w:rFonts w:hint="eastAsia" w:ascii="黑体" w:hAnsi="黑体" w:eastAsia="黑体" w:cs="Times New Roman"/>
          <w:bCs w:val="0"/>
          <w:sz w:val="21"/>
          <w:szCs w:val="20"/>
        </w:rPr>
      </w:pPr>
      <w:bookmarkStart w:id="15" w:name="_Toc6639"/>
      <w:r>
        <w:rPr>
          <w:rFonts w:hint="eastAsia" w:ascii="黑体" w:hAnsi="黑体" w:eastAsia="黑体" w:cs="Times New Roman"/>
          <w:bCs w:val="0"/>
          <w:sz w:val="21"/>
          <w:szCs w:val="20"/>
        </w:rPr>
        <w:t>1  总</w:t>
      </w:r>
      <w:r>
        <w:rPr>
          <w:rFonts w:hint="eastAsia" w:ascii="黑体" w:hAnsi="黑体" w:cs="Times New Roman"/>
          <w:bCs w:val="0"/>
          <w:sz w:val="21"/>
          <w:szCs w:val="20"/>
          <w:lang w:val="en-US" w:eastAsia="zh-CN"/>
        </w:rPr>
        <w:t xml:space="preserve">    </w:t>
      </w:r>
      <w:r>
        <w:rPr>
          <w:rFonts w:hint="eastAsia" w:ascii="黑体" w:hAnsi="黑体" w:eastAsia="黑体" w:cs="Times New Roman"/>
          <w:bCs w:val="0"/>
          <w:sz w:val="21"/>
          <w:szCs w:val="20"/>
        </w:rPr>
        <w:t>则</w:t>
      </w:r>
      <w:bookmarkEnd w:id="14"/>
      <w:bookmarkEnd w:id="15"/>
    </w:p>
    <w:p w14:paraId="01BE651A">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hAnsi="宋体" w:cs="宋体"/>
          <w:b w:val="0"/>
          <w:bCs w:val="0"/>
          <w:sz w:val="21"/>
          <w:szCs w:val="21"/>
        </w:rPr>
      </w:pPr>
      <w:r>
        <w:rPr>
          <w:rFonts w:hint="eastAsia" w:hAnsi="宋体" w:cs="宋体"/>
          <w:b w:val="0"/>
          <w:bCs w:val="0"/>
          <w:sz w:val="21"/>
          <w:szCs w:val="21"/>
        </w:rPr>
        <w:t xml:space="preserve">1.0.1 </w:t>
      </w:r>
      <w:r>
        <w:rPr>
          <w:rFonts w:hint="eastAsia" w:hAnsi="宋体" w:cs="宋体"/>
          <w:b w:val="0"/>
          <w:bCs w:val="0"/>
          <w:sz w:val="21"/>
          <w:szCs w:val="21"/>
          <w:lang w:val="en-US" w:eastAsia="zh-CN"/>
        </w:rPr>
        <w:t xml:space="preserve"> </w:t>
      </w:r>
      <w:r>
        <w:rPr>
          <w:rFonts w:hint="eastAsia" w:hAnsi="宋体" w:cs="宋体"/>
          <w:b w:val="0"/>
          <w:bCs w:val="0"/>
          <w:sz w:val="21"/>
          <w:szCs w:val="21"/>
        </w:rPr>
        <w:t>为加强人工冰场工程施工技术管理，规范施工工艺，强化施工过程控制，确保工程质量，制定本规程。</w:t>
      </w:r>
    </w:p>
    <w:p w14:paraId="79949DD0">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Ansi="宋体" w:cs="宋体"/>
          <w:b w:val="0"/>
          <w:bCs w:val="0"/>
          <w:sz w:val="21"/>
          <w:szCs w:val="21"/>
        </w:rPr>
      </w:pPr>
      <w:bookmarkStart w:id="16" w:name="_Toc18951"/>
      <w:r>
        <w:rPr>
          <w:rFonts w:hint="eastAsia" w:hAnsi="宋体" w:cs="宋体"/>
          <w:b w:val="0"/>
          <w:bCs w:val="0"/>
          <w:sz w:val="21"/>
          <w:szCs w:val="21"/>
        </w:rPr>
        <w:t xml:space="preserve">1.0.2 </w:t>
      </w:r>
      <w:r>
        <w:rPr>
          <w:rFonts w:hint="eastAsia" w:hAnsi="宋体" w:cs="宋体"/>
          <w:b w:val="0"/>
          <w:bCs w:val="0"/>
          <w:sz w:val="21"/>
          <w:szCs w:val="21"/>
          <w:lang w:val="en-US" w:eastAsia="zh-CN"/>
        </w:rPr>
        <w:t xml:space="preserve"> </w:t>
      </w:r>
      <w:r>
        <w:rPr>
          <w:rFonts w:hint="eastAsia" w:hAnsi="宋体" w:cs="宋体"/>
          <w:b w:val="0"/>
          <w:bCs w:val="0"/>
          <w:sz w:val="21"/>
          <w:szCs w:val="21"/>
        </w:rPr>
        <w:t>本规程适用于人工冰场工程的</w:t>
      </w:r>
      <w:r>
        <w:rPr>
          <w:rFonts w:hint="eastAsia" w:hAnsi="宋体" w:cs="宋体"/>
          <w:b w:val="0"/>
          <w:bCs w:val="0"/>
          <w:sz w:val="21"/>
          <w:szCs w:val="21"/>
          <w:lang w:val="en-US" w:eastAsia="zh-CN"/>
        </w:rPr>
        <w:t>设计、</w:t>
      </w:r>
      <w:r>
        <w:rPr>
          <w:rFonts w:hint="eastAsia" w:hAnsi="宋体" w:cs="宋体"/>
          <w:b w:val="0"/>
          <w:bCs w:val="0"/>
          <w:sz w:val="21"/>
          <w:szCs w:val="21"/>
        </w:rPr>
        <w:t>施工和验收。</w:t>
      </w:r>
      <w:bookmarkEnd w:id="16"/>
    </w:p>
    <w:p w14:paraId="39E78858">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Ansi="宋体" w:cs="宋体"/>
          <w:sz w:val="21"/>
          <w:szCs w:val="21"/>
        </w:rPr>
      </w:pPr>
      <w:r>
        <w:rPr>
          <w:rFonts w:hint="eastAsia" w:hAnsi="宋体" w:cs="宋体"/>
          <w:b w:val="0"/>
          <w:bCs w:val="0"/>
          <w:sz w:val="21"/>
          <w:szCs w:val="21"/>
        </w:rPr>
        <w:t>1.0.</w:t>
      </w:r>
      <w:r>
        <w:rPr>
          <w:rFonts w:hAnsi="宋体" w:cs="宋体"/>
          <w:b w:val="0"/>
          <w:bCs w:val="0"/>
          <w:sz w:val="21"/>
          <w:szCs w:val="21"/>
        </w:rPr>
        <w:t>3</w:t>
      </w: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人工冰场工程施工除应符合本规程外，尚应符合国家现行有关标准的规定。</w:t>
      </w:r>
    </w:p>
    <w:p w14:paraId="2193D6A3">
      <w:pPr>
        <w:rPr>
          <w:rFonts w:hint="eastAsia" w:ascii="宋体" w:hAnsi="宋体" w:eastAsia="宋体" w:cs="宋体"/>
          <w:b/>
          <w:bCs w:val="0"/>
        </w:rPr>
      </w:pPr>
      <w:bookmarkStart w:id="17" w:name="_Toc15648"/>
      <w:bookmarkStart w:id="18" w:name="_Toc27744"/>
      <w:r>
        <w:rPr>
          <w:rFonts w:hint="eastAsia" w:ascii="宋体" w:hAnsi="宋体" w:eastAsia="宋体" w:cs="宋体"/>
          <w:b/>
          <w:bCs w:val="0"/>
        </w:rPr>
        <w:br w:type="page"/>
      </w:r>
    </w:p>
    <w:p w14:paraId="786EA5E9">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19" w:name="_Toc31256"/>
      <w:bookmarkStart w:id="20" w:name="_Toc12247"/>
      <w:bookmarkStart w:id="21" w:name="_Toc30961"/>
      <w:bookmarkStart w:id="22" w:name="_Toc36040048"/>
      <w:r>
        <w:rPr>
          <w:rFonts w:hint="eastAsia" w:ascii="黑体" w:hAnsi="黑体" w:eastAsia="黑体" w:cs="Times New Roman"/>
          <w:bCs w:val="0"/>
          <w:sz w:val="21"/>
          <w:szCs w:val="20"/>
        </w:rPr>
        <w:t>2  术</w:t>
      </w:r>
      <w:r>
        <w:rPr>
          <w:rFonts w:hint="eastAsia" w:ascii="黑体" w:hAnsi="黑体" w:cs="Times New Roman"/>
          <w:bCs w:val="0"/>
          <w:sz w:val="21"/>
          <w:szCs w:val="20"/>
          <w:lang w:val="en-US" w:eastAsia="zh-CN"/>
        </w:rPr>
        <w:t xml:space="preserve">    </w:t>
      </w:r>
      <w:r>
        <w:rPr>
          <w:rFonts w:hint="eastAsia" w:ascii="黑体" w:hAnsi="黑体" w:eastAsia="黑体" w:cs="Times New Roman"/>
          <w:bCs w:val="0"/>
          <w:sz w:val="21"/>
          <w:szCs w:val="20"/>
        </w:rPr>
        <w:t>语</w:t>
      </w:r>
      <w:bookmarkEnd w:id="19"/>
      <w:bookmarkEnd w:id="20"/>
      <w:bookmarkEnd w:id="21"/>
      <w:bookmarkEnd w:id="22"/>
    </w:p>
    <w:p w14:paraId="2C97756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3" w:name="_Toc1713"/>
      <w:r>
        <w:rPr>
          <w:rFonts w:hint="eastAsia" w:ascii="宋体" w:hAnsi="宋体" w:cs="宋体"/>
          <w:b w:val="0"/>
          <w:bCs w:val="0"/>
          <w:sz w:val="21"/>
          <w:szCs w:val="21"/>
        </w:rPr>
        <w:t>2.0.1</w:t>
      </w:r>
      <w:r>
        <w:rPr>
          <w:rFonts w:hint="eastAsia" w:ascii="宋体" w:hAnsi="宋体" w:cs="宋体"/>
          <w:b w:val="0"/>
          <w:bCs w:val="0"/>
          <w:color w:val="FF0000"/>
          <w:sz w:val="21"/>
          <w:szCs w:val="21"/>
        </w:rPr>
        <w:t xml:space="preserve"> </w:t>
      </w:r>
      <w:r>
        <w:rPr>
          <w:rFonts w:hint="eastAsia" w:hAnsi="宋体" w:cs="宋体"/>
          <w:b w:val="0"/>
          <w:bCs w:val="0"/>
          <w:color w:val="FF0000"/>
          <w:sz w:val="21"/>
          <w:szCs w:val="21"/>
          <w:lang w:val="en-US" w:eastAsia="zh-CN"/>
        </w:rPr>
        <w:t xml:space="preserve"> </w:t>
      </w:r>
      <w:r>
        <w:rPr>
          <w:rFonts w:hint="eastAsia" w:ascii="宋体" w:hAnsi="宋体" w:cs="宋体"/>
          <w:b w:val="0"/>
          <w:bCs w:val="0"/>
          <w:color w:val="auto"/>
          <w:sz w:val="21"/>
          <w:szCs w:val="21"/>
        </w:rPr>
        <w:t>冰</w:t>
      </w:r>
      <w:r>
        <w:rPr>
          <w:rFonts w:hint="eastAsia" w:hAnsi="宋体" w:cs="宋体"/>
          <w:b w:val="0"/>
          <w:bCs w:val="0"/>
          <w:color w:val="auto"/>
          <w:sz w:val="21"/>
          <w:szCs w:val="21"/>
          <w:lang w:val="en-US" w:eastAsia="zh-CN"/>
        </w:rPr>
        <w:t>池</w:t>
      </w:r>
      <w:r>
        <w:rPr>
          <w:rFonts w:hint="eastAsia" w:ascii="宋体" w:hAnsi="宋体" w:cs="宋体"/>
          <w:b w:val="0"/>
          <w:bCs w:val="0"/>
          <w:color w:val="auto"/>
          <w:sz w:val="21"/>
          <w:szCs w:val="21"/>
        </w:rPr>
        <w:t>构造</w:t>
      </w:r>
      <w:r>
        <w:rPr>
          <w:rFonts w:hint="eastAsia" w:ascii="宋体" w:hAnsi="宋体" w:cs="宋体"/>
          <w:b w:val="0"/>
          <w:bCs w:val="0"/>
          <w:sz w:val="21"/>
          <w:szCs w:val="21"/>
        </w:rPr>
        <w:t xml:space="preserve"> </w:t>
      </w:r>
      <w:bookmarkEnd w:id="23"/>
      <w:r>
        <w:rPr>
          <w:rFonts w:hint="eastAsia" w:hAnsi="宋体" w:cs="宋体"/>
          <w:b w:val="0"/>
          <w:bCs w:val="0"/>
          <w:sz w:val="21"/>
          <w:szCs w:val="21"/>
          <w:lang w:val="en-US" w:eastAsia="zh-CN"/>
        </w:rPr>
        <w:t>i</w:t>
      </w:r>
      <w:r>
        <w:rPr>
          <w:rFonts w:hint="eastAsia" w:ascii="宋体" w:hAnsi="宋体" w:cs="宋体"/>
          <w:b w:val="0"/>
          <w:bCs w:val="0"/>
          <w:sz w:val="21"/>
          <w:szCs w:val="21"/>
        </w:rPr>
        <w:t>ce pool structure</w:t>
      </w:r>
    </w:p>
    <w:p w14:paraId="29DD9837">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按制冰工艺要求冰</w:t>
      </w:r>
      <w:r>
        <w:rPr>
          <w:rFonts w:hint="eastAsia" w:hAnsi="宋体" w:cs="宋体"/>
          <w:b w:val="0"/>
          <w:bCs w:val="0"/>
          <w:sz w:val="21"/>
          <w:szCs w:val="21"/>
          <w:lang w:val="en-US" w:eastAsia="zh-CN"/>
        </w:rPr>
        <w:t>池</w:t>
      </w:r>
      <w:r>
        <w:rPr>
          <w:rFonts w:hint="eastAsia" w:ascii="宋体" w:hAnsi="宋体" w:cs="宋体"/>
          <w:b w:val="0"/>
          <w:bCs w:val="0"/>
          <w:sz w:val="21"/>
          <w:szCs w:val="21"/>
        </w:rPr>
        <w:t>构造层分为：加热层、保温层、</w:t>
      </w:r>
      <w:r>
        <w:rPr>
          <w:rFonts w:hint="eastAsia" w:hAnsi="宋体" w:cs="宋体"/>
          <w:b w:val="0"/>
          <w:bCs w:val="0"/>
          <w:sz w:val="21"/>
          <w:szCs w:val="21"/>
          <w:lang w:val="en-US" w:eastAsia="zh-CN"/>
        </w:rPr>
        <w:t>膜</w:t>
      </w:r>
      <w:r>
        <w:rPr>
          <w:rFonts w:hint="eastAsia" w:ascii="宋体" w:hAnsi="宋体" w:cs="宋体"/>
          <w:b w:val="0"/>
          <w:bCs w:val="0"/>
          <w:sz w:val="21"/>
          <w:szCs w:val="21"/>
        </w:rPr>
        <w:t>层（</w:t>
      </w:r>
      <w:r>
        <w:rPr>
          <w:rFonts w:hint="eastAsia" w:hAnsi="宋体" w:cs="宋体"/>
          <w:b w:val="0"/>
          <w:bCs w:val="0"/>
          <w:sz w:val="21"/>
          <w:szCs w:val="21"/>
          <w:lang w:val="en-US" w:eastAsia="zh-CN"/>
        </w:rPr>
        <w:t>防水隔汽膜</w:t>
      </w:r>
      <w:r>
        <w:rPr>
          <w:rFonts w:hint="eastAsia" w:ascii="宋体" w:hAnsi="宋体" w:cs="宋体"/>
          <w:b w:val="0"/>
          <w:bCs w:val="0"/>
          <w:sz w:val="21"/>
          <w:szCs w:val="21"/>
        </w:rPr>
        <w:t>，</w:t>
      </w:r>
      <w:r>
        <w:rPr>
          <w:rFonts w:hint="eastAsia" w:hAnsi="宋体" w:cs="宋体"/>
          <w:b w:val="0"/>
          <w:bCs w:val="0"/>
          <w:sz w:val="21"/>
          <w:szCs w:val="21"/>
          <w:lang w:val="en-US" w:eastAsia="zh-CN"/>
        </w:rPr>
        <w:t>防水透气膜及滑动膜层</w:t>
      </w:r>
      <w:r>
        <w:rPr>
          <w:rFonts w:hint="eastAsia" w:ascii="宋体" w:hAnsi="宋体" w:cs="宋体"/>
          <w:b w:val="0"/>
          <w:bCs w:val="0"/>
          <w:sz w:val="21"/>
          <w:szCs w:val="21"/>
        </w:rPr>
        <w:t>）、</w:t>
      </w:r>
      <w:r>
        <w:rPr>
          <w:rFonts w:hint="eastAsia" w:hAnsi="宋体" w:cs="宋体"/>
          <w:b w:val="0"/>
          <w:bCs w:val="0"/>
          <w:sz w:val="21"/>
          <w:szCs w:val="21"/>
          <w:lang w:val="en-US" w:eastAsia="zh-CN"/>
        </w:rPr>
        <w:t>防水层、找平层及</w:t>
      </w:r>
      <w:r>
        <w:rPr>
          <w:rFonts w:hint="eastAsia" w:ascii="宋体" w:hAnsi="宋体" w:cs="宋体"/>
          <w:b w:val="0"/>
          <w:bCs w:val="0"/>
          <w:sz w:val="21"/>
          <w:szCs w:val="21"/>
        </w:rPr>
        <w:t>防水保护</w:t>
      </w:r>
      <w:r>
        <w:rPr>
          <w:rFonts w:hint="eastAsia" w:hAnsi="宋体" w:cs="宋体"/>
          <w:b w:val="0"/>
          <w:bCs w:val="0"/>
          <w:sz w:val="21"/>
          <w:szCs w:val="21"/>
          <w:lang w:val="en-US" w:eastAsia="zh-CN"/>
        </w:rPr>
        <w:t>层</w:t>
      </w:r>
      <w:r>
        <w:rPr>
          <w:rFonts w:hint="eastAsia" w:ascii="宋体" w:hAnsi="宋体" w:cs="宋体"/>
          <w:b w:val="0"/>
          <w:bCs w:val="0"/>
          <w:sz w:val="21"/>
          <w:szCs w:val="21"/>
        </w:rPr>
        <w:t>、</w:t>
      </w:r>
      <w:r>
        <w:rPr>
          <w:rFonts w:hint="eastAsia" w:hAnsi="宋体" w:cs="宋体"/>
          <w:b w:val="0"/>
          <w:bCs w:val="0"/>
          <w:sz w:val="21"/>
          <w:szCs w:val="21"/>
          <w:lang w:val="en-US" w:eastAsia="zh-CN"/>
        </w:rPr>
        <w:t>冰板制冷</w:t>
      </w:r>
      <w:r>
        <w:rPr>
          <w:rFonts w:hint="eastAsia" w:ascii="宋体" w:hAnsi="宋体" w:cs="宋体"/>
          <w:b w:val="0"/>
          <w:bCs w:val="0"/>
          <w:sz w:val="21"/>
          <w:szCs w:val="21"/>
        </w:rPr>
        <w:t>层。</w:t>
      </w:r>
    </w:p>
    <w:p w14:paraId="0B6882A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4" w:name="_Toc1409"/>
      <w:r>
        <w:rPr>
          <w:rFonts w:hint="eastAsia" w:ascii="宋体" w:hAnsi="宋体" w:cs="宋体"/>
          <w:b w:val="0"/>
          <w:bCs w:val="0"/>
          <w:sz w:val="21"/>
          <w:szCs w:val="21"/>
        </w:rPr>
        <w:t xml:space="preserve">2.0.2 </w:t>
      </w:r>
      <w:bookmarkEnd w:id="24"/>
      <w:r>
        <w:rPr>
          <w:rFonts w:hint="eastAsia" w:hAnsi="宋体" w:cs="宋体"/>
          <w:b w:val="0"/>
          <w:bCs w:val="0"/>
          <w:sz w:val="21"/>
          <w:szCs w:val="21"/>
          <w:lang w:val="en-US" w:eastAsia="zh-CN"/>
        </w:rPr>
        <w:t xml:space="preserve"> 膜</w:t>
      </w:r>
      <w:r>
        <w:rPr>
          <w:rFonts w:hint="eastAsia" w:ascii="宋体" w:hAnsi="宋体" w:cs="宋体"/>
          <w:b w:val="0"/>
          <w:bCs w:val="0"/>
          <w:sz w:val="21"/>
          <w:szCs w:val="21"/>
        </w:rPr>
        <w:t xml:space="preserve">层 </w:t>
      </w:r>
      <w:r>
        <w:rPr>
          <w:rFonts w:hint="eastAsia" w:hAnsi="宋体" w:cs="宋体"/>
          <w:b w:val="0"/>
          <w:bCs w:val="0"/>
          <w:sz w:val="21"/>
          <w:szCs w:val="21"/>
          <w:lang w:val="en-US" w:eastAsia="zh-CN"/>
        </w:rPr>
        <w:t>s</w:t>
      </w:r>
      <w:r>
        <w:rPr>
          <w:rFonts w:hint="eastAsia" w:ascii="宋体" w:hAnsi="宋体" w:cs="宋体"/>
          <w:b w:val="0"/>
          <w:bCs w:val="0"/>
          <w:sz w:val="21"/>
          <w:szCs w:val="21"/>
        </w:rPr>
        <w:t>liding layer</w:t>
      </w:r>
    </w:p>
    <w:p w14:paraId="27FD0061">
      <w:pPr>
        <w:keepNext w:val="0"/>
        <w:keepLines w:val="0"/>
        <w:pageBreakBefore w:val="0"/>
        <w:widowControl w:val="0"/>
        <w:kinsoku/>
        <w:wordWrap/>
        <w:overflowPunct/>
        <w:topLinePunct w:val="0"/>
        <w:autoSpaceDE/>
        <w:autoSpaceDN/>
        <w:bidi w:val="0"/>
        <w:adjustRightInd/>
        <w:snapToGrid/>
        <w:ind w:left="0" w:leftChars="0" w:firstLine="480" w:firstLineChars="0"/>
        <w:jc w:val="left"/>
        <w:textAlignment w:val="auto"/>
        <w:outlineLvl w:val="9"/>
        <w:rPr>
          <w:rFonts w:hint="eastAsia" w:ascii="宋体" w:hAnsi="宋体" w:cs="宋体"/>
          <w:b w:val="0"/>
          <w:bCs w:val="0"/>
          <w:sz w:val="21"/>
          <w:szCs w:val="21"/>
        </w:rPr>
      </w:pPr>
      <w:r>
        <w:rPr>
          <w:rFonts w:hint="eastAsia" w:hAnsi="宋体" w:cs="宋体"/>
          <w:b w:val="0"/>
          <w:bCs w:val="0"/>
          <w:sz w:val="21"/>
          <w:szCs w:val="21"/>
          <w:lang w:val="en-US" w:eastAsia="zh-CN"/>
        </w:rPr>
        <w:t>根据不同的冰池构造，通常会设置防水隔汽膜层</w:t>
      </w:r>
      <w:r>
        <w:rPr>
          <w:rFonts w:hint="eastAsia" w:ascii="宋体" w:hAnsi="宋体" w:cs="宋体"/>
          <w:b w:val="0"/>
          <w:bCs w:val="0"/>
          <w:sz w:val="21"/>
          <w:szCs w:val="21"/>
        </w:rPr>
        <w:t>，</w:t>
      </w:r>
      <w:r>
        <w:rPr>
          <w:rFonts w:hint="eastAsia" w:hAnsi="宋体" w:cs="宋体"/>
          <w:b w:val="0"/>
          <w:bCs w:val="0"/>
          <w:sz w:val="21"/>
          <w:szCs w:val="21"/>
          <w:lang w:val="en-US" w:eastAsia="zh-CN"/>
        </w:rPr>
        <w:t>防水透气膜层及滑动膜层。其中滑动膜层的作用是</w:t>
      </w:r>
      <w:r>
        <w:rPr>
          <w:rFonts w:hint="eastAsia" w:ascii="宋体" w:hAnsi="宋体" w:cs="宋体"/>
          <w:b w:val="0"/>
          <w:bCs w:val="0"/>
          <w:sz w:val="21"/>
          <w:szCs w:val="21"/>
        </w:rPr>
        <w:t>减少</w:t>
      </w:r>
      <w:r>
        <w:rPr>
          <w:rFonts w:hint="eastAsia" w:ascii="宋体" w:hAnsi="宋体" w:cs="宋体"/>
          <w:b w:val="0"/>
          <w:bCs w:val="0"/>
          <w:sz w:val="21"/>
          <w:szCs w:val="21"/>
          <w:lang w:val="en-US" w:eastAsia="zh-CN"/>
        </w:rPr>
        <w:t>冰板制冷层</w:t>
      </w:r>
      <w:r>
        <w:rPr>
          <w:rFonts w:hint="eastAsia" w:ascii="宋体" w:hAnsi="宋体" w:cs="宋体"/>
          <w:b w:val="0"/>
          <w:bCs w:val="0"/>
          <w:sz w:val="21"/>
          <w:szCs w:val="21"/>
        </w:rPr>
        <w:t>的约束，</w:t>
      </w:r>
      <w:r>
        <w:rPr>
          <w:rFonts w:hint="eastAsia" w:ascii="宋体" w:hAnsi="宋体" w:cs="宋体"/>
          <w:b w:val="0"/>
          <w:bCs w:val="0"/>
          <w:sz w:val="21"/>
          <w:szCs w:val="21"/>
          <w:lang w:val="en-US" w:eastAsia="zh-CN"/>
        </w:rPr>
        <w:t>在温度变化时实现冰板制冷层</w:t>
      </w:r>
      <w:r>
        <w:rPr>
          <w:rFonts w:hint="eastAsia" w:ascii="宋体" w:hAnsi="宋体" w:cs="宋体"/>
          <w:b w:val="0"/>
          <w:bCs w:val="0"/>
          <w:sz w:val="21"/>
          <w:szCs w:val="21"/>
        </w:rPr>
        <w:t>整体</w:t>
      </w:r>
      <w:r>
        <w:rPr>
          <w:rFonts w:hint="eastAsia" w:ascii="宋体" w:hAnsi="宋体" w:cs="宋体"/>
          <w:b w:val="0"/>
          <w:bCs w:val="0"/>
          <w:sz w:val="21"/>
          <w:szCs w:val="21"/>
          <w:lang w:val="en-US" w:eastAsia="zh-CN"/>
        </w:rPr>
        <w:t>滑移</w:t>
      </w:r>
      <w:r>
        <w:rPr>
          <w:rFonts w:hint="eastAsia" w:ascii="宋体" w:hAnsi="宋体" w:cs="宋体"/>
          <w:b w:val="0"/>
          <w:bCs w:val="0"/>
          <w:sz w:val="21"/>
          <w:szCs w:val="21"/>
        </w:rPr>
        <w:t>，</w:t>
      </w:r>
      <w:r>
        <w:rPr>
          <w:rFonts w:hint="eastAsia" w:ascii="宋体" w:hAnsi="宋体" w:cs="宋体"/>
          <w:b w:val="0"/>
          <w:bCs w:val="0"/>
          <w:sz w:val="21"/>
          <w:szCs w:val="21"/>
          <w:lang w:val="en-US" w:eastAsia="zh-CN"/>
        </w:rPr>
        <w:t>以</w:t>
      </w:r>
      <w:r>
        <w:rPr>
          <w:rFonts w:hint="eastAsia" w:ascii="宋体" w:hAnsi="宋体" w:cs="宋体"/>
          <w:b w:val="0"/>
          <w:bCs w:val="0"/>
          <w:sz w:val="21"/>
          <w:szCs w:val="21"/>
        </w:rPr>
        <w:t>降低</w:t>
      </w:r>
      <w:r>
        <w:rPr>
          <w:rFonts w:hint="eastAsia" w:ascii="宋体" w:hAnsi="宋体" w:cs="宋体"/>
          <w:b w:val="0"/>
          <w:bCs w:val="0"/>
          <w:sz w:val="21"/>
          <w:szCs w:val="21"/>
          <w:lang w:val="en-US" w:eastAsia="zh-CN"/>
        </w:rPr>
        <w:t>其</w:t>
      </w:r>
      <w:r>
        <w:rPr>
          <w:rFonts w:hint="eastAsia" w:ascii="宋体" w:hAnsi="宋体" w:cs="宋体"/>
          <w:b w:val="0"/>
          <w:bCs w:val="0"/>
          <w:sz w:val="21"/>
          <w:szCs w:val="21"/>
        </w:rPr>
        <w:t>开裂风险。</w:t>
      </w:r>
      <w:bookmarkStart w:id="25" w:name="_Toc19669"/>
    </w:p>
    <w:p w14:paraId="3FB7896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2.0.</w:t>
      </w:r>
      <w:r>
        <w:rPr>
          <w:rFonts w:hint="eastAsia" w:hAnsi="宋体" w:cs="宋体"/>
          <w:b w:val="0"/>
          <w:bCs w:val="0"/>
          <w:sz w:val="21"/>
          <w:szCs w:val="21"/>
          <w:lang w:val="en-US" w:eastAsia="zh-CN"/>
        </w:rPr>
        <w:t>3</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加热管道 </w:t>
      </w:r>
      <w:r>
        <w:rPr>
          <w:rFonts w:hint="eastAsia" w:hAnsi="宋体" w:cs="宋体"/>
          <w:b w:val="0"/>
          <w:bCs w:val="0"/>
          <w:sz w:val="21"/>
          <w:szCs w:val="21"/>
          <w:lang w:val="en-US" w:eastAsia="zh-CN"/>
        </w:rPr>
        <w:t>h</w:t>
      </w:r>
      <w:r>
        <w:rPr>
          <w:rFonts w:hint="eastAsia" w:ascii="宋体" w:hAnsi="宋体" w:cs="宋体"/>
          <w:b w:val="0"/>
          <w:bCs w:val="0"/>
          <w:sz w:val="21"/>
          <w:szCs w:val="21"/>
        </w:rPr>
        <w:t>eating coil</w:t>
      </w:r>
      <w:bookmarkEnd w:id="25"/>
    </w:p>
    <w:p w14:paraId="560085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default" w:ascii="宋体" w:hAnsi="宋体" w:eastAsia="宋体" w:cs="宋体"/>
          <w:b w:val="0"/>
          <w:bCs w:val="0"/>
          <w:sz w:val="21"/>
          <w:szCs w:val="21"/>
          <w:lang w:val="en-US" w:eastAsia="zh-CN"/>
        </w:rPr>
      </w:pPr>
      <w:r>
        <w:rPr>
          <w:rFonts w:hint="eastAsia" w:ascii="宋体" w:hAnsi="宋体" w:cs="宋体"/>
          <w:b w:val="0"/>
          <w:bCs w:val="0"/>
          <w:sz w:val="21"/>
          <w:szCs w:val="21"/>
        </w:rPr>
        <w:t>位于冰板构造层最底层内的加热管道，用于避免基层混凝土结构冻涨，保证结构安全。</w:t>
      </w:r>
    </w:p>
    <w:p w14:paraId="0DE6406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26" w:name="_Toc27192"/>
      <w:r>
        <w:rPr>
          <w:rFonts w:hint="eastAsia" w:ascii="宋体" w:hAnsi="宋体" w:cs="宋体"/>
          <w:b w:val="0"/>
          <w:bCs w:val="0"/>
          <w:sz w:val="21"/>
          <w:szCs w:val="21"/>
        </w:rPr>
        <w:t>2.0.</w:t>
      </w:r>
      <w:r>
        <w:rPr>
          <w:rFonts w:hint="eastAsia" w:hAnsi="宋体" w:cs="宋体"/>
          <w:b w:val="0"/>
          <w:bCs w:val="0"/>
          <w:sz w:val="21"/>
          <w:szCs w:val="21"/>
          <w:lang w:val="en-US" w:eastAsia="zh-CN"/>
        </w:rPr>
        <w:t>4</w:t>
      </w:r>
      <w:r>
        <w:rPr>
          <w:rFonts w:hint="eastAsia" w:ascii="宋体" w:hAnsi="宋体" w:cs="宋体"/>
          <w:b w:val="0"/>
          <w:bCs w:val="0"/>
          <w:sz w:val="21"/>
          <w:szCs w:val="21"/>
        </w:rPr>
        <w:t xml:space="preserve"> </w:t>
      </w:r>
      <w:bookmarkEnd w:id="26"/>
      <w:r>
        <w:rPr>
          <w:rFonts w:hint="eastAsia" w:hAnsi="宋体" w:cs="宋体"/>
          <w:b w:val="0"/>
          <w:bCs w:val="0"/>
          <w:sz w:val="21"/>
          <w:szCs w:val="21"/>
          <w:lang w:val="en-US" w:eastAsia="zh-CN"/>
        </w:rPr>
        <w:t xml:space="preserve"> </w:t>
      </w:r>
      <w:bookmarkStart w:id="27" w:name="_Toc9384"/>
      <w:bookmarkStart w:id="28" w:name="_Toc5371"/>
      <w:r>
        <w:rPr>
          <w:rFonts w:hint="eastAsia" w:ascii="宋体" w:hAnsi="宋体" w:cs="宋体"/>
          <w:b w:val="0"/>
          <w:bCs w:val="0"/>
          <w:sz w:val="21"/>
          <w:szCs w:val="21"/>
        </w:rPr>
        <w:t xml:space="preserve">制冰排管 </w:t>
      </w:r>
      <w:r>
        <w:rPr>
          <w:rFonts w:hint="eastAsia" w:hAnsi="宋体" w:cs="宋体"/>
          <w:b w:val="0"/>
          <w:bCs w:val="0"/>
          <w:sz w:val="21"/>
          <w:szCs w:val="21"/>
          <w:lang w:val="en-US" w:eastAsia="zh-CN"/>
        </w:rPr>
        <w:t>i</w:t>
      </w:r>
      <w:r>
        <w:rPr>
          <w:rFonts w:hint="eastAsia" w:ascii="宋体" w:hAnsi="宋体" w:cs="宋体"/>
          <w:b w:val="0"/>
          <w:bCs w:val="0"/>
          <w:sz w:val="21"/>
          <w:szCs w:val="21"/>
        </w:rPr>
        <w:t>ce-making coil</w:t>
      </w:r>
      <w:bookmarkEnd w:id="27"/>
      <w:bookmarkEnd w:id="28"/>
    </w:p>
    <w:p w14:paraId="0C42E99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位于冰板构造层最上层内的制冰管道，管道通过有序的排列、组合、连接而成的制冰交换器，是冰面制冰系统的关键部分。</w:t>
      </w:r>
    </w:p>
    <w:p w14:paraId="7C8C257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2.0.</w:t>
      </w:r>
      <w:r>
        <w:rPr>
          <w:rFonts w:hint="eastAsia" w:hAnsi="宋体" w:cs="宋体"/>
          <w:b w:val="0"/>
          <w:bCs w:val="0"/>
          <w:sz w:val="21"/>
          <w:szCs w:val="21"/>
          <w:lang w:val="en-US" w:eastAsia="zh-CN"/>
        </w:rPr>
        <w:t>5</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装配式冰池结构层 assembly ice rink structural layer</w:t>
      </w:r>
    </w:p>
    <w:p w14:paraId="71228E65">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bookmarkStart w:id="29" w:name="_Toc5484"/>
      <w:r>
        <w:rPr>
          <w:rFonts w:hint="eastAsia" w:ascii="宋体" w:hAnsi="宋体" w:cs="宋体"/>
          <w:b w:val="0"/>
          <w:bCs w:val="0"/>
          <w:sz w:val="21"/>
          <w:szCs w:val="21"/>
        </w:rPr>
        <w:t>采用装配式工艺替代传统混凝土冰场结构层施工</w:t>
      </w:r>
      <w:bookmarkEnd w:id="29"/>
    </w:p>
    <w:p w14:paraId="3999C64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color w:val="auto"/>
          <w:sz w:val="21"/>
          <w:szCs w:val="21"/>
          <w:lang w:val="en-US" w:eastAsia="zh-CN"/>
        </w:rPr>
      </w:pPr>
      <w:r>
        <w:rPr>
          <w:rFonts w:hint="eastAsia" w:ascii="宋体" w:hAnsi="宋体" w:cs="宋体"/>
          <w:b w:val="0"/>
          <w:bCs w:val="0"/>
          <w:sz w:val="21"/>
          <w:szCs w:val="21"/>
        </w:rPr>
        <w:t>2.0.</w:t>
      </w:r>
      <w:r>
        <w:rPr>
          <w:rFonts w:hint="eastAsia" w:hAnsi="宋体" w:cs="宋体"/>
          <w:b w:val="0"/>
          <w:bCs w:val="0"/>
          <w:sz w:val="21"/>
          <w:szCs w:val="21"/>
          <w:lang w:val="en-US" w:eastAsia="zh-CN"/>
        </w:rPr>
        <w:t>6</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color w:val="auto"/>
          <w:sz w:val="21"/>
          <w:szCs w:val="21"/>
          <w:lang w:val="en-US" w:eastAsia="zh-CN"/>
        </w:rPr>
        <w:t xml:space="preserve">融冰池 </w:t>
      </w:r>
      <w:r>
        <w:rPr>
          <w:rFonts w:hint="eastAsia" w:hAnsi="宋体" w:cs="宋体"/>
          <w:b w:val="0"/>
          <w:bCs w:val="0"/>
          <w:color w:val="auto"/>
          <w:sz w:val="21"/>
          <w:szCs w:val="21"/>
          <w:lang w:val="en-US" w:eastAsia="zh-CN"/>
        </w:rPr>
        <w:t>t</w:t>
      </w:r>
      <w:r>
        <w:rPr>
          <w:rFonts w:hint="eastAsia" w:ascii="宋体" w:hAnsi="宋体" w:cs="宋体"/>
          <w:b w:val="0"/>
          <w:bCs w:val="0"/>
          <w:color w:val="auto"/>
          <w:sz w:val="21"/>
          <w:szCs w:val="21"/>
          <w:lang w:val="en-US" w:eastAsia="zh-CN"/>
        </w:rPr>
        <w:t>he melting pool</w:t>
      </w:r>
    </w:p>
    <w:p w14:paraId="178BEA39">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b w:val="0"/>
          <w:bCs w:val="0"/>
          <w:sz w:val="21"/>
          <w:szCs w:val="21"/>
          <w:lang w:val="en-US" w:eastAsia="zh-CN"/>
        </w:rPr>
      </w:pPr>
      <w:r>
        <w:rPr>
          <w:rFonts w:hint="eastAsia" w:ascii="宋体" w:hAnsi="宋体" w:cs="宋体"/>
          <w:b w:val="0"/>
          <w:bCs w:val="0"/>
          <w:color w:val="auto"/>
          <w:sz w:val="21"/>
          <w:szCs w:val="21"/>
          <w:lang w:val="en-US" w:eastAsia="zh-CN"/>
        </w:rPr>
        <w:t xml:space="preserve">    通常设置于冰车房或大型冰场的场芯的内部安装有加热盘管池子。用来溶解冰车清理冰面产生的冰屑。</w:t>
      </w:r>
    </w:p>
    <w:p w14:paraId="28EA71E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30" w:name="_Toc29313"/>
      <w:r>
        <w:rPr>
          <w:rFonts w:hint="eastAsia" w:ascii="宋体" w:hAnsi="宋体" w:cs="宋体"/>
          <w:b w:val="0"/>
          <w:bCs w:val="0"/>
          <w:sz w:val="21"/>
          <w:szCs w:val="21"/>
        </w:rPr>
        <w:t>2.0.</w:t>
      </w:r>
      <w:r>
        <w:rPr>
          <w:rFonts w:hint="eastAsia" w:hAnsi="宋体" w:cs="宋体"/>
          <w:b w:val="0"/>
          <w:bCs w:val="0"/>
          <w:sz w:val="21"/>
          <w:szCs w:val="21"/>
          <w:lang w:val="en-US" w:eastAsia="zh-CN"/>
        </w:rPr>
        <w:t xml:space="preserve">7 </w:t>
      </w:r>
      <w:r>
        <w:rPr>
          <w:rFonts w:hint="eastAsia" w:ascii="宋体" w:hAnsi="宋体" w:cs="宋体"/>
          <w:b w:val="0"/>
          <w:bCs w:val="0"/>
          <w:sz w:val="21"/>
          <w:szCs w:val="21"/>
        </w:rPr>
        <w:t xml:space="preserve"> </w:t>
      </w:r>
      <w:r>
        <w:rPr>
          <w:rFonts w:hint="eastAsia" w:ascii="宋体" w:hAnsi="宋体" w:cs="宋体"/>
          <w:b w:val="0"/>
          <w:bCs w:val="0"/>
          <w:color w:val="auto"/>
          <w:sz w:val="21"/>
          <w:szCs w:val="21"/>
        </w:rPr>
        <w:t>高压侧</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h</w:t>
      </w:r>
      <w:r>
        <w:rPr>
          <w:rFonts w:hint="eastAsia" w:ascii="宋体" w:hAnsi="宋体" w:cs="宋体"/>
          <w:b w:val="0"/>
          <w:bCs w:val="0"/>
          <w:sz w:val="21"/>
          <w:szCs w:val="21"/>
        </w:rPr>
        <w:t>igh-pressure side</w:t>
      </w:r>
      <w:bookmarkEnd w:id="30"/>
    </w:p>
    <w:p w14:paraId="7B1CEDF3">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制冰系统中运行压力接近冷凝压力的部分。是指自制冷压缩机排气口经冷凝器、储液器到节流装置的入口的制冷管道。</w:t>
      </w:r>
    </w:p>
    <w:p w14:paraId="0570723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b w:val="0"/>
          <w:bCs w:val="0"/>
          <w:sz w:val="21"/>
          <w:szCs w:val="21"/>
        </w:rPr>
      </w:pPr>
      <w:bookmarkStart w:id="31" w:name="_Toc20328"/>
      <w:bookmarkStart w:id="32" w:name="_Hlk86357536"/>
      <w:r>
        <w:rPr>
          <w:rFonts w:hint="eastAsia" w:ascii="宋体" w:hAnsi="宋体" w:cs="宋体"/>
          <w:b w:val="0"/>
          <w:bCs w:val="0"/>
          <w:sz w:val="21"/>
          <w:szCs w:val="21"/>
        </w:rPr>
        <w:t>2.0.</w:t>
      </w:r>
      <w:r>
        <w:rPr>
          <w:rFonts w:hint="eastAsia" w:hAnsi="宋体" w:cs="宋体"/>
          <w:b w:val="0"/>
          <w:bCs w:val="0"/>
          <w:sz w:val="21"/>
          <w:szCs w:val="21"/>
          <w:lang w:val="en-US" w:eastAsia="zh-CN"/>
        </w:rPr>
        <w:t xml:space="preserve">8 </w:t>
      </w:r>
      <w:r>
        <w:rPr>
          <w:rFonts w:hint="eastAsia" w:ascii="宋体" w:hAnsi="宋体" w:cs="宋体"/>
          <w:b w:val="0"/>
          <w:bCs w:val="0"/>
          <w:sz w:val="21"/>
          <w:szCs w:val="21"/>
        </w:rPr>
        <w:t xml:space="preserve"> </w:t>
      </w:r>
      <w:r>
        <w:rPr>
          <w:rFonts w:hint="eastAsia" w:ascii="宋体" w:hAnsi="宋体" w:cs="宋体"/>
          <w:b w:val="0"/>
          <w:bCs w:val="0"/>
          <w:color w:val="auto"/>
          <w:sz w:val="21"/>
          <w:szCs w:val="21"/>
        </w:rPr>
        <w:t>低压侧</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l</w:t>
      </w:r>
      <w:r>
        <w:rPr>
          <w:rFonts w:hint="eastAsia" w:ascii="宋体" w:hAnsi="宋体" w:cs="宋体"/>
          <w:b w:val="0"/>
          <w:bCs w:val="0"/>
          <w:sz w:val="21"/>
          <w:szCs w:val="21"/>
        </w:rPr>
        <w:t>ow-pressure side</w:t>
      </w:r>
      <w:bookmarkEnd w:id="31"/>
    </w:p>
    <w:p w14:paraId="420D894B">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hAnsi="宋体" w:cs="宋体"/>
          <w:b w:val="0"/>
          <w:bCs w:val="0"/>
          <w:sz w:val="21"/>
          <w:szCs w:val="21"/>
        </w:rPr>
      </w:pPr>
      <w:r>
        <w:rPr>
          <w:rFonts w:hint="eastAsia" w:ascii="宋体" w:hAnsi="宋体" w:cs="宋体"/>
          <w:b w:val="0"/>
          <w:bCs w:val="0"/>
          <w:sz w:val="21"/>
          <w:szCs w:val="21"/>
        </w:rPr>
        <w:t>制冰系统中运行压力接近蒸发压力的部分。是指自系统节流装置出口，经蒸发器到制冷压缩机吸入口的制冷管道；双级压缩制冷装置的中间冷却器的中压部分属低压侧。</w:t>
      </w:r>
    </w:p>
    <w:p w14:paraId="588C009B">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2.0.</w:t>
      </w:r>
      <w:r>
        <w:rPr>
          <w:rFonts w:hint="eastAsia" w:hAnsi="宋体" w:cs="宋体"/>
          <w:b w:val="0"/>
          <w:bCs w:val="0"/>
          <w:sz w:val="21"/>
          <w:szCs w:val="21"/>
          <w:lang w:val="en-US" w:eastAsia="zh-CN"/>
        </w:rPr>
        <w:t xml:space="preserve">9 </w:t>
      </w:r>
      <w:r>
        <w:rPr>
          <w:rFonts w:hint="eastAsia" w:ascii="宋体" w:hAnsi="宋体" w:cs="宋体"/>
          <w:b w:val="0"/>
          <w:bCs w:val="0"/>
          <w:sz w:val="21"/>
          <w:szCs w:val="21"/>
          <w:lang w:val="en-US" w:eastAsia="zh-CN"/>
        </w:rPr>
        <w:t xml:space="preserve"> 除湿系统 </w:t>
      </w:r>
      <w:r>
        <w:rPr>
          <w:rFonts w:hint="eastAsia" w:hAnsi="宋体" w:cs="宋体"/>
          <w:b w:val="0"/>
          <w:bCs w:val="0"/>
          <w:sz w:val="21"/>
          <w:szCs w:val="21"/>
          <w:lang w:val="en-US" w:eastAsia="zh-CN"/>
        </w:rPr>
        <w:t>d</w:t>
      </w:r>
      <w:r>
        <w:rPr>
          <w:rFonts w:hint="eastAsia" w:ascii="宋体" w:hAnsi="宋体" w:cs="宋体"/>
          <w:b w:val="0"/>
          <w:bCs w:val="0"/>
          <w:sz w:val="21"/>
          <w:szCs w:val="21"/>
          <w:lang w:val="en-US" w:eastAsia="zh-CN"/>
        </w:rPr>
        <w:t>ehumidification system</w:t>
      </w:r>
    </w:p>
    <w:p w14:paraId="46F631DE">
      <w:pPr>
        <w:pStyle w:val="4"/>
        <w:keepNext w:val="0"/>
        <w:keepLines w:val="0"/>
        <w:pageBreakBefore w:val="0"/>
        <w:widowControl w:val="0"/>
        <w:kinsoku/>
        <w:wordWrap/>
        <w:overflowPunct/>
        <w:topLinePunct w:val="0"/>
        <w:autoSpaceDE/>
        <w:autoSpaceDN/>
        <w:bidi w:val="0"/>
        <w:adjustRightInd/>
        <w:snapToGrid/>
        <w:ind w:firstLine="481"/>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为确保冰池区域的湿度保持在设定范围内，避免由于湿度过大产生起雾、影响冰面平整度等现象发生而设置的系统。</w:t>
      </w:r>
    </w:p>
    <w:p w14:paraId="2AE0672C">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2.0.1</w:t>
      </w:r>
      <w:r>
        <w:rPr>
          <w:rFonts w:hint="eastAsia" w:hAnsi="宋体" w:cs="宋体"/>
          <w:b w:val="0"/>
          <w:bCs w:val="0"/>
          <w:kern w:val="2"/>
          <w:sz w:val="21"/>
          <w:szCs w:val="21"/>
          <w:lang w:val="en-US" w:eastAsia="zh-CN" w:bidi="ar-SA"/>
        </w:rPr>
        <w:t>0</w:t>
      </w:r>
      <w:r>
        <w:rPr>
          <w:rFonts w:hint="eastAsia" w:ascii="宋体" w:hAnsi="宋体" w:eastAsia="宋体" w:cs="宋体"/>
          <w:b w:val="0"/>
          <w:bCs w:val="0"/>
          <w:kern w:val="2"/>
          <w:sz w:val="21"/>
          <w:szCs w:val="21"/>
          <w:lang w:val="en-US" w:eastAsia="zh-CN" w:bidi="ar-SA"/>
        </w:rPr>
        <w:t xml:space="preserve">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事故排风 </w:t>
      </w:r>
      <w:r>
        <w:rPr>
          <w:rFonts w:hint="eastAsia" w:hAnsi="宋体" w:cs="宋体"/>
          <w:b w:val="0"/>
          <w:bCs w:val="0"/>
          <w:kern w:val="2"/>
          <w:sz w:val="21"/>
          <w:szCs w:val="21"/>
          <w:lang w:val="en-US" w:eastAsia="zh-CN" w:bidi="ar-SA"/>
        </w:rPr>
        <w:t>a</w:t>
      </w:r>
      <w:r>
        <w:rPr>
          <w:rFonts w:hint="eastAsia" w:ascii="宋体" w:hAnsi="宋体" w:eastAsia="宋体" w:cs="宋体"/>
          <w:b w:val="0"/>
          <w:bCs w:val="0"/>
          <w:kern w:val="2"/>
          <w:sz w:val="21"/>
          <w:szCs w:val="21"/>
          <w:lang w:val="en-US" w:eastAsia="zh-CN" w:bidi="ar-SA"/>
        </w:rPr>
        <w:t xml:space="preserve">ccident </w:t>
      </w:r>
      <w:r>
        <w:rPr>
          <w:rFonts w:hint="eastAsia" w:hAnsi="宋体" w:cs="宋体"/>
          <w:b w:val="0"/>
          <w:bCs w:val="0"/>
          <w:kern w:val="2"/>
          <w:sz w:val="21"/>
          <w:szCs w:val="21"/>
          <w:lang w:val="en-US" w:eastAsia="zh-CN" w:bidi="ar-SA"/>
        </w:rPr>
        <w:t>e</w:t>
      </w:r>
      <w:r>
        <w:rPr>
          <w:rFonts w:hint="eastAsia" w:ascii="宋体" w:hAnsi="宋体" w:eastAsia="宋体" w:cs="宋体"/>
          <w:b w:val="0"/>
          <w:bCs w:val="0"/>
          <w:kern w:val="2"/>
          <w:sz w:val="21"/>
          <w:szCs w:val="21"/>
          <w:lang w:val="en-US" w:eastAsia="zh-CN" w:bidi="ar-SA"/>
        </w:rPr>
        <w:t>xhaust</w:t>
      </w:r>
    </w:p>
    <w:p w14:paraId="3784A265">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val="0"/>
        </w:rPr>
      </w:pPr>
      <w:r>
        <w:rPr>
          <w:rFonts w:hint="eastAsia"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对于</w:t>
      </w:r>
      <w:r>
        <w:rPr>
          <w:rFonts w:hint="eastAsia" w:hAnsi="宋体" w:cs="宋体"/>
          <w:b w:val="0"/>
          <w:bCs w:val="0"/>
          <w:color w:val="auto"/>
          <w:sz w:val="21"/>
          <w:szCs w:val="21"/>
          <w:lang w:val="en-US" w:eastAsia="zh-CN"/>
        </w:rPr>
        <w:t>制冷剂泄漏会产生危害</w:t>
      </w:r>
      <w:r>
        <w:rPr>
          <w:rFonts w:hint="eastAsia" w:ascii="宋体" w:hAnsi="宋体" w:eastAsia="宋体" w:cs="宋体"/>
          <w:b w:val="0"/>
          <w:bCs w:val="0"/>
          <w:color w:val="auto"/>
          <w:kern w:val="2"/>
          <w:sz w:val="21"/>
          <w:szCs w:val="21"/>
          <w:lang w:val="en-US" w:eastAsia="zh-CN" w:bidi="ar-SA"/>
        </w:rPr>
        <w:t>的人工冰场，为应对</w:t>
      </w:r>
      <w:r>
        <w:rPr>
          <w:rFonts w:hint="eastAsia" w:hAnsi="宋体" w:cs="宋体"/>
          <w:b w:val="0"/>
          <w:bCs w:val="0"/>
          <w:color w:val="auto"/>
          <w:kern w:val="2"/>
          <w:sz w:val="21"/>
          <w:szCs w:val="21"/>
          <w:lang w:val="en-US" w:eastAsia="zh-CN" w:bidi="ar-SA"/>
        </w:rPr>
        <w:t>制冷剂</w:t>
      </w:r>
      <w:r>
        <w:rPr>
          <w:rFonts w:hint="eastAsia" w:ascii="宋体" w:hAnsi="宋体" w:eastAsia="宋体" w:cs="宋体"/>
          <w:b w:val="0"/>
          <w:bCs w:val="0"/>
          <w:color w:val="auto"/>
          <w:kern w:val="2"/>
          <w:sz w:val="21"/>
          <w:szCs w:val="21"/>
          <w:lang w:val="en-US" w:eastAsia="zh-CN" w:bidi="ar-SA"/>
        </w:rPr>
        <w:t>泄露而采取的紧急排风措施。</w:t>
      </w:r>
      <w:bookmarkEnd w:id="32"/>
    </w:p>
    <w:p w14:paraId="6396F42C">
      <w:pPr>
        <w:rPr>
          <w:rFonts w:hint="eastAsia" w:ascii="宋体" w:hAnsi="宋体" w:eastAsia="宋体" w:cs="宋体"/>
          <w:b/>
          <w:bCs w:val="0"/>
        </w:rPr>
      </w:pPr>
      <w:r>
        <w:rPr>
          <w:rFonts w:hint="eastAsia" w:ascii="宋体" w:hAnsi="宋体" w:eastAsia="宋体" w:cs="宋体"/>
          <w:b/>
          <w:bCs w:val="0"/>
        </w:rPr>
        <w:br w:type="page"/>
      </w:r>
    </w:p>
    <w:p w14:paraId="0AACCF3C">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33" w:name="_Toc28503"/>
      <w:bookmarkStart w:id="34" w:name="_Toc6781"/>
      <w:r>
        <w:rPr>
          <w:rFonts w:hint="eastAsia" w:ascii="黑体" w:hAnsi="黑体" w:eastAsia="黑体" w:cs="Times New Roman"/>
          <w:bCs w:val="0"/>
          <w:sz w:val="21"/>
          <w:szCs w:val="20"/>
        </w:rPr>
        <w:t>3</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rPr>
        <w:t>基本规定</w:t>
      </w:r>
      <w:bookmarkEnd w:id="33"/>
    </w:p>
    <w:p w14:paraId="55621D03">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hAnsi="宋体" w:cs="宋体"/>
          <w:b w:val="0"/>
          <w:bCs w:val="0"/>
          <w:color w:val="auto"/>
          <w:sz w:val="21"/>
          <w:szCs w:val="21"/>
          <w:lang w:val="en-US" w:eastAsia="zh-CN"/>
        </w:rPr>
        <w:t xml:space="preserve">3.0.1  </w:t>
      </w:r>
      <w:r>
        <w:rPr>
          <w:rFonts w:hint="eastAsia" w:ascii="宋体" w:hAnsi="宋体" w:cs="宋体"/>
          <w:b w:val="0"/>
          <w:bCs w:val="0"/>
          <w:color w:val="auto"/>
          <w:sz w:val="21"/>
          <w:szCs w:val="21"/>
        </w:rPr>
        <w:t>人工冰场工程施工单位应具有相应的施工资质；施工现场具有相应的技术标准</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质量管理体系、质量控制和检验制度</w:t>
      </w:r>
      <w:r>
        <w:rPr>
          <w:rFonts w:hint="eastAsia" w:ascii="宋体" w:hAnsi="宋体" w:cs="宋体"/>
          <w:b w:val="0"/>
          <w:bCs w:val="0"/>
          <w:color w:val="auto"/>
          <w:sz w:val="21"/>
          <w:szCs w:val="21"/>
        </w:rPr>
        <w:t>。</w:t>
      </w:r>
    </w:p>
    <w:p w14:paraId="63E4DB67">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.2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w:t>
      </w:r>
      <w:r>
        <w:rPr>
          <w:rFonts w:hint="eastAsia" w:hAnsi="宋体" w:cs="宋体"/>
          <w:b w:val="0"/>
          <w:bCs w:val="0"/>
          <w:color w:val="auto"/>
          <w:sz w:val="21"/>
          <w:szCs w:val="21"/>
          <w:lang w:val="en-US" w:eastAsia="zh-CN"/>
        </w:rPr>
        <w:t>应进行专项</w:t>
      </w:r>
      <w:r>
        <w:rPr>
          <w:rFonts w:hint="eastAsia" w:ascii="宋体" w:hAnsi="宋体" w:cs="宋体"/>
          <w:b w:val="0"/>
          <w:bCs w:val="0"/>
          <w:color w:val="auto"/>
          <w:sz w:val="21"/>
          <w:szCs w:val="21"/>
        </w:rPr>
        <w:t>深化设计，深化设计文件应经原设计单位确认</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施工图</w:t>
      </w:r>
      <w:r>
        <w:rPr>
          <w:rFonts w:hint="eastAsia" w:ascii="宋体" w:hAnsi="宋体" w:cs="宋体"/>
          <w:b w:val="0"/>
          <w:bCs w:val="0"/>
          <w:color w:val="auto"/>
          <w:sz w:val="21"/>
          <w:szCs w:val="21"/>
          <w:lang w:val="en-US" w:eastAsia="zh-CN"/>
        </w:rPr>
        <w:t>发生设计</w:t>
      </w:r>
      <w:r>
        <w:rPr>
          <w:rFonts w:hint="eastAsia" w:ascii="宋体" w:hAnsi="宋体" w:cs="宋体"/>
          <w:b w:val="0"/>
          <w:bCs w:val="0"/>
          <w:color w:val="auto"/>
          <w:sz w:val="21"/>
          <w:szCs w:val="21"/>
        </w:rPr>
        <w:t>变更</w:t>
      </w:r>
      <w:r>
        <w:rPr>
          <w:rFonts w:hint="eastAsia" w:ascii="宋体" w:hAnsi="宋体" w:cs="宋体"/>
          <w:b w:val="0"/>
          <w:bCs w:val="0"/>
          <w:color w:val="auto"/>
          <w:sz w:val="21"/>
          <w:szCs w:val="21"/>
          <w:lang w:val="en-US" w:eastAsia="zh-CN"/>
        </w:rPr>
        <w:t>时，按照设计单位签章后下发的设计变更通知单施工</w:t>
      </w:r>
      <w:r>
        <w:rPr>
          <w:rFonts w:hint="eastAsia" w:ascii="宋体" w:hAnsi="宋体" w:cs="宋体"/>
          <w:b w:val="0"/>
          <w:bCs w:val="0"/>
          <w:color w:val="auto"/>
          <w:sz w:val="21"/>
          <w:szCs w:val="21"/>
        </w:rPr>
        <w:t>。</w:t>
      </w:r>
    </w:p>
    <w:p w14:paraId="4D8F2476">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.3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人工冰场工程施工前，建设单位应组织设计、施工、监理等单位对设计文件进行交底和会审，形成书面记录，并应由参与会审的各方签字确认。</w:t>
      </w:r>
    </w:p>
    <w:p w14:paraId="13D75E79">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 xml:space="preserve">.4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前，施工单位应编制人工冰场工程施工组织设计(方案)，并应经本单位技术负责人审查合格、监理(建设)单位审查批准后实施。施工单位应对人工冰场工程的施工作业人员进行技术交底和必要的作业指导培训。</w:t>
      </w:r>
    </w:p>
    <w:p w14:paraId="4DD0C9A6">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5</w:t>
      </w:r>
      <w:r>
        <w:rPr>
          <w:rFonts w:hint="eastAsia" w:ascii="宋体" w:hAnsi="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cs="宋体"/>
          <w:b w:val="0"/>
          <w:bCs w:val="0"/>
          <w:color w:val="auto"/>
          <w:sz w:val="21"/>
          <w:szCs w:val="21"/>
        </w:rPr>
        <w:t>人工冰场工程施工应根据施工图及相关产品技术文件的要求进行，使用的材料与设备应符合设计要求及国家现行有关标准的规定。严禁使用国家明令禁止使用或淘汰的材料与设备。</w:t>
      </w:r>
    </w:p>
    <w:p w14:paraId="49B11B27">
      <w:pPr>
        <w:pStyle w:val="27"/>
        <w:pageBreakBefore w:val="0"/>
        <w:widowControl w:val="0"/>
        <w:kinsoku/>
        <w:wordWrap/>
        <w:overflowPunct/>
        <w:topLinePunct w:val="0"/>
        <w:autoSpaceDE/>
        <w:autoSpaceDN/>
        <w:bidi w:val="0"/>
        <w:snapToGrid w:val="0"/>
        <w:ind w:left="0" w:leftChars="0" w:firstLine="0" w:firstLineChars="0"/>
        <w:jc w:val="left"/>
        <w:textAlignment w:val="auto"/>
        <w:outlineLvl w:val="9"/>
        <w:rPr>
          <w:rFonts w:hint="eastAsia" w:cs="宋体"/>
          <w:b w:val="0"/>
          <w:bCs w:val="0"/>
          <w:color w:val="auto"/>
          <w:sz w:val="21"/>
          <w:szCs w:val="21"/>
          <w:lang w:eastAsia="zh-CN"/>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cs="宋体"/>
          <w:b w:val="0"/>
          <w:bCs w:val="0"/>
          <w:color w:val="auto"/>
          <w:sz w:val="21"/>
          <w:szCs w:val="21"/>
          <w:lang w:val="en-US" w:eastAsia="zh-CN"/>
        </w:rPr>
        <w:t xml:space="preserve">6 </w:t>
      </w:r>
      <w:r>
        <w:rPr>
          <w:rFonts w:hint="eastAsia" w:ascii="宋体" w:hAnsi="宋体" w:cs="宋体"/>
          <w:b w:val="0"/>
          <w:bCs w:val="0"/>
          <w:color w:val="auto"/>
          <w:sz w:val="21"/>
          <w:szCs w:val="21"/>
        </w:rPr>
        <w:t xml:space="preserve"> 人工冰场工程所使用的材料与设备应有中文质量证明文件，并齐全有效。质量证明文件应反映材料与设备的品种、规格、数量和性能指标，并与实际进场材料和设备相符。设备的型式检验报告应为该产品系列，并应在有效期内。</w:t>
      </w:r>
      <w:r>
        <w:rPr>
          <w:rFonts w:hint="eastAsia" w:ascii="宋体" w:hAnsi="宋体" w:eastAsia="宋体" w:cs="宋体"/>
          <w:b w:val="0"/>
          <w:bCs w:val="0"/>
          <w:color w:val="auto"/>
          <w:sz w:val="21"/>
          <w:szCs w:val="21"/>
        </w:rPr>
        <w:t>管道元件和材料在施工过程中应妥善保管，不得混淆或损坏，其标记应明显清晰。材质为不锈钢、有色金属的管道元件和材料，在运输和储存期间不得与碳素钢、低合金钢接触。材质为塑料管材运输</w:t>
      </w:r>
      <w:r>
        <w:rPr>
          <w:rFonts w:hint="eastAsia" w:cs="宋体"/>
          <w:b w:val="0"/>
          <w:bCs w:val="0"/>
          <w:color w:val="auto"/>
          <w:sz w:val="21"/>
          <w:szCs w:val="21"/>
          <w:lang w:eastAsia="zh-CN"/>
        </w:rPr>
        <w:t>、</w:t>
      </w:r>
      <w:r>
        <w:rPr>
          <w:rFonts w:hint="eastAsia" w:cs="宋体"/>
          <w:b w:val="0"/>
          <w:bCs w:val="0"/>
          <w:color w:val="auto"/>
          <w:sz w:val="21"/>
          <w:szCs w:val="21"/>
          <w:lang w:val="en-US" w:eastAsia="zh-CN"/>
        </w:rPr>
        <w:t>存放</w:t>
      </w:r>
      <w:r>
        <w:rPr>
          <w:rFonts w:hint="eastAsia" w:ascii="宋体" w:hAnsi="宋体" w:eastAsia="宋体" w:cs="宋体"/>
          <w:b w:val="0"/>
          <w:bCs w:val="0"/>
          <w:color w:val="auto"/>
          <w:sz w:val="21"/>
          <w:szCs w:val="21"/>
        </w:rPr>
        <w:t>时，不应受到划伤、抛摔、剧烈的撞击、暴晒、雨淋、油污和化学品的污染</w:t>
      </w:r>
      <w:r>
        <w:rPr>
          <w:rFonts w:hint="eastAsia" w:cs="宋体"/>
          <w:b w:val="0"/>
          <w:bCs w:val="0"/>
          <w:color w:val="auto"/>
          <w:sz w:val="21"/>
          <w:szCs w:val="21"/>
          <w:lang w:eastAsia="zh-CN"/>
        </w:rPr>
        <w:t>。</w:t>
      </w:r>
    </w:p>
    <w:p w14:paraId="7EC351A4">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 xml:space="preserve">7 </w:t>
      </w:r>
      <w:r>
        <w:rPr>
          <w:rFonts w:hint="eastAsia" w:ascii="宋体" w:hAnsi="宋体" w:cs="宋体"/>
          <w:b w:val="0"/>
          <w:bCs w:val="0"/>
          <w:color w:val="auto"/>
          <w:sz w:val="21"/>
          <w:szCs w:val="21"/>
        </w:rPr>
        <w:t xml:space="preserve"> 材料与设备进场时，施工单位应对其进行检查和试验，合格后报请监理工程师(建设单位代表)进行验收，填写材料(设备)进场验收记录。未经监理工程师(建设单位代表)验收合格的材料与设备，不应在工程中使用。</w:t>
      </w:r>
      <w:r>
        <w:rPr>
          <w:rFonts w:hint="eastAsia" w:ascii="宋体" w:hAnsi="宋体" w:eastAsia="宋体" w:cs="宋体"/>
          <w:b w:val="0"/>
          <w:bCs w:val="0"/>
          <w:color w:val="auto"/>
          <w:sz w:val="21"/>
          <w:szCs w:val="21"/>
        </w:rPr>
        <w:t>检查不合格的</w:t>
      </w:r>
      <w:r>
        <w:rPr>
          <w:rFonts w:hint="eastAsia" w:hAnsi="宋体" w:cs="宋体"/>
          <w:b w:val="0"/>
          <w:bCs w:val="0"/>
          <w:color w:val="auto"/>
          <w:sz w:val="21"/>
          <w:szCs w:val="21"/>
          <w:lang w:val="en-US" w:eastAsia="zh-CN"/>
        </w:rPr>
        <w:t>材料构配件、设备</w:t>
      </w:r>
      <w:r>
        <w:rPr>
          <w:rFonts w:hint="eastAsia" w:ascii="宋体" w:hAnsi="宋体" w:eastAsia="宋体" w:cs="宋体"/>
          <w:b w:val="0"/>
          <w:bCs w:val="0"/>
          <w:color w:val="auto"/>
          <w:sz w:val="21"/>
          <w:szCs w:val="21"/>
        </w:rPr>
        <w:t>不得使用，并应作好标识和隔离。</w:t>
      </w:r>
    </w:p>
    <w:p w14:paraId="478C61D2">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3.0.</w:t>
      </w:r>
      <w:r>
        <w:rPr>
          <w:rFonts w:hint="eastAsia" w:hAnsi="宋体" w:cs="宋体"/>
          <w:b w:val="0"/>
          <w:bCs w:val="0"/>
          <w:color w:val="auto"/>
          <w:sz w:val="21"/>
          <w:szCs w:val="21"/>
          <w:lang w:val="en-US" w:eastAsia="zh-CN"/>
        </w:rPr>
        <w:t xml:space="preserve">8 </w:t>
      </w:r>
      <w:r>
        <w:rPr>
          <w:rFonts w:hint="eastAsia" w:ascii="宋体" w:hAnsi="宋体" w:cs="宋体"/>
          <w:b w:val="0"/>
          <w:bCs w:val="0"/>
          <w:color w:val="auto"/>
          <w:sz w:val="21"/>
          <w:szCs w:val="21"/>
        </w:rPr>
        <w:t xml:space="preserve"> 现场组装的机器或设备，应按制造厂的技术文件和相关要求施行，质量标准不得低于本标准的规定。制</w:t>
      </w:r>
      <w:r>
        <w:rPr>
          <w:rFonts w:hint="eastAsia" w:hAnsi="宋体" w:cs="宋体"/>
          <w:b w:val="0"/>
          <w:bCs w:val="0"/>
          <w:color w:val="auto"/>
          <w:sz w:val="21"/>
          <w:szCs w:val="21"/>
          <w:lang w:val="en-US" w:eastAsia="zh-CN"/>
        </w:rPr>
        <w:t>冰</w:t>
      </w:r>
      <w:r>
        <w:rPr>
          <w:rFonts w:hint="eastAsia" w:ascii="宋体" w:hAnsi="宋体" w:cs="宋体"/>
          <w:b w:val="0"/>
          <w:bCs w:val="0"/>
          <w:color w:val="auto"/>
          <w:sz w:val="21"/>
          <w:szCs w:val="21"/>
        </w:rPr>
        <w:t>系统采用设备</w:t>
      </w:r>
      <w:r>
        <w:rPr>
          <w:rFonts w:hint="eastAsia" w:hAnsi="宋体" w:cs="宋体"/>
          <w:b w:val="0"/>
          <w:bCs w:val="0"/>
          <w:color w:val="auto"/>
          <w:sz w:val="21"/>
          <w:szCs w:val="21"/>
          <w:lang w:eastAsia="zh-CN"/>
        </w:rPr>
        <w:t>、</w:t>
      </w:r>
      <w:r>
        <w:rPr>
          <w:rFonts w:hint="eastAsia" w:ascii="宋体" w:hAnsi="宋体" w:cs="宋体"/>
          <w:b w:val="0"/>
          <w:bCs w:val="0"/>
          <w:color w:val="auto"/>
          <w:sz w:val="21"/>
          <w:szCs w:val="21"/>
        </w:rPr>
        <w:t>管道 、管件 、阀门、自控元件、各种计量和检测器具、仪器、仪表、涂料及保温隔热材料应具备生产厂家的产品合格证书，各项指标应符合设计文件的要求，计量精度等级应满足被检测项目的精度要求。</w:t>
      </w:r>
      <w:r>
        <w:rPr>
          <w:rFonts w:hint="eastAsia"/>
          <w:b w:val="0"/>
          <w:bCs w:val="0"/>
          <w:color w:val="auto"/>
          <w:sz w:val="21"/>
          <w:szCs w:val="21"/>
          <w:lang w:val="en-US" w:eastAsia="zh-CN"/>
        </w:rPr>
        <w:t>露天安装于室外的设备及设备电控阀门应采取有效的防雨雪措施。</w:t>
      </w:r>
    </w:p>
    <w:p w14:paraId="051D813F">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w:t>
      </w:r>
      <w:r>
        <w:rPr>
          <w:rFonts w:hint="eastAsia" w:hAnsi="宋体" w:cs="宋体"/>
          <w:b w:val="0"/>
          <w:bCs w:val="0"/>
          <w:color w:val="auto"/>
          <w:sz w:val="21"/>
          <w:szCs w:val="21"/>
          <w:lang w:val="en-US" w:eastAsia="zh-CN"/>
        </w:rPr>
        <w:t>0</w:t>
      </w:r>
      <w:r>
        <w:rPr>
          <w:rFonts w:hint="eastAsia" w:ascii="宋体" w:hAnsi="宋体" w:cs="宋体"/>
          <w:b w:val="0"/>
          <w:bCs w:val="0"/>
          <w:color w:val="auto"/>
          <w:sz w:val="21"/>
          <w:szCs w:val="21"/>
        </w:rPr>
        <w:t>.</w:t>
      </w:r>
      <w:r>
        <w:rPr>
          <w:rFonts w:hint="eastAsia" w:hAnsi="宋体" w:cs="宋体"/>
          <w:b w:val="0"/>
          <w:bCs w:val="0"/>
          <w:color w:val="auto"/>
          <w:sz w:val="21"/>
          <w:szCs w:val="21"/>
          <w:lang w:val="en-US" w:eastAsia="zh-CN"/>
        </w:rPr>
        <w:t xml:space="preserve">9 </w:t>
      </w:r>
      <w:r>
        <w:rPr>
          <w:rFonts w:hint="eastAsia" w:ascii="宋体" w:hAnsi="宋体" w:cs="宋体"/>
          <w:b w:val="0"/>
          <w:bCs w:val="0"/>
          <w:color w:val="auto"/>
          <w:sz w:val="21"/>
          <w:szCs w:val="21"/>
        </w:rPr>
        <w:t xml:space="preserve"> 系统检测与试验，试运行与调试前，施工单位应编制</w:t>
      </w:r>
      <w:r>
        <w:rPr>
          <w:rFonts w:hint="eastAsia" w:hAnsi="宋体" w:cs="宋体"/>
          <w:b w:val="0"/>
          <w:bCs w:val="0"/>
          <w:color w:val="auto"/>
          <w:sz w:val="21"/>
          <w:szCs w:val="21"/>
          <w:lang w:val="en-US" w:eastAsia="zh-CN"/>
        </w:rPr>
        <w:t>专项</w:t>
      </w:r>
      <w:r>
        <w:rPr>
          <w:rFonts w:hint="eastAsia" w:ascii="宋体" w:hAnsi="宋体" w:cs="宋体"/>
          <w:b w:val="0"/>
          <w:bCs w:val="0"/>
          <w:color w:val="auto"/>
          <w:sz w:val="21"/>
          <w:szCs w:val="21"/>
        </w:rPr>
        <w:t>方案，并应经监理(建设)单位审查批准后实施。</w:t>
      </w:r>
      <w:bookmarkEnd w:id="34"/>
    </w:p>
    <w:p w14:paraId="5D9C4B03">
      <w:pPr>
        <w:pStyle w:val="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eastAsia="宋体"/>
          <w:b w:val="0"/>
          <w:bCs w:val="0"/>
          <w:color w:val="auto"/>
          <w:sz w:val="21"/>
          <w:szCs w:val="21"/>
          <w:lang w:val="en-US" w:eastAsia="zh-CN"/>
        </w:rPr>
      </w:pPr>
      <w:r>
        <w:rPr>
          <w:rFonts w:hint="eastAsia" w:hAnsi="宋体" w:cs="宋体"/>
          <w:b w:val="0"/>
          <w:bCs w:val="0"/>
          <w:color w:val="auto"/>
          <w:sz w:val="21"/>
          <w:szCs w:val="21"/>
          <w:lang w:val="en-US" w:eastAsia="zh-CN"/>
        </w:rPr>
        <w:t>3.0.10  系统安装完毕后，应对系统进行调试，并形成完整的调试资料和报告。</w:t>
      </w:r>
    </w:p>
    <w:p w14:paraId="341D7F4E">
      <w:pPr>
        <w:rPr>
          <w:rFonts w:hint="eastAsia" w:ascii="宋体" w:hAnsi="宋体" w:eastAsia="宋体" w:cs="宋体"/>
          <w:b/>
          <w:bCs w:val="0"/>
          <w:lang w:val="en-US" w:eastAsia="zh-CN"/>
        </w:rPr>
      </w:pPr>
      <w:r>
        <w:rPr>
          <w:rFonts w:hint="eastAsia" w:ascii="宋体" w:hAnsi="宋体" w:eastAsia="宋体" w:cs="宋体"/>
          <w:b/>
          <w:bCs w:val="0"/>
          <w:lang w:val="en-US" w:eastAsia="zh-CN"/>
        </w:rPr>
        <w:br w:type="page"/>
      </w:r>
    </w:p>
    <w:p w14:paraId="7BD478E4">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eastAsia="zh-CN"/>
        </w:rPr>
      </w:pPr>
      <w:bookmarkStart w:id="35" w:name="_Toc13406"/>
      <w:r>
        <w:rPr>
          <w:rFonts w:hint="eastAsia" w:ascii="黑体" w:hAnsi="黑体" w:eastAsia="黑体" w:cs="Times New Roman"/>
          <w:bCs w:val="0"/>
          <w:sz w:val="21"/>
          <w:szCs w:val="20"/>
          <w:lang w:val="en-US" w:eastAsia="zh-CN"/>
        </w:rPr>
        <w:t xml:space="preserve">4  </w:t>
      </w:r>
      <w:r>
        <w:rPr>
          <w:rFonts w:hint="eastAsia" w:ascii="黑体" w:hAnsi="黑体" w:eastAsia="黑体" w:cs="Times New Roman"/>
          <w:bCs w:val="0"/>
          <w:sz w:val="21"/>
          <w:szCs w:val="20"/>
        </w:rPr>
        <w:t>冰池构造</w:t>
      </w:r>
      <w:r>
        <w:rPr>
          <w:rFonts w:hint="eastAsia" w:ascii="黑体" w:hAnsi="黑体" w:eastAsia="黑体" w:cs="Times New Roman"/>
          <w:bCs w:val="0"/>
          <w:sz w:val="21"/>
          <w:szCs w:val="20"/>
          <w:lang w:val="en-US" w:eastAsia="zh-CN"/>
        </w:rPr>
        <w:t>施工</w:t>
      </w:r>
      <w:bookmarkEnd w:id="35"/>
    </w:p>
    <w:p w14:paraId="7F3E5DFE">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36" w:name="_Toc20381"/>
      <w:bookmarkStart w:id="37" w:name="_Toc36040051"/>
      <w:bookmarkStart w:id="38" w:name="_Toc1313"/>
      <w:bookmarkStart w:id="39" w:name="_Toc1096"/>
      <w:r>
        <w:rPr>
          <w:rFonts w:hint="eastAsia" w:ascii="黑体" w:hAnsi="黑体" w:eastAsia="黑体" w:cs="黑体"/>
          <w:b w:val="0"/>
          <w:bCs w:val="0"/>
          <w:kern w:val="0"/>
          <w:sz w:val="21"/>
          <w:szCs w:val="21"/>
          <w:lang w:val="en-US" w:eastAsia="zh-CN"/>
        </w:rPr>
        <w:t>4.</w:t>
      </w:r>
      <w:r>
        <w:rPr>
          <w:rFonts w:hint="eastAsia" w:ascii="黑体" w:hAnsi="黑体" w:eastAsia="黑体" w:cs="黑体"/>
          <w:b w:val="0"/>
          <w:bCs w:val="0"/>
          <w:kern w:val="0"/>
          <w:sz w:val="21"/>
          <w:szCs w:val="21"/>
        </w:rPr>
        <w:t>1  一般规定</w:t>
      </w:r>
      <w:bookmarkEnd w:id="36"/>
      <w:bookmarkEnd w:id="37"/>
      <w:bookmarkEnd w:id="38"/>
      <w:bookmarkEnd w:id="39"/>
    </w:p>
    <w:p w14:paraId="19D934DA">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eastAsia="宋体" w:cs="宋体"/>
          <w:b w:val="0"/>
          <w:bCs w:val="0"/>
          <w:sz w:val="21"/>
          <w:szCs w:val="21"/>
        </w:rPr>
        <w:t xml:space="preserve">4.1.1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本</w:t>
      </w:r>
      <w:r>
        <w:rPr>
          <w:rFonts w:hint="eastAsia" w:ascii="宋体" w:hAnsi="宋体" w:eastAsia="宋体" w:cs="宋体"/>
          <w:b w:val="0"/>
          <w:bCs w:val="0"/>
          <w:color w:val="auto"/>
          <w:sz w:val="21"/>
          <w:szCs w:val="21"/>
        </w:rPr>
        <w:t>章</w:t>
      </w:r>
      <w:r>
        <w:rPr>
          <w:rFonts w:hint="eastAsia" w:hAnsi="宋体" w:cs="宋体"/>
          <w:b w:val="0"/>
          <w:bCs w:val="0"/>
          <w:color w:val="auto"/>
          <w:sz w:val="21"/>
          <w:szCs w:val="21"/>
          <w:lang w:val="en-US" w:eastAsia="zh-CN"/>
        </w:rPr>
        <w:t>既</w:t>
      </w:r>
      <w:r>
        <w:rPr>
          <w:rFonts w:hint="eastAsia" w:ascii="宋体" w:hAnsi="宋体" w:eastAsia="宋体" w:cs="宋体"/>
          <w:b w:val="0"/>
          <w:bCs w:val="0"/>
          <w:color w:val="auto"/>
          <w:sz w:val="21"/>
          <w:szCs w:val="21"/>
        </w:rPr>
        <w:t>适用于</w:t>
      </w:r>
      <w:r>
        <w:rPr>
          <w:rFonts w:hint="eastAsia" w:hAnsi="宋体" w:cs="宋体"/>
          <w:b w:val="0"/>
          <w:bCs w:val="0"/>
          <w:color w:val="auto"/>
          <w:sz w:val="21"/>
          <w:szCs w:val="21"/>
          <w:lang w:val="en-US" w:eastAsia="zh-CN"/>
        </w:rPr>
        <w:t>固定式</w:t>
      </w:r>
      <w:r>
        <w:rPr>
          <w:rFonts w:hint="eastAsia" w:ascii="宋体" w:hAnsi="宋体" w:eastAsia="宋体" w:cs="宋体"/>
          <w:b w:val="0"/>
          <w:bCs w:val="0"/>
          <w:color w:val="auto"/>
          <w:sz w:val="21"/>
          <w:szCs w:val="21"/>
        </w:rPr>
        <w:t>冰池构造中加热层</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保温层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防水隔汽膜、防水透气膜、滑动膜、</w:t>
      </w:r>
      <w:r>
        <w:rPr>
          <w:rFonts w:hint="eastAsia" w:ascii="宋体" w:hAnsi="宋体" w:eastAsia="宋体" w:cs="宋体"/>
          <w:b w:val="0"/>
          <w:bCs w:val="0"/>
          <w:color w:val="auto"/>
          <w:sz w:val="21"/>
          <w:szCs w:val="21"/>
        </w:rPr>
        <w:t>防水层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找平层及</w:t>
      </w:r>
      <w:r>
        <w:rPr>
          <w:rFonts w:hint="eastAsia" w:ascii="宋体" w:hAnsi="宋体" w:eastAsia="宋体" w:cs="宋体"/>
          <w:b w:val="0"/>
          <w:bCs w:val="0"/>
          <w:color w:val="auto"/>
          <w:sz w:val="21"/>
          <w:szCs w:val="21"/>
        </w:rPr>
        <w:t>防水保护层</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冰板</w:t>
      </w:r>
      <w:r>
        <w:rPr>
          <w:rFonts w:hint="eastAsia" w:ascii="宋体" w:hAnsi="宋体" w:eastAsia="宋体" w:cs="宋体"/>
          <w:b w:val="0"/>
          <w:bCs w:val="0"/>
          <w:color w:val="auto"/>
          <w:sz w:val="21"/>
          <w:szCs w:val="21"/>
        </w:rPr>
        <w:t>制冷层等主体构造层，</w:t>
      </w:r>
      <w:r>
        <w:rPr>
          <w:rFonts w:hint="eastAsia" w:hAnsi="宋体" w:cs="宋体"/>
          <w:b w:val="0"/>
          <w:bCs w:val="0"/>
          <w:color w:val="auto"/>
          <w:sz w:val="21"/>
          <w:szCs w:val="21"/>
          <w:lang w:val="en-US" w:eastAsia="zh-CN"/>
        </w:rPr>
        <w:t>及</w:t>
      </w:r>
      <w:r>
        <w:rPr>
          <w:rFonts w:hint="eastAsia" w:hAnsi="宋体" w:cs="宋体"/>
          <w:b w:val="0"/>
          <w:bCs w:val="0"/>
          <w:sz w:val="21"/>
          <w:szCs w:val="21"/>
          <w:lang w:val="en-US" w:eastAsia="zh-CN"/>
        </w:rPr>
        <w:t>界墙等</w:t>
      </w:r>
      <w:r>
        <w:rPr>
          <w:rFonts w:hint="eastAsia" w:ascii="宋体" w:hAnsi="宋体" w:eastAsia="宋体" w:cs="宋体"/>
          <w:b w:val="0"/>
          <w:bCs w:val="0"/>
          <w:sz w:val="21"/>
          <w:szCs w:val="21"/>
        </w:rPr>
        <w:t>附属构造物质量的检验与验收</w:t>
      </w:r>
      <w:r>
        <w:rPr>
          <w:rFonts w:hint="eastAsia" w:hAnsi="宋体" w:cs="宋体"/>
          <w:b w:val="0"/>
          <w:bCs w:val="0"/>
          <w:sz w:val="21"/>
          <w:szCs w:val="21"/>
          <w:lang w:eastAsia="zh-CN"/>
        </w:rPr>
        <w:t>；</w:t>
      </w:r>
      <w:r>
        <w:rPr>
          <w:rFonts w:hint="eastAsia" w:hAnsi="宋体" w:cs="宋体"/>
          <w:b w:val="0"/>
          <w:bCs w:val="0"/>
          <w:sz w:val="21"/>
          <w:szCs w:val="21"/>
          <w:lang w:val="en-US" w:eastAsia="zh-CN"/>
        </w:rPr>
        <w:t>同时也适用于</w:t>
      </w:r>
      <w:r>
        <w:rPr>
          <w:rFonts w:hint="eastAsia" w:hAnsi="宋体" w:cs="宋体"/>
          <w:b w:val="0"/>
          <w:bCs w:val="0"/>
          <w:color w:val="auto"/>
          <w:sz w:val="21"/>
          <w:szCs w:val="21"/>
          <w:lang w:val="en-US" w:eastAsia="zh-CN"/>
        </w:rPr>
        <w:t>装配式制冰板</w:t>
      </w:r>
      <w:r>
        <w:rPr>
          <w:rFonts w:hint="eastAsia" w:hAnsi="宋体" w:cs="宋体"/>
          <w:b w:val="0"/>
          <w:bCs w:val="0"/>
          <w:sz w:val="21"/>
          <w:szCs w:val="21"/>
          <w:lang w:val="en-US" w:eastAsia="zh-CN"/>
        </w:rPr>
        <w:t>的检验与验收。</w:t>
      </w:r>
    </w:p>
    <w:p w14:paraId="1C7975D9">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 xml:space="preserve"> 施工前应做好施工准备，首先应对结构基层进行</w:t>
      </w:r>
      <w:r>
        <w:rPr>
          <w:rFonts w:hint="eastAsia"/>
          <w:b w:val="0"/>
          <w:bCs w:val="0"/>
          <w:sz w:val="21"/>
          <w:szCs w:val="21"/>
          <w:lang w:val="en-US" w:eastAsia="zh-CN"/>
        </w:rPr>
        <w:t>测量并</w:t>
      </w:r>
      <w:r>
        <w:rPr>
          <w:rFonts w:hint="eastAsia" w:ascii="宋体" w:hAnsi="宋体" w:eastAsia="宋体" w:cs="宋体"/>
          <w:b w:val="0"/>
          <w:bCs w:val="0"/>
          <w:sz w:val="21"/>
          <w:szCs w:val="21"/>
        </w:rPr>
        <w:t>验收，场地平整度</w:t>
      </w:r>
      <w:r>
        <w:rPr>
          <w:rFonts w:hint="eastAsia" w:hAnsi="宋体" w:cs="宋体"/>
          <w:b w:val="0"/>
          <w:bCs w:val="0"/>
          <w:sz w:val="21"/>
          <w:szCs w:val="21"/>
          <w:lang w:val="en-US" w:eastAsia="zh-CN"/>
        </w:rPr>
        <w:t>应≤</w:t>
      </w:r>
      <w:r>
        <w:rPr>
          <w:rFonts w:hint="eastAsia" w:ascii="宋体" w:hAnsi="宋体" w:eastAsia="宋体" w:cs="宋体"/>
          <w:b w:val="0"/>
          <w:bCs w:val="0"/>
          <w:sz w:val="21"/>
          <w:szCs w:val="21"/>
        </w:rPr>
        <w:t>±20mm。</w:t>
      </w:r>
    </w:p>
    <w:p w14:paraId="6211D8FF">
      <w:pPr>
        <w:pStyle w:val="2"/>
        <w:ind w:left="0" w:leftChars="0" w:firstLine="0" w:firstLineChars="0"/>
        <w:rPr>
          <w:rFonts w:hint="eastAsia"/>
        </w:rPr>
      </w:pPr>
    </w:p>
    <w:p w14:paraId="1F19ACC5">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40" w:name="_Toc29697"/>
      <w:bookmarkStart w:id="41" w:name="_Toc3674"/>
      <w:bookmarkStart w:id="42" w:name="_Toc18434"/>
      <w:r>
        <w:rPr>
          <w:rFonts w:hint="eastAsia" w:ascii="黑体" w:hAnsi="黑体" w:eastAsia="黑体" w:cs="黑体"/>
          <w:b w:val="0"/>
          <w:bCs w:val="0"/>
          <w:kern w:val="0"/>
          <w:sz w:val="21"/>
          <w:szCs w:val="21"/>
          <w:lang w:val="en-US" w:eastAsia="zh-CN"/>
        </w:rPr>
        <w:t>4.2  加热层</w:t>
      </w:r>
      <w:bookmarkEnd w:id="40"/>
      <w:bookmarkEnd w:id="41"/>
      <w:bookmarkEnd w:id="42"/>
    </w:p>
    <w:p w14:paraId="444C6380">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cs="宋体"/>
          <w:b w:val="0"/>
          <w:bCs w:val="0"/>
          <w:sz w:val="21"/>
          <w:szCs w:val="21"/>
        </w:rPr>
        <w:t>4.2.1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当</w:t>
      </w:r>
      <w:r>
        <w:rPr>
          <w:rFonts w:hint="eastAsia" w:ascii="宋体" w:hAnsi="宋体" w:cs="宋体"/>
          <w:b w:val="0"/>
          <w:bCs w:val="0"/>
          <w:sz w:val="21"/>
          <w:szCs w:val="21"/>
        </w:rPr>
        <w:t>加热层</w:t>
      </w:r>
      <w:r>
        <w:rPr>
          <w:rFonts w:hint="eastAsia" w:hAnsi="宋体" w:cs="宋体"/>
          <w:b w:val="0"/>
          <w:bCs w:val="0"/>
          <w:sz w:val="21"/>
          <w:szCs w:val="21"/>
          <w:lang w:val="en-US" w:eastAsia="zh-CN"/>
        </w:rPr>
        <w:t>采</w:t>
      </w:r>
      <w:r>
        <w:rPr>
          <w:rFonts w:hint="eastAsia" w:ascii="宋体" w:hAnsi="宋体" w:cs="宋体"/>
          <w:b w:val="0"/>
          <w:bCs w:val="0"/>
          <w:sz w:val="21"/>
          <w:szCs w:val="21"/>
        </w:rPr>
        <w:t>用混凝土</w:t>
      </w:r>
      <w:r>
        <w:rPr>
          <w:rFonts w:hint="eastAsia" w:hAnsi="宋体" w:cs="宋体"/>
          <w:b w:val="0"/>
          <w:bCs w:val="0"/>
          <w:sz w:val="21"/>
          <w:szCs w:val="21"/>
          <w:lang w:val="en-US" w:eastAsia="zh-CN"/>
        </w:rPr>
        <w:t>时，应符合下列要求：</w:t>
      </w:r>
    </w:p>
    <w:p w14:paraId="4FC26D9E">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hAnsi="宋体" w:cs="宋体"/>
          <w:b w:val="0"/>
          <w:bCs w:val="0"/>
          <w:sz w:val="21"/>
          <w:szCs w:val="21"/>
          <w:lang w:val="en-US" w:eastAsia="zh-CN"/>
        </w:rPr>
        <w:t xml:space="preserve">  混凝土</w:t>
      </w:r>
      <w:r>
        <w:rPr>
          <w:rFonts w:hint="eastAsia" w:ascii="宋体" w:hAnsi="宋体" w:cs="宋体"/>
          <w:b w:val="0"/>
          <w:bCs w:val="0"/>
          <w:sz w:val="21"/>
          <w:szCs w:val="21"/>
        </w:rPr>
        <w:t>强度等级及厚度应符合设计要求</w:t>
      </w:r>
      <w:r>
        <w:rPr>
          <w:rFonts w:hint="eastAsia" w:hAnsi="宋体" w:cs="宋体"/>
          <w:b w:val="0"/>
          <w:bCs w:val="0"/>
          <w:sz w:val="21"/>
          <w:szCs w:val="21"/>
          <w:lang w:eastAsia="zh-CN"/>
        </w:rPr>
        <w:t>；</w:t>
      </w:r>
    </w:p>
    <w:p w14:paraId="626E0811">
      <w:pPr>
        <w:pStyle w:val="2"/>
        <w:keepNext w:val="0"/>
        <w:keepLines w:val="0"/>
        <w:pageBreakBefore w:val="0"/>
        <w:widowControl w:val="0"/>
        <w:kinsoku/>
        <w:wordWrap/>
        <w:overflowPunct/>
        <w:topLinePunct w:val="0"/>
        <w:autoSpaceDE/>
        <w:autoSpaceDN/>
        <w:bidi w:val="0"/>
        <w:adjustRightInd/>
        <w:spacing w:after="0"/>
        <w:ind w:left="0" w:leftChars="0" w:firstLine="480" w:firstLineChars="0"/>
        <w:jc w:val="left"/>
        <w:textAlignment w:val="auto"/>
        <w:rPr>
          <w:rFonts w:hint="default"/>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hAnsi="宋体" w:cs="宋体"/>
          <w:b w:val="0"/>
          <w:bCs w:val="0"/>
          <w:color w:val="auto"/>
          <w:sz w:val="21"/>
          <w:szCs w:val="21"/>
          <w:lang w:val="en-US" w:eastAsia="zh-CN"/>
        </w:rPr>
        <w:t xml:space="preserve">混凝土采用的粗骨料，其最大粒径不应大于面层厚度的2/3，细石混凝土面层采用的石子粒径不应大于15mm；    </w:t>
      </w:r>
    </w:p>
    <w:p w14:paraId="4835F789">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cs="宋体"/>
          <w:b w:val="0"/>
          <w:bCs w:val="0"/>
          <w:sz w:val="21"/>
          <w:szCs w:val="21"/>
        </w:rPr>
        <w:t>加热层应平整，其</w:t>
      </w:r>
      <w:r>
        <w:rPr>
          <w:rFonts w:hint="eastAsia" w:hAnsi="宋体" w:cs="宋体"/>
          <w:b w:val="0"/>
          <w:bCs w:val="0"/>
          <w:sz w:val="21"/>
          <w:szCs w:val="21"/>
          <w:lang w:val="en-US" w:eastAsia="zh-CN"/>
        </w:rPr>
        <w:t>平整度</w:t>
      </w:r>
      <w:r>
        <w:rPr>
          <w:rFonts w:hint="eastAsia" w:ascii="宋体" w:hAnsi="宋体" w:cs="宋体"/>
          <w:b w:val="0"/>
          <w:bCs w:val="0"/>
          <w:sz w:val="21"/>
          <w:szCs w:val="21"/>
        </w:rPr>
        <w:t>应</w:t>
      </w:r>
      <w:r>
        <w:rPr>
          <w:rFonts w:hint="eastAsia" w:hAnsi="宋体" w:cs="宋体"/>
          <w:b w:val="0"/>
          <w:bCs w:val="0"/>
          <w:sz w:val="21"/>
          <w:szCs w:val="21"/>
          <w:lang w:val="en-US" w:eastAsia="zh-CN"/>
        </w:rPr>
        <w:t>≤±10</w:t>
      </w:r>
      <w:r>
        <w:rPr>
          <w:rFonts w:hint="eastAsia" w:ascii="宋体" w:hAnsi="宋体" w:cs="宋体"/>
          <w:b w:val="0"/>
          <w:bCs w:val="0"/>
          <w:sz w:val="21"/>
          <w:szCs w:val="21"/>
        </w:rPr>
        <w:t>mm。</w:t>
      </w:r>
    </w:p>
    <w:p w14:paraId="5D769858">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4.2.2  当加热层为</w:t>
      </w:r>
      <w:r>
        <w:rPr>
          <w:rFonts w:hint="eastAsia" w:hAnsi="宋体" w:cs="宋体"/>
          <w:b w:val="0"/>
          <w:bCs w:val="0"/>
          <w:color w:val="auto"/>
          <w:sz w:val="21"/>
          <w:szCs w:val="21"/>
          <w:lang w:val="en-US" w:eastAsia="zh-CN"/>
        </w:rPr>
        <w:t>砂层</w:t>
      </w:r>
      <w:r>
        <w:rPr>
          <w:rFonts w:hint="eastAsia" w:hAnsi="宋体" w:cs="宋体"/>
          <w:b w:val="0"/>
          <w:bCs w:val="0"/>
          <w:sz w:val="21"/>
          <w:szCs w:val="21"/>
          <w:lang w:val="en-US" w:eastAsia="zh-CN"/>
        </w:rPr>
        <w:t>时，应符合下列要求：</w:t>
      </w:r>
    </w:p>
    <w:p w14:paraId="6AC66B13">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hAnsi="宋体" w:cs="宋体"/>
          <w:b w:val="0"/>
          <w:bCs w:val="0"/>
          <w:kern w:val="2"/>
          <w:sz w:val="21"/>
          <w:szCs w:val="21"/>
          <w:lang w:val="en-US" w:eastAsia="zh-CN" w:bidi="ar-SA"/>
        </w:rPr>
      </w:pPr>
      <w:r>
        <w:rPr>
          <w:rFonts w:hint="eastAsia" w:ascii="宋体" w:hAnsi="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hAnsi="宋体" w:cs="宋体"/>
          <w:b w:val="0"/>
          <w:bCs w:val="0"/>
          <w:kern w:val="2"/>
          <w:sz w:val="21"/>
          <w:szCs w:val="21"/>
          <w:lang w:val="en-US" w:eastAsia="zh-CN" w:bidi="ar-SA"/>
        </w:rPr>
        <w:t>砂层宜采用中粗砂；</w:t>
      </w:r>
    </w:p>
    <w:p w14:paraId="790E2810">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hAnsi="宋体" w:cs="宋体"/>
          <w:b w:val="0"/>
          <w:bCs w:val="0"/>
          <w:sz w:val="21"/>
          <w:szCs w:val="21"/>
          <w:lang w:eastAsia="zh-CN"/>
        </w:rPr>
      </w:pPr>
      <w:r>
        <w:rPr>
          <w:rFonts w:hint="eastAsia" w:hAnsi="宋体" w:cs="宋体"/>
          <w:b w:val="0"/>
          <w:bCs w:val="0"/>
          <w:kern w:val="2"/>
          <w:sz w:val="21"/>
          <w:szCs w:val="21"/>
          <w:lang w:val="en-US" w:eastAsia="zh-CN" w:bidi="ar-SA"/>
        </w:rPr>
        <w:t>2  砂层厚度应符合设计要求，平整度应</w:t>
      </w:r>
      <w:r>
        <w:rPr>
          <w:rFonts w:hint="eastAsia" w:hAnsi="宋体" w:cs="宋体"/>
          <w:b w:val="0"/>
          <w:bCs w:val="0"/>
          <w:sz w:val="21"/>
          <w:szCs w:val="21"/>
          <w:lang w:val="en-US" w:eastAsia="zh-CN"/>
        </w:rPr>
        <w:t>≤±10</w:t>
      </w:r>
      <w:r>
        <w:rPr>
          <w:rFonts w:hint="eastAsia" w:ascii="宋体" w:hAnsi="宋体" w:cs="宋体"/>
          <w:b w:val="0"/>
          <w:bCs w:val="0"/>
          <w:sz w:val="21"/>
          <w:szCs w:val="21"/>
        </w:rPr>
        <w:t>mm</w:t>
      </w:r>
      <w:r>
        <w:rPr>
          <w:rFonts w:hint="eastAsia" w:hAnsi="宋体" w:cs="宋体"/>
          <w:b w:val="0"/>
          <w:bCs w:val="0"/>
          <w:sz w:val="21"/>
          <w:szCs w:val="21"/>
          <w:lang w:eastAsia="zh-CN"/>
        </w:rPr>
        <w:t>；</w:t>
      </w:r>
    </w:p>
    <w:p w14:paraId="2AAD53DB">
      <w:pPr>
        <w:pStyle w:val="4"/>
        <w:keepNext w:val="0"/>
        <w:keepLines w:val="0"/>
        <w:pageBreakBefore w:val="0"/>
        <w:widowControl w:val="0"/>
        <w:kinsoku/>
        <w:wordWrap/>
        <w:overflowPunct/>
        <w:topLinePunct w:val="0"/>
        <w:autoSpaceDE/>
        <w:autoSpaceDN/>
        <w:bidi w:val="0"/>
        <w:adjustRightInd/>
        <w:ind w:firstLine="420" w:firstLineChars="200"/>
        <w:jc w:val="left"/>
        <w:textAlignment w:val="auto"/>
        <w:rPr>
          <w:rFonts w:hint="default" w:hAnsi="宋体" w:cs="宋体"/>
          <w:b w:val="0"/>
          <w:bCs w:val="0"/>
          <w:sz w:val="21"/>
          <w:szCs w:val="21"/>
          <w:lang w:val="en-US" w:eastAsia="zh-CN"/>
        </w:rPr>
      </w:pPr>
      <w:r>
        <w:rPr>
          <w:rFonts w:hint="eastAsia" w:hAnsi="宋体" w:cs="宋体"/>
          <w:b w:val="0"/>
          <w:bCs w:val="0"/>
          <w:sz w:val="21"/>
          <w:szCs w:val="21"/>
          <w:lang w:val="en-US" w:eastAsia="zh-CN"/>
        </w:rPr>
        <w:t xml:space="preserve">3  </w:t>
      </w:r>
      <w:r>
        <w:rPr>
          <w:rFonts w:hint="eastAsia" w:hAnsi="宋体" w:cs="宋体"/>
          <w:b w:val="0"/>
          <w:bCs w:val="0"/>
          <w:color w:val="auto"/>
          <w:sz w:val="21"/>
          <w:szCs w:val="21"/>
          <w:lang w:val="en-US" w:eastAsia="zh-CN"/>
        </w:rPr>
        <w:t>压实系数应符合设计要求。</w:t>
      </w:r>
    </w:p>
    <w:p w14:paraId="7B783D11">
      <w:pPr>
        <w:pStyle w:val="4"/>
        <w:rPr>
          <w:rFonts w:hint="eastAsia"/>
          <w:lang w:val="en-US" w:eastAsia="zh-CN"/>
        </w:rPr>
      </w:pPr>
    </w:p>
    <w:p w14:paraId="40395F84">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43" w:name="_Toc477"/>
      <w:bookmarkStart w:id="44" w:name="_Toc24613"/>
      <w:bookmarkStart w:id="45" w:name="_Toc36040056"/>
      <w:bookmarkStart w:id="46" w:name="_Hlk43707421"/>
      <w:bookmarkStart w:id="47" w:name="_Toc29600"/>
      <w:r>
        <w:rPr>
          <w:rFonts w:hint="eastAsia" w:ascii="黑体" w:hAnsi="黑体" w:eastAsia="黑体" w:cs="黑体"/>
          <w:b w:val="0"/>
          <w:bCs w:val="0"/>
          <w:kern w:val="0"/>
          <w:sz w:val="21"/>
          <w:szCs w:val="21"/>
          <w:lang w:val="en-US" w:eastAsia="zh-CN"/>
        </w:rPr>
        <w:t>4.3  保温层</w:t>
      </w:r>
      <w:bookmarkEnd w:id="43"/>
    </w:p>
    <w:p w14:paraId="2681751E">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4.3.1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保温层材质、热导率、容重、吸水率、抗压强度、燃烧性能应符合设计要求。保温材料进场后应进行见证取样，取样数量、检验方法等应符合现行国家标准相关规定，合格后方能进行施工。</w:t>
      </w:r>
    </w:p>
    <w:p w14:paraId="6F9E7CF9">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 xml:space="preserve">4.3.2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保温板间缝隙不大于2mm，板间高差不大于1.5mm。当板间缝隙大于2mm时，需用保温板条将缝隙</w:t>
      </w:r>
      <w:r>
        <w:rPr>
          <w:rFonts w:hint="eastAsia" w:hAnsi="宋体" w:cs="宋体"/>
          <w:b w:val="0"/>
          <w:bCs w:val="0"/>
          <w:sz w:val="21"/>
          <w:szCs w:val="21"/>
          <w:lang w:val="en-US" w:eastAsia="zh-CN"/>
        </w:rPr>
        <w:t>填塞密实</w:t>
      </w:r>
      <w:r>
        <w:rPr>
          <w:rFonts w:hint="eastAsia" w:ascii="宋体" w:hAnsi="宋体" w:cs="宋体"/>
          <w:b w:val="0"/>
          <w:bCs w:val="0"/>
          <w:sz w:val="21"/>
          <w:szCs w:val="21"/>
        </w:rPr>
        <w:t>；板间平整度高差大于1.5mm的部位应打磨平整。</w:t>
      </w:r>
    </w:p>
    <w:p w14:paraId="2B1691D9">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 xml:space="preserve">4.3.3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保温板多层敷设时应上下层错缝铺设，每层错缝量不小于150mm。</w:t>
      </w:r>
    </w:p>
    <w:p w14:paraId="231E2B6A">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b w:val="0"/>
          <w:bCs w:val="0"/>
          <w:sz w:val="21"/>
          <w:szCs w:val="21"/>
        </w:rPr>
      </w:pPr>
      <w:r>
        <w:rPr>
          <w:rFonts w:hint="eastAsia" w:ascii="宋体" w:hAnsi="宋体" w:cs="宋体"/>
          <w:b w:val="0"/>
          <w:bCs w:val="0"/>
          <w:sz w:val="21"/>
          <w:szCs w:val="21"/>
        </w:rPr>
        <w:t>4.3.4</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保温层铺贴</w:t>
      </w:r>
      <w:r>
        <w:rPr>
          <w:rFonts w:hint="eastAsia" w:hAnsi="宋体" w:cs="宋体"/>
          <w:b w:val="0"/>
          <w:bCs w:val="0"/>
          <w:sz w:val="21"/>
          <w:szCs w:val="21"/>
          <w:lang w:val="en-US" w:eastAsia="zh-CN"/>
        </w:rPr>
        <w:t>要求</w:t>
      </w:r>
      <w:r>
        <w:rPr>
          <w:rFonts w:hint="eastAsia" w:ascii="宋体" w:hAnsi="宋体" w:cs="宋体"/>
          <w:b w:val="0"/>
          <w:bCs w:val="0"/>
          <w:sz w:val="21"/>
          <w:szCs w:val="21"/>
        </w:rPr>
        <w:t>平整度为5m范围内±</w:t>
      </w:r>
      <w:r>
        <w:rPr>
          <w:rFonts w:hint="eastAsia" w:hAnsi="宋体" w:cs="宋体"/>
          <w:b w:val="0"/>
          <w:bCs w:val="0"/>
          <w:sz w:val="21"/>
          <w:szCs w:val="21"/>
          <w:lang w:val="en-US" w:eastAsia="zh-CN"/>
        </w:rPr>
        <w:t>10</w:t>
      </w:r>
      <w:r>
        <w:rPr>
          <w:rFonts w:hint="eastAsia" w:ascii="宋体" w:hAnsi="宋体" w:cs="宋体"/>
          <w:b w:val="0"/>
          <w:bCs w:val="0"/>
          <w:sz w:val="21"/>
          <w:szCs w:val="21"/>
        </w:rPr>
        <w:t>mm。</w:t>
      </w:r>
    </w:p>
    <w:p w14:paraId="7243D71E">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宋体" w:cs="宋体"/>
          <w:sz w:val="24"/>
        </w:rPr>
      </w:pPr>
      <w:r>
        <w:rPr>
          <w:rFonts w:hint="eastAsia" w:ascii="宋体" w:hAnsi="宋体" w:cs="宋体"/>
          <w:b w:val="0"/>
          <w:bCs w:val="0"/>
          <w:sz w:val="21"/>
          <w:szCs w:val="21"/>
        </w:rPr>
        <w:t>4.3.5</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w:t>
      </w:r>
      <w:r>
        <w:rPr>
          <w:rFonts w:hint="eastAsia" w:hAnsi="宋体" w:cs="宋体"/>
          <w:b w:val="0"/>
          <w:bCs w:val="0"/>
          <w:sz w:val="21"/>
          <w:szCs w:val="21"/>
          <w:lang w:val="en-US" w:eastAsia="zh-CN"/>
        </w:rPr>
        <w:t>冰场</w:t>
      </w:r>
      <w:r>
        <w:rPr>
          <w:rFonts w:hint="eastAsia" w:ascii="宋体" w:hAnsi="宋体" w:cs="宋体"/>
          <w:b w:val="0"/>
          <w:bCs w:val="0"/>
          <w:sz w:val="21"/>
          <w:szCs w:val="21"/>
        </w:rPr>
        <w:t>边缘部位的保温板，</w:t>
      </w:r>
      <w:r>
        <w:rPr>
          <w:rFonts w:hint="eastAsia" w:hAnsi="宋体" w:cs="宋体"/>
          <w:b w:val="0"/>
          <w:bCs w:val="0"/>
          <w:sz w:val="21"/>
          <w:szCs w:val="21"/>
          <w:lang w:val="en-US" w:eastAsia="zh-CN"/>
        </w:rPr>
        <w:t>应</w:t>
      </w:r>
      <w:r>
        <w:rPr>
          <w:rFonts w:hint="eastAsia" w:ascii="宋体" w:hAnsi="宋体" w:cs="宋体"/>
          <w:b w:val="0"/>
          <w:bCs w:val="0"/>
          <w:sz w:val="21"/>
          <w:szCs w:val="21"/>
        </w:rPr>
        <w:t>用整幅板切割，其切割边缘</w:t>
      </w:r>
      <w:r>
        <w:rPr>
          <w:rFonts w:hint="eastAsia" w:hAnsi="宋体" w:cs="宋体"/>
          <w:b w:val="0"/>
          <w:bCs w:val="0"/>
          <w:sz w:val="21"/>
          <w:szCs w:val="21"/>
          <w:lang w:val="en-US" w:eastAsia="zh-CN"/>
        </w:rPr>
        <w:t>应</w:t>
      </w:r>
      <w:r>
        <w:rPr>
          <w:rFonts w:hint="eastAsia" w:ascii="宋体" w:hAnsi="宋体" w:cs="宋体"/>
          <w:b w:val="0"/>
          <w:bCs w:val="0"/>
          <w:sz w:val="21"/>
          <w:szCs w:val="21"/>
        </w:rPr>
        <w:t>顺直、</w:t>
      </w:r>
      <w:r>
        <w:rPr>
          <w:rFonts w:hint="eastAsia" w:hAnsi="宋体" w:cs="宋体"/>
          <w:b w:val="0"/>
          <w:bCs w:val="0"/>
          <w:sz w:val="21"/>
          <w:szCs w:val="21"/>
          <w:lang w:val="en-US" w:eastAsia="zh-CN"/>
        </w:rPr>
        <w:t>弧度平滑</w:t>
      </w:r>
      <w:r>
        <w:rPr>
          <w:rFonts w:hint="eastAsia" w:ascii="宋体" w:hAnsi="宋体" w:cs="宋体"/>
          <w:b w:val="0"/>
          <w:bCs w:val="0"/>
          <w:sz w:val="21"/>
          <w:szCs w:val="21"/>
        </w:rPr>
        <w:t>、尺寸</w:t>
      </w:r>
      <w:r>
        <w:rPr>
          <w:rFonts w:hint="eastAsia" w:hAnsi="宋体" w:cs="宋体"/>
          <w:b w:val="0"/>
          <w:bCs w:val="0"/>
          <w:sz w:val="21"/>
          <w:szCs w:val="21"/>
          <w:lang w:val="en-US" w:eastAsia="zh-CN"/>
        </w:rPr>
        <w:t>准确</w:t>
      </w:r>
      <w:r>
        <w:rPr>
          <w:rFonts w:hint="eastAsia" w:ascii="宋体" w:hAnsi="宋体" w:cs="宋体"/>
          <w:b w:val="0"/>
          <w:bCs w:val="0"/>
          <w:sz w:val="21"/>
          <w:szCs w:val="21"/>
        </w:rPr>
        <w:t>。</w:t>
      </w:r>
    </w:p>
    <w:p w14:paraId="474EECE9">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48" w:name="_Toc25038"/>
      <w:bookmarkStart w:id="49" w:name="_Toc3845"/>
      <w:bookmarkStart w:id="50" w:name="_Toc22316"/>
      <w:r>
        <w:rPr>
          <w:rFonts w:hint="eastAsia" w:ascii="黑体" w:hAnsi="黑体" w:eastAsia="黑体" w:cs="黑体"/>
          <w:b w:val="0"/>
          <w:bCs w:val="0"/>
          <w:kern w:val="0"/>
          <w:sz w:val="21"/>
          <w:szCs w:val="21"/>
          <w:lang w:val="en-US" w:eastAsia="zh-CN"/>
        </w:rPr>
        <w:t>4.</w:t>
      </w:r>
      <w:bookmarkStart w:id="51" w:name="_Hlk43445429"/>
      <w:r>
        <w:rPr>
          <w:rFonts w:hint="eastAsia" w:ascii="黑体" w:hAnsi="黑体" w:eastAsia="黑体" w:cs="黑体"/>
          <w:b w:val="0"/>
          <w:bCs w:val="0"/>
          <w:kern w:val="0"/>
          <w:sz w:val="21"/>
          <w:szCs w:val="21"/>
          <w:lang w:val="en-US" w:eastAsia="zh-CN"/>
        </w:rPr>
        <w:t xml:space="preserve">4 </w:t>
      </w:r>
      <w:bookmarkEnd w:id="51"/>
      <w:r>
        <w:rPr>
          <w:rFonts w:hint="eastAsia" w:ascii="黑体" w:hAnsi="黑体" w:eastAsia="黑体" w:cs="黑体"/>
          <w:b w:val="0"/>
          <w:bCs w:val="0"/>
          <w:kern w:val="0"/>
          <w:sz w:val="21"/>
          <w:szCs w:val="21"/>
          <w:lang w:val="en-US" w:eastAsia="zh-CN"/>
        </w:rPr>
        <w:t xml:space="preserve"> 膜层</w:t>
      </w:r>
      <w:bookmarkEnd w:id="48"/>
      <w:bookmarkEnd w:id="49"/>
      <w:bookmarkEnd w:id="50"/>
    </w:p>
    <w:p w14:paraId="7D4EB86B">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rPr>
        <w:t xml:space="preserve">4.4.1 </w:t>
      </w:r>
      <w:r>
        <w:rPr>
          <w:rFonts w:hint="eastAsia" w:hAnsi="宋体" w:cs="宋体"/>
          <w:b w:val="0"/>
          <w:bCs w:val="0"/>
          <w:sz w:val="21"/>
          <w:szCs w:val="21"/>
          <w:lang w:val="en-US" w:eastAsia="zh-CN"/>
        </w:rPr>
        <w:t xml:space="preserve"> 防水隔汽膜、防水透气膜、滑动膜铺贴基层均应基面洁净、平整，材质、厚度及铺贴层数应符合设计要求。</w:t>
      </w:r>
    </w:p>
    <w:p w14:paraId="78640E93">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val="0"/>
          <w:bCs w:val="0"/>
          <w:sz w:val="21"/>
          <w:szCs w:val="21"/>
          <w:lang w:val="en-US" w:eastAsia="zh-CN"/>
        </w:rPr>
      </w:pPr>
      <w:r>
        <w:rPr>
          <w:rFonts w:hint="eastAsia" w:ascii="宋体" w:hAnsi="宋体" w:cs="宋体"/>
          <w:b w:val="0"/>
          <w:bCs w:val="0"/>
          <w:sz w:val="21"/>
          <w:szCs w:val="21"/>
          <w:lang w:val="en-US" w:eastAsia="zh-CN"/>
        </w:rPr>
        <w:t>4.4.2</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防水隔汽膜、防水透气膜铺贴</w:t>
      </w:r>
      <w:r>
        <w:rPr>
          <w:rFonts w:hint="eastAsia" w:hAnsi="宋体" w:cs="宋体"/>
          <w:b w:val="0"/>
          <w:bCs w:val="0"/>
          <w:sz w:val="21"/>
          <w:szCs w:val="21"/>
          <w:lang w:val="en-US" w:eastAsia="zh-CN"/>
        </w:rPr>
        <w:t>应符合下列规定：</w:t>
      </w:r>
    </w:p>
    <w:p w14:paraId="7A559CBA">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hAnsi="宋体" w:cs="宋体"/>
          <w:b w:val="0"/>
          <w:bCs w:val="0"/>
          <w:sz w:val="21"/>
          <w:szCs w:val="21"/>
          <w:lang w:eastAsia="zh-CN"/>
        </w:rPr>
      </w:pPr>
      <w:r>
        <w:rPr>
          <w:rFonts w:hint="eastAsia" w:hAnsi="宋体" w:cs="宋体"/>
          <w:b w:val="0"/>
          <w:bCs w:val="0"/>
          <w:sz w:val="21"/>
          <w:szCs w:val="21"/>
          <w:lang w:val="en-US" w:eastAsia="zh-CN"/>
        </w:rPr>
        <w:t>1  铺贴</w:t>
      </w:r>
      <w:r>
        <w:rPr>
          <w:rFonts w:hint="eastAsia" w:ascii="宋体" w:hAnsi="宋体" w:cs="宋体"/>
          <w:b w:val="0"/>
          <w:bCs w:val="0"/>
          <w:sz w:val="21"/>
          <w:szCs w:val="21"/>
        </w:rPr>
        <w:t>应平整，不得出现</w:t>
      </w:r>
      <w:r>
        <w:rPr>
          <w:rFonts w:hint="eastAsia" w:hAnsi="宋体" w:cs="宋体"/>
          <w:b w:val="0"/>
          <w:bCs w:val="0"/>
          <w:sz w:val="21"/>
          <w:szCs w:val="21"/>
          <w:lang w:val="en-US" w:eastAsia="zh-CN"/>
        </w:rPr>
        <w:t>褶皱、</w:t>
      </w:r>
      <w:r>
        <w:rPr>
          <w:rFonts w:hint="eastAsia"/>
          <w:b w:val="0"/>
          <w:bCs w:val="0"/>
          <w:sz w:val="21"/>
          <w:szCs w:val="21"/>
        </w:rPr>
        <w:t>翘边</w:t>
      </w:r>
      <w:r>
        <w:rPr>
          <w:rFonts w:hint="eastAsia"/>
          <w:b w:val="0"/>
          <w:bCs w:val="0"/>
          <w:sz w:val="21"/>
          <w:szCs w:val="21"/>
          <w:lang w:eastAsia="zh-CN"/>
        </w:rPr>
        <w:t>、</w:t>
      </w:r>
      <w:r>
        <w:rPr>
          <w:rFonts w:hint="eastAsia"/>
          <w:b w:val="0"/>
          <w:bCs w:val="0"/>
          <w:sz w:val="21"/>
          <w:szCs w:val="21"/>
        </w:rPr>
        <w:t>鼓泡</w:t>
      </w:r>
      <w:r>
        <w:rPr>
          <w:rFonts w:hint="eastAsia"/>
          <w:b w:val="0"/>
          <w:bCs w:val="0"/>
          <w:sz w:val="21"/>
          <w:szCs w:val="21"/>
          <w:lang w:eastAsia="zh-CN"/>
        </w:rPr>
        <w:t>、</w:t>
      </w:r>
      <w:r>
        <w:rPr>
          <w:rFonts w:hint="eastAsia" w:ascii="宋体" w:hAnsi="宋体" w:cs="宋体"/>
          <w:b w:val="0"/>
          <w:bCs w:val="0"/>
          <w:sz w:val="21"/>
          <w:szCs w:val="21"/>
        </w:rPr>
        <w:t>破损、漏铺现象</w:t>
      </w:r>
      <w:r>
        <w:rPr>
          <w:rFonts w:hint="eastAsia" w:hAnsi="宋体" w:cs="宋体"/>
          <w:b w:val="0"/>
          <w:bCs w:val="0"/>
          <w:sz w:val="21"/>
          <w:szCs w:val="21"/>
          <w:lang w:eastAsia="zh-CN"/>
        </w:rPr>
        <w:t>；</w:t>
      </w:r>
    </w:p>
    <w:p w14:paraId="0119738B">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hAnsi="宋体" w:cs="宋体"/>
          <w:b w:val="0"/>
          <w:bCs w:val="0"/>
          <w:sz w:val="21"/>
          <w:szCs w:val="21"/>
          <w:lang w:eastAsia="zh-CN"/>
        </w:rPr>
      </w:pPr>
      <w:r>
        <w:rPr>
          <w:rFonts w:hint="eastAsia" w:hAnsi="宋体" w:cs="宋体"/>
          <w:b w:val="0"/>
          <w:bCs w:val="0"/>
          <w:sz w:val="21"/>
          <w:szCs w:val="21"/>
          <w:lang w:val="en-US" w:eastAsia="zh-CN"/>
        </w:rPr>
        <w:t xml:space="preserve">2  </w:t>
      </w:r>
      <w:r>
        <w:rPr>
          <w:rFonts w:hint="eastAsia" w:ascii="宋体" w:hAnsi="宋体" w:cs="宋体"/>
          <w:b w:val="0"/>
          <w:bCs w:val="0"/>
          <w:sz w:val="21"/>
          <w:szCs w:val="21"/>
        </w:rPr>
        <w:t>搭接宽度</w:t>
      </w:r>
      <w:r>
        <w:rPr>
          <w:rFonts w:hint="eastAsia" w:hAnsi="宋体" w:cs="宋体"/>
          <w:b w:val="0"/>
          <w:bCs w:val="0"/>
          <w:sz w:val="21"/>
          <w:szCs w:val="21"/>
          <w:lang w:val="en-US" w:eastAsia="zh-CN"/>
        </w:rPr>
        <w:t>符合设计要求，当设计无要求时搭接宽度应≥</w:t>
      </w:r>
      <w:r>
        <w:rPr>
          <w:rFonts w:hint="eastAsia" w:ascii="宋体" w:hAnsi="宋体" w:cs="宋体"/>
          <w:b w:val="0"/>
          <w:bCs w:val="0"/>
          <w:sz w:val="21"/>
          <w:szCs w:val="21"/>
        </w:rPr>
        <w:t>100mm</w:t>
      </w:r>
      <w:r>
        <w:rPr>
          <w:rFonts w:hint="eastAsia" w:hAnsi="宋体" w:cs="宋体"/>
          <w:b w:val="0"/>
          <w:bCs w:val="0"/>
          <w:sz w:val="21"/>
          <w:szCs w:val="21"/>
          <w:lang w:eastAsia="zh-CN"/>
        </w:rPr>
        <w:t>；</w:t>
      </w:r>
    </w:p>
    <w:p w14:paraId="6A768072">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宋体" w:hAnsi="宋体" w:cs="宋体"/>
          <w:b w:val="0"/>
          <w:bCs w:val="0"/>
          <w:sz w:val="21"/>
          <w:szCs w:val="21"/>
        </w:rPr>
      </w:pPr>
      <w:r>
        <w:rPr>
          <w:rFonts w:hint="eastAsia" w:hAnsi="宋体" w:cs="宋体"/>
          <w:b w:val="0"/>
          <w:bCs w:val="0"/>
          <w:sz w:val="21"/>
          <w:szCs w:val="21"/>
          <w:lang w:val="en-US" w:eastAsia="zh-CN"/>
        </w:rPr>
        <w:t xml:space="preserve">3  </w:t>
      </w:r>
      <w:r>
        <w:rPr>
          <w:rFonts w:hint="eastAsia" w:ascii="宋体" w:hAnsi="宋体" w:cs="宋体"/>
          <w:b w:val="0"/>
          <w:bCs w:val="0"/>
          <w:sz w:val="21"/>
          <w:szCs w:val="21"/>
        </w:rPr>
        <w:t>搭接处</w:t>
      </w:r>
      <w:r>
        <w:rPr>
          <w:rFonts w:hint="eastAsia" w:hAnsi="宋体" w:cs="宋体"/>
          <w:b w:val="0"/>
          <w:bCs w:val="0"/>
          <w:sz w:val="21"/>
          <w:szCs w:val="21"/>
          <w:lang w:val="en-US" w:eastAsia="zh-CN"/>
        </w:rPr>
        <w:t>宜采用胶粘处理，</w:t>
      </w:r>
      <w:r>
        <w:rPr>
          <w:rFonts w:hint="eastAsia" w:ascii="宋体" w:hAnsi="宋体" w:cs="宋体"/>
          <w:b w:val="0"/>
          <w:bCs w:val="0"/>
          <w:sz w:val="21"/>
          <w:szCs w:val="21"/>
        </w:rPr>
        <w:t>粘</w:t>
      </w:r>
      <w:r>
        <w:rPr>
          <w:rFonts w:hint="eastAsia" w:hAnsi="宋体" w:cs="宋体"/>
          <w:b w:val="0"/>
          <w:bCs w:val="0"/>
          <w:sz w:val="21"/>
          <w:szCs w:val="21"/>
          <w:lang w:val="en-US" w:eastAsia="zh-CN"/>
        </w:rPr>
        <w:t>接</w:t>
      </w:r>
      <w:r>
        <w:rPr>
          <w:rFonts w:hint="eastAsia" w:ascii="宋体" w:hAnsi="宋体" w:cs="宋体"/>
          <w:b w:val="0"/>
          <w:bCs w:val="0"/>
          <w:sz w:val="21"/>
          <w:szCs w:val="21"/>
        </w:rPr>
        <w:t>严密。</w:t>
      </w:r>
    </w:p>
    <w:p w14:paraId="1F2B8C66">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default" w:eastAsia="宋体"/>
          <w:b w:val="0"/>
          <w:bCs w:val="0"/>
          <w:sz w:val="21"/>
          <w:szCs w:val="21"/>
          <w:lang w:val="en-US" w:eastAsia="zh-CN"/>
        </w:rPr>
      </w:pPr>
      <w:r>
        <w:rPr>
          <w:rFonts w:hint="eastAsia" w:hAnsi="宋体" w:cs="宋体"/>
          <w:b w:val="0"/>
          <w:bCs w:val="0"/>
          <w:sz w:val="21"/>
          <w:szCs w:val="21"/>
          <w:lang w:val="en-US" w:eastAsia="zh-CN"/>
        </w:rPr>
        <w:t>4  胶水应进行相容性试验</w:t>
      </w:r>
    </w:p>
    <w:p w14:paraId="4A28143C">
      <w:pPr>
        <w:pStyle w:val="27"/>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b w:val="0"/>
          <w:bCs w:val="0"/>
          <w:sz w:val="21"/>
          <w:szCs w:val="21"/>
          <w:lang w:val="en-US" w:eastAsia="zh-CN"/>
        </w:rPr>
      </w:pPr>
      <w:r>
        <w:rPr>
          <w:rFonts w:hint="eastAsia"/>
          <w:b w:val="0"/>
          <w:bCs w:val="0"/>
          <w:sz w:val="21"/>
          <w:szCs w:val="21"/>
        </w:rPr>
        <w:t xml:space="preserve">4.4.2 </w:t>
      </w:r>
      <w:r>
        <w:rPr>
          <w:rFonts w:hint="eastAsia"/>
          <w:b w:val="0"/>
          <w:bCs w:val="0"/>
          <w:sz w:val="21"/>
          <w:szCs w:val="21"/>
          <w:lang w:val="en-US" w:eastAsia="zh-CN"/>
        </w:rPr>
        <w:t xml:space="preserve"> 滑动膜层铺贴</w:t>
      </w:r>
      <w:r>
        <w:rPr>
          <w:rFonts w:hint="eastAsia" w:hAnsi="宋体" w:cs="宋体"/>
          <w:b w:val="0"/>
          <w:bCs w:val="0"/>
          <w:sz w:val="21"/>
          <w:szCs w:val="21"/>
          <w:lang w:val="en-US" w:eastAsia="zh-CN"/>
        </w:rPr>
        <w:t>应符合下列规定</w:t>
      </w:r>
      <w:r>
        <w:rPr>
          <w:rFonts w:hint="eastAsia"/>
          <w:b w:val="0"/>
          <w:bCs w:val="0"/>
          <w:sz w:val="21"/>
          <w:szCs w:val="21"/>
          <w:lang w:val="en-US" w:eastAsia="zh-CN"/>
        </w:rPr>
        <w:t>：</w:t>
      </w:r>
    </w:p>
    <w:p w14:paraId="4DF928E5">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b w:val="0"/>
          <w:bCs w:val="0"/>
          <w:sz w:val="21"/>
          <w:szCs w:val="21"/>
          <w:lang w:val="en-US" w:eastAsia="zh-CN"/>
        </w:rPr>
      </w:pPr>
      <w:r>
        <w:rPr>
          <w:rFonts w:hint="eastAsia"/>
          <w:b w:val="0"/>
          <w:bCs w:val="0"/>
          <w:sz w:val="21"/>
          <w:szCs w:val="21"/>
          <w:lang w:val="en-US" w:eastAsia="zh-CN"/>
        </w:rPr>
        <w:t xml:space="preserve">1  </w:t>
      </w:r>
      <w:r>
        <w:rPr>
          <w:rFonts w:hint="eastAsia" w:hAnsi="宋体" w:cs="宋体"/>
          <w:b w:val="0"/>
          <w:bCs w:val="0"/>
          <w:sz w:val="21"/>
          <w:szCs w:val="21"/>
          <w:lang w:val="en-US" w:eastAsia="zh-CN"/>
        </w:rPr>
        <w:t>铺贴</w:t>
      </w:r>
      <w:r>
        <w:rPr>
          <w:rFonts w:hint="eastAsia" w:ascii="宋体" w:hAnsi="宋体" w:cs="宋体"/>
          <w:b w:val="0"/>
          <w:bCs w:val="0"/>
          <w:sz w:val="21"/>
          <w:szCs w:val="21"/>
        </w:rPr>
        <w:t>应平整，不得出现</w:t>
      </w:r>
      <w:r>
        <w:rPr>
          <w:rFonts w:hint="eastAsia" w:hAnsi="宋体" w:cs="宋体"/>
          <w:b w:val="0"/>
          <w:bCs w:val="0"/>
          <w:sz w:val="21"/>
          <w:szCs w:val="21"/>
          <w:lang w:val="en-US" w:eastAsia="zh-CN"/>
        </w:rPr>
        <w:t>褶皱、</w:t>
      </w:r>
      <w:r>
        <w:rPr>
          <w:rFonts w:hint="eastAsia"/>
          <w:b w:val="0"/>
          <w:bCs w:val="0"/>
          <w:sz w:val="21"/>
          <w:szCs w:val="21"/>
        </w:rPr>
        <w:t>翘边</w:t>
      </w:r>
      <w:r>
        <w:rPr>
          <w:rFonts w:hint="eastAsia"/>
          <w:b w:val="0"/>
          <w:bCs w:val="0"/>
          <w:sz w:val="21"/>
          <w:szCs w:val="21"/>
          <w:lang w:eastAsia="zh-CN"/>
        </w:rPr>
        <w:t>、</w:t>
      </w:r>
      <w:r>
        <w:rPr>
          <w:rFonts w:hint="eastAsia"/>
          <w:b w:val="0"/>
          <w:bCs w:val="0"/>
          <w:sz w:val="21"/>
          <w:szCs w:val="21"/>
        </w:rPr>
        <w:t>鼓泡</w:t>
      </w:r>
      <w:r>
        <w:rPr>
          <w:rFonts w:hint="eastAsia"/>
          <w:b w:val="0"/>
          <w:bCs w:val="0"/>
          <w:sz w:val="21"/>
          <w:szCs w:val="21"/>
          <w:lang w:eastAsia="zh-CN"/>
        </w:rPr>
        <w:t>、</w:t>
      </w:r>
      <w:r>
        <w:rPr>
          <w:rFonts w:hint="eastAsia" w:ascii="宋体" w:hAnsi="宋体" w:cs="宋体"/>
          <w:b w:val="0"/>
          <w:bCs w:val="0"/>
          <w:sz w:val="21"/>
          <w:szCs w:val="21"/>
        </w:rPr>
        <w:t>破损、漏铺现象</w:t>
      </w:r>
      <w:r>
        <w:rPr>
          <w:rFonts w:hint="eastAsia" w:hAnsi="宋体" w:cs="宋体"/>
          <w:b w:val="0"/>
          <w:bCs w:val="0"/>
          <w:sz w:val="21"/>
          <w:szCs w:val="21"/>
          <w:lang w:eastAsia="zh-CN"/>
        </w:rPr>
        <w:t>；</w:t>
      </w:r>
    </w:p>
    <w:p w14:paraId="1E395AC9">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b w:val="0"/>
          <w:bCs w:val="0"/>
          <w:sz w:val="21"/>
          <w:szCs w:val="21"/>
          <w:lang w:eastAsia="zh-CN"/>
        </w:rPr>
      </w:pPr>
      <w:r>
        <w:rPr>
          <w:rFonts w:hint="eastAsia"/>
          <w:b w:val="0"/>
          <w:bCs w:val="0"/>
          <w:sz w:val="21"/>
          <w:szCs w:val="21"/>
          <w:lang w:val="en-US" w:eastAsia="zh-CN"/>
        </w:rPr>
        <w:t xml:space="preserve">2  </w:t>
      </w:r>
      <w:r>
        <w:rPr>
          <w:rFonts w:hint="eastAsia"/>
          <w:b w:val="0"/>
          <w:bCs w:val="0"/>
          <w:sz w:val="21"/>
          <w:szCs w:val="21"/>
        </w:rPr>
        <w:t>底层膜搭接部位应沿纵向错开不小于1500mm</w:t>
      </w:r>
      <w:r>
        <w:rPr>
          <w:rFonts w:hint="eastAsia"/>
          <w:b w:val="0"/>
          <w:bCs w:val="0"/>
          <w:sz w:val="21"/>
          <w:szCs w:val="21"/>
          <w:lang w:eastAsia="zh-CN"/>
        </w:rPr>
        <w:t>；</w:t>
      </w:r>
    </w:p>
    <w:p w14:paraId="2B471582">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hAnsi="宋体" w:cs="宋体"/>
          <w:b w:val="0"/>
          <w:bCs w:val="0"/>
          <w:sz w:val="21"/>
          <w:szCs w:val="21"/>
          <w:lang w:eastAsia="zh-CN"/>
        </w:rPr>
      </w:pPr>
      <w:r>
        <w:rPr>
          <w:rFonts w:hint="eastAsia"/>
          <w:b w:val="0"/>
          <w:bCs w:val="0"/>
          <w:sz w:val="21"/>
          <w:szCs w:val="21"/>
          <w:lang w:val="en-US" w:eastAsia="zh-CN"/>
        </w:rPr>
        <w:t xml:space="preserve">3  </w:t>
      </w:r>
      <w:r>
        <w:rPr>
          <w:rFonts w:hint="eastAsia" w:ascii="宋体" w:hAnsi="宋体" w:cs="宋体"/>
          <w:b w:val="0"/>
          <w:bCs w:val="0"/>
          <w:sz w:val="21"/>
          <w:szCs w:val="21"/>
        </w:rPr>
        <w:t>搭接宽度</w:t>
      </w:r>
      <w:r>
        <w:rPr>
          <w:rFonts w:hint="eastAsia" w:hAnsi="宋体" w:cs="宋体"/>
          <w:b w:val="0"/>
          <w:bCs w:val="0"/>
          <w:sz w:val="21"/>
          <w:szCs w:val="21"/>
          <w:lang w:val="en-US" w:eastAsia="zh-CN"/>
        </w:rPr>
        <w:t>符合设计要求，当设计无要求时搭接宽度应≥</w:t>
      </w:r>
      <w:r>
        <w:rPr>
          <w:rFonts w:hint="eastAsia" w:ascii="宋体" w:hAnsi="宋体" w:cs="宋体"/>
          <w:b w:val="0"/>
          <w:bCs w:val="0"/>
          <w:sz w:val="21"/>
          <w:szCs w:val="21"/>
        </w:rPr>
        <w:t>100mm</w:t>
      </w:r>
      <w:r>
        <w:rPr>
          <w:rFonts w:hint="eastAsia" w:hAnsi="宋体" w:cs="宋体"/>
          <w:b w:val="0"/>
          <w:bCs w:val="0"/>
          <w:sz w:val="21"/>
          <w:szCs w:val="21"/>
          <w:lang w:eastAsia="zh-CN"/>
        </w:rPr>
        <w:t>；</w:t>
      </w:r>
    </w:p>
    <w:p w14:paraId="624FF475">
      <w:pPr>
        <w:pStyle w:val="27"/>
        <w:keepNext w:val="0"/>
        <w:keepLines w:val="0"/>
        <w:pageBreakBefore w:val="0"/>
        <w:widowControl w:val="0"/>
        <w:kinsoku/>
        <w:wordWrap/>
        <w:overflowPunct/>
        <w:topLinePunct w:val="0"/>
        <w:autoSpaceDE/>
        <w:autoSpaceDN/>
        <w:bidi w:val="0"/>
        <w:adjustRightInd/>
        <w:snapToGrid w:val="0"/>
        <w:jc w:val="left"/>
        <w:textAlignment w:val="auto"/>
        <w:rPr>
          <w:rFonts w:hint="eastAsia"/>
          <w:sz w:val="24"/>
          <w:lang w:eastAsia="zh-CN"/>
        </w:rPr>
      </w:pPr>
      <w:r>
        <w:rPr>
          <w:rFonts w:hint="eastAsia" w:cs="宋体"/>
          <w:b w:val="0"/>
          <w:bCs w:val="0"/>
          <w:sz w:val="21"/>
          <w:szCs w:val="21"/>
          <w:lang w:val="en-US" w:eastAsia="zh-CN"/>
        </w:rPr>
        <w:t xml:space="preserve">4  </w:t>
      </w:r>
      <w:r>
        <w:rPr>
          <w:rFonts w:hint="eastAsia"/>
          <w:b w:val="0"/>
          <w:bCs w:val="0"/>
          <w:sz w:val="21"/>
          <w:szCs w:val="21"/>
        </w:rPr>
        <w:t>曲面和</w:t>
      </w:r>
      <w:r>
        <w:rPr>
          <w:rFonts w:hint="eastAsia"/>
          <w:b w:val="0"/>
          <w:bCs w:val="0"/>
          <w:sz w:val="21"/>
          <w:szCs w:val="21"/>
          <w:lang w:val="en-US" w:eastAsia="zh-CN"/>
        </w:rPr>
        <w:t>沟槽</w:t>
      </w:r>
      <w:r>
        <w:rPr>
          <w:rFonts w:hint="eastAsia"/>
          <w:b w:val="0"/>
          <w:bCs w:val="0"/>
          <w:sz w:val="21"/>
          <w:szCs w:val="21"/>
        </w:rPr>
        <w:t>部位要折压平整</w:t>
      </w:r>
      <w:r>
        <w:rPr>
          <w:rFonts w:hint="eastAsia"/>
          <w:sz w:val="24"/>
          <w:lang w:eastAsia="zh-CN"/>
        </w:rPr>
        <w:t>。</w:t>
      </w:r>
    </w:p>
    <w:bookmarkEnd w:id="44"/>
    <w:bookmarkEnd w:id="45"/>
    <w:bookmarkEnd w:id="46"/>
    <w:bookmarkEnd w:id="47"/>
    <w:p w14:paraId="624CAAE7">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52" w:name="_Toc6678"/>
      <w:bookmarkStart w:id="53" w:name="_Toc25031"/>
      <w:bookmarkStart w:id="54" w:name="_Toc12485"/>
      <w:bookmarkStart w:id="55" w:name="_Toc36040058"/>
      <w:r>
        <w:rPr>
          <w:rFonts w:hint="eastAsia" w:ascii="黑体" w:hAnsi="黑体" w:eastAsia="黑体" w:cs="黑体"/>
          <w:b w:val="0"/>
          <w:bCs w:val="0"/>
          <w:kern w:val="0"/>
          <w:sz w:val="21"/>
          <w:szCs w:val="21"/>
          <w:lang w:val="en-US" w:eastAsia="zh-CN"/>
        </w:rPr>
        <w:t>4.6  找平层</w:t>
      </w:r>
      <w:bookmarkEnd w:id="52"/>
      <w:bookmarkEnd w:id="53"/>
      <w:r>
        <w:rPr>
          <w:rFonts w:hint="eastAsia" w:ascii="黑体" w:hAnsi="黑体" w:eastAsia="黑体" w:cs="黑体"/>
          <w:b w:val="0"/>
          <w:bCs w:val="0"/>
          <w:kern w:val="0"/>
          <w:sz w:val="21"/>
          <w:szCs w:val="21"/>
          <w:lang w:val="en-US" w:eastAsia="zh-CN"/>
        </w:rPr>
        <w:t>及防水保护层</w:t>
      </w:r>
      <w:bookmarkEnd w:id="54"/>
    </w:p>
    <w:p w14:paraId="7C5303A4">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4.6.1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找平层</w:t>
      </w:r>
      <w:r>
        <w:rPr>
          <w:rFonts w:hint="eastAsia" w:hAnsi="宋体" w:cs="宋体"/>
          <w:b w:val="0"/>
          <w:bCs w:val="0"/>
          <w:sz w:val="21"/>
          <w:szCs w:val="21"/>
          <w:lang w:val="en-US" w:eastAsia="zh-CN"/>
        </w:rPr>
        <w:t>及防水保护层</w:t>
      </w:r>
      <w:r>
        <w:rPr>
          <w:rFonts w:hint="eastAsia" w:ascii="宋体" w:hAnsi="宋体" w:eastAsia="宋体" w:cs="宋体"/>
          <w:b w:val="0"/>
          <w:bCs w:val="0"/>
          <w:sz w:val="21"/>
          <w:szCs w:val="21"/>
        </w:rPr>
        <w:t>采用混凝土铺设</w:t>
      </w:r>
      <w:r>
        <w:rPr>
          <w:rFonts w:hint="eastAsia" w:hAnsi="宋体" w:cs="宋体"/>
          <w:b w:val="0"/>
          <w:bCs w:val="0"/>
          <w:sz w:val="21"/>
          <w:szCs w:val="21"/>
          <w:lang w:eastAsia="zh-CN"/>
        </w:rPr>
        <w:t>，混凝土强度等级及厚度应符合设计要求</w:t>
      </w:r>
      <w:r>
        <w:rPr>
          <w:rFonts w:hint="eastAsia" w:ascii="宋体" w:hAnsi="宋体" w:eastAsia="宋体" w:cs="宋体"/>
          <w:b w:val="0"/>
          <w:bCs w:val="0"/>
          <w:sz w:val="21"/>
          <w:szCs w:val="21"/>
        </w:rPr>
        <w:t>。</w:t>
      </w:r>
    </w:p>
    <w:p w14:paraId="0ADD6290">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4.6.2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找平层</w:t>
      </w:r>
      <w:r>
        <w:rPr>
          <w:rFonts w:hint="eastAsia" w:hAnsi="宋体" w:cs="宋体"/>
          <w:b w:val="0"/>
          <w:bCs w:val="0"/>
          <w:sz w:val="21"/>
          <w:szCs w:val="21"/>
          <w:lang w:val="en-US" w:eastAsia="zh-CN"/>
        </w:rPr>
        <w:t>及防水保护层</w:t>
      </w:r>
      <w:r>
        <w:rPr>
          <w:rFonts w:hint="eastAsia" w:ascii="宋体" w:hAnsi="宋体" w:eastAsia="宋体" w:cs="宋体"/>
          <w:b w:val="0"/>
          <w:bCs w:val="0"/>
          <w:sz w:val="21"/>
          <w:szCs w:val="21"/>
        </w:rPr>
        <w:t>采用碎石或卵石的粒径不应大于厚度的2/3。</w:t>
      </w:r>
    </w:p>
    <w:p w14:paraId="634AE23A">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4.6.</w:t>
      </w:r>
      <w:r>
        <w:rPr>
          <w:rFonts w:hint="eastAsia" w:hAnsi="宋体" w:cs="宋体"/>
          <w:b w:val="0"/>
          <w:bCs w:val="0"/>
          <w:sz w:val="21"/>
          <w:szCs w:val="21"/>
          <w:lang w:val="en-US" w:eastAsia="zh-CN"/>
        </w:rPr>
        <w:t>3</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混凝土</w:t>
      </w:r>
      <w:r>
        <w:rPr>
          <w:rFonts w:hint="eastAsia" w:ascii="宋体" w:hAnsi="宋体" w:eastAsia="宋体" w:cs="宋体"/>
          <w:b w:val="0"/>
          <w:bCs w:val="0"/>
          <w:sz w:val="21"/>
          <w:szCs w:val="21"/>
        </w:rPr>
        <w:t>表面应密实，不得有起砂、蜂窝和裂缝等缺陷。</w:t>
      </w:r>
    </w:p>
    <w:p w14:paraId="66CC8DA9">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宋体" w:hAnsi="宋体" w:cs="宋体"/>
          <w:b w:val="0"/>
          <w:bCs w:val="0"/>
          <w:sz w:val="21"/>
          <w:szCs w:val="21"/>
        </w:rPr>
      </w:pPr>
      <w:r>
        <w:rPr>
          <w:rFonts w:hint="eastAsia" w:ascii="宋体" w:hAnsi="宋体" w:eastAsia="宋体" w:cs="宋体"/>
          <w:b w:val="0"/>
          <w:bCs w:val="0"/>
          <w:sz w:val="21"/>
          <w:szCs w:val="21"/>
        </w:rPr>
        <w:t>4.6.</w:t>
      </w:r>
      <w:r>
        <w:rPr>
          <w:rFonts w:hint="eastAsia" w:hAnsi="宋体" w:cs="宋体"/>
          <w:b w:val="0"/>
          <w:bCs w:val="0"/>
          <w:sz w:val="21"/>
          <w:szCs w:val="21"/>
          <w:lang w:val="en-US" w:eastAsia="zh-CN"/>
        </w:rPr>
        <w:t>4</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找平层及防水保护层平整度为5m范围内</w:t>
      </w:r>
      <w:r>
        <w:rPr>
          <w:rFonts w:hint="eastAsia" w:hAnsi="宋体" w:cs="宋体"/>
          <w:b w:val="0"/>
          <w:bCs w:val="0"/>
          <w:sz w:val="21"/>
          <w:szCs w:val="21"/>
          <w:lang w:val="en-US" w:eastAsia="zh-CN"/>
        </w:rPr>
        <w:t>≤</w:t>
      </w:r>
      <w:r>
        <w:rPr>
          <w:rFonts w:hint="eastAsia" w:ascii="宋体" w:hAnsi="宋体" w:cs="宋体"/>
          <w:b w:val="0"/>
          <w:bCs w:val="0"/>
          <w:sz w:val="21"/>
          <w:szCs w:val="21"/>
        </w:rPr>
        <w:t>±</w:t>
      </w:r>
      <w:r>
        <w:rPr>
          <w:rFonts w:hint="eastAsia" w:hAnsi="宋体" w:cs="宋体"/>
          <w:b w:val="0"/>
          <w:bCs w:val="0"/>
          <w:sz w:val="21"/>
          <w:szCs w:val="21"/>
          <w:lang w:val="en-US" w:eastAsia="zh-CN"/>
        </w:rPr>
        <w:t>10</w:t>
      </w:r>
      <w:r>
        <w:rPr>
          <w:rFonts w:hint="eastAsia" w:ascii="宋体" w:hAnsi="宋体" w:cs="宋体"/>
          <w:b w:val="0"/>
          <w:bCs w:val="0"/>
          <w:sz w:val="21"/>
          <w:szCs w:val="21"/>
        </w:rPr>
        <w:t>mm。</w:t>
      </w:r>
    </w:p>
    <w:p w14:paraId="7232D07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outlineLvl w:val="9"/>
        <w:rPr>
          <w:rFonts w:hint="default" w:eastAsia="宋体"/>
          <w:lang w:val="en-US" w:eastAsia="zh-CN"/>
        </w:rPr>
      </w:pPr>
      <w:r>
        <w:rPr>
          <w:rFonts w:hint="eastAsia" w:hAnsi="宋体" w:cs="宋体"/>
          <w:b w:val="0"/>
          <w:bCs w:val="0"/>
          <w:sz w:val="21"/>
          <w:szCs w:val="21"/>
          <w:lang w:val="en-US" w:eastAsia="zh-CN"/>
        </w:rPr>
        <w:t xml:space="preserve">4.6.5  </w:t>
      </w:r>
      <w:r>
        <w:rPr>
          <w:rFonts w:hint="eastAsia" w:ascii="宋体" w:hAnsi="宋体" w:cs="宋体"/>
          <w:b w:val="0"/>
          <w:bCs w:val="0"/>
          <w:sz w:val="21"/>
          <w:szCs w:val="21"/>
        </w:rPr>
        <w:t>找平层及防水保护层</w:t>
      </w:r>
      <w:r>
        <w:rPr>
          <w:rFonts w:hint="eastAsia" w:hAnsi="宋体" w:cs="宋体"/>
          <w:b w:val="0"/>
          <w:bCs w:val="0"/>
          <w:sz w:val="21"/>
          <w:szCs w:val="21"/>
          <w:lang w:val="en-US" w:eastAsia="zh-CN"/>
        </w:rPr>
        <w:t>内</w:t>
      </w:r>
      <w:r>
        <w:rPr>
          <w:rFonts w:hint="eastAsia" w:ascii="宋体" w:hAnsi="宋体" w:cs="宋体"/>
          <w:b w:val="0"/>
          <w:bCs w:val="0"/>
          <w:sz w:val="21"/>
          <w:szCs w:val="21"/>
        </w:rPr>
        <w:t>钢筋网片采用绑扎搭接方式，搭接长度不小于100mm，搭接区域应错开。</w:t>
      </w:r>
    </w:p>
    <w:bookmarkEnd w:id="55"/>
    <w:p w14:paraId="27263A6F">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56" w:name="_Toc414"/>
      <w:bookmarkStart w:id="57" w:name="_Toc6130"/>
      <w:r>
        <w:rPr>
          <w:rFonts w:hint="eastAsia" w:ascii="黑体" w:hAnsi="黑体" w:eastAsia="黑体" w:cs="黑体"/>
          <w:b w:val="0"/>
          <w:bCs w:val="0"/>
          <w:kern w:val="0"/>
          <w:sz w:val="21"/>
          <w:szCs w:val="21"/>
          <w:lang w:val="en-US" w:eastAsia="zh-CN"/>
        </w:rPr>
        <w:t xml:space="preserve"> </w:t>
      </w:r>
      <w:bookmarkStart w:id="58" w:name="_Toc26503"/>
      <w:r>
        <w:rPr>
          <w:rFonts w:hint="eastAsia" w:ascii="黑体" w:hAnsi="黑体" w:eastAsia="黑体" w:cs="黑体"/>
          <w:b w:val="0"/>
          <w:bCs w:val="0"/>
          <w:kern w:val="0"/>
          <w:sz w:val="21"/>
          <w:szCs w:val="21"/>
          <w:lang w:val="en-US" w:eastAsia="zh-CN"/>
        </w:rPr>
        <w:t>4.7  冰板制冷层</w:t>
      </w:r>
      <w:bookmarkEnd w:id="56"/>
      <w:bookmarkEnd w:id="57"/>
      <w:bookmarkEnd w:id="58"/>
    </w:p>
    <w:p w14:paraId="73264EE7">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rPr>
        <w:t xml:space="preserve">4.7.1 </w:t>
      </w:r>
      <w:r>
        <w:rPr>
          <w:rFonts w:hint="eastAsia" w:hAnsi="宋体" w:cs="宋体"/>
          <w:b w:val="0"/>
          <w:bCs/>
          <w:sz w:val="21"/>
          <w:szCs w:val="21"/>
          <w:lang w:val="en-US" w:eastAsia="zh-CN"/>
        </w:rPr>
        <w:t xml:space="preserve"> 冰板制冷层材料、厚度应符合设计要求。</w:t>
      </w:r>
    </w:p>
    <w:p w14:paraId="06A5C54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b w:val="0"/>
          <w:bCs/>
          <w:sz w:val="21"/>
          <w:szCs w:val="21"/>
        </w:rPr>
      </w:pPr>
      <w:r>
        <w:rPr>
          <w:rFonts w:hint="eastAsia" w:ascii="宋体" w:hAnsi="宋体" w:cs="宋体"/>
          <w:b w:val="0"/>
          <w:bCs/>
          <w:sz w:val="21"/>
          <w:szCs w:val="21"/>
        </w:rPr>
        <w:t>4.7.2</w:t>
      </w:r>
      <w:r>
        <w:rPr>
          <w:rFonts w:hint="eastAsia" w:hAnsi="宋体" w:cs="宋体"/>
          <w:b w:val="0"/>
          <w:bCs/>
          <w:sz w:val="21"/>
          <w:szCs w:val="21"/>
          <w:lang w:val="en-US" w:eastAsia="zh-CN"/>
        </w:rPr>
        <w:t xml:space="preserve"> </w:t>
      </w:r>
      <w:r>
        <w:rPr>
          <w:rFonts w:hint="eastAsia" w:ascii="宋体" w:hAnsi="宋体" w:cs="宋体"/>
          <w:b w:val="0"/>
          <w:bCs/>
          <w:sz w:val="21"/>
          <w:szCs w:val="21"/>
        </w:rPr>
        <w:t xml:space="preserve"> </w:t>
      </w:r>
      <w:r>
        <w:rPr>
          <w:rFonts w:hint="eastAsia" w:hAnsi="宋体" w:cs="宋体"/>
          <w:b w:val="0"/>
          <w:bCs/>
          <w:sz w:val="21"/>
          <w:szCs w:val="21"/>
          <w:lang w:val="en-US" w:eastAsia="zh-CN"/>
        </w:rPr>
        <w:t>当制冷层采用</w:t>
      </w:r>
      <w:r>
        <w:rPr>
          <w:rFonts w:hint="eastAsia" w:ascii="宋体" w:hAnsi="宋体" w:cs="宋体"/>
          <w:b w:val="0"/>
          <w:bCs/>
          <w:sz w:val="21"/>
          <w:szCs w:val="21"/>
        </w:rPr>
        <w:t>混凝土</w:t>
      </w:r>
      <w:r>
        <w:rPr>
          <w:rFonts w:hint="eastAsia" w:hAnsi="宋体" w:cs="宋体"/>
          <w:b w:val="0"/>
          <w:bCs/>
          <w:sz w:val="21"/>
          <w:szCs w:val="21"/>
          <w:lang w:val="en-US" w:eastAsia="zh-CN"/>
        </w:rPr>
        <w:t>时，应采用抗冻融、抗裂混凝土，其</w:t>
      </w:r>
      <w:r>
        <w:rPr>
          <w:rFonts w:hint="eastAsia" w:ascii="宋体" w:hAnsi="宋体" w:cs="宋体"/>
          <w:b w:val="0"/>
          <w:bCs/>
          <w:sz w:val="21"/>
          <w:szCs w:val="21"/>
        </w:rPr>
        <w:t>强度等级应符合设计要求。</w:t>
      </w:r>
    </w:p>
    <w:p w14:paraId="69C07998">
      <w:pPr>
        <w:pStyle w:val="4"/>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sz w:val="21"/>
          <w:szCs w:val="21"/>
        </w:rPr>
      </w:pPr>
      <w:r>
        <w:rPr>
          <w:rFonts w:hint="eastAsia" w:hAnsi="宋体" w:cs="宋体"/>
          <w:b w:val="0"/>
          <w:bCs/>
          <w:kern w:val="2"/>
          <w:sz w:val="21"/>
          <w:szCs w:val="21"/>
          <w:lang w:val="en-US" w:eastAsia="zh-CN" w:bidi="ar-SA"/>
        </w:rPr>
        <w:t xml:space="preserve">4.7.3  </w:t>
      </w:r>
      <w:r>
        <w:rPr>
          <w:rFonts w:hint="eastAsia" w:hAnsi="宋体" w:cs="宋体"/>
          <w:b w:val="0"/>
          <w:bCs/>
          <w:sz w:val="21"/>
          <w:szCs w:val="21"/>
          <w:lang w:val="en-US" w:eastAsia="zh-CN"/>
        </w:rPr>
        <w:t>制冷层内</w:t>
      </w:r>
      <w:r>
        <w:rPr>
          <w:rFonts w:hint="eastAsia" w:ascii="宋体" w:hAnsi="宋体" w:eastAsia="宋体" w:cs="宋体"/>
          <w:b w:val="0"/>
          <w:bCs/>
          <w:kern w:val="2"/>
          <w:sz w:val="21"/>
          <w:szCs w:val="21"/>
          <w:lang w:val="en-US" w:eastAsia="zh-CN" w:bidi="ar-SA"/>
        </w:rPr>
        <w:t>钢筋</w:t>
      </w:r>
      <w:r>
        <w:rPr>
          <w:rFonts w:hint="eastAsia" w:hAnsi="宋体" w:cs="宋体"/>
          <w:b w:val="0"/>
          <w:bCs/>
          <w:sz w:val="21"/>
          <w:szCs w:val="21"/>
          <w:lang w:val="en-US" w:eastAsia="zh-CN"/>
        </w:rPr>
        <w:t>应</w:t>
      </w:r>
      <w:r>
        <w:rPr>
          <w:rFonts w:hint="eastAsia" w:ascii="宋体" w:hAnsi="宋体" w:eastAsia="宋体" w:cs="宋体"/>
          <w:b w:val="0"/>
          <w:bCs/>
          <w:sz w:val="21"/>
          <w:szCs w:val="21"/>
        </w:rPr>
        <w:t>符合</w:t>
      </w:r>
      <w:r>
        <w:rPr>
          <w:rFonts w:hint="eastAsia" w:hAnsi="宋体" w:cs="宋体"/>
          <w:b w:val="0"/>
          <w:bCs/>
          <w:sz w:val="21"/>
          <w:szCs w:val="21"/>
          <w:lang w:val="en-US" w:eastAsia="zh-CN"/>
        </w:rPr>
        <w:t>下列要求</w:t>
      </w:r>
      <w:r>
        <w:rPr>
          <w:rFonts w:hint="eastAsia" w:ascii="宋体" w:hAnsi="宋体" w:eastAsia="宋体" w:cs="宋体"/>
          <w:b w:val="0"/>
          <w:bCs/>
          <w:sz w:val="21"/>
          <w:szCs w:val="21"/>
        </w:rPr>
        <w:t>：</w:t>
      </w:r>
    </w:p>
    <w:p w14:paraId="39C7F535">
      <w:pPr>
        <w:pStyle w:val="4"/>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hAnsi="宋体" w:cs="宋体"/>
          <w:b w:val="0"/>
          <w:bCs/>
          <w:kern w:val="2"/>
          <w:sz w:val="21"/>
          <w:szCs w:val="21"/>
          <w:lang w:val="en-US" w:eastAsia="zh-CN" w:bidi="ar-SA"/>
        </w:rPr>
      </w:pPr>
      <w:r>
        <w:rPr>
          <w:rFonts w:hint="eastAsia" w:hAnsi="宋体" w:cs="宋体"/>
          <w:b w:val="0"/>
          <w:bCs/>
          <w:sz w:val="21"/>
          <w:szCs w:val="21"/>
          <w:lang w:val="en-US" w:eastAsia="zh-CN"/>
        </w:rPr>
        <w:t>1  钢筋</w:t>
      </w:r>
      <w:r>
        <w:rPr>
          <w:rFonts w:hint="eastAsia" w:hAnsi="宋体" w:cs="宋体"/>
          <w:b w:val="0"/>
          <w:bCs/>
          <w:kern w:val="2"/>
          <w:sz w:val="21"/>
          <w:szCs w:val="21"/>
          <w:lang w:val="en-US" w:eastAsia="zh-CN" w:bidi="ar-SA"/>
        </w:rPr>
        <w:t>材质、规格、型号、位置、连接方式应符合设计要求，并应固定在制冰排管的支架上，通常设有底筋和表面抗裂钢筋。</w:t>
      </w:r>
    </w:p>
    <w:p w14:paraId="12949C2F">
      <w:pPr>
        <w:pStyle w:val="4"/>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hAnsi="宋体" w:cs="宋体"/>
          <w:b w:val="0"/>
          <w:bCs/>
          <w:kern w:val="2"/>
          <w:sz w:val="21"/>
          <w:szCs w:val="21"/>
          <w:lang w:val="en-US" w:eastAsia="zh-CN" w:bidi="ar-SA"/>
        </w:rPr>
      </w:pPr>
      <w:r>
        <w:rPr>
          <w:rFonts w:hint="eastAsia" w:hAnsi="宋体" w:cs="宋体"/>
          <w:b w:val="0"/>
          <w:bCs/>
          <w:kern w:val="2"/>
          <w:sz w:val="21"/>
          <w:szCs w:val="21"/>
          <w:lang w:val="en-US" w:eastAsia="zh-CN" w:bidi="ar-SA"/>
        </w:rPr>
        <w:t>2  钢筋</w:t>
      </w:r>
      <w:r>
        <w:rPr>
          <w:rFonts w:hint="eastAsia" w:ascii="宋体" w:hAnsi="宋体" w:eastAsia="宋体" w:cs="宋体"/>
          <w:b w:val="0"/>
          <w:bCs/>
          <w:kern w:val="2"/>
          <w:sz w:val="21"/>
          <w:szCs w:val="21"/>
          <w:lang w:val="en-US" w:eastAsia="zh-CN" w:bidi="ar-SA"/>
        </w:rPr>
        <w:t>应平直</w:t>
      </w:r>
      <w:r>
        <w:rPr>
          <w:rFonts w:hint="eastAsia" w:hAnsi="宋体" w:cs="宋体"/>
          <w:b w:val="0"/>
          <w:bCs/>
          <w:kern w:val="2"/>
          <w:sz w:val="21"/>
          <w:szCs w:val="21"/>
          <w:lang w:val="en-US" w:eastAsia="zh-CN" w:bidi="ar-SA"/>
        </w:rPr>
        <w:t>，</w:t>
      </w:r>
      <w:r>
        <w:rPr>
          <w:rFonts w:hint="eastAsia" w:ascii="宋体" w:hAnsi="宋体" w:eastAsia="宋体" w:cs="宋体"/>
          <w:b w:val="0"/>
          <w:bCs/>
          <w:kern w:val="2"/>
          <w:sz w:val="21"/>
          <w:szCs w:val="21"/>
          <w:lang w:val="en-US" w:eastAsia="zh-CN" w:bidi="ar-SA"/>
        </w:rPr>
        <w:t>无损伤</w:t>
      </w:r>
      <w:r>
        <w:rPr>
          <w:rFonts w:hint="eastAsia" w:hAnsi="宋体" w:cs="宋体"/>
          <w:b w:val="0"/>
          <w:bCs/>
          <w:kern w:val="2"/>
          <w:sz w:val="21"/>
          <w:szCs w:val="21"/>
          <w:lang w:val="en-US" w:eastAsia="zh-CN" w:bidi="ar-SA"/>
        </w:rPr>
        <w:t>、裂纹、油污</w:t>
      </w:r>
      <w:r>
        <w:rPr>
          <w:rFonts w:hint="eastAsia" w:hAnsi="宋体" w:cs="宋体"/>
          <w:b w:val="0"/>
          <w:bCs/>
          <w:color w:val="auto"/>
          <w:kern w:val="2"/>
          <w:sz w:val="21"/>
          <w:szCs w:val="21"/>
          <w:lang w:val="en-US" w:eastAsia="zh-CN" w:bidi="ar-SA"/>
        </w:rPr>
        <w:t>及锈蚀</w:t>
      </w:r>
      <w:r>
        <w:rPr>
          <w:rFonts w:hint="eastAsia" w:ascii="宋体" w:hAnsi="宋体" w:eastAsia="宋体" w:cs="宋体"/>
          <w:b w:val="0"/>
          <w:bCs/>
          <w:kern w:val="2"/>
          <w:sz w:val="21"/>
          <w:szCs w:val="21"/>
          <w:lang w:val="en-US" w:eastAsia="zh-CN" w:bidi="ar-SA"/>
        </w:rPr>
        <w:t>，钢筋的连接</w:t>
      </w:r>
      <w:r>
        <w:rPr>
          <w:rFonts w:hint="eastAsia" w:hAnsi="宋体" w:cs="宋体"/>
          <w:b w:val="0"/>
          <w:bCs/>
          <w:kern w:val="2"/>
          <w:sz w:val="21"/>
          <w:szCs w:val="21"/>
          <w:lang w:val="en-US" w:eastAsia="zh-CN" w:bidi="ar-SA"/>
        </w:rPr>
        <w:t>宜</w:t>
      </w:r>
      <w:r>
        <w:rPr>
          <w:rFonts w:hint="eastAsia" w:ascii="宋体" w:hAnsi="宋体" w:eastAsia="宋体" w:cs="宋体"/>
          <w:b w:val="0"/>
          <w:bCs/>
          <w:kern w:val="2"/>
          <w:sz w:val="21"/>
          <w:szCs w:val="21"/>
          <w:lang w:val="en-US" w:eastAsia="zh-CN" w:bidi="ar-SA"/>
        </w:rPr>
        <w:t>采用绑扎搭接方式，搭接长度不小于500mm，搭接区域应错开</w:t>
      </w:r>
      <w:r>
        <w:rPr>
          <w:rFonts w:hint="eastAsia" w:hAnsi="宋体" w:cs="宋体"/>
          <w:b w:val="0"/>
          <w:bCs/>
          <w:kern w:val="2"/>
          <w:sz w:val="21"/>
          <w:szCs w:val="21"/>
          <w:lang w:val="en-US" w:eastAsia="zh-CN" w:bidi="ar-SA"/>
        </w:rPr>
        <w:t>，安装允许偏差应符合表4.7.3的规定。</w:t>
      </w:r>
    </w:p>
    <w:p w14:paraId="56071AE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宋体" w:hAnsi="宋体" w:cs="宋体"/>
          <w:b/>
          <w:bCs/>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4.7.</w:t>
      </w:r>
      <w:r>
        <w:rPr>
          <w:rFonts w:hint="eastAsia" w:ascii="黑体" w:hAnsi="黑体" w:eastAsia="黑体" w:cs="黑体"/>
          <w:b w:val="0"/>
          <w:bCs w:val="0"/>
          <w:sz w:val="21"/>
          <w:szCs w:val="21"/>
          <w:lang w:val="en-US" w:eastAsia="zh-CN"/>
        </w:rPr>
        <w:t xml:space="preserve">3   </w:t>
      </w:r>
      <w:r>
        <w:rPr>
          <w:rFonts w:hint="eastAsia" w:ascii="黑体" w:hAnsi="黑体" w:eastAsia="黑体" w:cs="黑体"/>
          <w:b w:val="0"/>
          <w:bCs w:val="0"/>
          <w:sz w:val="21"/>
          <w:szCs w:val="21"/>
        </w:rPr>
        <w:t xml:space="preserve"> 钢筋安装允许偏差和检验方法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30"/>
        <w:gridCol w:w="1631"/>
        <w:gridCol w:w="1249"/>
        <w:gridCol w:w="2676"/>
      </w:tblGrid>
      <w:tr w14:paraId="7D135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6" w:type="dxa"/>
            <w:gridSpan w:val="2"/>
            <w:noWrap w:val="0"/>
            <w:vAlign w:val="center"/>
          </w:tcPr>
          <w:p w14:paraId="58C74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  目</w:t>
            </w:r>
          </w:p>
        </w:tc>
        <w:tc>
          <w:tcPr>
            <w:tcW w:w="1631" w:type="dxa"/>
            <w:noWrap w:val="0"/>
            <w:vAlign w:val="center"/>
          </w:tcPr>
          <w:p w14:paraId="06F96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1249" w:type="dxa"/>
            <w:noWrap w:val="0"/>
            <w:vAlign w:val="center"/>
          </w:tcPr>
          <w:p w14:paraId="40FBC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检查数量</w:t>
            </w:r>
          </w:p>
        </w:tc>
        <w:tc>
          <w:tcPr>
            <w:tcW w:w="2676" w:type="dxa"/>
            <w:noWrap w:val="0"/>
            <w:vAlign w:val="center"/>
          </w:tcPr>
          <w:p w14:paraId="679ED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14:paraId="31620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6" w:type="dxa"/>
            <w:vMerge w:val="restart"/>
            <w:noWrap w:val="0"/>
            <w:vAlign w:val="center"/>
          </w:tcPr>
          <w:p w14:paraId="672D8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钢筋</w:t>
            </w:r>
          </w:p>
        </w:tc>
        <w:tc>
          <w:tcPr>
            <w:tcW w:w="1630" w:type="dxa"/>
            <w:noWrap w:val="0"/>
            <w:vAlign w:val="center"/>
          </w:tcPr>
          <w:p w14:paraId="7EAB9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长、宽</w:t>
            </w:r>
          </w:p>
        </w:tc>
        <w:tc>
          <w:tcPr>
            <w:tcW w:w="1631" w:type="dxa"/>
            <w:noWrap w:val="0"/>
            <w:vAlign w:val="center"/>
          </w:tcPr>
          <w:p w14:paraId="1C8EF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±10</w:t>
            </w:r>
          </w:p>
        </w:tc>
        <w:tc>
          <w:tcPr>
            <w:tcW w:w="1249" w:type="dxa"/>
            <w:vMerge w:val="restart"/>
            <w:noWrap w:val="0"/>
            <w:vAlign w:val="center"/>
          </w:tcPr>
          <w:p w14:paraId="2545E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抽查10%</w:t>
            </w:r>
          </w:p>
        </w:tc>
        <w:tc>
          <w:tcPr>
            <w:tcW w:w="2676" w:type="dxa"/>
            <w:noWrap w:val="0"/>
            <w:vAlign w:val="center"/>
          </w:tcPr>
          <w:p w14:paraId="60B44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尺量</w:t>
            </w:r>
          </w:p>
        </w:tc>
      </w:tr>
      <w:tr w14:paraId="4D79D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6" w:type="dxa"/>
            <w:vMerge w:val="continue"/>
            <w:noWrap w:val="0"/>
            <w:vAlign w:val="center"/>
          </w:tcPr>
          <w:p w14:paraId="788778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p>
        </w:tc>
        <w:tc>
          <w:tcPr>
            <w:tcW w:w="1630" w:type="dxa"/>
            <w:noWrap w:val="0"/>
            <w:vAlign w:val="center"/>
          </w:tcPr>
          <w:p w14:paraId="64D16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网眼尺寸</w:t>
            </w:r>
          </w:p>
        </w:tc>
        <w:tc>
          <w:tcPr>
            <w:tcW w:w="1631" w:type="dxa"/>
            <w:noWrap w:val="0"/>
            <w:vAlign w:val="center"/>
          </w:tcPr>
          <w:p w14:paraId="3E61A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±20</w:t>
            </w:r>
          </w:p>
        </w:tc>
        <w:tc>
          <w:tcPr>
            <w:tcW w:w="1249" w:type="dxa"/>
            <w:vMerge w:val="continue"/>
            <w:noWrap w:val="0"/>
            <w:vAlign w:val="center"/>
          </w:tcPr>
          <w:p w14:paraId="781509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p>
        </w:tc>
        <w:tc>
          <w:tcPr>
            <w:tcW w:w="2676" w:type="dxa"/>
            <w:noWrap w:val="0"/>
            <w:vAlign w:val="center"/>
          </w:tcPr>
          <w:p w14:paraId="50875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尺量连续三档，取最大偏差值</w:t>
            </w:r>
          </w:p>
        </w:tc>
      </w:tr>
    </w:tbl>
    <w:p w14:paraId="1367CC92">
      <w:pPr>
        <w:pStyle w:val="4"/>
        <w:ind w:firstLine="420" w:firstLineChars="200"/>
        <w:jc w:val="left"/>
        <w:rPr>
          <w:rFonts w:hint="default" w:hAnsi="宋体" w:cs="宋体"/>
          <w:b w:val="0"/>
          <w:kern w:val="2"/>
          <w:sz w:val="24"/>
          <w:szCs w:val="24"/>
          <w:lang w:val="en-US" w:eastAsia="zh-CN" w:bidi="ar-SA"/>
        </w:rPr>
      </w:pPr>
      <w:r>
        <w:rPr>
          <w:rFonts w:hint="eastAsia" w:hAnsi="宋体" w:cs="宋体"/>
          <w:b w:val="0"/>
          <w:bCs/>
          <w:kern w:val="2"/>
          <w:sz w:val="21"/>
          <w:szCs w:val="21"/>
          <w:lang w:val="en-US" w:eastAsia="zh-CN" w:bidi="ar-SA"/>
        </w:rPr>
        <w:t>3  面层抗裂钢筋绑扎应注意绑丝长度合理，绑扣方向应位于钢筋下表面，避免后续混凝土浇筑完成出现绑丝浮出混凝土面层的现象。</w:t>
      </w:r>
    </w:p>
    <w:p w14:paraId="4A47A179">
      <w:pPr>
        <w:pStyle w:val="4"/>
        <w:jc w:val="left"/>
        <w:rPr>
          <w:rFonts w:hint="default" w:hAnsi="宋体" w:cs="宋体"/>
          <w:b w:val="0"/>
          <w:bCs/>
          <w:kern w:val="2"/>
          <w:sz w:val="21"/>
          <w:szCs w:val="21"/>
          <w:lang w:val="en-US" w:eastAsia="zh-CN" w:bidi="ar-SA"/>
        </w:rPr>
      </w:pPr>
      <w:r>
        <w:rPr>
          <w:rFonts w:hint="eastAsia" w:hAnsi="宋体" w:cs="宋体"/>
          <w:b w:val="0"/>
          <w:bCs w:val="0"/>
          <w:kern w:val="2"/>
          <w:sz w:val="21"/>
          <w:szCs w:val="21"/>
          <w:lang w:val="en-US" w:eastAsia="zh-CN" w:bidi="ar-SA"/>
        </w:rPr>
        <w:t>4.7.4</w:t>
      </w:r>
      <w:r>
        <w:rPr>
          <w:rFonts w:hint="eastAsia" w:hAnsi="宋体" w:cs="宋体"/>
          <w:b/>
          <w:bCs/>
          <w:kern w:val="2"/>
          <w:sz w:val="21"/>
          <w:szCs w:val="21"/>
          <w:lang w:val="en-US" w:eastAsia="zh-CN" w:bidi="ar-SA"/>
        </w:rPr>
        <w:t xml:space="preserve">  </w:t>
      </w:r>
      <w:r>
        <w:rPr>
          <w:rFonts w:hint="eastAsia" w:hAnsi="宋体" w:cs="宋体"/>
          <w:b w:val="0"/>
          <w:bCs/>
          <w:kern w:val="2"/>
          <w:sz w:val="21"/>
          <w:szCs w:val="21"/>
          <w:lang w:val="en-US" w:eastAsia="zh-CN" w:bidi="ar-SA"/>
        </w:rPr>
        <w:t>制冷层混凝土浇筑应该在制冷层内管道打压完毕，且管道、钢筋隐蔽验收合格后方可进行。</w:t>
      </w:r>
    </w:p>
    <w:p w14:paraId="70570BF6">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4.7.5  制冷层应按照设计分区进行浇筑，同一分区应不间断连续浇筑。</w:t>
      </w:r>
    </w:p>
    <w:p w14:paraId="795E8643">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4.7.6  面层的抹平工作应在水泥初凝前完成，压光工作应在水泥终凝前完成。</w:t>
      </w:r>
    </w:p>
    <w:p w14:paraId="76F0DACB">
      <w:pPr>
        <w:pStyle w:val="4"/>
        <w:jc w:val="left"/>
        <w:rPr>
          <w:rFonts w:hint="eastAsia" w:ascii="宋体" w:hAnsi="宋体" w:cs="宋体"/>
          <w:b/>
          <w:bCs/>
          <w:sz w:val="24"/>
          <w:lang w:val="en-US" w:eastAsia="zh-CN"/>
        </w:rPr>
      </w:pPr>
      <w:r>
        <w:rPr>
          <w:rFonts w:hint="eastAsia" w:hAnsi="宋体" w:cs="宋体"/>
          <w:b w:val="0"/>
          <w:bCs w:val="0"/>
          <w:kern w:val="2"/>
          <w:sz w:val="21"/>
          <w:szCs w:val="21"/>
          <w:lang w:val="en-US" w:eastAsia="zh-CN" w:bidi="ar-SA"/>
        </w:rPr>
        <w:t>4.7.7  不同区域间应留有伸缩缝，并应符合下列要求：</w:t>
      </w:r>
    </w:p>
    <w:p w14:paraId="1BD34EB1">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r>
        <w:rPr>
          <w:rFonts w:hint="eastAsia" w:hAnsi="宋体" w:cs="宋体"/>
          <w:b w:val="0"/>
          <w:bCs/>
          <w:kern w:val="2"/>
          <w:sz w:val="21"/>
          <w:szCs w:val="21"/>
          <w:lang w:val="en-US" w:eastAsia="zh-CN" w:bidi="ar-SA"/>
        </w:rPr>
        <w:t xml:space="preserve">  </w:t>
      </w:r>
      <w:r>
        <w:rPr>
          <w:rFonts w:hint="eastAsia" w:ascii="宋体" w:hAnsi="宋体" w:eastAsia="宋体" w:cs="宋体"/>
          <w:b w:val="0"/>
          <w:bCs/>
          <w:kern w:val="2"/>
          <w:sz w:val="21"/>
          <w:szCs w:val="21"/>
          <w:lang w:val="en-US" w:eastAsia="zh-CN" w:bidi="ar-SA"/>
        </w:rPr>
        <w:t>伸缩缝材质及细部构造应符合设计要求；</w:t>
      </w:r>
    </w:p>
    <w:p w14:paraId="403C1A73">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2伸缩缝构造及材质应具有符合设计要求的收缩和拉伸余量的抗变形能力；</w:t>
      </w:r>
    </w:p>
    <w:p w14:paraId="412DA899">
      <w:pPr>
        <w:keepNext w:val="0"/>
        <w:keepLines w:val="0"/>
        <w:pageBreakBefore w:val="0"/>
        <w:widowControl w:val="0"/>
        <w:kinsoku/>
        <w:wordWrap/>
        <w:overflowPunct/>
        <w:topLinePunct w:val="0"/>
        <w:autoSpaceDE/>
        <w:autoSpaceDN/>
        <w:bidi w:val="0"/>
        <w:snapToGrid w:val="0"/>
        <w:ind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3伸缩缝间距应符合设计要求，且偏差不大于10%。</w:t>
      </w:r>
    </w:p>
    <w:p w14:paraId="3F7C20E5">
      <w:pPr>
        <w:pStyle w:val="4"/>
        <w:jc w:val="left"/>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4.7.8  制冷层浇筑完成，养护时间不应少于28d；抗压强度应达到5MPa后，方准上人行走；抗压强度应达到混凝土设计强度的70%后，方可安装重型设备；抗压强度应达到设计要求后，方可正常使用。</w:t>
      </w:r>
    </w:p>
    <w:p w14:paraId="631EC812">
      <w:pPr>
        <w:pStyle w:val="4"/>
        <w:jc w:val="left"/>
        <w:rPr>
          <w:rFonts w:hint="eastAsia" w:ascii="宋体" w:hAnsi="宋体" w:cs="宋体"/>
          <w:color w:val="FF0000"/>
          <w:sz w:val="24"/>
        </w:rPr>
      </w:pPr>
      <w:bookmarkStart w:id="59" w:name="_Toc2466"/>
      <w:r>
        <w:rPr>
          <w:rFonts w:hint="eastAsia" w:hAnsi="宋体" w:cs="宋体"/>
          <w:b w:val="0"/>
          <w:bCs w:val="0"/>
          <w:kern w:val="2"/>
          <w:sz w:val="21"/>
          <w:szCs w:val="21"/>
          <w:lang w:val="en-US" w:eastAsia="zh-CN" w:bidi="ar-SA"/>
        </w:rPr>
        <w:t xml:space="preserve">4.7.9 </w:t>
      </w:r>
      <w:bookmarkEnd w:id="59"/>
      <w:r>
        <w:rPr>
          <w:rFonts w:hint="eastAsia" w:hAnsi="宋体" w:cs="宋体"/>
          <w:b w:val="0"/>
          <w:bCs w:val="0"/>
          <w:kern w:val="2"/>
          <w:sz w:val="21"/>
          <w:szCs w:val="21"/>
          <w:lang w:val="en-US" w:eastAsia="zh-CN" w:bidi="ar-SA"/>
        </w:rPr>
        <w:t xml:space="preserve"> 制冷层面层的平整度为5m范围内允许偏差±5mm。</w:t>
      </w:r>
    </w:p>
    <w:p w14:paraId="35B2620B">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jc w:val="center"/>
        <w:textAlignment w:val="auto"/>
        <w:rPr>
          <w:rFonts w:hint="default" w:ascii="宋体" w:hAnsi="宋体" w:eastAsia="宋体" w:cs="宋体"/>
          <w:sz w:val="24"/>
          <w:szCs w:val="24"/>
          <w:lang w:val="en-US" w:eastAsia="zh-CN"/>
        </w:rPr>
      </w:pPr>
      <w:bookmarkStart w:id="60" w:name="_Toc9173"/>
      <w:bookmarkStart w:id="61" w:name="_Toc23707"/>
      <w:bookmarkStart w:id="62" w:name="_Toc18476"/>
      <w:r>
        <w:rPr>
          <w:rFonts w:hint="eastAsia" w:ascii="黑体" w:hAnsi="黑体" w:eastAsia="黑体" w:cs="黑体"/>
          <w:b w:val="0"/>
          <w:bCs w:val="0"/>
          <w:kern w:val="0"/>
          <w:sz w:val="21"/>
          <w:szCs w:val="21"/>
          <w:lang w:val="en-US" w:eastAsia="zh-CN"/>
        </w:rPr>
        <w:t>4.8  装配式</w:t>
      </w:r>
      <w:bookmarkEnd w:id="60"/>
      <w:bookmarkEnd w:id="61"/>
      <w:r>
        <w:rPr>
          <w:rFonts w:hint="eastAsia" w:ascii="黑体" w:hAnsi="黑体" w:eastAsia="黑体" w:cs="黑体"/>
          <w:b w:val="0"/>
          <w:bCs w:val="0"/>
          <w:kern w:val="0"/>
          <w:sz w:val="21"/>
          <w:szCs w:val="21"/>
          <w:lang w:val="en-US" w:eastAsia="zh-CN"/>
        </w:rPr>
        <w:t>制冰板</w:t>
      </w:r>
      <w:bookmarkEnd w:id="62"/>
    </w:p>
    <w:p w14:paraId="7BB6A276">
      <w:pPr>
        <w:adjustRightInd w:val="0"/>
        <w:snapToGrid w:val="0"/>
        <w:spacing w:line="360" w:lineRule="auto"/>
        <w:ind w:left="0" w:leftChars="0" w:firstLine="0" w:firstLineChars="0"/>
        <w:jc w:val="left"/>
        <w:rPr>
          <w:rFonts w:hint="default" w:ascii="宋体" w:hAnsi="宋体" w:eastAsia="宋体" w:cs="宋体"/>
          <w:b w:val="0"/>
          <w:bCs w:val="0"/>
          <w:sz w:val="21"/>
          <w:szCs w:val="21"/>
          <w:lang w:val="en-US" w:eastAsia="zh-CN"/>
        </w:rPr>
      </w:pPr>
      <w:bookmarkStart w:id="63" w:name="_Toc22099"/>
      <w:r>
        <w:rPr>
          <w:rFonts w:hint="eastAsia" w:ascii="宋体" w:hAnsi="宋体" w:eastAsia="宋体" w:cs="宋体"/>
          <w:b w:val="0"/>
          <w:bCs w:val="0"/>
          <w:sz w:val="21"/>
          <w:szCs w:val="21"/>
        </w:rPr>
        <w:t>4.8.</w:t>
      </w:r>
      <w:bookmarkStart w:id="64" w:name="_Hlk86138986"/>
      <w:r>
        <w:rPr>
          <w:rFonts w:hint="eastAsia" w:ascii="宋体" w:hAnsi="宋体" w:eastAsia="宋体" w:cs="宋体"/>
          <w:b w:val="0"/>
          <w:bCs w:val="0"/>
          <w:sz w:val="21"/>
          <w:szCs w:val="21"/>
        </w:rPr>
        <w:t>1</w:t>
      </w:r>
      <w:bookmarkEnd w:id="63"/>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制冰板材料应符合下列要求：</w:t>
      </w:r>
    </w:p>
    <w:p w14:paraId="6B6F62A3">
      <w:pPr>
        <w:spacing w:line="360" w:lineRule="auto"/>
        <w:jc w:val="left"/>
        <w:rPr>
          <w:rFonts w:ascii="宋体" w:hAnsi="宋体" w:eastAsia="宋体" w:cs="宋体"/>
          <w:b w:val="0"/>
          <w:bCs w:val="0"/>
          <w:sz w:val="21"/>
          <w:szCs w:val="21"/>
        </w:rPr>
      </w:pPr>
      <w:bookmarkStart w:id="65" w:name="_Toc18642"/>
      <w:r>
        <w:rPr>
          <w:rFonts w:hint="eastAsia" w:ascii="宋体" w:hAnsi="宋体" w:eastAsia="宋体" w:cs="宋体"/>
          <w:b w:val="0"/>
          <w:bCs w:val="0"/>
          <w:sz w:val="21"/>
          <w:szCs w:val="21"/>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w:t>
      </w:r>
      <w:r>
        <w:rPr>
          <w:rFonts w:hint="eastAsia" w:ascii="宋体" w:hAnsi="宋体" w:eastAsia="宋体" w:cs="宋体"/>
          <w:b w:val="0"/>
          <w:bCs w:val="0"/>
          <w:sz w:val="21"/>
          <w:szCs w:val="21"/>
        </w:rPr>
        <w:t>造宜选用高强度合金铝材料。</w:t>
      </w:r>
      <w:bookmarkEnd w:id="65"/>
    </w:p>
    <w:p w14:paraId="465DDD0A">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制冰板内制冷管</w:t>
      </w:r>
      <w:r>
        <w:rPr>
          <w:rFonts w:hint="eastAsia" w:ascii="宋体" w:hAnsi="宋体" w:eastAsia="宋体" w:cs="宋体"/>
          <w:b w:val="0"/>
          <w:bCs w:val="0"/>
          <w:sz w:val="21"/>
          <w:szCs w:val="21"/>
        </w:rPr>
        <w:t>承压应满足</w:t>
      </w:r>
      <w:r>
        <w:rPr>
          <w:rFonts w:hint="eastAsia" w:hAnsi="宋体" w:cs="宋体"/>
          <w:b w:val="0"/>
          <w:bCs w:val="0"/>
          <w:sz w:val="21"/>
          <w:szCs w:val="21"/>
          <w:lang w:val="en-US" w:eastAsia="zh-CN"/>
        </w:rPr>
        <w:t>制冰工艺设计要求</w:t>
      </w:r>
      <w:r>
        <w:rPr>
          <w:rFonts w:hint="eastAsia" w:ascii="宋体" w:hAnsi="宋体" w:eastAsia="宋体" w:cs="宋体"/>
          <w:b w:val="0"/>
          <w:bCs w:val="0"/>
          <w:sz w:val="21"/>
          <w:szCs w:val="21"/>
        </w:rPr>
        <w:t>。</w:t>
      </w:r>
    </w:p>
    <w:p w14:paraId="3DDEC1AD">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3</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w:t>
      </w:r>
      <w:r>
        <w:rPr>
          <w:rFonts w:hint="eastAsia" w:ascii="宋体" w:hAnsi="宋体" w:eastAsia="宋体" w:cs="宋体"/>
          <w:b w:val="0"/>
          <w:bCs w:val="0"/>
          <w:sz w:val="21"/>
          <w:szCs w:val="21"/>
        </w:rPr>
        <w:t>荷载</w:t>
      </w:r>
      <w:r>
        <w:rPr>
          <w:rFonts w:hint="eastAsia" w:hAnsi="宋体" w:cs="宋体"/>
          <w:b w:val="0"/>
          <w:bCs w:val="0"/>
          <w:sz w:val="21"/>
          <w:szCs w:val="21"/>
          <w:lang w:val="en-US" w:eastAsia="zh-CN"/>
        </w:rPr>
        <w:t>应</w:t>
      </w:r>
      <w:r>
        <w:rPr>
          <w:rFonts w:hint="eastAsia" w:ascii="宋体" w:hAnsi="宋体" w:eastAsia="宋体" w:cs="宋体"/>
          <w:b w:val="0"/>
          <w:bCs w:val="0"/>
          <w:sz w:val="21"/>
          <w:szCs w:val="21"/>
        </w:rPr>
        <w:t>≥600kg/㎡，</w:t>
      </w:r>
      <w:r>
        <w:rPr>
          <w:rFonts w:hint="eastAsia" w:hAnsi="宋体" w:cs="宋体"/>
          <w:b w:val="0"/>
          <w:bCs w:val="0"/>
          <w:sz w:val="21"/>
          <w:szCs w:val="21"/>
          <w:lang w:val="en-US" w:eastAsia="zh-CN"/>
        </w:rPr>
        <w:t>且应满足</w:t>
      </w:r>
      <w:r>
        <w:rPr>
          <w:rFonts w:hint="eastAsia" w:ascii="宋体" w:hAnsi="宋体" w:eastAsia="宋体" w:cs="宋体"/>
          <w:b w:val="0"/>
          <w:bCs w:val="0"/>
          <w:sz w:val="21"/>
          <w:szCs w:val="21"/>
        </w:rPr>
        <w:t>冰车冰面行驶所需荷载。</w:t>
      </w:r>
    </w:p>
    <w:p w14:paraId="24F822D5">
      <w:pPr>
        <w:spacing w:line="360" w:lineRule="auto"/>
        <w:jc w:val="left"/>
        <w:rPr>
          <w:rFonts w:ascii="宋体" w:hAnsi="宋体" w:eastAsia="宋体" w:cs="宋体"/>
          <w:b w:val="0"/>
          <w:bCs w:val="0"/>
          <w:sz w:val="21"/>
          <w:szCs w:val="21"/>
        </w:rPr>
      </w:pPr>
      <w:r>
        <w:rPr>
          <w:rFonts w:hint="eastAsia" w:ascii="宋体" w:hAnsi="宋体" w:eastAsia="宋体" w:cs="宋体"/>
          <w:b w:val="0"/>
          <w:bCs w:val="0"/>
          <w:sz w:val="21"/>
          <w:szCs w:val="21"/>
        </w:rPr>
        <w:t>4</w:t>
      </w:r>
      <w:r>
        <w:rPr>
          <w:rFonts w:hint="eastAsia" w:hAnsi="宋体" w:cs="宋体"/>
          <w:b w:val="0"/>
          <w:bCs w:val="0"/>
          <w:sz w:val="21"/>
          <w:szCs w:val="21"/>
          <w:lang w:val="en-US" w:eastAsia="zh-CN"/>
        </w:rPr>
        <w:t xml:space="preserve">  装配式</w:t>
      </w:r>
      <w:r>
        <w:rPr>
          <w:rFonts w:hint="eastAsia" w:ascii="宋体" w:hAnsi="宋体" w:eastAsia="宋体" w:cs="宋体"/>
          <w:b w:val="0"/>
          <w:bCs w:val="0"/>
          <w:sz w:val="21"/>
          <w:szCs w:val="21"/>
        </w:rPr>
        <w:t>制冰板保温</w:t>
      </w:r>
      <w:r>
        <w:rPr>
          <w:rFonts w:hint="eastAsia" w:hAnsi="宋体" w:cs="宋体"/>
          <w:b w:val="0"/>
          <w:bCs w:val="0"/>
          <w:sz w:val="21"/>
          <w:szCs w:val="21"/>
          <w:lang w:val="en-US" w:eastAsia="zh-CN"/>
        </w:rPr>
        <w:t>宜采用</w:t>
      </w:r>
      <w:r>
        <w:rPr>
          <w:rFonts w:hint="eastAsia" w:ascii="宋体" w:hAnsi="宋体" w:eastAsia="宋体" w:cs="宋体"/>
          <w:b w:val="0"/>
          <w:bCs w:val="0"/>
          <w:sz w:val="21"/>
          <w:szCs w:val="21"/>
        </w:rPr>
        <w:t>聚氨酯发泡或挤塑板，</w:t>
      </w:r>
      <w:r>
        <w:rPr>
          <w:rFonts w:hint="eastAsia" w:hAnsi="宋体" w:cs="宋体"/>
          <w:b w:val="0"/>
          <w:bCs w:val="0"/>
          <w:sz w:val="21"/>
          <w:szCs w:val="21"/>
          <w:lang w:val="en-US" w:eastAsia="zh-CN"/>
        </w:rPr>
        <w:t>且应确保</w:t>
      </w:r>
      <w:r>
        <w:rPr>
          <w:rFonts w:hint="eastAsia" w:ascii="宋体" w:hAnsi="宋体" w:eastAsia="宋体" w:cs="宋体"/>
          <w:b w:val="0"/>
          <w:bCs w:val="0"/>
          <w:sz w:val="21"/>
          <w:szCs w:val="21"/>
        </w:rPr>
        <w:t>冰板下方温度</w:t>
      </w:r>
      <w:r>
        <w:rPr>
          <w:rFonts w:hint="eastAsia" w:hAnsi="宋体" w:cs="宋体"/>
          <w:b w:val="0"/>
          <w:bCs w:val="0"/>
          <w:sz w:val="21"/>
          <w:szCs w:val="21"/>
          <w:lang w:val="en-US" w:eastAsia="zh-CN"/>
        </w:rPr>
        <w:t>为</w:t>
      </w:r>
      <w:r>
        <w:rPr>
          <w:rFonts w:hint="eastAsia" w:ascii="宋体" w:hAnsi="宋体" w:eastAsia="宋体" w:cs="宋体"/>
          <w:b w:val="0"/>
          <w:bCs w:val="0"/>
          <w:sz w:val="21"/>
          <w:szCs w:val="21"/>
        </w:rPr>
        <w:t>0℃以下。</w:t>
      </w:r>
    </w:p>
    <w:bookmarkEnd w:id="64"/>
    <w:p w14:paraId="38A2DA34">
      <w:pPr>
        <w:adjustRightInd w:val="0"/>
        <w:snapToGrid w:val="0"/>
        <w:spacing w:line="360" w:lineRule="auto"/>
        <w:ind w:left="0" w:leftChars="0" w:firstLine="0" w:firstLineChars="0"/>
        <w:jc w:val="left"/>
        <w:rPr>
          <w:rFonts w:ascii="宋体" w:hAnsi="宋体" w:eastAsia="宋体" w:cs="宋体"/>
          <w:b w:val="0"/>
          <w:bCs w:val="0"/>
          <w:sz w:val="21"/>
          <w:szCs w:val="21"/>
        </w:rPr>
      </w:pPr>
      <w:bookmarkStart w:id="66" w:name="_Toc12991"/>
      <w:r>
        <w:rPr>
          <w:rFonts w:hint="eastAsia" w:ascii="宋体" w:hAnsi="宋体" w:eastAsia="宋体" w:cs="宋体"/>
          <w:b w:val="0"/>
          <w:bCs w:val="0"/>
          <w:sz w:val="21"/>
          <w:szCs w:val="21"/>
        </w:rPr>
        <w:t>4.8.2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w:t>
      </w:r>
      <w:r>
        <w:rPr>
          <w:rFonts w:hint="eastAsia" w:hAnsi="宋体" w:cs="宋体"/>
          <w:b w:val="0"/>
          <w:bCs w:val="0"/>
          <w:sz w:val="21"/>
          <w:szCs w:val="21"/>
          <w:lang w:val="en-US" w:eastAsia="zh-CN"/>
        </w:rPr>
        <w:t>制冰板单块尺寸</w:t>
      </w:r>
      <w:r>
        <w:rPr>
          <w:rFonts w:hint="eastAsia" w:ascii="宋体" w:hAnsi="宋体" w:eastAsia="宋体" w:cs="宋体"/>
          <w:b w:val="0"/>
          <w:bCs w:val="0"/>
          <w:sz w:val="21"/>
          <w:szCs w:val="21"/>
        </w:rPr>
        <w:t>应</w:t>
      </w:r>
      <w:bookmarkEnd w:id="66"/>
      <w:r>
        <w:rPr>
          <w:rFonts w:hint="eastAsia" w:ascii="宋体" w:hAnsi="宋体" w:eastAsia="宋体" w:cs="宋体"/>
          <w:b w:val="0"/>
          <w:bCs w:val="0"/>
          <w:sz w:val="21"/>
          <w:szCs w:val="21"/>
        </w:rPr>
        <w:t>根据不同冰面规格</w:t>
      </w:r>
      <w:r>
        <w:rPr>
          <w:rFonts w:hint="eastAsia" w:hAnsi="宋体" w:cs="宋体"/>
          <w:b w:val="0"/>
          <w:bCs w:val="0"/>
          <w:sz w:val="21"/>
          <w:szCs w:val="21"/>
          <w:lang w:val="en-US" w:eastAsia="zh-CN"/>
        </w:rPr>
        <w:t>进行设计</w:t>
      </w:r>
      <w:r>
        <w:rPr>
          <w:rFonts w:hint="eastAsia" w:ascii="宋体" w:hAnsi="宋体" w:eastAsia="宋体" w:cs="宋体"/>
          <w:b w:val="0"/>
          <w:bCs w:val="0"/>
          <w:sz w:val="21"/>
          <w:szCs w:val="21"/>
        </w:rPr>
        <w:t>，单块</w:t>
      </w:r>
      <w:r>
        <w:rPr>
          <w:rFonts w:hint="eastAsia" w:hAnsi="宋体" w:cs="宋体"/>
          <w:b w:val="0"/>
          <w:bCs w:val="0"/>
          <w:sz w:val="21"/>
          <w:szCs w:val="21"/>
          <w:lang w:val="en-US" w:eastAsia="zh-CN"/>
        </w:rPr>
        <w:t>制冰板造</w:t>
      </w:r>
      <w:r>
        <w:rPr>
          <w:rFonts w:hint="eastAsia" w:ascii="宋体" w:hAnsi="宋体" w:eastAsia="宋体" w:cs="宋体"/>
          <w:b w:val="0"/>
          <w:bCs w:val="0"/>
          <w:sz w:val="21"/>
          <w:szCs w:val="21"/>
        </w:rPr>
        <w:t>规格尺寸宜</w:t>
      </w:r>
      <w:r>
        <w:rPr>
          <w:rFonts w:hint="eastAsia" w:hAnsi="宋体" w:cs="宋体"/>
          <w:b w:val="0"/>
          <w:bCs w:val="0"/>
          <w:sz w:val="21"/>
          <w:szCs w:val="21"/>
          <w:lang w:val="en-US" w:eastAsia="zh-CN"/>
        </w:rPr>
        <w:t>为</w:t>
      </w:r>
      <w:r>
        <w:rPr>
          <w:rFonts w:hint="eastAsia" w:ascii="宋体" w:hAnsi="宋体" w:eastAsia="宋体" w:cs="宋体"/>
          <w:b w:val="0"/>
          <w:bCs w:val="0"/>
          <w:sz w:val="21"/>
          <w:szCs w:val="21"/>
        </w:rPr>
        <w:t>：长≥60</w:t>
      </w:r>
      <w:r>
        <w:rPr>
          <w:rFonts w:ascii="宋体" w:hAnsi="宋体" w:eastAsia="宋体" w:cs="宋体"/>
          <w:b w:val="0"/>
          <w:bCs w:val="0"/>
          <w:sz w:val="21"/>
          <w:szCs w:val="21"/>
        </w:rPr>
        <w:t>0</w:t>
      </w:r>
      <w:r>
        <w:rPr>
          <w:rFonts w:hint="eastAsia" w:ascii="宋体" w:hAnsi="宋体" w:eastAsia="宋体" w:cs="宋体"/>
          <w:b w:val="0"/>
          <w:bCs w:val="0"/>
          <w:sz w:val="21"/>
          <w:szCs w:val="21"/>
        </w:rPr>
        <w:t>0mm</w:t>
      </w:r>
      <w:r>
        <w:rPr>
          <w:rFonts w:hint="eastAsia" w:hAnsi="宋体" w:cs="宋体"/>
          <w:b w:val="0"/>
          <w:bCs w:val="0"/>
          <w:sz w:val="21"/>
          <w:szCs w:val="21"/>
          <w:lang w:eastAsia="zh-CN"/>
        </w:rPr>
        <w:t>、</w:t>
      </w:r>
      <w:r>
        <w:rPr>
          <w:rFonts w:hint="eastAsia" w:ascii="宋体" w:hAnsi="宋体" w:eastAsia="宋体" w:cs="宋体"/>
          <w:b w:val="0"/>
          <w:bCs w:val="0"/>
          <w:sz w:val="21"/>
          <w:szCs w:val="21"/>
        </w:rPr>
        <w:t>宽≥800mm</w:t>
      </w:r>
      <w:r>
        <w:rPr>
          <w:rFonts w:hint="eastAsia" w:hAnsi="宋体" w:cs="宋体"/>
          <w:b w:val="0"/>
          <w:bCs w:val="0"/>
          <w:sz w:val="21"/>
          <w:szCs w:val="21"/>
          <w:lang w:eastAsia="zh-CN"/>
        </w:rPr>
        <w:t>、</w:t>
      </w:r>
      <w:r>
        <w:rPr>
          <w:rFonts w:hint="eastAsia" w:ascii="宋体" w:hAnsi="宋体" w:eastAsia="宋体" w:cs="宋体"/>
          <w:b w:val="0"/>
          <w:bCs w:val="0"/>
          <w:sz w:val="21"/>
          <w:szCs w:val="21"/>
        </w:rPr>
        <w:t>高≥150mm</w:t>
      </w:r>
      <w:r>
        <w:rPr>
          <w:rFonts w:hint="eastAsia" w:hAnsi="宋体" w:cs="宋体"/>
          <w:b w:val="0"/>
          <w:bCs w:val="0"/>
          <w:sz w:val="21"/>
          <w:szCs w:val="21"/>
          <w:lang w:eastAsia="zh-CN"/>
        </w:rPr>
        <w:t>。</w:t>
      </w:r>
      <w:r>
        <w:rPr>
          <w:rFonts w:hint="eastAsia" w:ascii="宋体" w:hAnsi="宋体" w:eastAsia="宋体" w:cs="宋体"/>
          <w:b w:val="0"/>
          <w:bCs w:val="0"/>
          <w:sz w:val="21"/>
          <w:szCs w:val="21"/>
        </w:rPr>
        <w:t>奥林匹克标准冰场规格所需</w:t>
      </w:r>
      <w:r>
        <w:rPr>
          <w:rFonts w:hint="eastAsia" w:hAnsi="宋体" w:cs="宋体"/>
          <w:b w:val="0"/>
          <w:bCs w:val="0"/>
          <w:sz w:val="21"/>
          <w:szCs w:val="21"/>
          <w:lang w:val="en-US" w:eastAsia="zh-CN"/>
        </w:rPr>
        <w:t>制冰板数量应</w:t>
      </w:r>
      <w:r>
        <w:rPr>
          <w:rFonts w:hint="eastAsia" w:ascii="宋体" w:hAnsi="宋体" w:eastAsia="宋体" w:cs="宋体"/>
          <w:b w:val="0"/>
          <w:bCs w:val="0"/>
          <w:sz w:val="21"/>
          <w:szCs w:val="21"/>
        </w:rPr>
        <w:t>≤3</w:t>
      </w:r>
      <w:r>
        <w:rPr>
          <w:rFonts w:ascii="宋体" w:hAnsi="宋体" w:eastAsia="宋体" w:cs="宋体"/>
          <w:b w:val="0"/>
          <w:bCs w:val="0"/>
          <w:sz w:val="21"/>
          <w:szCs w:val="21"/>
        </w:rPr>
        <w:t>78</w:t>
      </w:r>
      <w:r>
        <w:rPr>
          <w:rFonts w:hint="eastAsia" w:ascii="宋体" w:hAnsi="宋体" w:eastAsia="宋体" w:cs="宋体"/>
          <w:b w:val="0"/>
          <w:bCs w:val="0"/>
          <w:sz w:val="21"/>
          <w:szCs w:val="21"/>
        </w:rPr>
        <w:t>块。</w:t>
      </w:r>
    </w:p>
    <w:p w14:paraId="6D113FE3">
      <w:pPr>
        <w:spacing w:line="360" w:lineRule="auto"/>
        <w:ind w:left="0" w:leftChars="0" w:firstLine="0" w:firstLineChars="0"/>
        <w:jc w:val="left"/>
        <w:rPr>
          <w:rFonts w:ascii="宋体" w:hAnsi="宋体" w:eastAsia="宋体" w:cs="宋体"/>
          <w:sz w:val="24"/>
          <w:szCs w:val="24"/>
        </w:rPr>
      </w:pPr>
      <w:bookmarkStart w:id="67" w:name="_Toc5295"/>
      <w:r>
        <w:rPr>
          <w:rFonts w:hint="eastAsia" w:hAnsi="宋体" w:cs="宋体"/>
          <w:b w:val="0"/>
          <w:bCs w:val="0"/>
          <w:sz w:val="21"/>
          <w:szCs w:val="21"/>
          <w:lang w:val="en-US" w:eastAsia="zh-CN"/>
        </w:rPr>
        <w:t>4.8.3  制冰板组装完毕，</w:t>
      </w:r>
      <w:r>
        <w:rPr>
          <w:rFonts w:hint="eastAsia" w:ascii="宋体" w:hAnsi="宋体" w:eastAsia="宋体" w:cs="宋体"/>
          <w:b w:val="0"/>
          <w:bCs w:val="0"/>
          <w:sz w:val="21"/>
          <w:szCs w:val="21"/>
        </w:rPr>
        <w:t>平整度要求和检验方法应</w:t>
      </w:r>
      <w:r>
        <w:rPr>
          <w:rFonts w:hint="eastAsia" w:hAnsi="宋体" w:cs="宋体"/>
          <w:b w:val="0"/>
          <w:bCs w:val="0"/>
          <w:sz w:val="21"/>
          <w:szCs w:val="21"/>
          <w:lang w:val="en-US" w:eastAsia="zh-CN"/>
        </w:rPr>
        <w:t>符合表</w:t>
      </w:r>
      <w:r>
        <w:rPr>
          <w:rFonts w:hint="eastAsia" w:ascii="宋体" w:hAnsi="宋体" w:eastAsia="宋体" w:cs="宋体"/>
          <w:b w:val="0"/>
          <w:bCs w:val="0"/>
          <w:sz w:val="21"/>
          <w:szCs w:val="21"/>
        </w:rPr>
        <w:t>4.8.3的规定。</w:t>
      </w:r>
      <w:bookmarkEnd w:id="67"/>
    </w:p>
    <w:p w14:paraId="5ABF9D7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4.8.3</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冰板平整度要求和检验方法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982"/>
        <w:gridCol w:w="1552"/>
        <w:gridCol w:w="4097"/>
      </w:tblGrid>
      <w:tr w14:paraId="088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tcBorders>
              <w:top w:val="single" w:color="auto" w:sz="12" w:space="0"/>
              <w:left w:val="single" w:color="auto" w:sz="12" w:space="0"/>
            </w:tcBorders>
            <w:vAlign w:val="center"/>
          </w:tcPr>
          <w:p w14:paraId="3A7A5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项次</w:t>
            </w:r>
          </w:p>
        </w:tc>
        <w:tc>
          <w:tcPr>
            <w:tcW w:w="1982" w:type="dxa"/>
            <w:tcBorders>
              <w:top w:val="single" w:color="auto" w:sz="12" w:space="0"/>
            </w:tcBorders>
            <w:vAlign w:val="center"/>
          </w:tcPr>
          <w:p w14:paraId="19F60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项  目</w:t>
            </w:r>
          </w:p>
        </w:tc>
        <w:tc>
          <w:tcPr>
            <w:tcW w:w="1552" w:type="dxa"/>
            <w:tcBorders>
              <w:top w:val="single" w:color="auto" w:sz="12" w:space="0"/>
            </w:tcBorders>
            <w:vAlign w:val="center"/>
          </w:tcPr>
          <w:p w14:paraId="639C8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允许偏差(mm)</w:t>
            </w:r>
          </w:p>
        </w:tc>
        <w:tc>
          <w:tcPr>
            <w:tcW w:w="4097" w:type="dxa"/>
            <w:tcBorders>
              <w:top w:val="single" w:color="auto" w:sz="12" w:space="0"/>
              <w:right w:val="single" w:color="auto" w:sz="12" w:space="0"/>
            </w:tcBorders>
            <w:vAlign w:val="center"/>
          </w:tcPr>
          <w:p w14:paraId="633CA6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检验方法</w:t>
            </w:r>
          </w:p>
        </w:tc>
      </w:tr>
      <w:tr w14:paraId="1CA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tcBorders>
              <w:left w:val="single" w:color="auto" w:sz="12" w:space="0"/>
              <w:bottom w:val="single" w:color="auto" w:sz="12" w:space="0"/>
            </w:tcBorders>
            <w:vAlign w:val="center"/>
          </w:tcPr>
          <w:p w14:paraId="71124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1</w:t>
            </w:r>
          </w:p>
        </w:tc>
        <w:tc>
          <w:tcPr>
            <w:tcW w:w="1982" w:type="dxa"/>
            <w:tcBorders>
              <w:bottom w:val="single" w:color="auto" w:sz="12" w:space="0"/>
            </w:tcBorders>
            <w:vAlign w:val="center"/>
          </w:tcPr>
          <w:p w14:paraId="3E3D3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表面平整度</w:t>
            </w:r>
          </w:p>
        </w:tc>
        <w:tc>
          <w:tcPr>
            <w:tcW w:w="1552" w:type="dxa"/>
            <w:tcBorders>
              <w:bottom w:val="single" w:color="auto" w:sz="12" w:space="0"/>
            </w:tcBorders>
            <w:vAlign w:val="center"/>
          </w:tcPr>
          <w:p w14:paraId="67560E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±2mm</w:t>
            </w:r>
          </w:p>
        </w:tc>
        <w:tc>
          <w:tcPr>
            <w:tcW w:w="4097" w:type="dxa"/>
            <w:tcBorders>
              <w:bottom w:val="single" w:color="auto" w:sz="12" w:space="0"/>
              <w:right w:val="single" w:color="auto" w:sz="12" w:space="0"/>
            </w:tcBorders>
            <w:vAlign w:val="center"/>
          </w:tcPr>
          <w:p w14:paraId="2F66D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sz w:val="18"/>
                <w:szCs w:val="18"/>
              </w:rPr>
            </w:pPr>
            <w:r>
              <w:rPr>
                <w:rFonts w:hint="eastAsia" w:ascii="宋体" w:hAnsi="宋体" w:eastAsia="宋体" w:cs="宋体"/>
                <w:sz w:val="18"/>
                <w:szCs w:val="18"/>
              </w:rPr>
              <w:t>红外线抄平仪器检测</w:t>
            </w:r>
          </w:p>
        </w:tc>
      </w:tr>
    </w:tbl>
    <w:p w14:paraId="284301B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sz w:val="21"/>
          <w:szCs w:val="21"/>
          <w:lang w:val="en-US" w:eastAsia="zh-CN"/>
        </w:rPr>
      </w:pPr>
      <w:bookmarkStart w:id="68" w:name="_Toc9193"/>
      <w:r>
        <w:rPr>
          <w:rFonts w:hint="eastAsia" w:ascii="宋体" w:hAnsi="宋体" w:eastAsia="宋体" w:cs="宋体"/>
          <w:b w:val="0"/>
          <w:bCs w:val="0"/>
          <w:sz w:val="21"/>
          <w:szCs w:val="21"/>
        </w:rPr>
        <w:t>4</w:t>
      </w:r>
      <w:r>
        <w:rPr>
          <w:rFonts w:ascii="宋体" w:hAnsi="宋体" w:eastAsia="宋体" w:cs="宋体"/>
          <w:b w:val="0"/>
          <w:bCs w:val="0"/>
          <w:sz w:val="21"/>
          <w:szCs w:val="21"/>
        </w:rPr>
        <w:t xml:space="preserve">.8.4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装配式制冰板分组安装</w:t>
      </w:r>
      <w:r>
        <w:rPr>
          <w:rFonts w:hint="eastAsia" w:hAnsi="宋体" w:cs="宋体"/>
          <w:b w:val="0"/>
          <w:bCs w:val="0"/>
          <w:sz w:val="21"/>
          <w:szCs w:val="21"/>
          <w:lang w:val="en-US" w:eastAsia="zh-CN"/>
        </w:rPr>
        <w:t>应符合下列规定：</w:t>
      </w:r>
    </w:p>
    <w:p w14:paraId="4D49D184">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color w:val="FF0000"/>
          <w:sz w:val="21"/>
          <w:szCs w:val="21"/>
        </w:rPr>
      </w:pPr>
      <w:r>
        <w:rPr>
          <w:rFonts w:hint="eastAsia" w:hAnsi="宋体" w:cs="宋体"/>
          <w:b w:val="0"/>
          <w:bCs w:val="0"/>
          <w:sz w:val="21"/>
          <w:szCs w:val="21"/>
          <w:lang w:val="en-US" w:eastAsia="zh-CN"/>
        </w:rPr>
        <w:t xml:space="preserve">1  </w:t>
      </w:r>
      <w:r>
        <w:rPr>
          <w:rFonts w:hint="eastAsia" w:ascii="宋体" w:hAnsi="宋体" w:eastAsia="宋体" w:cs="宋体"/>
          <w:b w:val="0"/>
          <w:bCs w:val="0"/>
          <w:color w:val="auto"/>
          <w:sz w:val="21"/>
          <w:szCs w:val="21"/>
        </w:rPr>
        <w:t>制冰板应从一侧的长边向另一侧长边依次安装。</w:t>
      </w:r>
    </w:p>
    <w:p w14:paraId="40417957">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sz w:val="21"/>
          <w:szCs w:val="21"/>
        </w:rPr>
      </w:pPr>
      <w:r>
        <w:rPr>
          <w:rFonts w:hint="eastAsia" w:hAnsi="宋体" w:cs="宋体"/>
          <w:b w:val="0"/>
          <w:bCs w:val="0"/>
          <w:sz w:val="21"/>
          <w:szCs w:val="21"/>
          <w:lang w:val="en-US" w:eastAsia="zh-CN"/>
        </w:rPr>
        <w:t xml:space="preserve">2  </w:t>
      </w:r>
      <w:r>
        <w:rPr>
          <w:rFonts w:hint="eastAsia" w:ascii="宋体" w:hAnsi="宋体" w:eastAsia="宋体" w:cs="宋体"/>
          <w:b w:val="0"/>
          <w:bCs w:val="0"/>
          <w:sz w:val="21"/>
          <w:szCs w:val="21"/>
        </w:rPr>
        <w:t>制冰板</w:t>
      </w:r>
      <w:r>
        <w:rPr>
          <w:rFonts w:hint="eastAsia" w:hAnsi="宋体" w:cs="宋体"/>
          <w:b w:val="0"/>
          <w:bCs w:val="0"/>
          <w:sz w:val="21"/>
          <w:szCs w:val="21"/>
          <w:lang w:val="en-US" w:eastAsia="zh-CN"/>
        </w:rPr>
        <w:t>间</w:t>
      </w:r>
      <w:r>
        <w:rPr>
          <w:rFonts w:hint="eastAsia" w:ascii="宋体" w:hAnsi="宋体" w:eastAsia="宋体" w:cs="宋体"/>
          <w:b w:val="0"/>
          <w:bCs w:val="0"/>
          <w:sz w:val="21"/>
          <w:szCs w:val="21"/>
        </w:rPr>
        <w:t>连接管焊接</w:t>
      </w:r>
      <w:r>
        <w:rPr>
          <w:rFonts w:hint="eastAsia" w:hAnsi="宋体" w:cs="宋体"/>
          <w:b w:val="0"/>
          <w:bCs w:val="0"/>
          <w:sz w:val="21"/>
          <w:szCs w:val="21"/>
          <w:lang w:val="en-US" w:eastAsia="zh-CN"/>
        </w:rPr>
        <w:t>宜采用</w:t>
      </w:r>
      <w:r>
        <w:rPr>
          <w:rFonts w:hint="eastAsia" w:ascii="宋体" w:hAnsi="宋体" w:eastAsia="宋体" w:cs="宋体"/>
          <w:b w:val="0"/>
          <w:bCs w:val="0"/>
          <w:sz w:val="21"/>
          <w:szCs w:val="21"/>
        </w:rPr>
        <w:t>钎焊。</w:t>
      </w:r>
    </w:p>
    <w:p w14:paraId="27885236">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b w:val="0"/>
          <w:bCs w:val="0"/>
          <w:sz w:val="21"/>
          <w:szCs w:val="21"/>
        </w:rPr>
      </w:pPr>
      <w:r>
        <w:rPr>
          <w:rFonts w:hint="eastAsia" w:hAnsi="宋体" w:cs="宋体"/>
          <w:b w:val="0"/>
          <w:bCs w:val="0"/>
          <w:sz w:val="21"/>
          <w:szCs w:val="21"/>
          <w:lang w:val="en-US" w:eastAsia="zh-CN"/>
        </w:rPr>
        <w:t>3  每列制冰板连接管安装完毕应进行压力</w:t>
      </w:r>
      <w:r>
        <w:rPr>
          <w:rFonts w:hint="eastAsia" w:ascii="宋体" w:hAnsi="宋体" w:eastAsia="宋体" w:cs="宋体"/>
          <w:b w:val="0"/>
          <w:bCs w:val="0"/>
          <w:sz w:val="21"/>
          <w:szCs w:val="21"/>
        </w:rPr>
        <w:t>试验，确认无泄漏后进行第二列制冰管板的安装及</w:t>
      </w:r>
      <w:r>
        <w:rPr>
          <w:rFonts w:hint="eastAsia" w:hAnsi="宋体" w:cs="宋体"/>
          <w:b w:val="0"/>
          <w:bCs w:val="0"/>
          <w:sz w:val="21"/>
          <w:szCs w:val="21"/>
          <w:lang w:val="en-US" w:eastAsia="zh-CN"/>
        </w:rPr>
        <w:t>压力</w:t>
      </w:r>
      <w:r>
        <w:rPr>
          <w:rFonts w:hint="eastAsia" w:ascii="宋体" w:hAnsi="宋体" w:eastAsia="宋体" w:cs="宋体"/>
          <w:b w:val="0"/>
          <w:bCs w:val="0"/>
          <w:sz w:val="21"/>
          <w:szCs w:val="21"/>
        </w:rPr>
        <w:t>试验，直至全部制冰板安装完成。</w:t>
      </w:r>
      <w:bookmarkEnd w:id="68"/>
    </w:p>
    <w:p w14:paraId="0521BA7E">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default" w:ascii="宋体" w:hAnsi="宋体" w:eastAsia="宋体" w:cs="宋体"/>
          <w:b w:val="0"/>
          <w:bCs w:val="0"/>
          <w:sz w:val="21"/>
          <w:szCs w:val="21"/>
          <w:lang w:val="en-US" w:eastAsia="zh-CN"/>
        </w:rPr>
      </w:pPr>
      <w:bookmarkStart w:id="69" w:name="_Toc16218"/>
      <w:r>
        <w:rPr>
          <w:rFonts w:hint="eastAsia" w:ascii="宋体" w:hAnsi="宋体" w:eastAsia="宋体" w:cs="宋体"/>
          <w:b w:val="0"/>
          <w:bCs w:val="0"/>
          <w:sz w:val="21"/>
          <w:szCs w:val="21"/>
        </w:rPr>
        <w:t>4.8.</w:t>
      </w:r>
      <w:r>
        <w:rPr>
          <w:rFonts w:ascii="宋体" w:hAnsi="宋体" w:eastAsia="宋体" w:cs="宋体"/>
          <w:b w:val="0"/>
          <w:bCs w:val="0"/>
          <w:sz w:val="21"/>
          <w:szCs w:val="21"/>
        </w:rPr>
        <w:t>5</w:t>
      </w:r>
      <w:r>
        <w:rPr>
          <w:rFonts w:hint="eastAsia" w:ascii="宋体" w:hAnsi="宋体" w:eastAsia="宋体" w:cs="宋体"/>
          <w:b w:val="0"/>
          <w:bCs w:val="0"/>
          <w:sz w:val="21"/>
          <w:szCs w:val="21"/>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装配式制冰板</w:t>
      </w:r>
      <w:bookmarkEnd w:id="69"/>
      <w:r>
        <w:rPr>
          <w:rFonts w:hint="eastAsia" w:hAnsi="宋体" w:cs="宋体"/>
          <w:b w:val="0"/>
          <w:bCs w:val="0"/>
          <w:sz w:val="21"/>
          <w:szCs w:val="21"/>
          <w:lang w:val="en-US" w:eastAsia="zh-CN"/>
        </w:rPr>
        <w:t>试</w:t>
      </w:r>
      <w:r>
        <w:rPr>
          <w:rFonts w:hint="eastAsia" w:ascii="宋体" w:hAnsi="宋体" w:eastAsia="宋体" w:cs="宋体"/>
          <w:b w:val="0"/>
          <w:bCs w:val="0"/>
          <w:sz w:val="21"/>
          <w:szCs w:val="21"/>
        </w:rPr>
        <w:t>验</w:t>
      </w:r>
      <w:r>
        <w:rPr>
          <w:rFonts w:hint="eastAsia" w:hAnsi="宋体" w:cs="宋体"/>
          <w:b w:val="0"/>
          <w:bCs w:val="0"/>
          <w:sz w:val="21"/>
          <w:szCs w:val="21"/>
          <w:lang w:val="en-US" w:eastAsia="zh-CN"/>
        </w:rPr>
        <w:t>应符合下列规定：</w:t>
      </w:r>
    </w:p>
    <w:p w14:paraId="2B20B0A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ascii="宋体" w:hAnsi="宋体" w:eastAsia="宋体" w:cs="宋体"/>
          <w:b w:val="0"/>
          <w:bCs w:val="0"/>
          <w:sz w:val="21"/>
          <w:szCs w:val="21"/>
        </w:rPr>
      </w:pPr>
      <w:r>
        <w:rPr>
          <w:rFonts w:hint="eastAsia" w:hAnsi="宋体" w:cs="宋体"/>
          <w:b w:val="0"/>
          <w:bCs w:val="0"/>
          <w:sz w:val="21"/>
          <w:szCs w:val="21"/>
          <w:lang w:val="en-US" w:eastAsia="zh-CN"/>
        </w:rPr>
        <w:t>1  强度</w:t>
      </w:r>
      <w:r>
        <w:rPr>
          <w:rFonts w:ascii="宋体" w:hAnsi="宋体" w:eastAsia="宋体" w:cs="宋体"/>
          <w:b w:val="0"/>
          <w:bCs w:val="0"/>
          <w:sz w:val="21"/>
          <w:szCs w:val="21"/>
        </w:rPr>
        <w:t>和</w:t>
      </w:r>
      <w:r>
        <w:rPr>
          <w:rFonts w:hint="eastAsia" w:hAnsi="宋体" w:cs="宋体"/>
          <w:b w:val="0"/>
          <w:bCs w:val="0"/>
          <w:sz w:val="21"/>
          <w:szCs w:val="21"/>
          <w:lang w:val="en-US" w:eastAsia="zh-CN"/>
        </w:rPr>
        <w:t>严密性试验宜</w:t>
      </w:r>
      <w:r>
        <w:rPr>
          <w:rFonts w:hint="eastAsia" w:ascii="宋体" w:hAnsi="宋体" w:eastAsia="宋体" w:cs="宋体"/>
          <w:b w:val="0"/>
          <w:bCs w:val="0"/>
          <w:sz w:val="21"/>
          <w:szCs w:val="21"/>
        </w:rPr>
        <w:t>使</w:t>
      </w:r>
      <w:r>
        <w:rPr>
          <w:rFonts w:ascii="宋体" w:hAnsi="宋体" w:eastAsia="宋体" w:cs="宋体"/>
          <w:b w:val="0"/>
          <w:bCs w:val="0"/>
          <w:sz w:val="21"/>
          <w:szCs w:val="21"/>
        </w:rPr>
        <w:t>用氮气进行试压</w:t>
      </w:r>
      <w:r>
        <w:rPr>
          <w:rFonts w:hint="eastAsia" w:ascii="宋体" w:hAnsi="宋体" w:eastAsia="宋体" w:cs="宋体"/>
          <w:b w:val="0"/>
          <w:bCs w:val="0"/>
          <w:sz w:val="21"/>
          <w:szCs w:val="21"/>
        </w:rPr>
        <w:t>。</w:t>
      </w:r>
    </w:p>
    <w:p w14:paraId="1BEE7685">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2</w:t>
      </w:r>
      <w:r>
        <w:rPr>
          <w:rFonts w:hint="eastAsia" w:hAnsi="宋体" w:cs="宋体"/>
          <w:b w:val="0"/>
          <w:bCs w:val="0"/>
          <w:sz w:val="21"/>
          <w:szCs w:val="21"/>
          <w:lang w:val="en-US" w:eastAsia="zh-CN"/>
        </w:rPr>
        <w:t xml:space="preserve">  强度</w:t>
      </w:r>
      <w:r>
        <w:rPr>
          <w:rFonts w:ascii="宋体" w:hAnsi="宋体" w:eastAsia="宋体" w:cs="宋体"/>
          <w:b w:val="0"/>
          <w:bCs w:val="0"/>
          <w:sz w:val="21"/>
          <w:szCs w:val="21"/>
        </w:rPr>
        <w:t>试验：应关闭与</w:t>
      </w:r>
      <w:r>
        <w:rPr>
          <w:rFonts w:hint="eastAsia" w:hAnsi="宋体" w:cs="宋体"/>
          <w:b w:val="0"/>
          <w:bCs w:val="0"/>
          <w:sz w:val="21"/>
          <w:szCs w:val="21"/>
          <w:lang w:val="en-US" w:eastAsia="zh-CN"/>
        </w:rPr>
        <w:t>试压区域</w:t>
      </w:r>
      <w:r>
        <w:rPr>
          <w:rFonts w:ascii="宋体" w:hAnsi="宋体" w:eastAsia="宋体" w:cs="宋体"/>
          <w:b w:val="0"/>
          <w:bCs w:val="0"/>
          <w:sz w:val="21"/>
          <w:szCs w:val="21"/>
        </w:rPr>
        <w:t>联通的阀门，</w:t>
      </w:r>
      <w:r>
        <w:rPr>
          <w:rFonts w:hint="eastAsia" w:hAnsi="宋体" w:cs="宋体"/>
          <w:b w:val="0"/>
          <w:bCs w:val="0"/>
          <w:sz w:val="21"/>
          <w:szCs w:val="21"/>
          <w:lang w:val="en-US" w:eastAsia="zh-CN"/>
        </w:rPr>
        <w:t>试压区内部</w:t>
      </w:r>
      <w:r>
        <w:rPr>
          <w:rFonts w:ascii="宋体" w:hAnsi="宋体" w:eastAsia="宋体" w:cs="宋体"/>
          <w:b w:val="0"/>
          <w:bCs w:val="0"/>
          <w:sz w:val="21"/>
          <w:szCs w:val="21"/>
        </w:rPr>
        <w:t>阀门应全部开启。</w:t>
      </w:r>
      <w:r>
        <w:rPr>
          <w:rFonts w:hint="eastAsia" w:hAnsi="宋体" w:cs="宋体"/>
          <w:b w:val="0"/>
          <w:bCs w:val="0"/>
          <w:sz w:val="21"/>
          <w:szCs w:val="21"/>
          <w:lang w:val="en-US" w:eastAsia="zh-CN"/>
        </w:rPr>
        <w:t>将压力升至</w:t>
      </w:r>
      <w:r>
        <w:rPr>
          <w:rFonts w:ascii="宋体" w:hAnsi="宋体" w:eastAsia="宋体" w:cs="宋体"/>
          <w:b w:val="0"/>
          <w:bCs w:val="0"/>
          <w:sz w:val="21"/>
          <w:szCs w:val="21"/>
        </w:rPr>
        <w:t>设计</w:t>
      </w:r>
      <w:r>
        <w:rPr>
          <w:rFonts w:hint="eastAsia" w:hAnsi="宋体" w:cs="宋体"/>
          <w:b w:val="0"/>
          <w:bCs w:val="0"/>
          <w:sz w:val="21"/>
          <w:szCs w:val="21"/>
          <w:lang w:val="en-US" w:eastAsia="zh-CN"/>
        </w:rPr>
        <w:t>强度</w:t>
      </w:r>
      <w:r>
        <w:rPr>
          <w:rFonts w:ascii="宋体" w:hAnsi="宋体" w:eastAsia="宋体" w:cs="宋体"/>
          <w:b w:val="0"/>
          <w:bCs w:val="0"/>
          <w:sz w:val="21"/>
          <w:szCs w:val="21"/>
        </w:rPr>
        <w:t>试</w:t>
      </w:r>
      <w:r>
        <w:rPr>
          <w:rFonts w:hint="eastAsia" w:hAnsi="宋体" w:cs="宋体"/>
          <w:b w:val="0"/>
          <w:bCs w:val="0"/>
          <w:sz w:val="21"/>
          <w:szCs w:val="21"/>
          <w:lang w:val="en-US" w:eastAsia="zh-CN"/>
        </w:rPr>
        <w:t>验</w:t>
      </w:r>
      <w:r>
        <w:rPr>
          <w:rFonts w:ascii="宋体" w:hAnsi="宋体" w:eastAsia="宋体" w:cs="宋体"/>
          <w:b w:val="0"/>
          <w:bCs w:val="0"/>
          <w:sz w:val="21"/>
          <w:szCs w:val="21"/>
        </w:rPr>
        <w:t>压力</w:t>
      </w:r>
      <w:r>
        <w:rPr>
          <w:rFonts w:hint="eastAsia" w:hAnsi="宋体" w:cs="宋体"/>
          <w:b w:val="0"/>
          <w:bCs w:val="0"/>
          <w:sz w:val="21"/>
          <w:szCs w:val="21"/>
          <w:lang w:val="en-US" w:eastAsia="zh-CN"/>
        </w:rPr>
        <w:t>后，保持</w:t>
      </w:r>
      <w:r>
        <w:rPr>
          <w:rFonts w:ascii="宋体" w:hAnsi="宋体" w:eastAsia="宋体" w:cs="宋体"/>
          <w:b w:val="0"/>
          <w:bCs w:val="0"/>
          <w:sz w:val="21"/>
          <w:szCs w:val="21"/>
        </w:rPr>
        <w:t>24</w:t>
      </w:r>
      <w:r>
        <w:rPr>
          <w:rFonts w:hint="eastAsia" w:hAnsi="宋体" w:cs="宋体"/>
          <w:b w:val="0"/>
          <w:bCs w:val="0"/>
          <w:sz w:val="21"/>
          <w:szCs w:val="21"/>
          <w:lang w:val="en-US" w:eastAsia="zh-CN"/>
        </w:rPr>
        <w:t>h</w:t>
      </w:r>
      <w:r>
        <w:rPr>
          <w:rFonts w:hint="eastAsia" w:hAnsi="宋体" w:cs="宋体"/>
          <w:b w:val="0"/>
          <w:bCs w:val="0"/>
          <w:sz w:val="21"/>
          <w:szCs w:val="21"/>
          <w:lang w:eastAsia="zh-CN"/>
        </w:rPr>
        <w:t>，</w:t>
      </w:r>
      <w:r>
        <w:rPr>
          <w:rFonts w:hint="eastAsia" w:hAnsi="宋体" w:cs="宋体"/>
          <w:b w:val="0"/>
          <w:bCs w:val="0"/>
          <w:sz w:val="21"/>
          <w:szCs w:val="21"/>
          <w:lang w:val="en-US" w:eastAsia="zh-CN"/>
        </w:rPr>
        <w:t>压降</w:t>
      </w:r>
      <w:r>
        <w:rPr>
          <w:rFonts w:ascii="宋体" w:hAnsi="宋体" w:eastAsia="宋体" w:cs="宋体"/>
          <w:b w:val="0"/>
          <w:bCs w:val="0"/>
          <w:sz w:val="21"/>
          <w:szCs w:val="21"/>
        </w:rPr>
        <w:t>不大于0.02Mpa为合格。</w:t>
      </w:r>
    </w:p>
    <w:p w14:paraId="2B1236CF">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3</w:t>
      </w:r>
      <w:r>
        <w:rPr>
          <w:rFonts w:hint="eastAsia" w:hAnsi="宋体" w:cs="宋体"/>
          <w:b w:val="0"/>
          <w:bCs w:val="0"/>
          <w:sz w:val="21"/>
          <w:szCs w:val="21"/>
          <w:lang w:val="en-US" w:eastAsia="zh-CN"/>
        </w:rPr>
        <w:t xml:space="preserve">  严密性试验</w:t>
      </w:r>
      <w:r>
        <w:rPr>
          <w:rFonts w:ascii="宋体" w:hAnsi="宋体" w:eastAsia="宋体" w:cs="宋体"/>
          <w:b w:val="0"/>
          <w:bCs w:val="0"/>
          <w:sz w:val="21"/>
          <w:szCs w:val="21"/>
        </w:rPr>
        <w:t>实验：</w:t>
      </w:r>
      <w:r>
        <w:rPr>
          <w:rFonts w:hint="eastAsia" w:hAnsi="宋体" w:cs="宋体"/>
          <w:b w:val="0"/>
          <w:bCs w:val="0"/>
          <w:sz w:val="21"/>
          <w:szCs w:val="21"/>
          <w:lang w:val="en-US" w:eastAsia="zh-CN"/>
        </w:rPr>
        <w:t>将压力升至工作压力的1.15倍后，后</w:t>
      </w:r>
      <w:r>
        <w:rPr>
          <w:rFonts w:ascii="宋体" w:hAnsi="宋体" w:eastAsia="宋体" w:cs="宋体"/>
          <w:b w:val="0"/>
          <w:bCs w:val="0"/>
          <w:sz w:val="21"/>
          <w:szCs w:val="21"/>
        </w:rPr>
        <w:t>用毛刷</w:t>
      </w:r>
      <w:r>
        <w:rPr>
          <w:rFonts w:hint="eastAsia" w:hAnsi="宋体" w:cs="宋体"/>
          <w:b w:val="0"/>
          <w:bCs w:val="0"/>
          <w:sz w:val="21"/>
          <w:szCs w:val="21"/>
          <w:lang w:val="en-US" w:eastAsia="zh-CN"/>
        </w:rPr>
        <w:t>将皂液</w:t>
      </w:r>
      <w:r>
        <w:rPr>
          <w:rFonts w:ascii="宋体" w:hAnsi="宋体" w:eastAsia="宋体" w:cs="宋体"/>
          <w:b w:val="0"/>
          <w:bCs w:val="0"/>
          <w:sz w:val="21"/>
          <w:szCs w:val="21"/>
        </w:rPr>
        <w:t>涂抹在</w:t>
      </w:r>
      <w:r>
        <w:rPr>
          <w:rFonts w:hint="eastAsia" w:hAnsi="宋体" w:cs="宋体"/>
          <w:b w:val="0"/>
          <w:bCs w:val="0"/>
          <w:sz w:val="21"/>
          <w:szCs w:val="21"/>
          <w:lang w:val="en-US" w:eastAsia="zh-CN"/>
        </w:rPr>
        <w:t>管道接口</w:t>
      </w:r>
      <w:r>
        <w:rPr>
          <w:rFonts w:ascii="宋体" w:hAnsi="宋体" w:eastAsia="宋体" w:cs="宋体"/>
          <w:b w:val="0"/>
          <w:bCs w:val="0"/>
          <w:sz w:val="21"/>
          <w:szCs w:val="21"/>
        </w:rPr>
        <w:t>处 ,观察</w:t>
      </w:r>
      <w:r>
        <w:rPr>
          <w:rFonts w:hint="eastAsia" w:hAnsi="宋体" w:cs="宋体"/>
          <w:b w:val="0"/>
          <w:bCs w:val="0"/>
          <w:sz w:val="21"/>
          <w:szCs w:val="21"/>
          <w:lang w:val="en-US" w:eastAsia="zh-CN"/>
        </w:rPr>
        <w:t>接口处</w:t>
      </w:r>
      <w:r>
        <w:rPr>
          <w:rFonts w:ascii="宋体" w:hAnsi="宋体" w:eastAsia="宋体" w:cs="宋体"/>
          <w:b w:val="0"/>
          <w:bCs w:val="0"/>
          <w:sz w:val="21"/>
          <w:szCs w:val="21"/>
        </w:rPr>
        <w:t>是否起泡。对于不易直接观察的部位 ,应利用镜面反射和手电筒检查。</w:t>
      </w:r>
      <w:r>
        <w:rPr>
          <w:rFonts w:hint="eastAsia" w:hAnsi="宋体" w:cs="宋体"/>
          <w:b w:val="0"/>
          <w:bCs w:val="0"/>
          <w:sz w:val="21"/>
          <w:szCs w:val="21"/>
          <w:lang w:val="en-US" w:eastAsia="zh-CN"/>
        </w:rPr>
        <w:t>严密性试验</w:t>
      </w:r>
      <w:r>
        <w:rPr>
          <w:rFonts w:ascii="宋体" w:hAnsi="宋体" w:eastAsia="宋体" w:cs="宋体"/>
          <w:b w:val="0"/>
          <w:bCs w:val="0"/>
          <w:sz w:val="21"/>
          <w:szCs w:val="21"/>
        </w:rPr>
        <w:t>应重复3-5次</w:t>
      </w:r>
      <w:r>
        <w:rPr>
          <w:rFonts w:hint="eastAsia" w:hAnsi="宋体" w:cs="宋体"/>
          <w:b w:val="0"/>
          <w:bCs w:val="0"/>
          <w:sz w:val="21"/>
          <w:szCs w:val="21"/>
          <w:lang w:eastAsia="zh-CN"/>
        </w:rPr>
        <w:t>，</w:t>
      </w:r>
      <w:r>
        <w:rPr>
          <w:rFonts w:hint="eastAsia" w:hAnsi="宋体" w:cs="宋体"/>
          <w:b w:val="0"/>
          <w:bCs w:val="0"/>
          <w:sz w:val="21"/>
          <w:szCs w:val="21"/>
          <w:lang w:val="en-US" w:eastAsia="zh-CN"/>
        </w:rPr>
        <w:t>均未发现漏点，压降为0为合格</w:t>
      </w:r>
      <w:r>
        <w:rPr>
          <w:rFonts w:ascii="宋体" w:hAnsi="宋体" w:eastAsia="宋体" w:cs="宋体"/>
          <w:b w:val="0"/>
          <w:bCs w:val="0"/>
          <w:sz w:val="21"/>
          <w:szCs w:val="21"/>
        </w:rPr>
        <w:t>。</w:t>
      </w:r>
      <w:r>
        <w:rPr>
          <w:rFonts w:hint="eastAsia" w:hAnsi="宋体" w:cs="宋体"/>
          <w:b w:val="0"/>
          <w:bCs w:val="0"/>
          <w:sz w:val="21"/>
          <w:szCs w:val="21"/>
          <w:lang w:val="en-US" w:eastAsia="zh-CN"/>
        </w:rPr>
        <w:t>试验</w:t>
      </w:r>
      <w:r>
        <w:rPr>
          <w:rFonts w:ascii="宋体" w:hAnsi="宋体" w:eastAsia="宋体" w:cs="宋体"/>
          <w:b w:val="0"/>
          <w:bCs w:val="0"/>
          <w:sz w:val="21"/>
          <w:szCs w:val="21"/>
        </w:rPr>
        <w:t>结束后 ,应将</w:t>
      </w:r>
      <w:r>
        <w:rPr>
          <w:rFonts w:hint="eastAsia" w:hAnsi="宋体" w:cs="宋体"/>
          <w:b w:val="0"/>
          <w:bCs w:val="0"/>
          <w:sz w:val="21"/>
          <w:szCs w:val="21"/>
          <w:lang w:val="en-US" w:eastAsia="zh-CN"/>
        </w:rPr>
        <w:t>接口处擦拭干净</w:t>
      </w:r>
      <w:r>
        <w:rPr>
          <w:rFonts w:ascii="宋体" w:hAnsi="宋体" w:eastAsia="宋体" w:cs="宋体"/>
          <w:b w:val="0"/>
          <w:bCs w:val="0"/>
          <w:sz w:val="21"/>
          <w:szCs w:val="21"/>
        </w:rPr>
        <w:t xml:space="preserve"> ,以防腐蚀。</w:t>
      </w:r>
    </w:p>
    <w:p w14:paraId="151833C1">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cs="宋体"/>
          <w:b w:val="0"/>
          <w:bCs w:val="0"/>
          <w:sz w:val="21"/>
          <w:szCs w:val="21"/>
        </w:rPr>
      </w:pPr>
      <w:r>
        <w:rPr>
          <w:rFonts w:ascii="宋体" w:hAnsi="宋体" w:eastAsia="宋体" w:cs="宋体"/>
          <w:b w:val="0"/>
          <w:bCs w:val="0"/>
          <w:sz w:val="21"/>
          <w:szCs w:val="21"/>
        </w:rPr>
        <w:t>4</w:t>
      </w:r>
      <w:r>
        <w:rPr>
          <w:rFonts w:hint="eastAsia" w:hAnsi="宋体" w:cs="宋体"/>
          <w:b w:val="0"/>
          <w:bCs w:val="0"/>
          <w:sz w:val="21"/>
          <w:szCs w:val="21"/>
          <w:lang w:val="en-US" w:eastAsia="zh-CN"/>
        </w:rPr>
        <w:t xml:space="preserve">  </w:t>
      </w:r>
      <w:r>
        <w:rPr>
          <w:rFonts w:ascii="宋体" w:hAnsi="宋体" w:eastAsia="宋体" w:cs="宋体"/>
          <w:b w:val="0"/>
          <w:bCs w:val="0"/>
          <w:sz w:val="21"/>
          <w:szCs w:val="21"/>
        </w:rPr>
        <w:t>真空度试验：应关闭与外界联通的阀门，系统内阀门应全部开启。用真空泵将</w:t>
      </w:r>
      <w:r>
        <w:rPr>
          <w:rFonts w:hint="eastAsia" w:hAnsi="宋体" w:cs="宋体"/>
          <w:b w:val="0"/>
          <w:bCs w:val="0"/>
          <w:sz w:val="21"/>
          <w:szCs w:val="21"/>
          <w:lang w:val="en-US" w:eastAsia="zh-CN"/>
        </w:rPr>
        <w:t>制冷</w:t>
      </w:r>
      <w:r>
        <w:rPr>
          <w:rFonts w:ascii="宋体" w:hAnsi="宋体" w:eastAsia="宋体" w:cs="宋体"/>
          <w:b w:val="0"/>
          <w:bCs w:val="0"/>
          <w:sz w:val="21"/>
          <w:szCs w:val="21"/>
        </w:rPr>
        <w:t>系统</w:t>
      </w:r>
      <w:r>
        <w:rPr>
          <w:rFonts w:hint="eastAsia" w:hAnsi="宋体" w:cs="宋体"/>
          <w:b w:val="0"/>
          <w:bCs w:val="0"/>
          <w:sz w:val="21"/>
          <w:szCs w:val="21"/>
          <w:lang w:val="en-US" w:eastAsia="zh-CN"/>
        </w:rPr>
        <w:t>真空度抽至</w:t>
      </w:r>
      <w:r>
        <w:rPr>
          <w:rFonts w:ascii="宋体" w:hAnsi="宋体" w:eastAsia="宋体" w:cs="宋体"/>
          <w:b w:val="0"/>
          <w:bCs w:val="0"/>
          <w:sz w:val="21"/>
          <w:szCs w:val="21"/>
        </w:rPr>
        <w:t>绝对压力5.3kpa后，继续抽真空4h以上，直至水分指示器颜色大道标定深绿色</w:t>
      </w:r>
      <w:r>
        <w:rPr>
          <w:rFonts w:hint="eastAsia" w:hAnsi="宋体" w:cs="宋体"/>
          <w:b w:val="0"/>
          <w:bCs w:val="0"/>
          <w:sz w:val="21"/>
          <w:szCs w:val="21"/>
          <w:lang w:val="en-US" w:eastAsia="zh-CN"/>
        </w:rPr>
        <w:t>后</w:t>
      </w:r>
      <w:r>
        <w:rPr>
          <w:rFonts w:ascii="宋体" w:hAnsi="宋体" w:eastAsia="宋体" w:cs="宋体"/>
          <w:b w:val="0"/>
          <w:bCs w:val="0"/>
          <w:sz w:val="21"/>
          <w:szCs w:val="21"/>
        </w:rPr>
        <w:t>，保持24h，系统绝对压力回升</w:t>
      </w:r>
      <w:r>
        <w:rPr>
          <w:rFonts w:hint="eastAsia" w:hAnsi="宋体" w:cs="宋体"/>
          <w:b w:val="0"/>
          <w:bCs w:val="0"/>
          <w:sz w:val="21"/>
          <w:szCs w:val="21"/>
          <w:lang w:val="en-US" w:eastAsia="zh-CN"/>
        </w:rPr>
        <w:t>小</w:t>
      </w:r>
      <w:r>
        <w:rPr>
          <w:rFonts w:ascii="宋体" w:hAnsi="宋体" w:eastAsia="宋体" w:cs="宋体"/>
          <w:b w:val="0"/>
          <w:bCs w:val="0"/>
          <w:sz w:val="21"/>
          <w:szCs w:val="21"/>
        </w:rPr>
        <w:t>于0.5kpa为合格。</w:t>
      </w:r>
    </w:p>
    <w:p w14:paraId="7F15E849">
      <w:pPr>
        <w:keepNext w:val="0"/>
        <w:keepLines w:val="0"/>
        <w:pageBreakBefore w:val="0"/>
        <w:widowControl w:val="0"/>
        <w:kinsoku/>
        <w:wordWrap/>
        <w:overflowPunct/>
        <w:topLinePunct w:val="0"/>
        <w:autoSpaceDE/>
        <w:autoSpaceDN/>
        <w:bidi w:val="0"/>
        <w:adjustRightInd/>
        <w:spacing w:line="360" w:lineRule="auto"/>
        <w:ind w:firstLine="420"/>
        <w:jc w:val="left"/>
        <w:textAlignment w:val="auto"/>
        <w:rPr>
          <w:rFonts w:ascii="宋体" w:hAnsi="宋体" w:eastAsia="宋体"/>
          <w:b w:val="0"/>
          <w:bCs w:val="0"/>
          <w:sz w:val="21"/>
          <w:szCs w:val="21"/>
        </w:rPr>
      </w:pPr>
      <w:r>
        <w:rPr>
          <w:rFonts w:ascii="宋体" w:hAnsi="宋体" w:eastAsia="宋体" w:cs="宋体"/>
          <w:b w:val="0"/>
          <w:bCs w:val="0"/>
          <w:sz w:val="21"/>
          <w:szCs w:val="21"/>
        </w:rPr>
        <w:t>5</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试压宜按照</w:t>
      </w:r>
      <w:r>
        <w:rPr>
          <w:rFonts w:hint="eastAsia" w:hAnsi="宋体" w:cs="宋体"/>
          <w:b w:val="0"/>
          <w:bCs w:val="0"/>
          <w:sz w:val="21"/>
          <w:szCs w:val="21"/>
          <w:lang w:val="en-US" w:eastAsia="zh-CN"/>
        </w:rPr>
        <w:t>强度试</w:t>
      </w:r>
      <w:r>
        <w:rPr>
          <w:rFonts w:hint="eastAsia" w:ascii="宋体" w:hAnsi="宋体" w:eastAsia="宋体" w:cs="宋体"/>
          <w:b w:val="0"/>
          <w:bCs w:val="0"/>
          <w:sz w:val="21"/>
          <w:szCs w:val="21"/>
        </w:rPr>
        <w:t>验-</w:t>
      </w:r>
      <w:r>
        <w:rPr>
          <w:rFonts w:hint="eastAsia" w:hAnsi="宋体" w:cs="宋体"/>
          <w:b w:val="0"/>
          <w:bCs w:val="0"/>
          <w:sz w:val="21"/>
          <w:szCs w:val="21"/>
          <w:lang w:val="en-US" w:eastAsia="zh-CN"/>
        </w:rPr>
        <w:t>严密性试</w:t>
      </w:r>
      <w:r>
        <w:rPr>
          <w:rFonts w:hint="eastAsia" w:ascii="宋体" w:hAnsi="宋体" w:eastAsia="宋体" w:cs="宋体"/>
          <w:b w:val="0"/>
          <w:bCs w:val="0"/>
          <w:sz w:val="21"/>
          <w:szCs w:val="21"/>
        </w:rPr>
        <w:t>验-真空度</w:t>
      </w:r>
      <w:r>
        <w:rPr>
          <w:rFonts w:hint="eastAsia" w:hAnsi="宋体" w:cs="宋体"/>
          <w:b w:val="0"/>
          <w:bCs w:val="0"/>
          <w:sz w:val="21"/>
          <w:szCs w:val="21"/>
          <w:lang w:val="en-US" w:eastAsia="zh-CN"/>
        </w:rPr>
        <w:t>试</w:t>
      </w:r>
      <w:r>
        <w:rPr>
          <w:rFonts w:hint="eastAsia" w:ascii="宋体" w:hAnsi="宋体" w:eastAsia="宋体" w:cs="宋体"/>
          <w:b w:val="0"/>
          <w:bCs w:val="0"/>
          <w:sz w:val="21"/>
          <w:szCs w:val="21"/>
        </w:rPr>
        <w:t>验的顺序重复2次。</w:t>
      </w:r>
    </w:p>
    <w:p w14:paraId="4036FDD2">
      <w:pPr>
        <w:pStyle w:val="6"/>
        <w:numPr>
          <w:ilvl w:val="0"/>
          <w:numId w:val="0"/>
        </w:numPr>
        <w:snapToGrid w:val="0"/>
        <w:spacing w:before="312" w:beforeLines="100" w:after="312" w:afterLines="100" w:line="360" w:lineRule="auto"/>
        <w:jc w:val="center"/>
        <w:rPr>
          <w:rFonts w:hint="eastAsia" w:ascii="Times New Roman" w:hAnsi="Times New Roman" w:cs="宋体"/>
          <w:sz w:val="24"/>
          <w:szCs w:val="24"/>
          <w:lang w:val="en-US" w:eastAsia="zh-CN"/>
        </w:rPr>
      </w:pPr>
      <w:bookmarkStart w:id="70" w:name="_Toc5132"/>
      <w:bookmarkStart w:id="71" w:name="_Toc19628"/>
      <w:bookmarkStart w:id="72" w:name="_Toc13891"/>
      <w:bookmarkStart w:id="73" w:name="_Toc24706"/>
      <w:r>
        <w:rPr>
          <w:rFonts w:hint="eastAsia" w:ascii="黑体" w:hAnsi="黑体" w:eastAsia="黑体" w:cs="黑体"/>
          <w:b w:val="0"/>
          <w:bCs w:val="0"/>
          <w:kern w:val="0"/>
          <w:sz w:val="21"/>
          <w:szCs w:val="21"/>
          <w:lang w:val="en-US" w:eastAsia="zh-CN"/>
        </w:rPr>
        <w:t>4.9  排水沟等附属构造物</w:t>
      </w:r>
      <w:bookmarkEnd w:id="70"/>
      <w:bookmarkEnd w:id="71"/>
      <w:bookmarkEnd w:id="72"/>
      <w:bookmarkEnd w:id="73"/>
    </w:p>
    <w:p w14:paraId="1228742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4.9.1  排水沟等附属构造物的构造应符合设计要求，并有明确的节点详图。</w:t>
      </w:r>
    </w:p>
    <w:p w14:paraId="33B08FC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4.9.2  排水沟基层坡度不小于1‰，基层要稳定牢固，不应有下沉。</w:t>
      </w:r>
    </w:p>
    <w:p w14:paraId="5A4C0FB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4.9.3  排水沟盖板材质、规格应满足设计图纸要求。</w:t>
      </w:r>
    </w:p>
    <w:p w14:paraId="5FC1426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hAnsi="宋体"/>
          <w:b w:val="0"/>
          <w:bCs w:val="0"/>
          <w:sz w:val="21"/>
          <w:szCs w:val="21"/>
          <w:lang w:val="en-US" w:eastAsia="zh-CN"/>
        </w:rPr>
      </w:pPr>
      <w:r>
        <w:rPr>
          <w:rFonts w:hint="eastAsia" w:hAnsi="宋体"/>
          <w:b w:val="0"/>
          <w:bCs w:val="0"/>
          <w:sz w:val="21"/>
          <w:szCs w:val="21"/>
          <w:lang w:val="en-US" w:eastAsia="zh-CN"/>
        </w:rPr>
        <w:t>4.9.4  排水沟盖板平整度为5m范围内±5mm。</w:t>
      </w:r>
    </w:p>
    <w:p w14:paraId="27571C66">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b w:val="0"/>
          <w:bCs w:val="0"/>
          <w:sz w:val="21"/>
          <w:szCs w:val="21"/>
          <w:lang w:val="en-US" w:eastAsia="zh-CN"/>
        </w:rPr>
      </w:pPr>
      <w:r>
        <w:rPr>
          <w:rFonts w:hint="eastAsia" w:hAnsi="宋体"/>
          <w:b w:val="0"/>
          <w:bCs w:val="0"/>
          <w:sz w:val="21"/>
          <w:szCs w:val="21"/>
          <w:lang w:val="en-US" w:eastAsia="zh-CN"/>
        </w:rPr>
        <w:t>4.9.5  融冰池内部防水、保温等构造应符合设计要求，融冰池侧壁及底部严禁施打膨胀螺栓，避免破坏融冰池防水性能。</w:t>
      </w:r>
    </w:p>
    <w:p w14:paraId="6FE254BC">
      <w:pPr>
        <w:pStyle w:val="6"/>
        <w:numPr>
          <w:ilvl w:val="0"/>
          <w:numId w:val="0"/>
        </w:numPr>
        <w:snapToGrid w:val="0"/>
        <w:spacing w:before="312" w:beforeLines="100" w:after="312" w:afterLines="100" w:line="360" w:lineRule="auto"/>
        <w:jc w:val="center"/>
        <w:rPr>
          <w:rFonts w:hint="default" w:ascii="Times New Roman" w:hAnsi="Times New Roman" w:eastAsia="宋体" w:cs="宋体"/>
          <w:sz w:val="24"/>
          <w:szCs w:val="24"/>
          <w:lang w:val="en-US" w:eastAsia="zh-CN"/>
        </w:rPr>
      </w:pPr>
      <w:bookmarkStart w:id="74" w:name="_Toc27733"/>
      <w:r>
        <w:rPr>
          <w:rFonts w:hint="eastAsia" w:ascii="黑体" w:hAnsi="黑体" w:eastAsia="黑体" w:cs="黑体"/>
          <w:b w:val="0"/>
          <w:bCs w:val="0"/>
          <w:kern w:val="0"/>
          <w:sz w:val="21"/>
          <w:szCs w:val="21"/>
          <w:lang w:val="en-US" w:eastAsia="zh-CN"/>
        </w:rPr>
        <w:t>4.10  冰场界墙</w:t>
      </w:r>
      <w:bookmarkEnd w:id="74"/>
    </w:p>
    <w:p w14:paraId="7F14A8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人工冰场界墙应按照场地性质、使用需求和设计要求确定。</w:t>
      </w:r>
    </w:p>
    <w:p w14:paraId="3589334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4.10.2 </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标准冰球场界墙应满足国际冰联官方赛事标准，冰场设置及划线</w:t>
      </w:r>
      <w:r>
        <w:rPr>
          <w:rFonts w:hint="eastAsia" w:hAnsi="宋体" w:cs="宋体"/>
          <w:b w:val="0"/>
          <w:bCs w:val="0"/>
          <w:color w:val="auto"/>
          <w:sz w:val="21"/>
          <w:szCs w:val="21"/>
          <w:lang w:val="en-US" w:eastAsia="zh-CN"/>
        </w:rPr>
        <w:t>可参考附录A</w:t>
      </w:r>
    </w:p>
    <w:p w14:paraId="68DD1CE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3  </w:t>
      </w:r>
      <w:r>
        <w:rPr>
          <w:rFonts w:hint="eastAsia" w:ascii="宋体" w:hAnsi="宋体" w:eastAsia="宋体" w:cs="宋体"/>
          <w:b w:val="0"/>
          <w:bCs w:val="0"/>
          <w:sz w:val="21"/>
          <w:szCs w:val="21"/>
        </w:rPr>
        <w:t>标准冰球场界墙材质、规格应符合设计要求，主体高度为冰面以上1.07m；当内侧板采用白色PE板时，厚度应≥12mm；当底部黄色踢脚板为PE板时，厚度应≥15mm，超出冰面高度为15~25mm；上部盖板宜为蓝色，厚度≥15mm。</w:t>
      </w:r>
    </w:p>
    <w:p w14:paraId="3FFCA8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4  </w:t>
      </w:r>
      <w:r>
        <w:rPr>
          <w:rFonts w:hint="eastAsia" w:ascii="宋体" w:hAnsi="宋体" w:eastAsia="宋体" w:cs="宋体"/>
          <w:b w:val="0"/>
          <w:bCs w:val="0"/>
          <w:sz w:val="21"/>
          <w:szCs w:val="21"/>
        </w:rPr>
        <w:t>标准冰球场界墙防护玻璃安装应符合下列规定：</w:t>
      </w:r>
    </w:p>
    <w:p w14:paraId="4335180B">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通常采用12~15mm厚的钢化玻璃或有机玻璃。</w:t>
      </w:r>
    </w:p>
    <w:p w14:paraId="52352745">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长直边高度为1.8m，短直边及圆弧区（端区）高度为2.4m，根据设计要求设置立柱。</w:t>
      </w:r>
    </w:p>
    <w:p w14:paraId="219F6A19">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队员席</w:t>
      </w:r>
      <w:r>
        <w:rPr>
          <w:rFonts w:hint="eastAsia" w:ascii="宋体" w:hAnsi="宋体" w:eastAsia="宋体" w:cs="宋体"/>
          <w:b w:val="0"/>
          <w:bCs w:val="0"/>
          <w:sz w:val="21"/>
          <w:szCs w:val="21"/>
          <w:lang w:val="en-US" w:eastAsia="zh-CN"/>
        </w:rPr>
        <w:t>和受罚席</w:t>
      </w:r>
      <w:r>
        <w:rPr>
          <w:rFonts w:hint="eastAsia" w:ascii="宋体" w:hAnsi="宋体" w:eastAsia="宋体" w:cs="宋体"/>
          <w:b w:val="0"/>
          <w:bCs w:val="0"/>
          <w:sz w:val="21"/>
          <w:szCs w:val="21"/>
        </w:rPr>
        <w:t>前不安装防护玻璃，但队员席和受罚席的后面及侧边应安装1.8m高度的防护玻璃。</w:t>
      </w:r>
    </w:p>
    <w:p w14:paraId="13181778">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防护玻璃和界墙之间的空隙应用防护垫补全。</w:t>
      </w:r>
    </w:p>
    <w:p w14:paraId="0131DCBA">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用于固定界墙和防护玻璃的附件应安装在比赛场扡的外侧。</w:t>
      </w:r>
    </w:p>
    <w:p w14:paraId="3E330494">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防护玻璃之间的空隙应≤5 mm。</w:t>
      </w:r>
    </w:p>
    <w:p w14:paraId="355134B2">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防护玻璃应连续安装，不得随意开孔，仅应在评分席的记录台前的设一个直径100mm的圆孔。</w:t>
      </w:r>
    </w:p>
    <w:p w14:paraId="1F6CB17B">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8每块防护玻璃应能独立安装、拆卸、更换。</w:t>
      </w:r>
    </w:p>
    <w:p w14:paraId="4C4A581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5  </w:t>
      </w:r>
      <w:r>
        <w:rPr>
          <w:rFonts w:hint="eastAsia" w:ascii="宋体" w:hAnsi="宋体" w:eastAsia="宋体" w:cs="宋体"/>
          <w:b w:val="0"/>
          <w:bCs w:val="0"/>
          <w:sz w:val="21"/>
          <w:szCs w:val="21"/>
        </w:rPr>
        <w:t>标准冰球场界墙门的安装应符合下列规定：</w:t>
      </w:r>
    </w:p>
    <w:p w14:paraId="404B3C39">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冰场区域门均应向观众席方向开启，严禁向冰场方向开启；</w:t>
      </w:r>
    </w:p>
    <w:p w14:paraId="6C45664A">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冰车门宽度应根据设计浇冰车尺寸选择，宜为2.5~3.2m；人员出入口门宽宜为0.9~1.1m。</w:t>
      </w:r>
    </w:p>
    <w:p w14:paraId="5E3ED974">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门轴、铰链、门栓等应采用304不锈钢材质，单门门栓应设置联动按钮等内外联动装置，以方便人员进出。</w:t>
      </w:r>
    </w:p>
    <w:p w14:paraId="39DDD26E">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门缝宽度应≤5mm。</w:t>
      </w:r>
    </w:p>
    <w:p w14:paraId="1C8189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6  </w:t>
      </w:r>
      <w:r>
        <w:rPr>
          <w:rFonts w:hint="eastAsia" w:ascii="宋体" w:hAnsi="宋体" w:eastAsia="宋体" w:cs="宋体"/>
          <w:b w:val="0"/>
          <w:bCs w:val="0"/>
          <w:sz w:val="21"/>
          <w:szCs w:val="21"/>
        </w:rPr>
        <w:t>标准冰球场界墙埋件应符合下列规定：</w:t>
      </w:r>
    </w:p>
    <w:p w14:paraId="58D10085">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埋件应为不锈钢或外层热镀锌的钢制材料。</w:t>
      </w:r>
    </w:p>
    <w:p w14:paraId="578F70A9">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埋件位置及安装形式需深化设计，应与界墙安装单元相对应。</w:t>
      </w:r>
    </w:p>
    <w:p w14:paraId="2B7CC3E1">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每个安装单元范围内不得少于预埋件。</w:t>
      </w:r>
    </w:p>
    <w:p w14:paraId="4022F84F">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应将螺栓或钢板等埋件预埋于冰板制冷层混凝土内。</w:t>
      </w:r>
    </w:p>
    <w:p w14:paraId="735D7AD8">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埋件埋设时应牢固固定在混凝土层内钢筋网上，并在制冷层混凝土浇筑时进行保护性检查和修正。</w:t>
      </w:r>
    </w:p>
    <w:p w14:paraId="4FE445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7  </w:t>
      </w:r>
      <w:r>
        <w:rPr>
          <w:rFonts w:hint="eastAsia" w:ascii="宋体" w:hAnsi="宋体" w:eastAsia="宋体" w:cs="宋体"/>
          <w:b w:val="0"/>
          <w:bCs w:val="0"/>
          <w:sz w:val="21"/>
          <w:szCs w:val="21"/>
        </w:rPr>
        <w:t>标准冰球场界墙保温层应符合下列规定：</w:t>
      </w:r>
    </w:p>
    <w:p w14:paraId="274BC524">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界墙内部应粘贴保温层，以避免界墙外部产生冷凝水。</w:t>
      </w:r>
    </w:p>
    <w:p w14:paraId="74A6E75F">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保温材料材质、厚度应符合设计要求。</w:t>
      </w:r>
    </w:p>
    <w:p w14:paraId="0C4E4F43">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保温板材粘贴应牢固，并满粘；填充类保温材料应填充严密，有效固定。</w:t>
      </w:r>
    </w:p>
    <w:p w14:paraId="5A73E9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8  </w:t>
      </w:r>
      <w:r>
        <w:rPr>
          <w:rFonts w:hint="eastAsia" w:ascii="宋体" w:hAnsi="宋体" w:eastAsia="宋体" w:cs="宋体"/>
          <w:b w:val="0"/>
          <w:bCs w:val="0"/>
          <w:sz w:val="21"/>
          <w:szCs w:val="21"/>
        </w:rPr>
        <w:t>标准冰球场界墙安装应符合下列规定：</w:t>
      </w:r>
    </w:p>
    <w:p w14:paraId="3E9B3A78">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界墙单元应与预埋件牢固相连，安装应整体顺直，符合图纸安装要求。</w:t>
      </w:r>
    </w:p>
    <w:p w14:paraId="1975A9F0">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防护玻璃及其立柱安装应在界墙单元整体拼装完成后进行。</w:t>
      </w:r>
    </w:p>
    <w:p w14:paraId="47FAA4E7">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保温及外板安装应在与界墙安装相匹配，安装平直段应平整、弧段应平滑。</w:t>
      </w:r>
    </w:p>
    <w:p w14:paraId="0B8675D7">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板与板之间缝隙≤3mm，板与地面之间缝隙≤5mm。</w:t>
      </w:r>
    </w:p>
    <w:p w14:paraId="72C21E54">
      <w:pPr>
        <w:keepNext w:val="0"/>
        <w:keepLines w:val="0"/>
        <w:pageBreakBefore w:val="0"/>
        <w:widowControl w:val="0"/>
        <w:kinsoku/>
        <w:wordWrap/>
        <w:overflowPunct/>
        <w:topLinePunct w:val="0"/>
        <w:autoSpaceDE/>
        <w:autoSpaceDN/>
        <w:bidi w:val="0"/>
        <w:adjustRightInd/>
        <w:snapToGrid/>
        <w:ind w:firstLine="482"/>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注意安装环境温度，应考虑界墙材料涨缩情况，并在冰面制冰前的预冷阶段检查界。当产生较大变形时，应在制冰前予以调整。</w:t>
      </w:r>
    </w:p>
    <w:p w14:paraId="040C92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4.10.</w:t>
      </w:r>
      <w:r>
        <w:rPr>
          <w:rFonts w:hint="eastAsia" w:ascii="宋体" w:hAnsi="宋体" w:eastAsia="宋体" w:cs="宋体"/>
          <w:b w:val="0"/>
          <w:bCs w:val="0"/>
          <w:sz w:val="21"/>
          <w:szCs w:val="21"/>
          <w:lang w:val="en-US" w:eastAsia="zh-CN"/>
        </w:rPr>
        <w:t xml:space="preserve">9  </w:t>
      </w:r>
      <w:r>
        <w:rPr>
          <w:rFonts w:hint="eastAsia" w:ascii="宋体" w:hAnsi="宋体" w:eastAsia="宋体" w:cs="宋体"/>
          <w:b w:val="0"/>
          <w:bCs w:val="0"/>
          <w:sz w:val="21"/>
          <w:szCs w:val="21"/>
        </w:rPr>
        <w:t>适用于中小学生</w:t>
      </w:r>
      <w:r>
        <w:rPr>
          <w:rFonts w:hint="eastAsia" w:ascii="宋体" w:hAnsi="宋体" w:eastAsia="宋体" w:cs="宋体"/>
          <w:b w:val="0"/>
          <w:bCs w:val="0"/>
          <w:sz w:val="21"/>
          <w:szCs w:val="21"/>
          <w:lang w:val="en-US" w:eastAsia="zh-CN"/>
        </w:rPr>
        <w:t>训练</w:t>
      </w:r>
      <w:r>
        <w:rPr>
          <w:rFonts w:hint="eastAsia" w:ascii="宋体" w:hAnsi="宋体" w:eastAsia="宋体" w:cs="宋体"/>
          <w:b w:val="0"/>
          <w:bCs w:val="0"/>
          <w:sz w:val="21"/>
          <w:szCs w:val="21"/>
        </w:rPr>
        <w:t>或商用非标小型冰球场场界墙的安装应符合下列规定：</w:t>
      </w:r>
    </w:p>
    <w:p w14:paraId="4096BFE0">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做法与标准冰球冰场界墙大体一致，具体做法应符合设计及使用要求，</w:t>
      </w:r>
      <w:r>
        <w:rPr>
          <w:rFonts w:hint="eastAsia" w:ascii="宋体" w:hAnsi="宋体" w:eastAsia="宋体" w:cs="宋体"/>
          <w:b w:val="0"/>
          <w:bCs w:val="0"/>
          <w:color w:val="auto"/>
          <w:sz w:val="21"/>
          <w:szCs w:val="21"/>
        </w:rPr>
        <w:t>常规做法</w:t>
      </w:r>
      <w:r>
        <w:rPr>
          <w:rFonts w:hint="eastAsia" w:ascii="宋体" w:hAnsi="宋体" w:eastAsia="宋体" w:cs="宋体"/>
          <w:b w:val="0"/>
          <w:bCs w:val="0"/>
          <w:color w:val="auto"/>
          <w:sz w:val="21"/>
          <w:szCs w:val="21"/>
          <w:lang w:val="en-US" w:eastAsia="zh-CN"/>
        </w:rPr>
        <w:t>详见附录B</w:t>
      </w:r>
      <w:r>
        <w:rPr>
          <w:rFonts w:hint="eastAsia" w:ascii="宋体" w:hAnsi="宋体" w:eastAsia="宋体" w:cs="宋体"/>
          <w:b w:val="0"/>
          <w:bCs w:val="0"/>
          <w:color w:val="auto"/>
          <w:sz w:val="21"/>
          <w:szCs w:val="21"/>
        </w:rPr>
        <w:t>。</w:t>
      </w:r>
    </w:p>
    <w:p w14:paraId="114C05AB">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界墙单元高度宜为0.9~1.07m，防护玻璃高度宜为0.8~1.0m，界墙总高度宜为1.8~2.0m。</w:t>
      </w:r>
    </w:p>
    <w:p w14:paraId="6CD287FF">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端头区应防护玻璃高度应符合设计要求，可根据使用需要增设防护挂网等。</w:t>
      </w:r>
    </w:p>
    <w:p w14:paraId="018970C6">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防护玻璃宜采用无立柱嵌入式安装。</w:t>
      </w:r>
    </w:p>
    <w:p w14:paraId="2B0452C5">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装饰外板宜选用防潮材料。</w:t>
      </w:r>
    </w:p>
    <w:p w14:paraId="4A1D3465">
      <w:pPr>
        <w:keepNext w:val="0"/>
        <w:keepLines w:val="0"/>
        <w:pageBreakBefore w:val="0"/>
        <w:widowControl w:val="0"/>
        <w:kinsoku/>
        <w:wordWrap/>
        <w:overflowPunct/>
        <w:topLinePunct w:val="0"/>
        <w:autoSpaceDE/>
        <w:autoSpaceDN/>
        <w:bidi w:val="0"/>
        <w:adjustRightInd/>
        <w:snapToGrid/>
        <w:ind w:firstLine="630" w:firstLineChars="3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可根据使用需求取消队员席及判罚席等区域设置。</w:t>
      </w:r>
    </w:p>
    <w:p w14:paraId="0B3A3FF3">
      <w:pPr>
        <w:pStyle w:val="5"/>
        <w:keepNext/>
        <w:pageBreakBefore/>
        <w:widowControl/>
        <w:numPr>
          <w:ilvl w:val="0"/>
          <w:numId w:val="0"/>
        </w:numPr>
        <w:kinsoku/>
        <w:wordWrap/>
        <w:overflowPunct/>
        <w:topLinePunct w:val="0"/>
        <w:autoSpaceDE/>
        <w:autoSpaceDN/>
        <w:bidi w:val="0"/>
        <w:adjustRightInd/>
        <w:spacing w:before="489" w:beforeLines="150" w:after="489" w:afterLines="150" w:line="240" w:lineRule="auto"/>
        <w:ind w:firstLine="0" w:firstLineChars="0"/>
        <w:textAlignment w:val="auto"/>
        <w:rPr>
          <w:rFonts w:hint="eastAsia" w:ascii="黑体" w:hAnsi="黑体" w:eastAsia="黑体" w:cs="Times New Roman"/>
          <w:bCs w:val="0"/>
          <w:sz w:val="21"/>
          <w:szCs w:val="20"/>
        </w:rPr>
      </w:pPr>
      <w:bookmarkStart w:id="75" w:name="_Toc25745"/>
      <w:bookmarkStart w:id="76" w:name="_Toc17330"/>
      <w:r>
        <w:rPr>
          <w:rFonts w:hint="eastAsia" w:ascii="黑体" w:hAnsi="黑体" w:eastAsia="黑体" w:cs="Times New Roman"/>
          <w:bCs w:val="0"/>
          <w:sz w:val="21"/>
          <w:szCs w:val="20"/>
        </w:rPr>
        <w:t xml:space="preserve">5 </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rPr>
        <w:t>制冰系统安装</w:t>
      </w:r>
      <w:bookmarkEnd w:id="75"/>
    </w:p>
    <w:p w14:paraId="75EF81D3">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77" w:name="_Toc6694"/>
      <w:r>
        <w:rPr>
          <w:rFonts w:hint="eastAsia" w:ascii="黑体" w:hAnsi="黑体" w:eastAsia="黑体" w:cs="黑体"/>
          <w:b w:val="0"/>
          <w:bCs w:val="0"/>
          <w:kern w:val="0"/>
          <w:sz w:val="21"/>
          <w:szCs w:val="21"/>
          <w:lang w:val="en-US" w:eastAsia="zh-CN"/>
        </w:rPr>
        <w:t>5.1  一般规定</w:t>
      </w:r>
      <w:bookmarkEnd w:id="77"/>
    </w:p>
    <w:p w14:paraId="711DD35D">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eastAsia="宋体" w:cs="宋体"/>
          <w:b w:val="0"/>
          <w:bCs w:val="0"/>
          <w:color w:val="auto"/>
          <w:sz w:val="21"/>
          <w:szCs w:val="21"/>
          <w:lang w:val="en-US" w:eastAsia="zh-CN"/>
        </w:rPr>
      </w:pPr>
      <w:r>
        <w:rPr>
          <w:rFonts w:hint="eastAsia" w:cs="宋体"/>
          <w:b w:val="0"/>
          <w:bCs w:val="0"/>
          <w:color w:val="auto"/>
          <w:sz w:val="21"/>
          <w:szCs w:val="21"/>
          <w:lang w:val="en-US" w:eastAsia="zh-CN"/>
        </w:rPr>
        <w:t>5.1.1  本章适用于制冰系统安装的检验与验收。</w:t>
      </w:r>
    </w:p>
    <w:p w14:paraId="5F4EA9C8">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cs="宋体"/>
          <w:b w:val="0"/>
          <w:bCs w:val="0"/>
          <w:color w:val="auto"/>
          <w:sz w:val="21"/>
          <w:szCs w:val="21"/>
        </w:rPr>
      </w:pPr>
      <w:r>
        <w:rPr>
          <w:rFonts w:hint="eastAsia" w:cs="宋体"/>
          <w:b w:val="0"/>
          <w:bCs w:val="0"/>
          <w:color w:val="auto"/>
          <w:sz w:val="21"/>
          <w:szCs w:val="21"/>
        </w:rPr>
        <w:t>5.1.</w:t>
      </w:r>
      <w:r>
        <w:rPr>
          <w:rFonts w:hint="eastAsia" w:cs="宋体"/>
          <w:b w:val="0"/>
          <w:bCs w:val="0"/>
          <w:color w:val="auto"/>
          <w:sz w:val="21"/>
          <w:szCs w:val="21"/>
          <w:lang w:val="en-US" w:eastAsia="zh-CN"/>
        </w:rPr>
        <w:t xml:space="preserve">2 </w:t>
      </w:r>
      <w:r>
        <w:rPr>
          <w:rFonts w:hint="eastAsia" w:cs="宋体"/>
          <w:b w:val="0"/>
          <w:bCs w:val="0"/>
          <w:color w:val="auto"/>
          <w:sz w:val="21"/>
          <w:szCs w:val="21"/>
        </w:rPr>
        <w:t xml:space="preserve"> 制</w:t>
      </w:r>
      <w:r>
        <w:rPr>
          <w:rFonts w:hint="eastAsia" w:cs="宋体"/>
          <w:b w:val="0"/>
          <w:bCs w:val="0"/>
          <w:color w:val="auto"/>
          <w:sz w:val="21"/>
          <w:szCs w:val="21"/>
          <w:lang w:val="en-US" w:eastAsia="zh-CN"/>
        </w:rPr>
        <w:t>冰</w:t>
      </w:r>
      <w:r>
        <w:rPr>
          <w:rFonts w:hint="eastAsia" w:cs="宋体"/>
          <w:b w:val="0"/>
          <w:bCs w:val="0"/>
          <w:color w:val="auto"/>
          <w:sz w:val="21"/>
          <w:szCs w:val="21"/>
        </w:rPr>
        <w:t>管道安装应具备下列条件:</w:t>
      </w:r>
    </w:p>
    <w:p w14:paraId="74D347E7">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rPr>
      </w:pPr>
      <w:r>
        <w:rPr>
          <w:rFonts w:hint="eastAsia"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管道安装应在</w:t>
      </w:r>
      <w:r>
        <w:rPr>
          <w:rFonts w:hint="eastAsia" w:cs="宋体"/>
          <w:b w:val="0"/>
          <w:bCs w:val="0"/>
          <w:color w:val="auto"/>
          <w:sz w:val="21"/>
          <w:szCs w:val="21"/>
          <w:lang w:val="en-US" w:eastAsia="zh-CN"/>
        </w:rPr>
        <w:t>前序</w:t>
      </w:r>
      <w:r>
        <w:rPr>
          <w:rFonts w:hint="eastAsia" w:cs="宋体"/>
          <w:b w:val="0"/>
          <w:bCs w:val="0"/>
          <w:color w:val="auto"/>
          <w:sz w:val="21"/>
          <w:szCs w:val="21"/>
        </w:rPr>
        <w:t>土建工程检验合格，满足管道安装要求并已办理交接手续后进行。</w:t>
      </w:r>
    </w:p>
    <w:p w14:paraId="6168000B">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rFonts w:hint="eastAsia"/>
          <w:b w:val="0"/>
          <w:bCs w:val="0"/>
          <w:color w:val="auto"/>
          <w:sz w:val="21"/>
          <w:szCs w:val="21"/>
        </w:rPr>
      </w:pPr>
      <w:r>
        <w:rPr>
          <w:rFonts w:hint="eastAsia"/>
          <w:b w:val="0"/>
          <w:bCs w:val="0"/>
          <w:color w:val="auto"/>
          <w:sz w:val="21"/>
          <w:szCs w:val="21"/>
          <w:lang w:val="en-US" w:eastAsia="zh-CN"/>
        </w:rPr>
        <w:t>2</w:t>
      </w:r>
      <w:r>
        <w:rPr>
          <w:rFonts w:hint="eastAsia"/>
          <w:b w:val="0"/>
          <w:bCs w:val="0"/>
          <w:color w:val="auto"/>
          <w:sz w:val="21"/>
          <w:szCs w:val="21"/>
        </w:rPr>
        <w:t xml:space="preserve"> </w:t>
      </w:r>
      <w:r>
        <w:rPr>
          <w:rFonts w:hint="eastAsia"/>
          <w:b w:val="0"/>
          <w:bCs w:val="0"/>
          <w:color w:val="auto"/>
          <w:sz w:val="21"/>
          <w:szCs w:val="21"/>
          <w:lang w:val="en-US" w:eastAsia="zh-CN"/>
        </w:rPr>
        <w:t xml:space="preserve"> </w:t>
      </w:r>
      <w:r>
        <w:rPr>
          <w:rFonts w:hint="eastAsia"/>
          <w:b w:val="0"/>
          <w:bCs w:val="0"/>
          <w:color w:val="auto"/>
          <w:sz w:val="21"/>
          <w:szCs w:val="21"/>
        </w:rPr>
        <w:t>进行管道焊接施工的</w:t>
      </w:r>
      <w:r>
        <w:rPr>
          <w:rFonts w:hint="eastAsia"/>
          <w:b w:val="0"/>
          <w:bCs w:val="0"/>
          <w:color w:val="auto"/>
          <w:sz w:val="21"/>
          <w:szCs w:val="21"/>
          <w:lang w:val="en-US" w:eastAsia="zh-CN"/>
        </w:rPr>
        <w:t>人员</w:t>
      </w:r>
      <w:r>
        <w:rPr>
          <w:rFonts w:hint="eastAsia"/>
          <w:b w:val="0"/>
          <w:bCs w:val="0"/>
          <w:color w:val="auto"/>
          <w:sz w:val="21"/>
          <w:szCs w:val="21"/>
        </w:rPr>
        <w:t>应进行焊工资格预审和登记，并应将其执业资格证上的证件号、执业资格等级、使用期限及颁证单位记录在案，制作焊工档案。焊工经培训考试并现场试焊合格后方可进行焊接作业，并严格按照批准的焊工工艺评定及焊接工艺规程执行。</w:t>
      </w:r>
    </w:p>
    <w:p w14:paraId="4B857741">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b w:val="0"/>
          <w:bCs w:val="0"/>
          <w:color w:val="auto"/>
          <w:sz w:val="21"/>
          <w:szCs w:val="21"/>
        </w:rPr>
      </w:pPr>
      <w:r>
        <w:rPr>
          <w:rFonts w:hint="eastAsia"/>
          <w:b w:val="0"/>
          <w:bCs w:val="0"/>
          <w:color w:val="auto"/>
          <w:sz w:val="21"/>
          <w:szCs w:val="21"/>
          <w:lang w:val="en-US" w:eastAsia="zh-CN"/>
        </w:rPr>
        <w:t>3</w:t>
      </w:r>
      <w:r>
        <w:rPr>
          <w:rFonts w:hint="eastAsia"/>
          <w:b w:val="0"/>
          <w:bCs w:val="0"/>
          <w:color w:val="auto"/>
          <w:sz w:val="21"/>
          <w:szCs w:val="21"/>
        </w:rPr>
        <w:t xml:space="preserve"> </w:t>
      </w:r>
      <w:r>
        <w:rPr>
          <w:rFonts w:hint="eastAsia"/>
          <w:b w:val="0"/>
          <w:bCs w:val="0"/>
          <w:color w:val="auto"/>
          <w:sz w:val="21"/>
          <w:szCs w:val="21"/>
          <w:lang w:val="en-US" w:eastAsia="zh-CN"/>
        </w:rPr>
        <w:t xml:space="preserve"> 焊接类管道</w:t>
      </w:r>
      <w:r>
        <w:rPr>
          <w:rFonts w:hint="eastAsia"/>
          <w:b w:val="0"/>
          <w:bCs w:val="0"/>
          <w:color w:val="auto"/>
          <w:sz w:val="21"/>
          <w:szCs w:val="21"/>
        </w:rPr>
        <w:t>应根据管道性质及管段长度等因素编制管道焊接安装轴测图，轴测图应标注管线号和焊缝编号。</w:t>
      </w:r>
    </w:p>
    <w:p w14:paraId="23FF1160">
      <w:pPr>
        <w:pStyle w:val="2"/>
        <w:keepNext/>
        <w:pageBreakBefore w:val="0"/>
        <w:widowControl w:val="0"/>
        <w:kinsoku/>
        <w:wordWrap/>
        <w:overflowPunct/>
        <w:topLinePunct w:val="0"/>
        <w:autoSpaceDE/>
        <w:autoSpaceDN/>
        <w:bidi w:val="0"/>
        <w:adjustRightInd/>
        <w:spacing w:after="0"/>
        <w:ind w:left="0" w:leftChars="0"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4</w:t>
      </w:r>
      <w:r>
        <w:rPr>
          <w:rFonts w:hint="eastAsia" w:cs="宋体"/>
          <w:b w:val="0"/>
          <w:bCs w:val="0"/>
          <w:color w:val="auto"/>
          <w:sz w:val="21"/>
          <w:szCs w:val="21"/>
        </w:rPr>
        <w:t xml:space="preserve"> </w:t>
      </w:r>
      <w:r>
        <w:rPr>
          <w:rFonts w:hint="eastAsia" w:cs="宋体"/>
          <w:b w:val="0"/>
          <w:bCs w:val="0"/>
          <w:color w:val="auto"/>
          <w:sz w:val="21"/>
          <w:szCs w:val="21"/>
          <w:lang w:val="en-US" w:eastAsia="zh-CN"/>
        </w:rPr>
        <w:t xml:space="preserve"> 管道与设备连接前，</w:t>
      </w:r>
      <w:r>
        <w:rPr>
          <w:rFonts w:hint="eastAsia" w:cs="宋体"/>
          <w:b w:val="0"/>
          <w:bCs w:val="0"/>
          <w:color w:val="auto"/>
          <w:sz w:val="21"/>
          <w:szCs w:val="21"/>
        </w:rPr>
        <w:t>设备</w:t>
      </w:r>
      <w:r>
        <w:rPr>
          <w:rFonts w:hint="eastAsia" w:cs="宋体"/>
          <w:b w:val="0"/>
          <w:bCs w:val="0"/>
          <w:color w:val="auto"/>
          <w:sz w:val="21"/>
          <w:szCs w:val="21"/>
          <w:lang w:val="en-US" w:eastAsia="zh-CN"/>
        </w:rPr>
        <w:t>应</w:t>
      </w:r>
      <w:r>
        <w:rPr>
          <w:rFonts w:hint="eastAsia" w:cs="宋体"/>
          <w:b w:val="0"/>
          <w:bCs w:val="0"/>
          <w:color w:val="auto"/>
          <w:sz w:val="21"/>
          <w:szCs w:val="21"/>
        </w:rPr>
        <w:t>找正就位，并固定完毕。</w:t>
      </w:r>
    </w:p>
    <w:p w14:paraId="3F7378A9">
      <w:pPr>
        <w:pStyle w:val="2"/>
        <w:keepNext/>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default" w:eastAsia="宋体"/>
          <w:b w:val="0"/>
          <w:bCs w:val="0"/>
          <w:color w:val="auto"/>
          <w:sz w:val="21"/>
          <w:szCs w:val="21"/>
          <w:lang w:val="en-US" w:eastAsia="zh-CN"/>
        </w:rPr>
      </w:pPr>
      <w:r>
        <w:rPr>
          <w:rFonts w:hint="eastAsia" w:cs="宋体"/>
          <w:b w:val="0"/>
          <w:bCs w:val="0"/>
          <w:color w:val="auto"/>
          <w:sz w:val="21"/>
          <w:szCs w:val="21"/>
          <w:lang w:val="en-US" w:eastAsia="zh-CN"/>
        </w:rPr>
        <w:t xml:space="preserve">    5  管子、管件、阀门等内部已清理干净、无杂物。</w:t>
      </w:r>
    </w:p>
    <w:p w14:paraId="0B703BE2">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eastAsia="宋体" w:cs="宋体"/>
          <w:b w:val="0"/>
          <w:bCs w:val="0"/>
          <w:color w:val="auto"/>
          <w:sz w:val="21"/>
          <w:szCs w:val="21"/>
          <w:lang w:val="en-US" w:eastAsia="zh-CN"/>
        </w:rPr>
      </w:pPr>
      <w:r>
        <w:rPr>
          <w:rFonts w:hint="eastAsia" w:cs="宋体"/>
          <w:b w:val="0"/>
          <w:bCs w:val="0"/>
          <w:color w:val="auto"/>
          <w:sz w:val="21"/>
          <w:szCs w:val="21"/>
        </w:rPr>
        <w:t>5.1.</w:t>
      </w:r>
      <w:r>
        <w:rPr>
          <w:rFonts w:hint="eastAsia" w:cs="宋体"/>
          <w:b w:val="0"/>
          <w:bCs w:val="0"/>
          <w:color w:val="auto"/>
          <w:sz w:val="21"/>
          <w:szCs w:val="21"/>
          <w:lang w:val="en-US" w:eastAsia="zh-CN"/>
        </w:rPr>
        <w:t>3</w:t>
      </w:r>
      <w:r>
        <w:rPr>
          <w:rFonts w:hint="eastAsia" w:cs="宋体"/>
          <w:b w:val="0"/>
          <w:bCs w:val="0"/>
          <w:color w:val="auto"/>
          <w:sz w:val="21"/>
          <w:szCs w:val="21"/>
        </w:rPr>
        <w:t xml:space="preserve">  </w:t>
      </w:r>
      <w:r>
        <w:rPr>
          <w:rFonts w:hint="eastAsia" w:cs="宋体"/>
          <w:b w:val="0"/>
          <w:bCs w:val="0"/>
          <w:color w:val="auto"/>
          <w:sz w:val="21"/>
          <w:szCs w:val="21"/>
          <w:lang w:val="en-US" w:eastAsia="zh-CN"/>
        </w:rPr>
        <w:t>制冰</w:t>
      </w:r>
      <w:r>
        <w:rPr>
          <w:rFonts w:hint="eastAsia" w:cs="宋体"/>
          <w:b w:val="0"/>
          <w:bCs w:val="0"/>
          <w:color w:val="auto"/>
          <w:sz w:val="21"/>
          <w:szCs w:val="21"/>
        </w:rPr>
        <w:t>管</w:t>
      </w:r>
      <w:r>
        <w:rPr>
          <w:rFonts w:hint="eastAsia" w:cs="宋体"/>
          <w:b w:val="0"/>
          <w:bCs w:val="0"/>
          <w:color w:val="auto"/>
          <w:sz w:val="21"/>
          <w:szCs w:val="21"/>
          <w:lang w:val="en-US" w:eastAsia="zh-CN"/>
        </w:rPr>
        <w:t>道</w:t>
      </w:r>
      <w:r>
        <w:rPr>
          <w:rFonts w:hint="eastAsia" w:cs="宋体"/>
          <w:b w:val="0"/>
          <w:bCs w:val="0"/>
          <w:color w:val="auto"/>
          <w:sz w:val="21"/>
          <w:szCs w:val="21"/>
        </w:rPr>
        <w:t>、</w:t>
      </w:r>
      <w:r>
        <w:rPr>
          <w:rFonts w:hint="eastAsia" w:cs="宋体"/>
          <w:b w:val="0"/>
          <w:bCs w:val="0"/>
          <w:color w:val="auto"/>
          <w:sz w:val="21"/>
          <w:szCs w:val="21"/>
          <w:lang w:val="en-US" w:eastAsia="zh-CN"/>
        </w:rPr>
        <w:t>附</w:t>
      </w:r>
      <w:r>
        <w:rPr>
          <w:rFonts w:hint="eastAsia" w:cs="宋体"/>
          <w:b w:val="0"/>
          <w:bCs w:val="0"/>
          <w:color w:val="auto"/>
          <w:sz w:val="21"/>
          <w:szCs w:val="21"/>
        </w:rPr>
        <w:t>件的材质、规格、型号以及焊接用的原、辅料均应符合设计文件的要求，并满足使用工况(工作压力、工作温度等)的要求</w:t>
      </w:r>
      <w:r>
        <w:rPr>
          <w:rFonts w:hint="eastAsia" w:cs="宋体"/>
          <w:b w:val="0"/>
          <w:bCs w:val="0"/>
          <w:color w:val="auto"/>
          <w:sz w:val="21"/>
          <w:szCs w:val="21"/>
          <w:lang w:eastAsia="zh-CN"/>
        </w:rPr>
        <w:t>，</w:t>
      </w:r>
      <w:r>
        <w:rPr>
          <w:rFonts w:hint="eastAsia" w:cs="宋体"/>
          <w:b w:val="0"/>
          <w:bCs w:val="0"/>
          <w:color w:val="auto"/>
          <w:sz w:val="21"/>
          <w:szCs w:val="21"/>
          <w:lang w:val="en-US" w:eastAsia="zh-CN"/>
        </w:rPr>
        <w:t>且应符合下列规定：</w:t>
      </w:r>
    </w:p>
    <w:p w14:paraId="1AF076C8">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铬钼合金钢、含镍低温钢、不锈钢、镍及镍合金、钛及钛合金材料的管道组成件，应采用光谱分析或其他方法对材质进行复</w:t>
      </w:r>
      <w:r>
        <w:rPr>
          <w:rFonts w:hint="eastAsia" w:cs="宋体"/>
          <w:b w:val="0"/>
          <w:bCs w:val="0"/>
          <w:color w:val="auto"/>
          <w:sz w:val="21"/>
          <w:szCs w:val="21"/>
          <w:lang w:val="en-US" w:eastAsia="zh-CN"/>
        </w:rPr>
        <w:t>查</w:t>
      </w:r>
      <w:r>
        <w:rPr>
          <w:rFonts w:hint="eastAsia" w:ascii="宋体" w:hAnsi="宋体" w:eastAsia="宋体" w:cs="宋体"/>
          <w:b w:val="0"/>
          <w:bCs w:val="0"/>
          <w:color w:val="auto"/>
          <w:sz w:val="21"/>
          <w:szCs w:val="21"/>
        </w:rPr>
        <w:t>，并作好标识。</w:t>
      </w:r>
    </w:p>
    <w:p w14:paraId="6F0135A5">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当</w:t>
      </w:r>
      <w:r>
        <w:rPr>
          <w:rFonts w:hint="eastAsia" w:ascii="宋体" w:hAnsi="宋体" w:eastAsia="宋体" w:cs="宋体"/>
          <w:b w:val="0"/>
          <w:bCs w:val="0"/>
          <w:color w:val="auto"/>
          <w:sz w:val="21"/>
          <w:szCs w:val="21"/>
        </w:rPr>
        <w:t>设计文件规定进行低温冲击韧性试验的管道元件或材料</w:t>
      </w:r>
      <w:r>
        <w:rPr>
          <w:rFonts w:hint="eastAsia" w:cs="宋体"/>
          <w:b w:val="0"/>
          <w:bCs w:val="0"/>
          <w:color w:val="auto"/>
          <w:sz w:val="21"/>
          <w:szCs w:val="21"/>
          <w:lang w:val="en-US" w:eastAsia="zh-CN"/>
        </w:rPr>
        <w:t>的</w:t>
      </w:r>
      <w:r>
        <w:rPr>
          <w:rFonts w:hint="eastAsia" w:ascii="宋体" w:hAnsi="宋体" w:eastAsia="宋体" w:cs="宋体"/>
          <w:b w:val="0"/>
          <w:bCs w:val="0"/>
          <w:color w:val="auto"/>
          <w:sz w:val="21"/>
          <w:szCs w:val="21"/>
        </w:rPr>
        <w:t>，供货方应提供低温冲击韧性试验结果文件，且结果不得低于设计文件的规定。</w:t>
      </w:r>
    </w:p>
    <w:p w14:paraId="78494E36">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 </w:t>
      </w:r>
      <w:r>
        <w:rPr>
          <w:rFonts w:hint="eastAsia" w:cs="宋体"/>
          <w:b w:val="0"/>
          <w:bCs w:val="0"/>
          <w:color w:val="auto"/>
          <w:sz w:val="21"/>
          <w:szCs w:val="21"/>
          <w:lang w:val="en-US" w:eastAsia="zh-CN"/>
        </w:rPr>
        <w:t xml:space="preserve"> 当</w:t>
      </w:r>
      <w:r>
        <w:rPr>
          <w:rFonts w:hint="eastAsia" w:ascii="宋体" w:hAnsi="宋体" w:eastAsia="宋体" w:cs="宋体"/>
          <w:b w:val="0"/>
          <w:bCs w:val="0"/>
          <w:color w:val="auto"/>
          <w:sz w:val="21"/>
          <w:szCs w:val="21"/>
        </w:rPr>
        <w:t>设计文件规定不锈钢、镍及镍合金管道元件或材料</w:t>
      </w:r>
      <w:r>
        <w:rPr>
          <w:rFonts w:hint="eastAsia" w:cs="宋体"/>
          <w:b w:val="0"/>
          <w:bCs w:val="0"/>
          <w:color w:val="auto"/>
          <w:sz w:val="21"/>
          <w:szCs w:val="21"/>
          <w:lang w:val="en-US" w:eastAsia="zh-CN"/>
        </w:rPr>
        <w:t>需</w:t>
      </w:r>
      <w:r>
        <w:rPr>
          <w:rFonts w:hint="eastAsia" w:ascii="宋体" w:hAnsi="宋体" w:eastAsia="宋体" w:cs="宋体"/>
          <w:b w:val="0"/>
          <w:bCs w:val="0"/>
          <w:color w:val="auto"/>
          <w:sz w:val="21"/>
          <w:szCs w:val="21"/>
        </w:rPr>
        <w:t>进行晶间腐蚀试验的，供货方应提供晶间腐蚀试验结果的文件，且试验结果不得低于设计文件的规定。</w:t>
      </w:r>
    </w:p>
    <w:p w14:paraId="4E0BD70A">
      <w:pPr>
        <w:pStyle w:val="27"/>
        <w:keepNext/>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塑料管材内外表面应光滑、平整、清洁，不应</w:t>
      </w:r>
      <w:r>
        <w:rPr>
          <w:rFonts w:hint="eastAsia" w:cs="宋体"/>
          <w:b w:val="0"/>
          <w:bCs w:val="0"/>
          <w:color w:val="auto"/>
          <w:sz w:val="21"/>
          <w:szCs w:val="21"/>
          <w:lang w:val="en-US" w:eastAsia="zh-CN"/>
        </w:rPr>
        <w:t>有</w:t>
      </w:r>
      <w:r>
        <w:rPr>
          <w:rFonts w:hint="eastAsia" w:ascii="宋体" w:hAnsi="宋体" w:eastAsia="宋体" w:cs="宋体"/>
          <w:b w:val="0"/>
          <w:bCs w:val="0"/>
          <w:color w:val="auto"/>
          <w:sz w:val="21"/>
          <w:szCs w:val="21"/>
        </w:rPr>
        <w:t>影响产品性能的明显划痕、凹陷、气泡、杂质等缺陷。管材表面颜色应均匀一致,不允许有明显色差。管材端面应切割平整并与轴线垂直。</w:t>
      </w:r>
    </w:p>
    <w:p w14:paraId="4A77EFD0">
      <w:pPr>
        <w:pStyle w:val="27"/>
        <w:keepNext/>
        <w:keepLines w:val="0"/>
        <w:pageBreakBefore w:val="0"/>
        <w:widowControl w:val="0"/>
        <w:kinsoku/>
        <w:wordWrap/>
        <w:overflowPunct/>
        <w:topLinePunct w:val="0"/>
        <w:autoSpaceDE/>
        <w:autoSpaceDN/>
        <w:bidi w:val="0"/>
        <w:adjustRightInd/>
        <w:snapToGrid w:val="0"/>
        <w:ind w:left="0" w:leftChars="0" w:firstLine="420" w:firstLineChars="200"/>
        <w:jc w:val="left"/>
        <w:textAlignment w:val="auto"/>
        <w:outlineLvl w:val="9"/>
        <w:rPr>
          <w:rFonts w:hint="eastAsia" w:cs="宋体"/>
          <w:b w:val="0"/>
          <w:bCs w:val="0"/>
          <w:color w:val="auto"/>
          <w:sz w:val="21"/>
          <w:szCs w:val="21"/>
          <w:lang w:eastAsia="zh-CN"/>
        </w:rPr>
      </w:pPr>
      <w:r>
        <w:rPr>
          <w:rFonts w:hint="eastAsia" w:cs="宋体"/>
          <w:b w:val="0"/>
          <w:bCs w:val="0"/>
          <w:color w:val="auto"/>
          <w:sz w:val="21"/>
          <w:szCs w:val="21"/>
          <w:lang w:val="en-US" w:eastAsia="zh-CN"/>
        </w:rPr>
        <w:t xml:space="preserve">5  </w:t>
      </w:r>
      <w:r>
        <w:rPr>
          <w:rFonts w:hint="eastAsia" w:ascii="宋体" w:hAnsi="宋体" w:eastAsia="宋体" w:cs="宋体"/>
          <w:b w:val="0"/>
          <w:bCs w:val="0"/>
          <w:color w:val="auto"/>
          <w:kern w:val="2"/>
          <w:sz w:val="21"/>
          <w:szCs w:val="21"/>
          <w:lang w:val="en-US" w:eastAsia="zh-CN" w:bidi="ar-SA"/>
        </w:rPr>
        <w:t>乙二醇溶液管道不应使用镀锌管道及配件。</w:t>
      </w:r>
    </w:p>
    <w:p w14:paraId="62FD86AA">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cs="宋体"/>
          <w:b w:val="0"/>
          <w:bCs w:val="0"/>
          <w:color w:val="auto"/>
          <w:sz w:val="21"/>
          <w:szCs w:val="21"/>
        </w:rPr>
      </w:pPr>
      <w:r>
        <w:rPr>
          <w:rFonts w:hint="eastAsia" w:cs="宋体"/>
          <w:b w:val="0"/>
          <w:bCs w:val="0"/>
          <w:color w:val="auto"/>
          <w:sz w:val="21"/>
          <w:szCs w:val="21"/>
        </w:rPr>
        <w:t>5.1.</w:t>
      </w:r>
      <w:r>
        <w:rPr>
          <w:rFonts w:hint="eastAsia" w:cs="宋体"/>
          <w:b w:val="0"/>
          <w:bCs w:val="0"/>
          <w:color w:val="auto"/>
          <w:sz w:val="21"/>
          <w:szCs w:val="21"/>
          <w:lang w:val="en-US" w:eastAsia="zh-CN"/>
        </w:rPr>
        <w:t xml:space="preserve">4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设备安装前，应具备下列工程设计</w:t>
      </w:r>
      <w:r>
        <w:rPr>
          <w:rFonts w:hint="eastAsia" w:cs="宋体"/>
          <w:b w:val="0"/>
          <w:bCs w:val="0"/>
          <w:color w:val="auto"/>
          <w:sz w:val="21"/>
          <w:szCs w:val="21"/>
          <w:lang w:val="en-US" w:eastAsia="zh-CN"/>
        </w:rPr>
        <w:t>图纸</w:t>
      </w:r>
      <w:r>
        <w:rPr>
          <w:rFonts w:hint="eastAsia" w:cs="宋体"/>
          <w:b w:val="0"/>
          <w:bCs w:val="0"/>
          <w:color w:val="auto"/>
          <w:sz w:val="21"/>
          <w:szCs w:val="21"/>
        </w:rPr>
        <w:t>和技术文件：</w:t>
      </w:r>
    </w:p>
    <w:p w14:paraId="03B8DB1D">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cs="宋体"/>
          <w:b w:val="0"/>
          <w:bCs w:val="0"/>
          <w:color w:val="auto"/>
          <w:sz w:val="21"/>
          <w:szCs w:val="21"/>
        </w:rPr>
      </w:pPr>
      <w:r>
        <w:rPr>
          <w:rFonts w:hint="eastAsia" w:cs="宋体"/>
          <w:b w:val="0"/>
          <w:bCs w:val="0"/>
          <w:color w:val="auto"/>
          <w:sz w:val="21"/>
          <w:szCs w:val="21"/>
        </w:rPr>
        <w:t xml:space="preserve">1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设备的工艺平面位置图、标高图、设备基础图、安装施工图</w:t>
      </w:r>
      <w:r>
        <w:rPr>
          <w:rFonts w:hint="eastAsia" w:cs="宋体"/>
          <w:b w:val="0"/>
          <w:bCs w:val="0"/>
          <w:color w:val="auto"/>
          <w:sz w:val="21"/>
          <w:szCs w:val="21"/>
          <w:lang w:val="en-US" w:eastAsia="zh-CN"/>
        </w:rPr>
        <w:t>及其他</w:t>
      </w:r>
      <w:r>
        <w:rPr>
          <w:rFonts w:hint="eastAsia" w:cs="宋体"/>
          <w:b w:val="0"/>
          <w:bCs w:val="0"/>
          <w:color w:val="auto"/>
          <w:sz w:val="21"/>
          <w:szCs w:val="21"/>
        </w:rPr>
        <w:t>技术文件；</w:t>
      </w:r>
    </w:p>
    <w:p w14:paraId="4D82C952">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cs="宋体"/>
          <w:b w:val="0"/>
          <w:bCs w:val="0"/>
          <w:color w:val="auto"/>
          <w:sz w:val="21"/>
          <w:szCs w:val="21"/>
        </w:rPr>
      </w:pPr>
      <w:r>
        <w:rPr>
          <w:rFonts w:hint="eastAsia" w:cs="宋体"/>
          <w:b w:val="0"/>
          <w:bCs w:val="0"/>
          <w:color w:val="auto"/>
          <w:sz w:val="21"/>
          <w:szCs w:val="21"/>
        </w:rPr>
        <w:t xml:space="preserve">2 </w:t>
      </w:r>
      <w:r>
        <w:rPr>
          <w:rFonts w:hint="eastAsia" w:cs="宋体"/>
          <w:b w:val="0"/>
          <w:bCs w:val="0"/>
          <w:color w:val="auto"/>
          <w:sz w:val="21"/>
          <w:szCs w:val="21"/>
          <w:lang w:val="en-US" w:eastAsia="zh-CN"/>
        </w:rPr>
        <w:t xml:space="preserve"> </w:t>
      </w:r>
      <w:r>
        <w:rPr>
          <w:rFonts w:hint="eastAsia" w:cs="宋体"/>
          <w:b w:val="0"/>
          <w:bCs w:val="0"/>
          <w:color w:val="auto"/>
          <w:sz w:val="21"/>
          <w:szCs w:val="21"/>
        </w:rPr>
        <w:t>制</w:t>
      </w:r>
      <w:r>
        <w:rPr>
          <w:rFonts w:hint="eastAsia" w:cs="宋体"/>
          <w:b w:val="0"/>
          <w:bCs w:val="0"/>
          <w:color w:val="auto"/>
          <w:sz w:val="21"/>
          <w:szCs w:val="21"/>
          <w:lang w:val="en-US" w:eastAsia="zh-CN"/>
        </w:rPr>
        <w:t>冰</w:t>
      </w:r>
      <w:r>
        <w:rPr>
          <w:rFonts w:hint="eastAsia" w:cs="宋体"/>
          <w:b w:val="0"/>
          <w:bCs w:val="0"/>
          <w:color w:val="auto"/>
          <w:sz w:val="21"/>
          <w:szCs w:val="21"/>
        </w:rPr>
        <w:t>设备</w:t>
      </w:r>
      <w:r>
        <w:rPr>
          <w:rFonts w:hint="eastAsia" w:cs="宋体"/>
          <w:b w:val="0"/>
          <w:bCs w:val="0"/>
          <w:color w:val="auto"/>
          <w:sz w:val="21"/>
          <w:szCs w:val="21"/>
          <w:lang w:val="en-US" w:eastAsia="zh-CN"/>
        </w:rPr>
        <w:t>安装及</w:t>
      </w:r>
      <w:r>
        <w:rPr>
          <w:rFonts w:hint="eastAsia" w:cs="宋体"/>
          <w:b w:val="0"/>
          <w:bCs w:val="0"/>
          <w:color w:val="auto"/>
          <w:sz w:val="21"/>
          <w:szCs w:val="21"/>
        </w:rPr>
        <w:t>使用说明书</w:t>
      </w:r>
      <w:r>
        <w:rPr>
          <w:rFonts w:hint="eastAsia" w:cs="宋体"/>
          <w:b w:val="0"/>
          <w:bCs w:val="0"/>
          <w:color w:val="auto"/>
          <w:sz w:val="21"/>
          <w:szCs w:val="21"/>
          <w:lang w:val="en-US" w:eastAsia="zh-CN"/>
        </w:rPr>
        <w:t>等</w:t>
      </w:r>
      <w:r>
        <w:rPr>
          <w:rFonts w:hint="eastAsia" w:cs="宋体"/>
          <w:b w:val="0"/>
          <w:bCs w:val="0"/>
          <w:color w:val="auto"/>
          <w:sz w:val="21"/>
          <w:szCs w:val="21"/>
        </w:rPr>
        <w:t>技术文件；</w:t>
      </w:r>
    </w:p>
    <w:p w14:paraId="2A9077F1">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rPr>
        <w:t xml:space="preserve">3 </w:t>
      </w:r>
      <w:r>
        <w:rPr>
          <w:rFonts w:hint="eastAsia" w:cs="宋体"/>
          <w:b w:val="0"/>
          <w:bCs w:val="0"/>
          <w:color w:val="auto"/>
          <w:sz w:val="21"/>
          <w:szCs w:val="21"/>
          <w:lang w:val="en-US" w:eastAsia="zh-CN"/>
        </w:rPr>
        <w:t xml:space="preserve"> </w:t>
      </w:r>
      <w:r>
        <w:rPr>
          <w:rFonts w:hint="eastAsia" w:cs="宋体"/>
          <w:b w:val="0"/>
          <w:bCs w:val="0"/>
          <w:color w:val="auto"/>
          <w:sz w:val="21"/>
          <w:szCs w:val="21"/>
        </w:rPr>
        <w:t>与制</w:t>
      </w:r>
      <w:r>
        <w:rPr>
          <w:rFonts w:hint="eastAsia" w:cs="宋体"/>
          <w:b w:val="0"/>
          <w:bCs w:val="0"/>
          <w:color w:val="auto"/>
          <w:sz w:val="21"/>
          <w:szCs w:val="21"/>
          <w:lang w:val="en-US" w:eastAsia="zh-CN"/>
        </w:rPr>
        <w:t>冰</w:t>
      </w:r>
      <w:r>
        <w:rPr>
          <w:rFonts w:hint="eastAsia" w:cs="宋体"/>
          <w:b w:val="0"/>
          <w:bCs w:val="0"/>
          <w:color w:val="auto"/>
          <w:sz w:val="21"/>
          <w:szCs w:val="21"/>
        </w:rPr>
        <w:t>设备安装有关的建筑结构、道路</w:t>
      </w:r>
      <w:r>
        <w:rPr>
          <w:rFonts w:hint="eastAsia" w:cs="宋体"/>
          <w:b w:val="0"/>
          <w:bCs w:val="0"/>
          <w:color w:val="auto"/>
          <w:sz w:val="21"/>
          <w:szCs w:val="21"/>
          <w:lang w:eastAsia="zh-CN"/>
        </w:rPr>
        <w:t>、</w:t>
      </w:r>
      <w:r>
        <w:rPr>
          <w:rFonts w:hint="eastAsia" w:cs="宋体"/>
          <w:b w:val="0"/>
          <w:bCs w:val="0"/>
          <w:color w:val="auto"/>
          <w:sz w:val="21"/>
          <w:szCs w:val="21"/>
          <w:lang w:val="en-US" w:eastAsia="zh-CN"/>
        </w:rPr>
        <w:t>管线的施工图纸。</w:t>
      </w:r>
    </w:p>
    <w:p w14:paraId="1625BDE8">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4  应编制设备运输、吊装专项方案。对于采用非常规起重设备、方法，且单件起吊重量≥100kN或单件起重量≥300kN的，应进行专家论证。</w:t>
      </w:r>
    </w:p>
    <w:p w14:paraId="651C83E7">
      <w:pPr>
        <w:pStyle w:val="2"/>
        <w:keepNext/>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cs="宋体"/>
          <w:b w:val="0"/>
          <w:bCs w:val="0"/>
          <w:color w:val="auto"/>
          <w:sz w:val="21"/>
          <w:szCs w:val="21"/>
          <w:lang w:val="en-US" w:eastAsia="zh-CN"/>
        </w:rPr>
      </w:pPr>
      <w:r>
        <w:rPr>
          <w:rFonts w:hint="eastAsia" w:cs="宋体"/>
          <w:b w:val="0"/>
          <w:bCs w:val="0"/>
          <w:color w:val="auto"/>
          <w:sz w:val="21"/>
          <w:szCs w:val="21"/>
          <w:lang w:val="en-US" w:eastAsia="zh-CN"/>
        </w:rPr>
        <w:t>5.1.5  当系统内有压力，且制冷剂未清理干净时，严禁进行焊接维修作业。</w:t>
      </w:r>
    </w:p>
    <w:bookmarkEnd w:id="76"/>
    <w:p w14:paraId="7E2A94FD">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78" w:name="_Toc19178"/>
      <w:bookmarkStart w:id="79" w:name="_Toc29377"/>
      <w:r>
        <w:rPr>
          <w:rFonts w:hint="eastAsia" w:ascii="黑体" w:hAnsi="黑体" w:eastAsia="黑体" w:cs="黑体"/>
          <w:b w:val="0"/>
          <w:bCs w:val="0"/>
          <w:kern w:val="0"/>
          <w:sz w:val="21"/>
          <w:szCs w:val="21"/>
          <w:lang w:val="en-US" w:eastAsia="zh-CN"/>
        </w:rPr>
        <w:t>5.2  制冰管道安装</w:t>
      </w:r>
      <w:bookmarkEnd w:id="78"/>
      <w:bookmarkEnd w:id="79"/>
    </w:p>
    <w:p w14:paraId="10885C1E">
      <w:pPr>
        <w:keepNext/>
        <w:keepLines/>
        <w:pageBreakBefore w:val="0"/>
        <w:widowControl w:val="0"/>
        <w:kinsoku/>
        <w:wordWrap/>
        <w:overflowPunct/>
        <w:topLinePunct w:val="0"/>
        <w:autoSpaceDE/>
        <w:autoSpaceDN/>
        <w:bidi w:val="0"/>
        <w:adjustRightInd/>
        <w:snapToGrid w:val="0"/>
        <w:ind w:firstLine="0" w:firstLineChars="0"/>
        <w:jc w:val="left"/>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5.2.1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管道支、吊架安装</w:t>
      </w:r>
      <w:r>
        <w:rPr>
          <w:rFonts w:hint="eastAsia" w:hAnsi="宋体" w:cs="宋体"/>
          <w:b w:val="0"/>
          <w:bCs w:val="0"/>
          <w:color w:val="auto"/>
          <w:sz w:val="21"/>
          <w:szCs w:val="21"/>
          <w:lang w:val="en-US" w:eastAsia="zh-CN"/>
        </w:rPr>
        <w:t>应符合下列规定：</w:t>
      </w:r>
    </w:p>
    <w:p w14:paraId="2802819F">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bookmarkStart w:id="80" w:name="_Toc21953"/>
      <w:r>
        <w:rPr>
          <w:rFonts w:hint="eastAsia" w:ascii="宋体" w:hAnsi="宋体" w:eastAsia="宋体" w:cs="宋体"/>
          <w:b w:val="0"/>
          <w:bCs w:val="0"/>
          <w:color w:val="auto"/>
          <w:sz w:val="21"/>
          <w:szCs w:val="21"/>
        </w:rPr>
        <w:t>1</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材料、形式、数量、加工尺寸</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安装位置</w:t>
      </w:r>
      <w:r>
        <w:rPr>
          <w:rFonts w:hint="eastAsia" w:ascii="宋体" w:hAnsi="宋体" w:eastAsia="宋体" w:cs="宋体"/>
          <w:b w:val="0"/>
          <w:bCs w:val="0"/>
          <w:color w:val="auto"/>
          <w:sz w:val="21"/>
          <w:szCs w:val="21"/>
        </w:rPr>
        <w:t>应符合设计文件的规定。</w:t>
      </w:r>
      <w:bookmarkEnd w:id="80"/>
    </w:p>
    <w:p w14:paraId="6678BCAB">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制作管道支、吊架所用的型钢应平直，确保支、吊架与</w:t>
      </w:r>
      <w:r>
        <w:rPr>
          <w:rFonts w:hint="eastAsia" w:hAnsi="宋体" w:cs="宋体"/>
          <w:b w:val="0"/>
          <w:bCs w:val="0"/>
          <w:color w:val="auto"/>
          <w:sz w:val="21"/>
          <w:szCs w:val="21"/>
          <w:lang w:val="en-US" w:eastAsia="zh-CN"/>
        </w:rPr>
        <w:t>管道</w:t>
      </w:r>
      <w:r>
        <w:rPr>
          <w:rFonts w:hint="eastAsia" w:ascii="宋体" w:hAnsi="宋体" w:eastAsia="宋体" w:cs="宋体"/>
          <w:b w:val="0"/>
          <w:bCs w:val="0"/>
          <w:color w:val="auto"/>
          <w:sz w:val="21"/>
          <w:szCs w:val="21"/>
        </w:rPr>
        <w:t>或管垫接触良好。</w:t>
      </w:r>
    </w:p>
    <w:p w14:paraId="533029A3">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管道支﹑吊架制作完后，应对其焊缝进行外观检查，不得有漏焊、裂纹、气孔、夹渣、咬肉等缺陷。其焊接变形应予矫正。</w:t>
      </w:r>
    </w:p>
    <w:p w14:paraId="45AF38A7">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bookmarkStart w:id="81" w:name="_Toc25447"/>
      <w:r>
        <w:rPr>
          <w:rFonts w:hint="eastAsia" w:ascii="宋体" w:hAnsi="宋体" w:eastAsia="宋体" w:cs="宋体"/>
          <w:b w:val="0"/>
          <w:bCs w:val="0"/>
          <w:color w:val="auto"/>
          <w:sz w:val="21"/>
          <w:szCs w:val="21"/>
        </w:rPr>
        <w:t xml:space="preserve">4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管道支、吊架的螺栓孔，应用机械方法加工。</w:t>
      </w:r>
      <w:bookmarkEnd w:id="81"/>
    </w:p>
    <w:p w14:paraId="348172C5">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管道支、吊架的卡环或“U”型管卡，宜用圆钢或扁钢弯制而成，其圆弧部分应光滑，尺寸应与管子外径相符。</w:t>
      </w:r>
    </w:p>
    <w:p w14:paraId="2D28CB02">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 xml:space="preserve"> 管道支、吊架制作组装后其外形尺寸偏差不得大于3mm。并应进行涂漆等防锈处理，其涂层应均匀、完整、无损坏和漏涂。</w:t>
      </w:r>
    </w:p>
    <w:p w14:paraId="13244C68">
      <w:pPr>
        <w:keepNext/>
        <w:keepLines/>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7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管道支、吊架安装后，其坐标偏差不得超过10mm，标高允许偏差为-10mm～0。</w:t>
      </w:r>
    </w:p>
    <w:p w14:paraId="232CFBEC">
      <w:pPr>
        <w:pStyle w:val="27"/>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b w:val="0"/>
          <w:bCs w:val="0"/>
          <w:color w:val="auto"/>
          <w:sz w:val="21"/>
          <w:szCs w:val="21"/>
          <w:lang w:eastAsia="zh-CN"/>
        </w:rPr>
      </w:pPr>
      <w:r>
        <w:rPr>
          <w:rFonts w:hint="eastAsia"/>
          <w:b w:val="0"/>
          <w:bCs w:val="0"/>
          <w:color w:val="auto"/>
          <w:sz w:val="21"/>
          <w:szCs w:val="21"/>
          <w:lang w:val="en-US" w:eastAsia="zh-CN"/>
        </w:rPr>
        <w:t xml:space="preserve">8  </w:t>
      </w:r>
      <w:r>
        <w:rPr>
          <w:rFonts w:hint="eastAsia"/>
          <w:b w:val="0"/>
          <w:bCs w:val="0"/>
          <w:color w:val="auto"/>
          <w:sz w:val="21"/>
          <w:szCs w:val="21"/>
        </w:rPr>
        <w:t>管道安装完毕后，应按设计文件逐个核对支、吊架的形式和位置，并记录。</w:t>
      </w:r>
      <w:bookmarkStart w:id="82" w:name="_Toc27328"/>
    </w:p>
    <w:p w14:paraId="518E3625">
      <w:pPr>
        <w:keepNext w:val="0"/>
        <w:keepLines w:val="0"/>
        <w:pageBreakBefore w:val="0"/>
        <w:widowControl/>
        <w:suppressLineNumbers w:val="0"/>
        <w:kinsoku/>
        <w:wordWrap/>
        <w:overflowPunct/>
        <w:topLinePunct w:val="0"/>
        <w:autoSpaceDE/>
        <w:autoSpaceDN/>
        <w:bidi w:val="0"/>
        <w:adjustRightInd/>
        <w:ind w:left="0" w:leftChars="0" w:firstLine="0" w:firstLineChars="0"/>
        <w:jc w:val="left"/>
        <w:textAlignment w:val="auto"/>
        <w:rPr>
          <w:rFonts w:hint="eastAsia" w:hAnsi="宋体" w:cs="宋体"/>
          <w:b w:val="0"/>
          <w:bCs w:val="0"/>
          <w:color w:val="auto"/>
          <w:sz w:val="21"/>
          <w:szCs w:val="21"/>
          <w:lang w:val="en-US" w:eastAsia="zh-CN"/>
        </w:rPr>
      </w:pPr>
      <w:r>
        <w:rPr>
          <w:rFonts w:hint="eastAsia" w:ascii="宋体" w:hAnsi="宋体" w:eastAsia="宋体" w:cs="宋体"/>
          <w:b w:val="0"/>
          <w:bCs w:val="0"/>
          <w:color w:val="auto"/>
          <w:sz w:val="21"/>
          <w:szCs w:val="21"/>
        </w:rPr>
        <w:t>5.2.</w:t>
      </w: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制冰系统</w:t>
      </w:r>
      <w:r>
        <w:rPr>
          <w:rFonts w:hint="eastAsia" w:ascii="宋体" w:hAnsi="宋体" w:eastAsia="宋体" w:cs="宋体"/>
          <w:b w:val="0"/>
          <w:bCs w:val="0"/>
          <w:color w:val="auto"/>
          <w:sz w:val="21"/>
          <w:szCs w:val="21"/>
        </w:rPr>
        <w:t>主管道</w:t>
      </w:r>
      <w:bookmarkEnd w:id="82"/>
      <w:r>
        <w:rPr>
          <w:rFonts w:hint="eastAsia" w:hAnsi="宋体" w:cs="宋体"/>
          <w:b w:val="0"/>
          <w:bCs w:val="0"/>
          <w:color w:val="auto"/>
          <w:sz w:val="21"/>
          <w:szCs w:val="21"/>
          <w:lang w:val="en-US" w:eastAsia="zh-CN"/>
        </w:rPr>
        <w:t>通常为金属管道，管道焊接应符合设计文件要求及现行国家标准《现场设备、工业管道焊接工程施工规范》GB 50236，并应符合下列规定：</w:t>
      </w:r>
    </w:p>
    <w:p w14:paraId="126C036F">
      <w:pPr>
        <w:pStyle w:val="2"/>
        <w:pageBreakBefore w:val="0"/>
        <w:kinsoku/>
        <w:wordWrap/>
        <w:overflowPunct/>
        <w:topLinePunct w:val="0"/>
        <w:autoSpaceDE/>
        <w:autoSpaceDN/>
        <w:bidi w:val="0"/>
        <w:adjustRightInd/>
        <w:spacing w:after="0"/>
        <w:ind w:left="0" w:leftChars="0" w:firstLine="420" w:firstLineChars="200"/>
        <w:jc w:val="left"/>
        <w:textAlignment w:val="auto"/>
        <w:rPr>
          <w:rFonts w:hint="default"/>
          <w:b w:val="0"/>
          <w:bCs w:val="0"/>
          <w:color w:val="auto"/>
          <w:sz w:val="21"/>
          <w:szCs w:val="21"/>
          <w:lang w:val="en-US" w:eastAsia="zh-CN"/>
        </w:rPr>
      </w:pPr>
      <w:r>
        <w:rPr>
          <w:rFonts w:hint="eastAsia"/>
          <w:b w:val="0"/>
          <w:bCs w:val="0"/>
          <w:color w:val="auto"/>
          <w:sz w:val="21"/>
          <w:szCs w:val="21"/>
          <w:lang w:val="en-US" w:eastAsia="zh-CN"/>
        </w:rPr>
        <w:t xml:space="preserve">1  </w:t>
      </w:r>
      <w:r>
        <w:rPr>
          <w:rFonts w:hint="default"/>
          <w:b w:val="0"/>
          <w:bCs w:val="0"/>
          <w:color w:val="auto"/>
          <w:sz w:val="21"/>
          <w:szCs w:val="21"/>
          <w:lang w:val="en-US" w:eastAsia="zh-CN"/>
        </w:rPr>
        <w:t>严格按照轴测图进行管道预制，预制完毕的管段，内部应清理干净，并应临时封堵管口。</w:t>
      </w:r>
    </w:p>
    <w:p w14:paraId="3A5AFA65">
      <w:pPr>
        <w:pStyle w:val="27"/>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color w:val="auto"/>
          <w:sz w:val="21"/>
          <w:szCs w:val="21"/>
        </w:rPr>
      </w:pPr>
      <w:r>
        <w:rPr>
          <w:rFonts w:hint="eastAsia"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管子切口端面应平整、无裂纹、重皮、毛刺、缩口，不得有熔液、氧化皮、铁屑等杂物。</w:t>
      </w:r>
    </w:p>
    <w:p w14:paraId="2D6805C4">
      <w:pPr>
        <w:pStyle w:val="27"/>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sz w:val="24"/>
        </w:rPr>
      </w:pP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 xml:space="preserve"> </w:t>
      </w:r>
      <w:r>
        <w:rPr>
          <w:rFonts w:hint="eastAsia" w:cs="宋体"/>
          <w:b w:val="0"/>
          <w:bCs w:val="0"/>
          <w:color w:val="auto"/>
          <w:sz w:val="21"/>
          <w:szCs w:val="21"/>
          <w:lang w:val="en-US" w:eastAsia="zh-CN"/>
        </w:rPr>
        <w:t xml:space="preserve"> 金属</w:t>
      </w:r>
      <w:r>
        <w:rPr>
          <w:rFonts w:hint="eastAsia" w:ascii="宋体" w:hAnsi="宋体" w:eastAsia="宋体" w:cs="宋体"/>
          <w:b w:val="0"/>
          <w:bCs w:val="0"/>
          <w:color w:val="auto"/>
          <w:sz w:val="21"/>
          <w:szCs w:val="21"/>
        </w:rPr>
        <w:t>管子、管件坡口的加工应采用机械方法。加工后</w:t>
      </w:r>
      <w:r>
        <w:rPr>
          <w:rFonts w:hint="eastAsia" w:cs="宋体"/>
          <w:b w:val="0"/>
          <w:bCs w:val="0"/>
          <w:color w:val="auto"/>
          <w:sz w:val="21"/>
          <w:szCs w:val="21"/>
          <w:lang w:val="en-US" w:eastAsia="zh-CN"/>
        </w:rPr>
        <w:t>应</w:t>
      </w:r>
      <w:r>
        <w:rPr>
          <w:rFonts w:hint="eastAsia" w:ascii="宋体" w:hAnsi="宋体" w:eastAsia="宋体" w:cs="宋体"/>
          <w:b w:val="0"/>
          <w:bCs w:val="0"/>
          <w:color w:val="auto"/>
          <w:sz w:val="21"/>
          <w:szCs w:val="21"/>
        </w:rPr>
        <w:t>除净坡口处10mm范围内的污物，并将影响焊接质量的凹凸不平处磨削平整。</w:t>
      </w:r>
      <w:r>
        <w:rPr>
          <w:rFonts w:hint="eastAsia" w:cs="宋体"/>
          <w:b w:val="0"/>
          <w:bCs w:val="0"/>
          <w:color w:val="auto"/>
          <w:sz w:val="21"/>
          <w:szCs w:val="21"/>
          <w:lang w:val="en-US" w:eastAsia="zh-CN"/>
        </w:rPr>
        <w:t>当</w:t>
      </w:r>
      <w:r>
        <w:rPr>
          <w:rFonts w:hint="eastAsia" w:ascii="宋体" w:hAnsi="宋体" w:eastAsia="宋体" w:cs="宋体"/>
          <w:b w:val="0"/>
          <w:bCs w:val="0"/>
          <w:color w:val="auto"/>
          <w:sz w:val="21"/>
          <w:szCs w:val="21"/>
        </w:rPr>
        <w:t>焊接坡口形式设计文件无规定时，</w:t>
      </w:r>
      <w:r>
        <w:rPr>
          <w:rFonts w:hint="eastAsia" w:cs="宋体"/>
          <w:b w:val="0"/>
          <w:bCs w:val="0"/>
          <w:color w:val="auto"/>
          <w:sz w:val="21"/>
          <w:szCs w:val="21"/>
          <w:lang w:val="en-US" w:eastAsia="zh-CN"/>
        </w:rPr>
        <w:t>宜</w:t>
      </w:r>
      <w:r>
        <w:rPr>
          <w:rFonts w:hint="eastAsia" w:ascii="宋体" w:hAnsi="宋体" w:eastAsia="宋体" w:cs="宋体"/>
          <w:b w:val="0"/>
          <w:bCs w:val="0"/>
          <w:color w:val="auto"/>
          <w:sz w:val="21"/>
          <w:szCs w:val="21"/>
        </w:rPr>
        <w:t>按表5.2.2选取。</w:t>
      </w:r>
    </w:p>
    <w:p w14:paraId="638A831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5.2.</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管道对接焊口的组对和坡口形式</w:t>
      </w:r>
    </w:p>
    <w:tbl>
      <w:tblPr>
        <w:tblStyle w:val="14"/>
        <w:tblW w:w="9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321"/>
        <w:gridCol w:w="3188"/>
        <w:gridCol w:w="1106"/>
        <w:gridCol w:w="1419"/>
        <w:gridCol w:w="1341"/>
      </w:tblGrid>
      <w:tr w14:paraId="4D45C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0"/>
            <w:vAlign w:val="center"/>
          </w:tcPr>
          <w:p w14:paraId="1E65B3CC">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序号</w:t>
            </w:r>
          </w:p>
        </w:tc>
        <w:tc>
          <w:tcPr>
            <w:tcW w:w="1321" w:type="dxa"/>
            <w:noWrap w:val="0"/>
            <w:vAlign w:val="center"/>
          </w:tcPr>
          <w:p w14:paraId="5AD43AE4">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坡口名称</w:t>
            </w:r>
          </w:p>
        </w:tc>
        <w:tc>
          <w:tcPr>
            <w:tcW w:w="3188" w:type="dxa"/>
            <w:noWrap w:val="0"/>
            <w:vAlign w:val="center"/>
          </w:tcPr>
          <w:p w14:paraId="6EC4751A">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坡口形式</w:t>
            </w:r>
          </w:p>
        </w:tc>
        <w:tc>
          <w:tcPr>
            <w:tcW w:w="3866" w:type="dxa"/>
            <w:gridSpan w:val="3"/>
            <w:noWrap w:val="0"/>
            <w:vAlign w:val="center"/>
          </w:tcPr>
          <w:p w14:paraId="13059368">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手工焊坡口尺寸（mm）</w:t>
            </w:r>
          </w:p>
        </w:tc>
      </w:tr>
      <w:tr w14:paraId="1FE74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noWrap w:val="0"/>
            <w:vAlign w:val="center"/>
          </w:tcPr>
          <w:p w14:paraId="5439FD4E">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321" w:type="dxa"/>
            <w:vMerge w:val="restart"/>
            <w:noWrap w:val="0"/>
            <w:vAlign w:val="center"/>
          </w:tcPr>
          <w:p w14:paraId="105DA5D9">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I型坡口</w:t>
            </w:r>
          </w:p>
        </w:tc>
        <w:tc>
          <w:tcPr>
            <w:tcW w:w="3188" w:type="dxa"/>
            <w:vMerge w:val="restart"/>
            <w:noWrap w:val="0"/>
            <w:vAlign w:val="center"/>
          </w:tcPr>
          <w:p w14:paraId="6FFDFA96">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1845310" cy="689610"/>
                  <wp:effectExtent l="0" t="0" r="2540" b="15240"/>
                  <wp:docPr id="4" name="图片 2" descr="C:\Users\acer\Desktop\11.jp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cer\Desktop\11.jpg11"/>
                          <pic:cNvPicPr>
                            <a:picLocks noChangeAspect="1"/>
                          </pic:cNvPicPr>
                        </pic:nvPicPr>
                        <pic:blipFill>
                          <a:blip r:embed="rId14"/>
                          <a:stretch>
                            <a:fillRect/>
                          </a:stretch>
                        </pic:blipFill>
                        <pic:spPr>
                          <a:xfrm>
                            <a:off x="0" y="0"/>
                            <a:ext cx="1845310" cy="689610"/>
                          </a:xfrm>
                          <a:prstGeom prst="rect">
                            <a:avLst/>
                          </a:prstGeom>
                          <a:noFill/>
                          <a:ln>
                            <a:noFill/>
                          </a:ln>
                        </pic:spPr>
                      </pic:pic>
                    </a:graphicData>
                  </a:graphic>
                </wp:inline>
              </w:drawing>
            </w:r>
          </w:p>
        </w:tc>
        <w:tc>
          <w:tcPr>
            <w:tcW w:w="1106" w:type="dxa"/>
            <w:noWrap w:val="0"/>
            <w:vAlign w:val="center"/>
          </w:tcPr>
          <w:p w14:paraId="0A111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T</w:t>
            </w:r>
          </w:p>
        </w:tc>
        <w:tc>
          <w:tcPr>
            <w:tcW w:w="1419" w:type="dxa"/>
            <w:noWrap w:val="0"/>
            <w:vAlign w:val="center"/>
          </w:tcPr>
          <w:p w14:paraId="1C090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1.0～3.0</w:t>
            </w:r>
          </w:p>
        </w:tc>
        <w:tc>
          <w:tcPr>
            <w:tcW w:w="1341" w:type="dxa"/>
            <w:noWrap w:val="0"/>
            <w:vAlign w:val="center"/>
          </w:tcPr>
          <w:p w14:paraId="7107B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3.0～6.0</w:t>
            </w:r>
          </w:p>
        </w:tc>
      </w:tr>
      <w:tr w14:paraId="26939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14:paraId="648E3D80">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14:paraId="188A0FD8">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14:paraId="5A61A71C">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14:paraId="757E2F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C</w:t>
            </w:r>
          </w:p>
        </w:tc>
        <w:tc>
          <w:tcPr>
            <w:tcW w:w="1419" w:type="dxa"/>
            <w:noWrap w:val="0"/>
            <w:vAlign w:val="center"/>
          </w:tcPr>
          <w:p w14:paraId="77E20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0～1.5</w:t>
            </w:r>
          </w:p>
        </w:tc>
        <w:tc>
          <w:tcPr>
            <w:tcW w:w="1341" w:type="dxa"/>
            <w:noWrap w:val="0"/>
            <w:vAlign w:val="center"/>
          </w:tcPr>
          <w:p w14:paraId="7CFDD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0～2.5</w:t>
            </w:r>
          </w:p>
        </w:tc>
      </w:tr>
      <w:tr w14:paraId="51EDE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noWrap w:val="0"/>
            <w:vAlign w:val="center"/>
          </w:tcPr>
          <w:p w14:paraId="3B5CE693">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321" w:type="dxa"/>
            <w:vMerge w:val="restart"/>
            <w:noWrap w:val="0"/>
            <w:vAlign w:val="center"/>
          </w:tcPr>
          <w:p w14:paraId="6399EB67">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V型坡口</w:t>
            </w:r>
          </w:p>
        </w:tc>
        <w:tc>
          <w:tcPr>
            <w:tcW w:w="3188" w:type="dxa"/>
            <w:vMerge w:val="restart"/>
            <w:noWrap w:val="0"/>
            <w:vAlign w:val="center"/>
          </w:tcPr>
          <w:p w14:paraId="7C4D0A04">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14:paraId="27DF4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T</w:t>
            </w:r>
          </w:p>
        </w:tc>
        <w:tc>
          <w:tcPr>
            <w:tcW w:w="1419" w:type="dxa"/>
            <w:noWrap w:val="0"/>
            <w:vAlign w:val="center"/>
          </w:tcPr>
          <w:p w14:paraId="73B9A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3.0～9.0</w:t>
            </w:r>
          </w:p>
        </w:tc>
        <w:tc>
          <w:tcPr>
            <w:tcW w:w="1341" w:type="dxa"/>
            <w:noWrap w:val="0"/>
            <w:vAlign w:val="center"/>
          </w:tcPr>
          <w:p w14:paraId="52356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9.0～26.0</w:t>
            </w:r>
          </w:p>
        </w:tc>
      </w:tr>
      <w:tr w14:paraId="5E24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14:paraId="09B7A4DF">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14:paraId="106E94ED">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14:paraId="3C8B3F74">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14:paraId="65745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anchor distT="0" distB="0" distL="114300" distR="114300" simplePos="0" relativeHeight="251659264" behindDoc="0" locked="0" layoutInCell="1" allowOverlap="1">
                  <wp:simplePos x="0" y="0"/>
                  <wp:positionH relativeFrom="column">
                    <wp:posOffset>-2068195</wp:posOffset>
                  </wp:positionH>
                  <wp:positionV relativeFrom="paragraph">
                    <wp:posOffset>69850</wp:posOffset>
                  </wp:positionV>
                  <wp:extent cx="1921510" cy="800735"/>
                  <wp:effectExtent l="0" t="0" r="2540" b="18415"/>
                  <wp:wrapNone/>
                  <wp:docPr id="5" name="图片 2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8" descr="图片1"/>
                          <pic:cNvPicPr>
                            <a:picLocks noChangeAspect="1"/>
                          </pic:cNvPicPr>
                        </pic:nvPicPr>
                        <pic:blipFill>
                          <a:blip r:embed="rId15"/>
                          <a:stretch>
                            <a:fillRect/>
                          </a:stretch>
                        </pic:blipFill>
                        <pic:spPr>
                          <a:xfrm>
                            <a:off x="0" y="0"/>
                            <a:ext cx="1921510" cy="800735"/>
                          </a:xfrm>
                          <a:prstGeom prst="rect">
                            <a:avLst/>
                          </a:prstGeom>
                          <a:noFill/>
                          <a:ln>
                            <a:noFill/>
                          </a:ln>
                        </pic:spPr>
                      </pic:pic>
                    </a:graphicData>
                  </a:graphic>
                </wp:anchor>
              </w:drawing>
            </w:r>
            <w:r>
              <w:rPr>
                <w:rFonts w:hint="eastAsia" w:ascii="宋体" w:hAnsi="宋体" w:eastAsia="宋体" w:cs="宋体"/>
                <w:sz w:val="18"/>
                <w:szCs w:val="18"/>
              </w:rPr>
              <w:t>α</w:t>
            </w:r>
          </w:p>
        </w:tc>
        <w:tc>
          <w:tcPr>
            <w:tcW w:w="1419" w:type="dxa"/>
            <w:noWrap w:val="0"/>
            <w:vAlign w:val="center"/>
          </w:tcPr>
          <w:p w14:paraId="5D779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65°～75°</w:t>
            </w:r>
          </w:p>
        </w:tc>
        <w:tc>
          <w:tcPr>
            <w:tcW w:w="1341" w:type="dxa"/>
            <w:noWrap w:val="0"/>
            <w:vAlign w:val="center"/>
          </w:tcPr>
          <w:p w14:paraId="45677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55°～65°</w:t>
            </w:r>
          </w:p>
        </w:tc>
      </w:tr>
      <w:tr w14:paraId="0AD39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14:paraId="3C02C7E6">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14:paraId="3F41D1B8">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14:paraId="55E5365B">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14:paraId="5B22F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C</w:t>
            </w:r>
          </w:p>
        </w:tc>
        <w:tc>
          <w:tcPr>
            <w:tcW w:w="1419" w:type="dxa"/>
            <w:noWrap w:val="0"/>
            <w:vAlign w:val="center"/>
          </w:tcPr>
          <w:p w14:paraId="14563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0～2.0</w:t>
            </w:r>
          </w:p>
        </w:tc>
        <w:tc>
          <w:tcPr>
            <w:tcW w:w="1341" w:type="dxa"/>
            <w:noWrap w:val="0"/>
            <w:vAlign w:val="center"/>
          </w:tcPr>
          <w:p w14:paraId="3CF658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0～3.0</w:t>
            </w:r>
          </w:p>
        </w:tc>
      </w:tr>
      <w:tr w14:paraId="2B45B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14:paraId="2DAD0F8F">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21" w:type="dxa"/>
            <w:vMerge w:val="continue"/>
            <w:noWrap w:val="0"/>
            <w:vAlign w:val="center"/>
          </w:tcPr>
          <w:p w14:paraId="2146DDA2">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3188" w:type="dxa"/>
            <w:vMerge w:val="continue"/>
            <w:noWrap w:val="0"/>
            <w:vAlign w:val="center"/>
          </w:tcPr>
          <w:p w14:paraId="36A57F0B">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106" w:type="dxa"/>
            <w:noWrap w:val="0"/>
            <w:vAlign w:val="center"/>
          </w:tcPr>
          <w:p w14:paraId="11FA6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p</w:t>
            </w:r>
          </w:p>
        </w:tc>
        <w:tc>
          <w:tcPr>
            <w:tcW w:w="1419" w:type="dxa"/>
            <w:noWrap w:val="0"/>
            <w:vAlign w:val="center"/>
          </w:tcPr>
          <w:p w14:paraId="6D4DE7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0～2.0</w:t>
            </w:r>
          </w:p>
        </w:tc>
        <w:tc>
          <w:tcPr>
            <w:tcW w:w="1341" w:type="dxa"/>
            <w:noWrap w:val="0"/>
            <w:vAlign w:val="center"/>
          </w:tcPr>
          <w:p w14:paraId="0C5E0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0～3.0</w:t>
            </w:r>
          </w:p>
        </w:tc>
      </w:tr>
      <w:tr w14:paraId="27EF5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0"/>
            <w:vAlign w:val="center"/>
          </w:tcPr>
          <w:p w14:paraId="35965DA0">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1321" w:type="dxa"/>
            <w:noWrap w:val="0"/>
            <w:vAlign w:val="center"/>
          </w:tcPr>
          <w:p w14:paraId="120092EF">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不同壁厚管子坡口加工</w:t>
            </w:r>
          </w:p>
        </w:tc>
        <w:tc>
          <w:tcPr>
            <w:tcW w:w="3188" w:type="dxa"/>
            <w:noWrap w:val="0"/>
            <w:vAlign w:val="center"/>
          </w:tcPr>
          <w:p w14:paraId="34A73AA6">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1818005" cy="864235"/>
                  <wp:effectExtent l="0" t="0" r="10795" b="12065"/>
                  <wp:docPr id="6" name="图片 3" descr="C:\Users\acer\Desktop\33.jp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cer\Desktop\33.jpg33"/>
                          <pic:cNvPicPr>
                            <a:picLocks noChangeAspect="1"/>
                          </pic:cNvPicPr>
                        </pic:nvPicPr>
                        <pic:blipFill>
                          <a:blip r:embed="rId16"/>
                          <a:stretch>
                            <a:fillRect/>
                          </a:stretch>
                        </pic:blipFill>
                        <pic:spPr>
                          <a:xfrm>
                            <a:off x="0" y="0"/>
                            <a:ext cx="1818005" cy="864235"/>
                          </a:xfrm>
                          <a:prstGeom prst="rect">
                            <a:avLst/>
                          </a:prstGeom>
                          <a:noFill/>
                          <a:ln>
                            <a:noFill/>
                          </a:ln>
                        </pic:spPr>
                      </pic:pic>
                    </a:graphicData>
                  </a:graphic>
                </wp:inline>
              </w:drawing>
            </w:r>
          </w:p>
        </w:tc>
        <w:tc>
          <w:tcPr>
            <w:tcW w:w="1106" w:type="dxa"/>
            <w:noWrap w:val="0"/>
            <w:vAlign w:val="center"/>
          </w:tcPr>
          <w:p w14:paraId="4EE8649F">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419" w:type="dxa"/>
            <w:noWrap w:val="0"/>
            <w:vAlign w:val="center"/>
          </w:tcPr>
          <w:p w14:paraId="6EBBFBA2">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c>
          <w:tcPr>
            <w:tcW w:w="1341" w:type="dxa"/>
            <w:noWrap w:val="0"/>
            <w:vAlign w:val="center"/>
          </w:tcPr>
          <w:p w14:paraId="5C330779">
            <w:pPr>
              <w:pStyle w:val="2"/>
              <w:keepNext w:val="0"/>
              <w:keepLines w:val="0"/>
              <w:pageBreakBefore w:val="0"/>
              <w:widowControl w:val="0"/>
              <w:kinsoku/>
              <w:wordWrap/>
              <w:overflowPunct/>
              <w:topLinePunct w:val="0"/>
              <w:autoSpaceDE/>
              <w:autoSpaceDN/>
              <w:bidi w:val="0"/>
              <w:spacing w:after="0" w:line="360" w:lineRule="auto"/>
              <w:ind w:left="0" w:leftChars="0" w:firstLine="0" w:firstLineChars="0"/>
              <w:jc w:val="center"/>
              <w:textAlignment w:val="auto"/>
              <w:outlineLvl w:val="9"/>
              <w:rPr>
                <w:rFonts w:hint="eastAsia" w:ascii="宋体" w:hAnsi="宋体" w:eastAsia="宋体" w:cs="宋体"/>
                <w:sz w:val="18"/>
                <w:szCs w:val="18"/>
              </w:rPr>
            </w:pPr>
          </w:p>
        </w:tc>
      </w:tr>
    </w:tbl>
    <w:p w14:paraId="68321270">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4  </w:t>
      </w:r>
      <w:r>
        <w:rPr>
          <w:rFonts w:hint="eastAsia" w:ascii="宋体" w:hAnsi="宋体" w:eastAsia="宋体" w:cs="宋体"/>
          <w:b w:val="0"/>
          <w:bCs w:val="0"/>
          <w:sz w:val="21"/>
          <w:szCs w:val="21"/>
        </w:rPr>
        <w:t>直管段上两对接焊口中心面间的距离，当公称尺寸大于或等于150mm时，不应小于150mm;当公称尺寸小于I50mm时，不应小于管子外径，且不小于100mm。</w:t>
      </w:r>
    </w:p>
    <w:p w14:paraId="40B1804D">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5  </w:t>
      </w:r>
      <w:r>
        <w:rPr>
          <w:rFonts w:hint="eastAsia" w:ascii="宋体" w:hAnsi="宋体" w:eastAsia="宋体" w:cs="宋体"/>
          <w:b w:val="0"/>
          <w:bCs w:val="0"/>
          <w:sz w:val="21"/>
          <w:szCs w:val="21"/>
        </w:rPr>
        <w:t>管道焊缝距离支管或管接头的开孔边缘不应小于50mm，且不小于孔径。</w:t>
      </w:r>
    </w:p>
    <w:p w14:paraId="5F3381F4">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6  </w:t>
      </w:r>
      <w:r>
        <w:rPr>
          <w:rFonts w:hint="eastAsia" w:ascii="宋体" w:hAnsi="宋体" w:eastAsia="宋体" w:cs="宋体"/>
          <w:b w:val="0"/>
          <w:bCs w:val="0"/>
          <w:sz w:val="21"/>
          <w:szCs w:val="21"/>
        </w:rPr>
        <w:t>管道环焊缝距支吊架净距不得小于50mm。</w:t>
      </w:r>
    </w:p>
    <w:p w14:paraId="3BE4148F">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7  </w:t>
      </w:r>
      <w:r>
        <w:rPr>
          <w:rFonts w:hint="eastAsia" w:ascii="宋体" w:hAnsi="宋体" w:eastAsia="宋体" w:cs="宋体"/>
          <w:b w:val="0"/>
          <w:bCs w:val="0"/>
          <w:sz w:val="21"/>
          <w:szCs w:val="21"/>
        </w:rPr>
        <w:t>不同管径的管子对接焊接时，应选用异径管接头。焊接时，其内壁应做到平齐，外壁错边量不应超过壁厚的10%，且不大于2mm。</w:t>
      </w:r>
    </w:p>
    <w:p w14:paraId="460681A4">
      <w:pPr>
        <w:pStyle w:val="27"/>
        <w:pageBreakBefore w:val="0"/>
        <w:widowControl w:val="0"/>
        <w:kinsoku/>
        <w:wordWrap/>
        <w:overflowPunct/>
        <w:topLinePunct w:val="0"/>
        <w:autoSpaceDE/>
        <w:autoSpaceDN/>
        <w:bidi w:val="0"/>
        <w:snapToGrid w:val="0"/>
        <w:ind w:left="0" w:leftChars="0" w:firstLine="0" w:firstLineChars="0"/>
        <w:jc w:val="left"/>
        <w:textAlignment w:val="auto"/>
        <w:outlineLvl w:val="9"/>
        <w:rPr>
          <w:rFonts w:hint="eastAsia" w:ascii="宋体" w:hAnsi="宋体" w:eastAsia="宋体" w:cs="宋体"/>
          <w:b w:val="0"/>
          <w:bCs w:val="0"/>
          <w:sz w:val="21"/>
          <w:szCs w:val="21"/>
        </w:rPr>
      </w:pPr>
      <w:bookmarkStart w:id="83" w:name="_Toc2695"/>
      <w:r>
        <w:rPr>
          <w:rFonts w:hint="eastAsia" w:cs="宋体"/>
          <w:b w:val="0"/>
          <w:bCs w:val="0"/>
          <w:sz w:val="21"/>
          <w:szCs w:val="21"/>
          <w:lang w:val="en-US" w:eastAsia="zh-CN"/>
        </w:rPr>
        <w:t>5.2.3  制冰主</w:t>
      </w:r>
      <w:r>
        <w:rPr>
          <w:rFonts w:hint="eastAsia" w:ascii="宋体" w:hAnsi="宋体" w:eastAsia="宋体" w:cs="宋体"/>
          <w:b w:val="0"/>
          <w:bCs w:val="0"/>
          <w:sz w:val="21"/>
          <w:szCs w:val="21"/>
        </w:rPr>
        <w:t>管道安装</w:t>
      </w:r>
      <w:r>
        <w:rPr>
          <w:rFonts w:hint="eastAsia" w:cs="宋体"/>
          <w:b w:val="0"/>
          <w:bCs w:val="0"/>
          <w:sz w:val="21"/>
          <w:szCs w:val="21"/>
          <w:lang w:val="en-US" w:eastAsia="zh-CN"/>
        </w:rPr>
        <w:t>应符合设计文件要求及现行国家标准《工业金属管道工程施工质量验收规范》GB 50184、</w:t>
      </w:r>
      <w:r>
        <w:rPr>
          <w:rFonts w:hint="eastAsia" w:ascii="宋体" w:hAnsi="宋体" w:cs="宋体"/>
          <w:b w:val="0"/>
          <w:bCs w:val="0"/>
          <w:sz w:val="21"/>
          <w:szCs w:val="21"/>
        </w:rPr>
        <w:t>《压力管道规范工业管道》GB/T</w:t>
      </w:r>
      <w:r>
        <w:rPr>
          <w:rFonts w:hint="eastAsia" w:cs="宋体"/>
          <w:b w:val="0"/>
          <w:bCs w:val="0"/>
          <w:sz w:val="21"/>
          <w:szCs w:val="21"/>
          <w:lang w:val="en-US" w:eastAsia="zh-CN"/>
        </w:rPr>
        <w:t xml:space="preserve"> </w:t>
      </w:r>
      <w:r>
        <w:rPr>
          <w:rFonts w:hint="eastAsia" w:ascii="宋体" w:hAnsi="宋体" w:cs="宋体"/>
          <w:b w:val="0"/>
          <w:bCs w:val="0"/>
          <w:sz w:val="21"/>
          <w:szCs w:val="21"/>
        </w:rPr>
        <w:t>20801 1～6</w:t>
      </w:r>
      <w:r>
        <w:rPr>
          <w:rFonts w:hint="eastAsia" w:cs="宋体"/>
          <w:b w:val="0"/>
          <w:bCs w:val="0"/>
          <w:sz w:val="21"/>
          <w:szCs w:val="21"/>
          <w:lang w:eastAsia="zh-CN"/>
        </w:rPr>
        <w:t>，</w:t>
      </w:r>
      <w:r>
        <w:rPr>
          <w:rFonts w:hint="eastAsia" w:cs="宋体"/>
          <w:b w:val="0"/>
          <w:bCs w:val="0"/>
          <w:sz w:val="21"/>
          <w:szCs w:val="21"/>
          <w:lang w:val="en-US" w:eastAsia="zh-CN"/>
        </w:rPr>
        <w:t>并</w:t>
      </w:r>
      <w:r>
        <w:rPr>
          <w:rFonts w:hint="eastAsia" w:ascii="宋体" w:hAnsi="宋体" w:eastAsia="宋体" w:cs="宋体"/>
          <w:b w:val="0"/>
          <w:bCs w:val="0"/>
          <w:sz w:val="21"/>
          <w:szCs w:val="21"/>
        </w:rPr>
        <w:t>应符合下列</w:t>
      </w:r>
      <w:r>
        <w:rPr>
          <w:rFonts w:hint="eastAsia" w:cs="宋体"/>
          <w:b w:val="0"/>
          <w:bCs w:val="0"/>
          <w:sz w:val="21"/>
          <w:szCs w:val="21"/>
          <w:lang w:val="en-US" w:eastAsia="zh-CN"/>
        </w:rPr>
        <w:t>规定</w:t>
      </w:r>
      <w:r>
        <w:rPr>
          <w:rFonts w:hint="eastAsia" w:ascii="宋体" w:hAnsi="宋体" w:eastAsia="宋体" w:cs="宋体"/>
          <w:b w:val="0"/>
          <w:bCs w:val="0"/>
          <w:sz w:val="21"/>
          <w:szCs w:val="21"/>
        </w:rPr>
        <w:t>：</w:t>
      </w:r>
      <w:bookmarkEnd w:id="83"/>
    </w:p>
    <w:p w14:paraId="10B7FFFB">
      <w:pPr>
        <w:pStyle w:val="27"/>
        <w:pageBreakBefore w:val="0"/>
        <w:widowControl w:val="0"/>
        <w:kinsoku/>
        <w:wordWrap/>
        <w:overflowPunct/>
        <w:topLinePunct w:val="0"/>
        <w:autoSpaceDE/>
        <w:autoSpaceDN/>
        <w:bidi w:val="0"/>
        <w:snapToGrid w:val="0"/>
        <w:ind w:left="0" w:leftChars="0"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1  </w:t>
      </w:r>
      <w:r>
        <w:rPr>
          <w:rFonts w:hint="eastAsia" w:ascii="宋体" w:hAnsi="宋体" w:eastAsia="宋体" w:cs="宋体"/>
          <w:b w:val="0"/>
          <w:bCs w:val="0"/>
          <w:sz w:val="21"/>
          <w:szCs w:val="21"/>
        </w:rPr>
        <w:t>当管道安装工作有间断时，应及时封闭敞开的管口。</w:t>
      </w:r>
    </w:p>
    <w:p w14:paraId="64F3D7BD">
      <w:pPr>
        <w:pStyle w:val="27"/>
        <w:pageBreakBefore w:val="0"/>
        <w:widowControl w:val="0"/>
        <w:kinsoku/>
        <w:wordWrap/>
        <w:overflowPunct/>
        <w:topLinePunct w:val="0"/>
        <w:autoSpaceDE/>
        <w:autoSpaceDN/>
        <w:bidi w:val="0"/>
        <w:snapToGrid w:val="0"/>
        <w:ind w:left="0" w:leftChars="0"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2  </w:t>
      </w:r>
      <w:r>
        <w:rPr>
          <w:rFonts w:hint="eastAsia" w:ascii="宋体" w:hAnsi="宋体" w:eastAsia="宋体" w:cs="宋体"/>
          <w:b w:val="0"/>
          <w:bCs w:val="0"/>
          <w:sz w:val="21"/>
          <w:szCs w:val="21"/>
        </w:rPr>
        <w:t>管道的坡度、坡向及管道组成件的安装方向应符合设计规定</w:t>
      </w:r>
      <w:r>
        <w:rPr>
          <w:rFonts w:hint="eastAsia" w:cs="宋体"/>
          <w:b w:val="0"/>
          <w:bCs w:val="0"/>
          <w:sz w:val="21"/>
          <w:szCs w:val="21"/>
          <w:lang w:eastAsia="zh-CN"/>
        </w:rPr>
        <w:t>。</w:t>
      </w:r>
    </w:p>
    <w:p w14:paraId="2DA27F16">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3  非碳钢</w:t>
      </w:r>
      <w:r>
        <w:rPr>
          <w:rFonts w:hint="eastAsia" w:ascii="宋体" w:hAnsi="宋体" w:eastAsia="宋体" w:cs="宋体"/>
          <w:b w:val="0"/>
          <w:bCs w:val="0"/>
          <w:sz w:val="21"/>
          <w:szCs w:val="21"/>
        </w:rPr>
        <w:t>管道组成件与碳钢支承件之间不得直接接触，应采用同材质或对管道组成件无害的非金属隔离垫进行隔离</w:t>
      </w:r>
      <w:r>
        <w:rPr>
          <w:rFonts w:hint="eastAsia" w:cs="宋体"/>
          <w:b w:val="0"/>
          <w:bCs w:val="0"/>
          <w:sz w:val="21"/>
          <w:szCs w:val="21"/>
          <w:lang w:eastAsia="zh-CN"/>
        </w:rPr>
        <w:t>，</w:t>
      </w:r>
      <w:r>
        <w:rPr>
          <w:rFonts w:hint="eastAsia" w:ascii="宋体" w:hAnsi="宋体" w:eastAsia="宋体" w:cs="宋体"/>
          <w:b w:val="0"/>
          <w:bCs w:val="0"/>
          <w:sz w:val="21"/>
          <w:szCs w:val="21"/>
        </w:rPr>
        <w:t>非金属隔离垫的氯离子含量不得超过50×10</w:t>
      </w:r>
      <w:r>
        <w:rPr>
          <w:rFonts w:hint="eastAsia" w:ascii="宋体" w:hAnsi="宋体" w:eastAsia="宋体" w:cs="宋体"/>
          <w:b w:val="0"/>
          <w:bCs w:val="0"/>
          <w:sz w:val="21"/>
          <w:szCs w:val="21"/>
          <w:vertAlign w:val="superscript"/>
        </w:rPr>
        <w:t>-6</w:t>
      </w:r>
      <w:r>
        <w:rPr>
          <w:rFonts w:hint="eastAsia" w:ascii="宋体" w:hAnsi="宋体" w:eastAsia="宋体" w:cs="宋体"/>
          <w:b w:val="0"/>
          <w:bCs w:val="0"/>
          <w:sz w:val="21"/>
          <w:szCs w:val="21"/>
        </w:rPr>
        <w:t>(50ppm)。</w:t>
      </w:r>
    </w:p>
    <w:p w14:paraId="768289EF">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b w:val="0"/>
          <w:bCs w:val="0"/>
          <w:sz w:val="21"/>
          <w:szCs w:val="21"/>
        </w:rPr>
      </w:pPr>
      <w:r>
        <w:rPr>
          <w:rFonts w:hint="eastAsia" w:cs="宋体"/>
          <w:b w:val="0"/>
          <w:bCs w:val="0"/>
          <w:sz w:val="21"/>
          <w:szCs w:val="21"/>
          <w:lang w:val="en-US" w:eastAsia="zh-CN"/>
        </w:rPr>
        <w:t xml:space="preserve">4  </w:t>
      </w:r>
      <w:r>
        <w:rPr>
          <w:rFonts w:hint="eastAsia" w:ascii="宋体" w:hAnsi="宋体" w:eastAsia="宋体" w:cs="宋体"/>
          <w:b w:val="0"/>
          <w:bCs w:val="0"/>
          <w:sz w:val="21"/>
          <w:szCs w:val="21"/>
        </w:rPr>
        <w:t>管道试压、吹扫与清洗合格后，应对管道与动设备的接口进行复位检查。</w:t>
      </w:r>
    </w:p>
    <w:p w14:paraId="3522D056">
      <w:pPr>
        <w:pStyle w:val="27"/>
        <w:pageBreakBefore w:val="0"/>
        <w:widowControl w:val="0"/>
        <w:kinsoku/>
        <w:wordWrap/>
        <w:overflowPunct/>
        <w:topLinePunct w:val="0"/>
        <w:autoSpaceDE/>
        <w:autoSpaceDN/>
        <w:bidi w:val="0"/>
        <w:snapToGrid w:val="0"/>
        <w:ind w:firstLine="420" w:firstLineChars="200"/>
        <w:jc w:val="left"/>
        <w:textAlignment w:val="auto"/>
        <w:outlineLvl w:val="9"/>
        <w:rPr>
          <w:rFonts w:hint="eastAsia" w:ascii="宋体" w:hAnsi="宋体" w:eastAsia="宋体" w:cs="宋体"/>
          <w:sz w:val="24"/>
        </w:rPr>
      </w:pPr>
      <w:r>
        <w:rPr>
          <w:rFonts w:hint="eastAsia" w:cs="宋体"/>
          <w:b w:val="0"/>
          <w:bCs w:val="0"/>
          <w:sz w:val="21"/>
          <w:szCs w:val="21"/>
          <w:lang w:val="en-US" w:eastAsia="zh-CN"/>
        </w:rPr>
        <w:t xml:space="preserve">5  </w:t>
      </w:r>
      <w:r>
        <w:rPr>
          <w:rFonts w:hint="eastAsia" w:ascii="宋体" w:hAnsi="宋体" w:eastAsia="宋体" w:cs="宋体"/>
          <w:b w:val="0"/>
          <w:bCs w:val="0"/>
          <w:sz w:val="21"/>
          <w:szCs w:val="21"/>
        </w:rPr>
        <w:t>管道安装的允许偏差应符合表5.</w:t>
      </w:r>
      <w:r>
        <w:rPr>
          <w:rFonts w:hint="eastAsia" w:cs="宋体"/>
          <w:b w:val="0"/>
          <w:bCs w:val="0"/>
          <w:sz w:val="21"/>
          <w:szCs w:val="21"/>
          <w:lang w:val="en-US" w:eastAsia="zh-CN"/>
        </w:rPr>
        <w:t>2</w:t>
      </w:r>
      <w:r>
        <w:rPr>
          <w:rFonts w:hint="eastAsia" w:ascii="宋体" w:hAnsi="宋体" w:eastAsia="宋体" w:cs="宋体"/>
          <w:b w:val="0"/>
          <w:bCs w:val="0"/>
          <w:sz w:val="21"/>
          <w:szCs w:val="21"/>
        </w:rPr>
        <w:t>.3的规定。</w:t>
      </w:r>
    </w:p>
    <w:p w14:paraId="261063D7">
      <w:pPr>
        <w:pStyle w:val="27"/>
        <w:pageBreakBefore w:val="0"/>
        <w:widowControl w:val="0"/>
        <w:kinsoku/>
        <w:wordWrap/>
        <w:overflowPunct/>
        <w:topLinePunct w:val="0"/>
        <w:autoSpaceDE/>
        <w:autoSpaceDN/>
        <w:bidi w:val="0"/>
        <w:snapToGrid w:val="0"/>
        <w:ind w:left="0" w:leftChars="0" w:firstLine="0" w:firstLineChars="0"/>
        <w:jc w:val="center"/>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5.2.3    管道安装的允许偏差</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68"/>
        <w:gridCol w:w="2314"/>
        <w:gridCol w:w="3065"/>
      </w:tblGrid>
      <w:tr w14:paraId="32DB4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14:paraId="5D91A9C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项目</w:t>
            </w:r>
          </w:p>
        </w:tc>
        <w:tc>
          <w:tcPr>
            <w:tcW w:w="3065" w:type="dxa"/>
            <w:noWrap w:val="0"/>
            <w:vAlign w:val="center"/>
          </w:tcPr>
          <w:p w14:paraId="4E0799A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允许偏差(mm)</w:t>
            </w:r>
          </w:p>
        </w:tc>
      </w:tr>
      <w:tr w14:paraId="09FFE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restart"/>
            <w:noWrap w:val="0"/>
            <w:vAlign w:val="center"/>
          </w:tcPr>
          <w:p w14:paraId="22A9E98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坐标</w:t>
            </w:r>
          </w:p>
        </w:tc>
        <w:tc>
          <w:tcPr>
            <w:tcW w:w="1768" w:type="dxa"/>
            <w:vMerge w:val="restart"/>
            <w:noWrap w:val="0"/>
            <w:vAlign w:val="center"/>
          </w:tcPr>
          <w:p w14:paraId="374611B6">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架空及地沟</w:t>
            </w:r>
          </w:p>
        </w:tc>
        <w:tc>
          <w:tcPr>
            <w:tcW w:w="2314" w:type="dxa"/>
            <w:noWrap w:val="0"/>
            <w:vAlign w:val="center"/>
          </w:tcPr>
          <w:p w14:paraId="1BC2E5F6">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室外</w:t>
            </w:r>
          </w:p>
        </w:tc>
        <w:tc>
          <w:tcPr>
            <w:tcW w:w="3065" w:type="dxa"/>
            <w:noWrap w:val="0"/>
            <w:vAlign w:val="center"/>
          </w:tcPr>
          <w:p w14:paraId="1AE76053">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r>
      <w:tr w14:paraId="7FB69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14:paraId="439E9192">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1768" w:type="dxa"/>
            <w:vMerge w:val="continue"/>
            <w:noWrap w:val="0"/>
            <w:vAlign w:val="center"/>
          </w:tcPr>
          <w:p w14:paraId="0BADE335">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14:paraId="379F581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室内</w:t>
            </w:r>
          </w:p>
        </w:tc>
        <w:tc>
          <w:tcPr>
            <w:tcW w:w="3065" w:type="dxa"/>
            <w:noWrap w:val="0"/>
            <w:vAlign w:val="center"/>
          </w:tcPr>
          <w:p w14:paraId="3AC590D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14:paraId="649E4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14:paraId="35E55D5A">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4082" w:type="dxa"/>
            <w:gridSpan w:val="2"/>
            <w:noWrap w:val="0"/>
            <w:vAlign w:val="center"/>
          </w:tcPr>
          <w:p w14:paraId="1AD7151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埋地</w:t>
            </w:r>
          </w:p>
        </w:tc>
        <w:tc>
          <w:tcPr>
            <w:tcW w:w="3065" w:type="dxa"/>
            <w:noWrap w:val="0"/>
            <w:vAlign w:val="center"/>
          </w:tcPr>
          <w:p w14:paraId="28EFB43F">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60</w:t>
            </w:r>
          </w:p>
        </w:tc>
      </w:tr>
      <w:tr w14:paraId="33217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restart"/>
            <w:noWrap w:val="0"/>
            <w:vAlign w:val="center"/>
          </w:tcPr>
          <w:p w14:paraId="0329B98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标高</w:t>
            </w:r>
          </w:p>
        </w:tc>
        <w:tc>
          <w:tcPr>
            <w:tcW w:w="1768" w:type="dxa"/>
            <w:vMerge w:val="restart"/>
            <w:noWrap w:val="0"/>
            <w:vAlign w:val="center"/>
          </w:tcPr>
          <w:p w14:paraId="14765A9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架空及地沟</w:t>
            </w:r>
          </w:p>
        </w:tc>
        <w:tc>
          <w:tcPr>
            <w:tcW w:w="2314" w:type="dxa"/>
            <w:noWrap w:val="0"/>
            <w:vAlign w:val="center"/>
          </w:tcPr>
          <w:p w14:paraId="342E8C1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室外</w:t>
            </w:r>
          </w:p>
        </w:tc>
        <w:tc>
          <w:tcPr>
            <w:tcW w:w="3065" w:type="dxa"/>
            <w:noWrap w:val="0"/>
            <w:vAlign w:val="center"/>
          </w:tcPr>
          <w:p w14:paraId="36C64C8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w:t>
            </w:r>
          </w:p>
        </w:tc>
      </w:tr>
      <w:tr w14:paraId="1E383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14:paraId="0A68FA1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1768" w:type="dxa"/>
            <w:vMerge w:val="continue"/>
            <w:noWrap w:val="0"/>
            <w:vAlign w:val="center"/>
          </w:tcPr>
          <w:p w14:paraId="6546AEA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14:paraId="03301EB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室内</w:t>
            </w:r>
          </w:p>
        </w:tc>
        <w:tc>
          <w:tcPr>
            <w:tcW w:w="3065" w:type="dxa"/>
            <w:noWrap w:val="0"/>
            <w:vAlign w:val="center"/>
          </w:tcPr>
          <w:p w14:paraId="648D5B7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14:paraId="087C2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3" w:type="dxa"/>
            <w:vMerge w:val="continue"/>
            <w:noWrap w:val="0"/>
            <w:vAlign w:val="center"/>
          </w:tcPr>
          <w:p w14:paraId="49688154">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4082" w:type="dxa"/>
            <w:gridSpan w:val="2"/>
            <w:noWrap w:val="0"/>
            <w:vAlign w:val="center"/>
          </w:tcPr>
          <w:p w14:paraId="32047AA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埋地</w:t>
            </w:r>
          </w:p>
        </w:tc>
        <w:tc>
          <w:tcPr>
            <w:tcW w:w="3065" w:type="dxa"/>
            <w:noWrap w:val="0"/>
            <w:vAlign w:val="center"/>
          </w:tcPr>
          <w:p w14:paraId="3E64301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r>
      <w:tr w14:paraId="4B47F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1" w:type="dxa"/>
            <w:gridSpan w:val="2"/>
            <w:vMerge w:val="restart"/>
            <w:noWrap w:val="0"/>
            <w:vAlign w:val="center"/>
          </w:tcPr>
          <w:p w14:paraId="7672F31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水平管道平直度</w:t>
            </w:r>
          </w:p>
        </w:tc>
        <w:tc>
          <w:tcPr>
            <w:tcW w:w="2314" w:type="dxa"/>
            <w:noWrap w:val="0"/>
            <w:vAlign w:val="center"/>
          </w:tcPr>
          <w:p w14:paraId="57A2C0E4">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DN≤100</w:t>
            </w:r>
          </w:p>
        </w:tc>
        <w:tc>
          <w:tcPr>
            <w:tcW w:w="3065" w:type="dxa"/>
            <w:noWrap w:val="0"/>
            <w:vAlign w:val="center"/>
          </w:tcPr>
          <w:p w14:paraId="717AE89D">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2L‰，最大50</w:t>
            </w:r>
          </w:p>
        </w:tc>
      </w:tr>
      <w:tr w14:paraId="631F2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1" w:type="dxa"/>
            <w:gridSpan w:val="2"/>
            <w:vMerge w:val="continue"/>
            <w:noWrap w:val="0"/>
            <w:vAlign w:val="center"/>
          </w:tcPr>
          <w:p w14:paraId="1279447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p>
        </w:tc>
        <w:tc>
          <w:tcPr>
            <w:tcW w:w="2314" w:type="dxa"/>
            <w:noWrap w:val="0"/>
            <w:vAlign w:val="center"/>
          </w:tcPr>
          <w:p w14:paraId="477BDAB0">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DN＞100</w:t>
            </w:r>
          </w:p>
        </w:tc>
        <w:tc>
          <w:tcPr>
            <w:tcW w:w="3065" w:type="dxa"/>
            <w:noWrap w:val="0"/>
            <w:vAlign w:val="center"/>
          </w:tcPr>
          <w:p w14:paraId="223758F1">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3L‰，最大80</w:t>
            </w:r>
          </w:p>
        </w:tc>
      </w:tr>
      <w:tr w14:paraId="15B28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14:paraId="689525AF">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立管垂直度</w:t>
            </w:r>
          </w:p>
        </w:tc>
        <w:tc>
          <w:tcPr>
            <w:tcW w:w="3065" w:type="dxa"/>
            <w:noWrap w:val="0"/>
            <w:vAlign w:val="center"/>
          </w:tcPr>
          <w:p w14:paraId="6A6E3B3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5L‰，最大30</w:t>
            </w:r>
          </w:p>
        </w:tc>
      </w:tr>
      <w:tr w14:paraId="10A1A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14:paraId="71E2620B">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成排管道间距</w:t>
            </w:r>
          </w:p>
        </w:tc>
        <w:tc>
          <w:tcPr>
            <w:tcW w:w="3065" w:type="dxa"/>
            <w:noWrap w:val="0"/>
            <w:vAlign w:val="center"/>
          </w:tcPr>
          <w:p w14:paraId="2DD721C7">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15</w:t>
            </w:r>
          </w:p>
        </w:tc>
      </w:tr>
      <w:tr w14:paraId="0719F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65" w:type="dxa"/>
            <w:gridSpan w:val="3"/>
            <w:noWrap w:val="0"/>
            <w:vAlign w:val="center"/>
          </w:tcPr>
          <w:p w14:paraId="4F1A6EF6">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交叉管的外壁或绝热层间距</w:t>
            </w:r>
          </w:p>
        </w:tc>
        <w:tc>
          <w:tcPr>
            <w:tcW w:w="3065" w:type="dxa"/>
            <w:noWrap w:val="0"/>
            <w:vAlign w:val="center"/>
          </w:tcPr>
          <w:p w14:paraId="41870EFA">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w:t>
            </w:r>
          </w:p>
        </w:tc>
      </w:tr>
    </w:tbl>
    <w:p w14:paraId="26ABF066">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宋体" w:eastAsia="宋体" w:cs="宋体"/>
          <w:b w:val="0"/>
          <w:bCs w:val="0"/>
          <w:sz w:val="21"/>
          <w:szCs w:val="21"/>
        </w:rPr>
      </w:pPr>
      <w:bookmarkStart w:id="84" w:name="_Toc24956"/>
      <w:r>
        <w:rPr>
          <w:rFonts w:hint="eastAsia" w:ascii="宋体" w:hAnsi="宋体" w:eastAsia="宋体" w:cs="宋体"/>
          <w:b w:val="0"/>
          <w:bCs w:val="0"/>
          <w:sz w:val="21"/>
          <w:szCs w:val="21"/>
        </w:rPr>
        <w:t xml:space="preserve">5.2.4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冰板制冰排管安装</w:t>
      </w:r>
      <w:bookmarkEnd w:id="84"/>
    </w:p>
    <w:p w14:paraId="78B938F5">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bookmarkStart w:id="85" w:name="_Toc6893"/>
      <w:r>
        <w:rPr>
          <w:rFonts w:hint="eastAsia" w:ascii="宋体" w:hAnsi="宋体" w:eastAsia="宋体" w:cs="宋体"/>
          <w:b w:val="0"/>
          <w:bCs w:val="0"/>
          <w:sz w:val="21"/>
          <w:szCs w:val="21"/>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制作与安装应满足设计文件的规定。</w:t>
      </w:r>
      <w:bookmarkEnd w:id="85"/>
    </w:p>
    <w:p w14:paraId="769CDD12">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rPr>
        <w:t>金属管道不得用两个90°压制弯头焊接的方法制作180°弯头</w:t>
      </w:r>
      <w:r>
        <w:rPr>
          <w:rFonts w:hint="eastAsia" w:hAnsi="宋体" w:cs="宋体"/>
          <w:b w:val="0"/>
          <w:bCs w:val="0"/>
          <w:sz w:val="21"/>
          <w:szCs w:val="21"/>
          <w:lang w:eastAsia="zh-CN"/>
        </w:rPr>
        <w:t>，</w:t>
      </w:r>
      <w:r>
        <w:rPr>
          <w:rFonts w:hint="eastAsia" w:hAnsi="宋体" w:cs="宋体"/>
          <w:b w:val="0"/>
          <w:bCs w:val="0"/>
          <w:sz w:val="21"/>
          <w:szCs w:val="21"/>
          <w:lang w:val="en-US" w:eastAsia="zh-CN"/>
        </w:rPr>
        <w:t>应采用工厂加工预制管件</w:t>
      </w:r>
      <w:r>
        <w:rPr>
          <w:rFonts w:hint="eastAsia" w:ascii="宋体" w:hAnsi="宋体" w:eastAsia="宋体" w:cs="宋体"/>
          <w:b w:val="0"/>
          <w:bCs w:val="0"/>
          <w:sz w:val="21"/>
          <w:szCs w:val="21"/>
        </w:rPr>
        <w:t>。塑料管道不应有接头，弯曲部分不得出现硬折弯现象。</w:t>
      </w:r>
    </w:p>
    <w:p w14:paraId="43FC1225">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 </w:t>
      </w:r>
      <w:r>
        <w:rPr>
          <w:rFonts w:hint="eastAsia" w:hAnsi="宋体" w:cs="宋体"/>
          <w:b w:val="0"/>
          <w:bCs w:val="0"/>
          <w:sz w:val="21"/>
          <w:szCs w:val="21"/>
          <w:lang w:val="en-US" w:eastAsia="zh-CN"/>
        </w:rPr>
        <w:t xml:space="preserve"> 制冰</w:t>
      </w:r>
      <w:r>
        <w:rPr>
          <w:rFonts w:hint="eastAsia" w:ascii="宋体" w:hAnsi="宋体" w:eastAsia="宋体" w:cs="宋体"/>
          <w:b w:val="0"/>
          <w:bCs w:val="0"/>
          <w:sz w:val="21"/>
          <w:szCs w:val="21"/>
        </w:rPr>
        <w:t>排管气、液集管的开孔必须用机械加工，不得采用气割成孔。</w:t>
      </w:r>
    </w:p>
    <w:p w14:paraId="4A344CCC">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default" w:eastAsia="宋体"/>
          <w:b w:val="0"/>
          <w:bCs w:val="0"/>
          <w:sz w:val="21"/>
          <w:szCs w:val="21"/>
          <w:lang w:val="en-US" w:eastAsia="zh-CN"/>
        </w:rPr>
      </w:pPr>
      <w:r>
        <w:rPr>
          <w:rFonts w:hint="eastAsia" w:hAnsi="宋体" w:cs="宋体"/>
          <w:b w:val="0"/>
          <w:bCs w:val="0"/>
          <w:sz w:val="21"/>
          <w:szCs w:val="21"/>
          <w:lang w:val="en-US" w:eastAsia="zh-CN"/>
        </w:rPr>
        <w:t>4  管座应根据设计要求在工厂预制加工，并与管道相匹配；管座间距应按设计要求均匀排布，相邻两个管座必须有2个及以上管道共同搁置，管道转弯处及端头应增设管座。</w:t>
      </w:r>
    </w:p>
    <w:p w14:paraId="504EE216">
      <w:pPr>
        <w:pStyle w:val="27"/>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kern w:val="0"/>
          <w:sz w:val="21"/>
          <w:szCs w:val="21"/>
        </w:rPr>
      </w:pPr>
      <w:bookmarkStart w:id="86" w:name="_Toc10760"/>
      <w:r>
        <w:rPr>
          <w:rFonts w:hint="eastAsia" w:cs="宋体"/>
          <w:b w:val="0"/>
          <w:bCs w:val="0"/>
          <w:sz w:val="21"/>
          <w:szCs w:val="21"/>
          <w:lang w:val="en-US" w:eastAsia="zh-CN"/>
        </w:rPr>
        <w:t xml:space="preserve">5 </w:t>
      </w:r>
      <w:r>
        <w:rPr>
          <w:rFonts w:hint="eastAsia" w:ascii="宋体" w:hAnsi="宋体" w:eastAsia="宋体" w:cs="宋体"/>
          <w:b w:val="0"/>
          <w:bCs w:val="0"/>
          <w:sz w:val="21"/>
          <w:szCs w:val="21"/>
        </w:rPr>
        <w:t xml:space="preserve"> </w:t>
      </w:r>
      <w:r>
        <w:rPr>
          <w:rFonts w:hint="eastAsia" w:cs="宋体"/>
          <w:b w:val="0"/>
          <w:bCs w:val="0"/>
          <w:sz w:val="21"/>
          <w:szCs w:val="21"/>
          <w:lang w:val="en-US" w:eastAsia="zh-CN"/>
        </w:rPr>
        <w:t>制冰</w:t>
      </w:r>
      <w:r>
        <w:rPr>
          <w:rFonts w:hint="eastAsia" w:ascii="宋体" w:hAnsi="宋体" w:eastAsia="宋体" w:cs="宋体"/>
          <w:b w:val="0"/>
          <w:bCs w:val="0"/>
          <w:kern w:val="0"/>
          <w:sz w:val="21"/>
          <w:szCs w:val="21"/>
        </w:rPr>
        <w:t>排管</w:t>
      </w:r>
      <w:r>
        <w:rPr>
          <w:rFonts w:hint="eastAsia" w:cs="宋体"/>
          <w:b w:val="0"/>
          <w:bCs w:val="0"/>
          <w:kern w:val="0"/>
          <w:sz w:val="21"/>
          <w:szCs w:val="21"/>
          <w:lang w:val="en-US" w:eastAsia="zh-CN"/>
        </w:rPr>
        <w:t>制作与</w:t>
      </w:r>
      <w:r>
        <w:rPr>
          <w:rFonts w:hint="eastAsia" w:ascii="宋体" w:hAnsi="宋体" w:eastAsia="宋体" w:cs="宋体"/>
          <w:b w:val="0"/>
          <w:bCs w:val="0"/>
          <w:kern w:val="0"/>
          <w:sz w:val="21"/>
          <w:szCs w:val="21"/>
        </w:rPr>
        <w:t>安装</w:t>
      </w:r>
      <w:r>
        <w:rPr>
          <w:rFonts w:hint="eastAsia" w:cs="宋体"/>
          <w:b w:val="0"/>
          <w:bCs w:val="0"/>
          <w:kern w:val="0"/>
          <w:sz w:val="21"/>
          <w:szCs w:val="21"/>
          <w:lang w:val="en-US" w:eastAsia="zh-CN"/>
        </w:rPr>
        <w:t>尺寸允许偏差</w:t>
      </w:r>
      <w:r>
        <w:rPr>
          <w:rFonts w:hint="eastAsia" w:ascii="宋体" w:hAnsi="宋体" w:eastAsia="宋体" w:cs="宋体"/>
          <w:b w:val="0"/>
          <w:bCs w:val="0"/>
          <w:kern w:val="0"/>
          <w:sz w:val="21"/>
          <w:szCs w:val="21"/>
        </w:rPr>
        <w:t>应符合表</w:t>
      </w:r>
      <w:r>
        <w:rPr>
          <w:rFonts w:hint="eastAsia" w:ascii="宋体" w:hAnsi="宋体" w:eastAsia="宋体" w:cs="宋体"/>
          <w:b w:val="0"/>
          <w:bCs w:val="0"/>
          <w:sz w:val="21"/>
          <w:szCs w:val="21"/>
        </w:rPr>
        <w:t>5.</w:t>
      </w:r>
      <w:r>
        <w:rPr>
          <w:rFonts w:hint="eastAsia" w:cs="宋体"/>
          <w:b w:val="0"/>
          <w:bCs w:val="0"/>
          <w:sz w:val="21"/>
          <w:szCs w:val="21"/>
          <w:lang w:val="en-US" w:eastAsia="zh-CN"/>
        </w:rPr>
        <w:t>2</w:t>
      </w:r>
      <w:r>
        <w:rPr>
          <w:rFonts w:hint="eastAsia" w:ascii="宋体" w:hAnsi="宋体" w:eastAsia="宋体" w:cs="宋体"/>
          <w:b w:val="0"/>
          <w:bCs w:val="0"/>
          <w:sz w:val="21"/>
          <w:szCs w:val="21"/>
        </w:rPr>
        <w:t>.4</w:t>
      </w:r>
      <w:r>
        <w:rPr>
          <w:rFonts w:hint="eastAsia" w:ascii="宋体" w:hAnsi="宋体" w:eastAsia="宋体" w:cs="宋体"/>
          <w:b w:val="0"/>
          <w:bCs w:val="0"/>
          <w:kern w:val="0"/>
          <w:sz w:val="21"/>
          <w:szCs w:val="21"/>
        </w:rPr>
        <w:t>的规定。</w:t>
      </w:r>
      <w:bookmarkEnd w:id="86"/>
    </w:p>
    <w:p w14:paraId="64BF40D0">
      <w:pPr>
        <w:pStyle w:val="27"/>
        <w:pageBreakBefore w:val="0"/>
        <w:widowControl w:val="0"/>
        <w:kinsoku/>
        <w:wordWrap/>
        <w:overflowPunct/>
        <w:topLinePunct w:val="0"/>
        <w:autoSpaceDE/>
        <w:autoSpaceDN/>
        <w:bidi w:val="0"/>
        <w:snapToGrid w:val="0"/>
        <w:ind w:left="0" w:leftChars="0" w:firstLine="0" w:firstLineChars="0"/>
        <w:jc w:val="center"/>
        <w:textAlignment w:val="auto"/>
        <w:outlineLvl w:val="9"/>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5.2.4    制冰排管制作与安装尺寸允许偏差</w:t>
      </w:r>
    </w:p>
    <w:tbl>
      <w:tblPr>
        <w:tblStyle w:val="14"/>
        <w:tblW w:w="84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2566"/>
        <w:gridCol w:w="1191"/>
        <w:gridCol w:w="1407"/>
      </w:tblGrid>
      <w:tr w14:paraId="2A792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4F4D2F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检查项目</w:t>
            </w:r>
          </w:p>
        </w:tc>
        <w:tc>
          <w:tcPr>
            <w:tcW w:w="2598" w:type="dxa"/>
            <w:gridSpan w:val="2"/>
            <w:tcBorders>
              <w:tl2br w:val="nil"/>
              <w:tr2bl w:val="nil"/>
            </w:tcBorders>
            <w:noWrap w:val="0"/>
            <w:vAlign w:val="center"/>
          </w:tcPr>
          <w:p w14:paraId="1CFC7F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允许偏差</w:t>
            </w:r>
          </w:p>
        </w:tc>
      </w:tr>
      <w:tr w14:paraId="5C4B2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63A3A2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rPr>
            </w:pPr>
            <w:r>
              <w:rPr>
                <w:rFonts w:hint="eastAsia" w:cs="宋体"/>
                <w:b w:val="0"/>
                <w:bCs w:val="0"/>
                <w:kern w:val="0"/>
                <w:sz w:val="18"/>
                <w:szCs w:val="18"/>
                <w:lang w:val="en-US" w:eastAsia="zh-CN"/>
              </w:rPr>
              <w:t>制冰排管材质</w:t>
            </w:r>
          </w:p>
        </w:tc>
        <w:tc>
          <w:tcPr>
            <w:tcW w:w="1191" w:type="dxa"/>
            <w:tcBorders>
              <w:tl2br w:val="nil"/>
              <w:tr2bl w:val="nil"/>
            </w:tcBorders>
            <w:noWrap w:val="0"/>
            <w:vAlign w:val="center"/>
          </w:tcPr>
          <w:p w14:paraId="1A89E4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sz w:val="18"/>
                <w:szCs w:val="18"/>
                <w:lang w:val="en-US" w:eastAsia="zh-CN"/>
              </w:rPr>
            </w:pPr>
            <w:r>
              <w:rPr>
                <w:rFonts w:hint="eastAsia"/>
                <w:sz w:val="18"/>
                <w:szCs w:val="18"/>
                <w:lang w:val="en-US" w:eastAsia="zh-CN"/>
              </w:rPr>
              <w:t>钢管/</w:t>
            </w:r>
          </w:p>
          <w:p w14:paraId="126BB612">
            <w:pPr>
              <w:pStyle w:val="2"/>
              <w:ind w:left="0" w:leftChars="0" w:firstLine="0" w:firstLineChars="0"/>
              <w:rPr>
                <w:rFonts w:hint="default"/>
                <w:sz w:val="18"/>
                <w:szCs w:val="18"/>
                <w:lang w:val="en-US" w:eastAsia="zh-CN"/>
              </w:rPr>
            </w:pPr>
            <w:r>
              <w:rPr>
                <w:rFonts w:hint="eastAsia" w:hAnsi="宋体" w:cs="宋体"/>
                <w:kern w:val="0"/>
                <w:sz w:val="18"/>
                <w:szCs w:val="18"/>
                <w:lang w:val="en-US" w:eastAsia="zh-CN"/>
              </w:rPr>
              <w:t>不锈钢管</w:t>
            </w:r>
          </w:p>
        </w:tc>
        <w:tc>
          <w:tcPr>
            <w:tcW w:w="1407" w:type="dxa"/>
            <w:tcBorders>
              <w:tl2br w:val="nil"/>
              <w:tr2bl w:val="nil"/>
            </w:tcBorders>
            <w:noWrap w:val="0"/>
            <w:vAlign w:val="center"/>
          </w:tcPr>
          <w:p w14:paraId="6B211F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color w:val="auto"/>
                <w:sz w:val="18"/>
                <w:szCs w:val="18"/>
                <w:lang w:val="en-US" w:eastAsia="zh-CN"/>
              </w:rPr>
            </w:pPr>
            <w:r>
              <w:rPr>
                <w:rFonts w:hint="eastAsia"/>
                <w:color w:val="auto"/>
                <w:sz w:val="18"/>
                <w:szCs w:val="18"/>
                <w:lang w:val="en-US" w:eastAsia="zh-CN"/>
              </w:rPr>
              <w:t>铜管/</w:t>
            </w:r>
          </w:p>
          <w:p w14:paraId="75104683">
            <w:pPr>
              <w:pStyle w:val="2"/>
              <w:ind w:left="0" w:leftChars="0" w:firstLine="0" w:firstLineChars="0"/>
              <w:jc w:val="center"/>
              <w:rPr>
                <w:rFonts w:hint="default"/>
                <w:color w:val="auto"/>
                <w:sz w:val="18"/>
                <w:szCs w:val="18"/>
                <w:lang w:val="en-US" w:eastAsia="zh-CN"/>
              </w:rPr>
            </w:pPr>
            <w:r>
              <w:rPr>
                <w:rFonts w:hint="eastAsia"/>
                <w:color w:val="auto"/>
                <w:sz w:val="18"/>
                <w:szCs w:val="18"/>
                <w:lang w:val="en-US" w:eastAsia="zh-CN"/>
              </w:rPr>
              <w:t>塑料管</w:t>
            </w:r>
          </w:p>
        </w:tc>
      </w:tr>
      <w:tr w14:paraId="3427D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8" w:type="dxa"/>
            <w:vMerge w:val="restart"/>
            <w:tcBorders>
              <w:tl2br w:val="nil"/>
              <w:tr2bl w:val="nil"/>
            </w:tcBorders>
            <w:noWrap w:val="0"/>
            <w:vAlign w:val="center"/>
          </w:tcPr>
          <w:p w14:paraId="6C356B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集管上的开孔位置</w:t>
            </w:r>
          </w:p>
        </w:tc>
        <w:tc>
          <w:tcPr>
            <w:tcW w:w="2566" w:type="dxa"/>
            <w:tcBorders>
              <w:tl2br w:val="nil"/>
              <w:tr2bl w:val="nil"/>
            </w:tcBorders>
            <w:noWrap w:val="0"/>
            <w:vAlign w:val="center"/>
          </w:tcPr>
          <w:p w14:paraId="3401E0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沿轴线方向的位移</w:t>
            </w:r>
          </w:p>
        </w:tc>
        <w:tc>
          <w:tcPr>
            <w:tcW w:w="1191" w:type="dxa"/>
            <w:tcBorders>
              <w:tl2br w:val="nil"/>
              <w:tr2bl w:val="nil"/>
            </w:tcBorders>
            <w:noWrap w:val="0"/>
            <w:vAlign w:val="center"/>
          </w:tcPr>
          <w:p w14:paraId="4FD762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eastAsia="zh-CN"/>
              </w:rPr>
            </w:pPr>
            <w:r>
              <w:rPr>
                <w:rFonts w:hint="eastAsia" w:ascii="宋体" w:hAnsi="宋体" w:eastAsia="宋体" w:cs="宋体"/>
                <w:kern w:val="0"/>
                <w:sz w:val="18"/>
                <w:szCs w:val="18"/>
              </w:rPr>
              <w:t>≤1.5</w:t>
            </w:r>
            <w:r>
              <w:rPr>
                <w:rFonts w:hint="eastAsia" w:hAnsi="宋体" w:cs="宋体"/>
                <w:kern w:val="0"/>
                <w:sz w:val="18"/>
                <w:szCs w:val="18"/>
                <w:lang w:val="en-US" w:eastAsia="zh-CN"/>
              </w:rPr>
              <w:t>mm</w:t>
            </w:r>
          </w:p>
        </w:tc>
        <w:tc>
          <w:tcPr>
            <w:tcW w:w="1407" w:type="dxa"/>
            <w:tcBorders>
              <w:tl2br w:val="nil"/>
              <w:tr2bl w:val="nil"/>
            </w:tcBorders>
            <w:noWrap w:val="0"/>
            <w:vAlign w:val="center"/>
          </w:tcPr>
          <w:p w14:paraId="789178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≤1.5</w:t>
            </w:r>
            <w:r>
              <w:rPr>
                <w:rFonts w:hint="eastAsia" w:hAnsi="宋体" w:cs="宋体"/>
                <w:color w:val="auto"/>
                <w:kern w:val="0"/>
                <w:sz w:val="18"/>
                <w:szCs w:val="18"/>
                <w:lang w:val="en-US" w:eastAsia="zh-CN"/>
              </w:rPr>
              <w:t>mm</w:t>
            </w:r>
          </w:p>
        </w:tc>
      </w:tr>
      <w:tr w14:paraId="74831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8" w:type="dxa"/>
            <w:vMerge w:val="continue"/>
            <w:tcBorders>
              <w:tl2br w:val="nil"/>
              <w:tr2bl w:val="nil"/>
            </w:tcBorders>
            <w:noWrap w:val="0"/>
            <w:vAlign w:val="center"/>
          </w:tcPr>
          <w:p w14:paraId="6793BC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p>
        </w:tc>
        <w:tc>
          <w:tcPr>
            <w:tcW w:w="2566" w:type="dxa"/>
            <w:tcBorders>
              <w:tl2br w:val="nil"/>
              <w:tr2bl w:val="nil"/>
            </w:tcBorders>
            <w:noWrap w:val="0"/>
            <w:vAlign w:val="center"/>
          </w:tcPr>
          <w:p w14:paraId="23F0EF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垂直轴线方向的位移</w:t>
            </w:r>
          </w:p>
        </w:tc>
        <w:tc>
          <w:tcPr>
            <w:tcW w:w="1191" w:type="dxa"/>
            <w:tcBorders>
              <w:tl2br w:val="nil"/>
              <w:tr2bl w:val="nil"/>
            </w:tcBorders>
            <w:noWrap w:val="0"/>
            <w:vAlign w:val="center"/>
          </w:tcPr>
          <w:p w14:paraId="405B3D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不允许</w:t>
            </w:r>
          </w:p>
        </w:tc>
        <w:tc>
          <w:tcPr>
            <w:tcW w:w="1407" w:type="dxa"/>
            <w:tcBorders>
              <w:tl2br w:val="nil"/>
              <w:tr2bl w:val="nil"/>
            </w:tcBorders>
            <w:noWrap w:val="0"/>
            <w:vAlign w:val="center"/>
          </w:tcPr>
          <w:p w14:paraId="65EBE8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不允许</w:t>
            </w:r>
          </w:p>
        </w:tc>
      </w:tr>
      <w:tr w14:paraId="3A9EC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62D574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同一冷</w:t>
            </w:r>
            <w:r>
              <w:rPr>
                <w:rFonts w:hint="eastAsia" w:hAnsi="宋体" w:cs="宋体"/>
                <w:kern w:val="0"/>
                <w:sz w:val="18"/>
                <w:szCs w:val="18"/>
                <w:lang w:val="en-US" w:eastAsia="zh-CN"/>
              </w:rPr>
              <w:t>区</w:t>
            </w:r>
            <w:r>
              <w:rPr>
                <w:rFonts w:hint="eastAsia" w:ascii="宋体" w:hAnsi="宋体" w:eastAsia="宋体" w:cs="宋体"/>
                <w:kern w:val="0"/>
                <w:sz w:val="18"/>
                <w:szCs w:val="18"/>
              </w:rPr>
              <w:t>内各组</w:t>
            </w:r>
            <w:r>
              <w:rPr>
                <w:rFonts w:hint="eastAsia" w:ascii="宋体" w:hAnsi="宋体" w:eastAsia="宋体" w:cs="宋体"/>
                <w:sz w:val="18"/>
                <w:szCs w:val="18"/>
              </w:rPr>
              <w:t>蒸发(搁架)</w:t>
            </w:r>
            <w:r>
              <w:rPr>
                <w:rFonts w:hint="eastAsia" w:ascii="宋体" w:hAnsi="宋体" w:eastAsia="宋体" w:cs="宋体"/>
                <w:kern w:val="0"/>
                <w:sz w:val="18"/>
                <w:szCs w:val="18"/>
              </w:rPr>
              <w:t>排管的标高</w:t>
            </w:r>
          </w:p>
        </w:tc>
        <w:tc>
          <w:tcPr>
            <w:tcW w:w="1191" w:type="dxa"/>
            <w:tcBorders>
              <w:tl2br w:val="nil"/>
              <w:tr2bl w:val="nil"/>
            </w:tcBorders>
            <w:noWrap w:val="0"/>
            <w:vAlign w:val="center"/>
          </w:tcPr>
          <w:p w14:paraId="1DD085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kern w:val="0"/>
                <w:sz w:val="18"/>
                <w:szCs w:val="18"/>
                <w:lang w:val="en-US" w:eastAsia="zh-CN"/>
              </w:rPr>
            </w:pPr>
            <w:r>
              <w:rPr>
                <w:rFonts w:hint="eastAsia" w:ascii="宋体" w:hAnsi="宋体" w:eastAsia="宋体" w:cs="宋体"/>
                <w:kern w:val="0"/>
                <w:sz w:val="18"/>
                <w:szCs w:val="18"/>
              </w:rPr>
              <w:t>±</w:t>
            </w:r>
            <w:r>
              <w:rPr>
                <w:rFonts w:hint="eastAsia" w:hAnsi="宋体" w:cs="宋体"/>
                <w:kern w:val="0"/>
                <w:sz w:val="18"/>
                <w:szCs w:val="18"/>
                <w:lang w:val="en-US" w:eastAsia="zh-CN"/>
              </w:rPr>
              <w:t>5mm</w:t>
            </w:r>
          </w:p>
        </w:tc>
        <w:tc>
          <w:tcPr>
            <w:tcW w:w="1407" w:type="dxa"/>
            <w:tcBorders>
              <w:tl2br w:val="nil"/>
              <w:tr2bl w:val="nil"/>
            </w:tcBorders>
            <w:noWrap w:val="0"/>
            <w:vAlign w:val="center"/>
          </w:tcPr>
          <w:p w14:paraId="1FC77F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r>
              <w:rPr>
                <w:rFonts w:hint="eastAsia" w:hAnsi="宋体" w:cs="宋体"/>
                <w:color w:val="auto"/>
                <w:kern w:val="0"/>
                <w:sz w:val="18"/>
                <w:szCs w:val="18"/>
                <w:lang w:val="en-US" w:eastAsia="zh-CN"/>
              </w:rPr>
              <w:t>10mm</w:t>
            </w:r>
          </w:p>
        </w:tc>
      </w:tr>
      <w:tr w14:paraId="0DD19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275F85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排管各横管间的平行度</w:t>
            </w:r>
          </w:p>
        </w:tc>
        <w:tc>
          <w:tcPr>
            <w:tcW w:w="1191" w:type="dxa"/>
            <w:tcBorders>
              <w:tl2br w:val="nil"/>
              <w:tr2bl w:val="nil"/>
            </w:tcBorders>
            <w:noWrap w:val="0"/>
            <w:vAlign w:val="center"/>
          </w:tcPr>
          <w:p w14:paraId="0E038D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r>
              <w:rPr>
                <w:rFonts w:hint="eastAsia" w:hAnsi="宋体" w:cs="宋体"/>
                <w:kern w:val="0"/>
                <w:sz w:val="18"/>
                <w:szCs w:val="18"/>
                <w:lang w:val="en-US" w:eastAsia="zh-CN"/>
              </w:rPr>
              <w:t>‰</w:t>
            </w:r>
          </w:p>
        </w:tc>
        <w:tc>
          <w:tcPr>
            <w:tcW w:w="1407" w:type="dxa"/>
            <w:tcBorders>
              <w:tl2br w:val="nil"/>
              <w:tr2bl w:val="nil"/>
            </w:tcBorders>
            <w:noWrap w:val="0"/>
            <w:vAlign w:val="center"/>
          </w:tcPr>
          <w:p w14:paraId="07F910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hint="eastAsia" w:hAnsi="宋体" w:cs="宋体"/>
                <w:color w:val="auto"/>
                <w:kern w:val="0"/>
                <w:sz w:val="18"/>
                <w:szCs w:val="18"/>
                <w:lang w:val="en-US" w:eastAsia="zh-CN"/>
              </w:rPr>
              <w:t>.5‰</w:t>
            </w:r>
          </w:p>
        </w:tc>
      </w:tr>
      <w:tr w14:paraId="7B8BD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3B2F95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rPr>
            </w:pPr>
            <w:r>
              <w:rPr>
                <w:rFonts w:hint="eastAsia" w:ascii="宋体" w:hAnsi="宋体" w:eastAsia="宋体" w:cs="宋体"/>
                <w:sz w:val="18"/>
                <w:szCs w:val="18"/>
              </w:rPr>
              <w:t>蒸发(搁架)</w:t>
            </w:r>
            <w:r>
              <w:rPr>
                <w:rFonts w:hint="eastAsia" w:ascii="宋体" w:hAnsi="宋体" w:eastAsia="宋体" w:cs="宋体"/>
                <w:kern w:val="0"/>
                <w:sz w:val="18"/>
                <w:szCs w:val="18"/>
              </w:rPr>
              <w:t>排管平面的翘曲(排管一角扭出平面的距离)</w:t>
            </w:r>
          </w:p>
        </w:tc>
        <w:tc>
          <w:tcPr>
            <w:tcW w:w="1191" w:type="dxa"/>
            <w:tcBorders>
              <w:tl2br w:val="nil"/>
              <w:tr2bl w:val="nil"/>
            </w:tcBorders>
            <w:noWrap w:val="0"/>
            <w:vAlign w:val="center"/>
          </w:tcPr>
          <w:p w14:paraId="6C20AA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hAnsi="宋体" w:cs="宋体"/>
                <w:kern w:val="0"/>
                <w:sz w:val="18"/>
                <w:szCs w:val="18"/>
                <w:lang w:val="en-US" w:eastAsia="zh-CN"/>
              </w:rPr>
              <w:t>3</w:t>
            </w:r>
            <w:r>
              <w:rPr>
                <w:rFonts w:hint="eastAsia" w:ascii="宋体" w:hAnsi="宋体" w:eastAsia="宋体" w:cs="宋体"/>
                <w:kern w:val="0"/>
                <w:sz w:val="18"/>
                <w:szCs w:val="18"/>
              </w:rPr>
              <w:t>mm</w:t>
            </w:r>
          </w:p>
        </w:tc>
        <w:tc>
          <w:tcPr>
            <w:tcW w:w="1407" w:type="dxa"/>
            <w:tcBorders>
              <w:tl2br w:val="nil"/>
              <w:tr2bl w:val="nil"/>
            </w:tcBorders>
            <w:noWrap w:val="0"/>
            <w:vAlign w:val="center"/>
          </w:tcPr>
          <w:p w14:paraId="319260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hAnsi="宋体" w:cs="宋体"/>
                <w:color w:val="auto"/>
                <w:kern w:val="0"/>
                <w:sz w:val="18"/>
                <w:szCs w:val="18"/>
                <w:lang w:val="en-US" w:eastAsia="zh-CN"/>
              </w:rPr>
              <w:t>5</w:t>
            </w:r>
            <w:r>
              <w:rPr>
                <w:rFonts w:hint="eastAsia" w:ascii="宋体" w:hAnsi="宋体" w:eastAsia="宋体" w:cs="宋体"/>
                <w:color w:val="auto"/>
                <w:kern w:val="0"/>
                <w:sz w:val="18"/>
                <w:szCs w:val="18"/>
              </w:rPr>
              <w:t>mm</w:t>
            </w:r>
          </w:p>
        </w:tc>
      </w:tr>
      <w:tr w14:paraId="1ED79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4" w:type="dxa"/>
            <w:gridSpan w:val="2"/>
            <w:tcBorders>
              <w:tl2br w:val="nil"/>
              <w:tr2bl w:val="nil"/>
            </w:tcBorders>
            <w:noWrap w:val="0"/>
            <w:vAlign w:val="center"/>
          </w:tcPr>
          <w:p w14:paraId="72C1ED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顶排管安装的水平误差</w:t>
            </w:r>
          </w:p>
        </w:tc>
        <w:tc>
          <w:tcPr>
            <w:tcW w:w="1191" w:type="dxa"/>
            <w:tcBorders>
              <w:tl2br w:val="nil"/>
              <w:tr2bl w:val="nil"/>
            </w:tcBorders>
            <w:noWrap w:val="0"/>
            <w:vAlign w:val="center"/>
          </w:tcPr>
          <w:p w14:paraId="2C0480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r>
              <w:rPr>
                <w:rFonts w:hint="eastAsia" w:hAnsi="宋体" w:cs="宋体"/>
                <w:kern w:val="0"/>
                <w:sz w:val="18"/>
                <w:szCs w:val="18"/>
                <w:lang w:val="en-US" w:eastAsia="zh-CN"/>
              </w:rPr>
              <w:t>‰</w:t>
            </w:r>
          </w:p>
        </w:tc>
        <w:tc>
          <w:tcPr>
            <w:tcW w:w="1407" w:type="dxa"/>
            <w:tcBorders>
              <w:tl2br w:val="nil"/>
              <w:tr2bl w:val="nil"/>
            </w:tcBorders>
            <w:noWrap w:val="0"/>
            <w:vAlign w:val="center"/>
          </w:tcPr>
          <w:p w14:paraId="0C3331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w:t>
            </w:r>
            <w:r>
              <w:rPr>
                <w:rFonts w:hint="eastAsia" w:hAnsi="宋体" w:cs="宋体"/>
                <w:color w:val="auto"/>
                <w:kern w:val="0"/>
                <w:sz w:val="18"/>
                <w:szCs w:val="18"/>
                <w:lang w:val="en-US" w:eastAsia="zh-CN"/>
              </w:rPr>
              <w:t>.5‰</w:t>
            </w:r>
          </w:p>
        </w:tc>
      </w:tr>
    </w:tbl>
    <w:p w14:paraId="5EAFFCD6">
      <w:pPr>
        <w:keepNext/>
        <w:keepLines/>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hAnsi="宋体" w:cs="宋体"/>
          <w:b w:val="0"/>
          <w:bCs w:val="0"/>
          <w:color w:val="FF0000"/>
          <w:sz w:val="24"/>
          <w:lang w:val="en-US" w:eastAsia="zh-CN"/>
        </w:rPr>
      </w:pPr>
      <w:r>
        <w:rPr>
          <w:rFonts w:hint="eastAsia" w:ascii="宋体" w:hAnsi="宋体" w:eastAsia="宋体" w:cs="宋体"/>
          <w:b w:val="0"/>
          <w:bCs w:val="0"/>
          <w:sz w:val="21"/>
          <w:szCs w:val="21"/>
          <w:lang w:eastAsia="zh-CN"/>
        </w:rPr>
        <w:t>5.</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金属管道焊缝应按设计文件要求及现行行业</w:t>
      </w:r>
      <w:r>
        <w:rPr>
          <w:rFonts w:hint="eastAsia" w:hAnsi="宋体" w:cs="宋体"/>
          <w:b w:val="0"/>
          <w:bCs w:val="0"/>
          <w:sz w:val="21"/>
          <w:szCs w:val="21"/>
          <w:lang w:val="en-US" w:eastAsia="zh-CN"/>
        </w:rPr>
        <w:t>标准</w:t>
      </w:r>
      <w:r>
        <w:rPr>
          <w:rFonts w:hint="eastAsia" w:ascii="宋体" w:hAnsi="宋体" w:eastAsia="宋体" w:cs="宋体"/>
          <w:b w:val="0"/>
          <w:bCs w:val="0"/>
          <w:sz w:val="21"/>
          <w:szCs w:val="21"/>
          <w:lang w:val="en-US" w:eastAsia="zh-CN"/>
        </w:rPr>
        <w:t>《承压设备无损检测》</w:t>
      </w:r>
      <w:r>
        <w:rPr>
          <w:rFonts w:hint="eastAsia" w:hAnsi="宋体" w:cs="宋体"/>
          <w:b w:val="0"/>
          <w:bCs w:val="0"/>
          <w:sz w:val="21"/>
          <w:szCs w:val="21"/>
          <w:lang w:val="en-US" w:eastAsia="zh-CN"/>
        </w:rPr>
        <w:t>NB/T 47013.2</w:t>
      </w:r>
      <w:r>
        <w:rPr>
          <w:rFonts w:hint="eastAsia" w:ascii="宋体" w:hAnsi="宋体" w:eastAsia="宋体" w:cs="宋体"/>
          <w:b w:val="0"/>
          <w:bCs w:val="0"/>
          <w:sz w:val="21"/>
          <w:szCs w:val="21"/>
          <w:lang w:val="en-US" w:eastAsia="zh-CN"/>
        </w:rPr>
        <w:t>的规定进行无损检测，并应符合下列规定：</w:t>
      </w:r>
    </w:p>
    <w:p w14:paraId="7C493325">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无损检测发现管道焊缝缺陷超出规定时，必须进行返修。</w:t>
      </w:r>
    </w:p>
    <w:p w14:paraId="5F4C102B">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eastAsia="zh-CN"/>
        </w:rPr>
        <w:t>同一焊缝返修次数不得超过两次，两次返修仍不合格的，焊缝必须割掉后重新拼接</w:t>
      </w:r>
    </w:p>
    <w:p w14:paraId="6B51A61C">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焊接。</w:t>
      </w:r>
    </w:p>
    <w:p w14:paraId="5C18A87E">
      <w:pPr>
        <w:keepNext/>
        <w:keepLines/>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w:t>
      </w: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lang w:eastAsia="zh-CN"/>
        </w:rPr>
        <w:t xml:space="preserve">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阀门及部件安装</w:t>
      </w:r>
      <w:r>
        <w:rPr>
          <w:rFonts w:hint="eastAsia" w:ascii="宋体" w:hAnsi="宋体" w:eastAsia="宋体" w:cs="宋体"/>
          <w:b w:val="0"/>
          <w:bCs w:val="0"/>
          <w:sz w:val="21"/>
          <w:szCs w:val="21"/>
          <w:lang w:eastAsia="zh-CN"/>
        </w:rPr>
        <w:t>应符合设计文件要求及现行国家标准《工业阀门安装使用维护一般要求》GB/T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eastAsia="zh-CN"/>
        </w:rPr>
        <w:t>24919的有关规定，并应符合下列规定:</w:t>
      </w:r>
    </w:p>
    <w:p w14:paraId="64EA9DB9">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阀门安装前应进行外观质量检查，阀体应完好，开启机构应灵活、阀杆应无歪斜、变形、卡涩现象，标牌应齐全。</w:t>
      </w:r>
    </w:p>
    <w:p w14:paraId="72C1ADEA">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使用前应进行壳体压力试验和密封试验，具有上密封结构的阀门还应进行上密封试验，不合格者不得使用。阀门的壳体压力试验和密封试验应以洁净水为介质。不锈钢阀门试验时，水中的氯离子含量不得超过25X10-6(25ppm)。试验合格后应立即将水渍清除干净。当有特殊要求时，试验介质应符合设计文件的规定。</w:t>
      </w:r>
    </w:p>
    <w:p w14:paraId="5A42B7A1">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阀门阀体的安装应符合制冰系统中气(液)的流向(加注用的阀门除外)。阀门手轮的朝向应符合设计文件和阀门技术文件的要求；成排安装的阀门，阀门手轮的中心应在同一直线上。</w:t>
      </w:r>
    </w:p>
    <w:p w14:paraId="52232175">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安全阀应按国家现行标准《安全阀安全技术监察规程》TSG ZF001和设计文件的规定进行整定压力调整和密封试验，当有特殊要求时，还应进行其他性能试验。安全阀校验应做好记录、铅封，并应出具校验报告。</w:t>
      </w:r>
    </w:p>
    <w:p w14:paraId="16B5B1A3">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安全阀应垂直安装，出口管道应接向安全地点；当进出口管道上设置截止阀时，截止阀应加铅封，且应锁定在全开启状态。</w:t>
      </w:r>
    </w:p>
    <w:p w14:paraId="77068F6F">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cs="宋体"/>
          <w:sz w:val="24"/>
          <w:lang w:val="en-US" w:eastAsia="zh-CN"/>
        </w:rPr>
      </w:pPr>
      <w:r>
        <w:rPr>
          <w:rFonts w:hint="eastAsia" w:ascii="宋体" w:hAnsi="宋体" w:eastAsia="宋体" w:cs="宋体"/>
          <w:b w:val="0"/>
          <w:bCs w:val="0"/>
          <w:sz w:val="21"/>
          <w:szCs w:val="21"/>
          <w:lang w:val="en-US" w:eastAsia="zh-CN"/>
        </w:rPr>
        <w:t>6</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液(气)过滤器的金属滤网应符合设计文件的要求，并应在安装前予以检查。</w:t>
      </w:r>
    </w:p>
    <w:p w14:paraId="4C659320">
      <w:pPr>
        <w:pStyle w:val="27"/>
        <w:snapToGrid w:val="0"/>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5.2.7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自控元件及仪表安装应符合设计文件的要求及现行国家标准《自动化仪表工程施工及质量验收规范》GB</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50093的有关规定，并应符合下列规定：</w:t>
      </w:r>
    </w:p>
    <w:p w14:paraId="56083C02">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管道上仪表连接点开孔宜在管道安装前进行。</w:t>
      </w:r>
    </w:p>
    <w:p w14:paraId="7E11E04D">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压力表的压力表盘最大刻度压力小于或等于1.6MPa时，其精度不应低于2.5级；当表盘最大刻度压力大于1.6MPa时，其精度不应低于1.5级。压力表应垂直安装。压力表安装高度大于2m时，压力表表盘不宜小于150mm。氨制冷系统必须采用氨专用压力表。</w:t>
      </w:r>
    </w:p>
    <w:p w14:paraId="520E16FB">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温度计及温度控制器的安装应设计和技术文件的要求确定位置。</w:t>
      </w:r>
    </w:p>
    <w:p w14:paraId="7A5286F7">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自控元件及仪表应按设计要求预留保冷层厚度，不应埋入保冷层内。</w:t>
      </w:r>
    </w:p>
    <w:p w14:paraId="5CFB0674">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87" w:name="_Toc16465"/>
      <w:r>
        <w:rPr>
          <w:rFonts w:hint="eastAsia" w:ascii="黑体" w:hAnsi="黑体" w:eastAsia="黑体" w:cs="黑体"/>
          <w:b w:val="0"/>
          <w:bCs w:val="0"/>
          <w:kern w:val="0"/>
          <w:sz w:val="21"/>
          <w:szCs w:val="21"/>
          <w:lang w:val="en-US" w:eastAsia="zh-CN"/>
        </w:rPr>
        <w:t>5.3  制冰设备安装</w:t>
      </w:r>
      <w:bookmarkEnd w:id="87"/>
    </w:p>
    <w:p w14:paraId="63F3BD99">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kern w:val="2"/>
          <w:sz w:val="21"/>
          <w:szCs w:val="21"/>
          <w:lang w:val="en-US" w:eastAsia="zh-CN" w:bidi="ar-SA"/>
        </w:rPr>
      </w:pPr>
      <w:r>
        <w:rPr>
          <w:rFonts w:hint="eastAsia" w:hAnsi="宋体" w:cs="宋体"/>
          <w:b w:val="0"/>
          <w:bCs/>
          <w:sz w:val="21"/>
          <w:szCs w:val="21"/>
          <w:lang w:val="en-US" w:eastAsia="zh-CN"/>
        </w:rPr>
        <w:t xml:space="preserve">5.3.1  </w:t>
      </w:r>
      <w:r>
        <w:rPr>
          <w:rFonts w:hint="eastAsia" w:ascii="宋体" w:hAnsi="宋体" w:eastAsia="宋体" w:cs="宋体"/>
          <w:b w:val="0"/>
          <w:bCs/>
          <w:kern w:val="2"/>
          <w:sz w:val="21"/>
          <w:szCs w:val="21"/>
          <w:lang w:val="en-US" w:eastAsia="zh-CN" w:bidi="ar-SA"/>
        </w:rPr>
        <w:t>制</w:t>
      </w:r>
      <w:r>
        <w:rPr>
          <w:rFonts w:hint="eastAsia" w:hAnsi="宋体" w:cs="宋体"/>
          <w:b w:val="0"/>
          <w:bCs/>
          <w:kern w:val="2"/>
          <w:sz w:val="21"/>
          <w:szCs w:val="21"/>
          <w:lang w:val="en-US" w:eastAsia="zh-CN" w:bidi="ar-SA"/>
        </w:rPr>
        <w:t>冰</w:t>
      </w:r>
      <w:r>
        <w:rPr>
          <w:rFonts w:hint="eastAsia" w:ascii="宋体" w:hAnsi="宋体" w:eastAsia="宋体" w:cs="宋体"/>
          <w:b w:val="0"/>
          <w:bCs/>
          <w:kern w:val="2"/>
          <w:sz w:val="21"/>
          <w:szCs w:val="21"/>
          <w:lang w:val="en-US" w:eastAsia="zh-CN" w:bidi="ar-SA"/>
        </w:rPr>
        <w:t>设备基础应按设计文件</w:t>
      </w:r>
      <w:r>
        <w:rPr>
          <w:rFonts w:hint="eastAsia" w:hAnsi="宋体" w:cs="宋体"/>
          <w:b w:val="0"/>
          <w:bCs/>
          <w:kern w:val="2"/>
          <w:sz w:val="21"/>
          <w:szCs w:val="21"/>
          <w:lang w:val="en-US" w:eastAsia="zh-CN" w:bidi="ar-SA"/>
        </w:rPr>
        <w:t>及设备厂家</w:t>
      </w:r>
      <w:r>
        <w:rPr>
          <w:rFonts w:hint="eastAsia" w:ascii="宋体" w:hAnsi="宋体" w:eastAsia="宋体" w:cs="宋体"/>
          <w:b w:val="0"/>
          <w:bCs/>
          <w:kern w:val="2"/>
          <w:sz w:val="21"/>
          <w:szCs w:val="21"/>
          <w:lang w:val="en-US" w:eastAsia="zh-CN" w:bidi="ar-SA"/>
        </w:rPr>
        <w:t>要求制作，并应符合现行国家标准《机械设备安装工程施工及验收通用规范》GB 50231的有关规定。</w:t>
      </w:r>
    </w:p>
    <w:p w14:paraId="083C5EC7">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hAnsi="宋体" w:cs="宋体"/>
          <w:b w:val="0"/>
          <w:bCs/>
          <w:sz w:val="21"/>
          <w:szCs w:val="21"/>
          <w:lang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2</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制</w:t>
      </w:r>
      <w:r>
        <w:rPr>
          <w:rFonts w:hint="eastAsia" w:hAnsi="宋体" w:cs="宋体"/>
          <w:b w:val="0"/>
          <w:bCs/>
          <w:sz w:val="21"/>
          <w:szCs w:val="21"/>
          <w:lang w:val="en-US" w:eastAsia="zh-CN"/>
        </w:rPr>
        <w:t>冰设备</w:t>
      </w:r>
      <w:r>
        <w:rPr>
          <w:rFonts w:hint="eastAsia" w:ascii="宋体" w:hAnsi="宋体" w:eastAsia="宋体" w:cs="宋体"/>
          <w:b w:val="0"/>
          <w:bCs/>
          <w:sz w:val="21"/>
          <w:szCs w:val="21"/>
        </w:rPr>
        <w:t>安装应符合现行国家标准《风机、压缩机、泵安装工程施工及验收规范》GB 50275的有关规定</w:t>
      </w:r>
      <w:r>
        <w:rPr>
          <w:rFonts w:hint="eastAsia" w:hAnsi="宋体" w:cs="宋体"/>
          <w:b w:val="0"/>
          <w:bCs/>
          <w:sz w:val="21"/>
          <w:szCs w:val="21"/>
          <w:lang w:eastAsia="zh-CN"/>
        </w:rPr>
        <w:t>。</w:t>
      </w:r>
    </w:p>
    <w:p w14:paraId="5675EBE5">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hAnsi="宋体" w:cs="宋体"/>
          <w:b w:val="0"/>
          <w:bCs/>
          <w:sz w:val="21"/>
          <w:szCs w:val="21"/>
          <w:lang w:eastAsia="zh-CN"/>
        </w:rPr>
      </w:pPr>
      <w:r>
        <w:rPr>
          <w:rFonts w:hint="eastAsia" w:hAnsi="宋体" w:cs="宋体"/>
          <w:b w:val="0"/>
          <w:bCs/>
          <w:sz w:val="21"/>
          <w:szCs w:val="21"/>
          <w:lang w:val="en-US" w:eastAsia="zh-CN"/>
        </w:rPr>
        <w:t xml:space="preserve">5.3.3  </w:t>
      </w:r>
      <w:r>
        <w:rPr>
          <w:rFonts w:hint="eastAsia" w:hAnsi="宋体" w:cs="宋体"/>
          <w:b w:val="0"/>
          <w:bCs/>
          <w:sz w:val="21"/>
          <w:szCs w:val="21"/>
          <w:lang w:eastAsia="zh-CN"/>
        </w:rPr>
        <w:t>属于压力容器的设备安装、改造和维修应符合现行行业标准《固定式压力容器安全技术监察规程》TSG</w:t>
      </w:r>
      <w:r>
        <w:rPr>
          <w:rFonts w:hint="eastAsia" w:hAnsi="宋体" w:cs="宋体"/>
          <w:b w:val="0"/>
          <w:bCs/>
          <w:sz w:val="21"/>
          <w:szCs w:val="21"/>
          <w:lang w:val="en-US" w:eastAsia="zh-CN"/>
        </w:rPr>
        <w:t xml:space="preserve"> 21</w:t>
      </w:r>
      <w:r>
        <w:rPr>
          <w:rFonts w:hint="eastAsia" w:hAnsi="宋体" w:cs="宋体"/>
          <w:b w:val="0"/>
          <w:bCs/>
          <w:sz w:val="21"/>
          <w:szCs w:val="21"/>
          <w:lang w:eastAsia="zh-CN"/>
        </w:rPr>
        <w:t>的有关规定 。</w:t>
      </w:r>
    </w:p>
    <w:p w14:paraId="06399CF8">
      <w:pPr>
        <w:pStyle w:val="2"/>
        <w:pageBreakBefore w:val="0"/>
        <w:widowControl w:val="0"/>
        <w:kinsoku/>
        <w:wordWrap/>
        <w:overflowPunct/>
        <w:topLinePunct w:val="0"/>
        <w:autoSpaceDE/>
        <w:autoSpaceDN/>
        <w:bidi w:val="0"/>
        <w:adjustRightInd/>
        <w:spacing w:after="0"/>
        <w:ind w:left="0" w:leftChars="0" w:firstLine="0" w:firstLineChars="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5.3.4  制冰机组安装应符合下列规定：</w:t>
      </w:r>
    </w:p>
    <w:p w14:paraId="425DF9D9">
      <w:pPr>
        <w:pStyle w:val="4"/>
        <w:pageBreakBefore w:val="0"/>
        <w:widowControl w:val="0"/>
        <w:kinsoku/>
        <w:wordWrap/>
        <w:overflowPunct/>
        <w:topLinePunct w:val="0"/>
        <w:autoSpaceDE/>
        <w:autoSpaceDN/>
        <w:bidi w:val="0"/>
        <w:adjustRightInd/>
        <w:ind w:firstLine="48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1  整体出厂的制冰机组安装应水平。应在底座或与底座平行的加工面上纵、横向进行检测，其偏差均不应大于1‰。垫铁调整机组水平度时，应接触紧密并相对固定，螺栓必须拧紧，并有防松动措施。</w:t>
      </w:r>
    </w:p>
    <w:p w14:paraId="45217B6D">
      <w:pPr>
        <w:pStyle w:val="4"/>
        <w:pageBreakBefore w:val="0"/>
        <w:widowControl w:val="0"/>
        <w:kinsoku/>
        <w:wordWrap/>
        <w:overflowPunct/>
        <w:topLinePunct w:val="0"/>
        <w:autoSpaceDE/>
        <w:autoSpaceDN/>
        <w:bidi w:val="0"/>
        <w:adjustRightInd/>
        <w:ind w:firstLine="480"/>
        <w:jc w:val="left"/>
        <w:textAlignment w:val="auto"/>
        <w:rPr>
          <w:rFonts w:hint="eastAsia" w:hAnsi="宋体" w:cs="宋体"/>
          <w:b w:val="0"/>
          <w:bCs/>
          <w:sz w:val="21"/>
          <w:szCs w:val="21"/>
          <w:lang w:val="en-US" w:eastAsia="zh-CN"/>
        </w:rPr>
      </w:pPr>
      <w:r>
        <w:rPr>
          <w:rFonts w:hint="eastAsia" w:hAnsi="宋体" w:cs="宋体"/>
          <w:b w:val="0"/>
          <w:bCs/>
          <w:sz w:val="21"/>
          <w:szCs w:val="21"/>
          <w:lang w:val="en-US" w:eastAsia="zh-CN"/>
        </w:rPr>
        <w:t>2  制冷压缩机(机组)安装过程应保持机体平稳，不得倒置，不应超过设备技术文件限制的倾斜角度。</w:t>
      </w:r>
    </w:p>
    <w:p w14:paraId="14A93528">
      <w:pPr>
        <w:pStyle w:val="4"/>
        <w:pageBreakBefore w:val="0"/>
        <w:widowControl w:val="0"/>
        <w:kinsoku/>
        <w:wordWrap/>
        <w:overflowPunct/>
        <w:topLinePunct w:val="0"/>
        <w:autoSpaceDE/>
        <w:autoSpaceDN/>
        <w:bidi w:val="0"/>
        <w:adjustRightInd/>
        <w:ind w:firstLine="480"/>
        <w:jc w:val="left"/>
        <w:textAlignment w:val="auto"/>
        <w:rPr>
          <w:rFonts w:hint="default" w:hAnsi="宋体" w:cs="宋体"/>
          <w:b w:val="0"/>
          <w:bCs/>
          <w:sz w:val="21"/>
          <w:szCs w:val="21"/>
          <w:lang w:val="en-US" w:eastAsia="zh-CN"/>
        </w:rPr>
      </w:pPr>
      <w:r>
        <w:rPr>
          <w:rFonts w:hint="eastAsia" w:hAnsi="宋体" w:cs="宋体"/>
          <w:b w:val="0"/>
          <w:bCs/>
          <w:sz w:val="21"/>
          <w:szCs w:val="21"/>
          <w:lang w:val="en-US" w:eastAsia="zh-CN"/>
        </w:rPr>
        <w:t>3  制冰设备及附属设备应按设计文件及设备技术文件要求设置减振装置。减振器的安装位置应与设备重心相匹配，各个减振器的压缩量应均匀一致，且偏差不应大于2mm；采用弹簧减振器的制冰机组，应设置防止机组运行时水平位移的定位装置。</w:t>
      </w:r>
    </w:p>
    <w:p w14:paraId="4171F7BD">
      <w:pPr>
        <w:pStyle w:val="4"/>
        <w:pageBreakBefore w:val="0"/>
        <w:widowControl w:val="0"/>
        <w:kinsoku/>
        <w:wordWrap/>
        <w:overflowPunct/>
        <w:topLinePunct w:val="0"/>
        <w:autoSpaceDE/>
        <w:autoSpaceDN/>
        <w:bidi w:val="0"/>
        <w:adjustRightInd/>
        <w:ind w:firstLine="480"/>
        <w:jc w:val="left"/>
        <w:textAlignment w:val="auto"/>
        <w:rPr>
          <w:rFonts w:hint="default" w:hAnsi="宋体" w:cs="宋体"/>
          <w:b w:val="0"/>
          <w:bCs/>
          <w:sz w:val="21"/>
          <w:szCs w:val="21"/>
          <w:lang w:val="en-US" w:eastAsia="zh-CN"/>
        </w:rPr>
      </w:pPr>
      <w:r>
        <w:rPr>
          <w:rFonts w:hint="eastAsia" w:hAnsi="宋体" w:cs="宋体"/>
          <w:b w:val="0"/>
          <w:bCs/>
          <w:sz w:val="21"/>
          <w:szCs w:val="21"/>
          <w:lang w:val="en-US" w:eastAsia="zh-CN"/>
        </w:rPr>
        <w:t>4  当制冰机组设置热回收功能时，机组与水管道连接应按设计要求设置柔性连接装置。</w:t>
      </w:r>
    </w:p>
    <w:p w14:paraId="0C0B89B0">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5</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冷却设备安装</w:t>
      </w:r>
      <w:r>
        <w:rPr>
          <w:rFonts w:hint="eastAsia" w:hAnsi="宋体" w:cs="宋体"/>
          <w:b w:val="0"/>
          <w:bCs/>
          <w:sz w:val="21"/>
          <w:szCs w:val="21"/>
          <w:lang w:val="en-US" w:eastAsia="zh-CN"/>
        </w:rPr>
        <w:t>应符合设计文件及设备技术文件要求，并应符合下列规定：</w:t>
      </w:r>
    </w:p>
    <w:p w14:paraId="44932451">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冷却设备就位前，检查设备基础的平面位置、标高、表面平整度、预埋地脚螺栓孔的尺寸是否符合设备和设计要求。</w:t>
      </w:r>
    </w:p>
    <w:p w14:paraId="618C6E44">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2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冷却设备进出口法兰均应该离地面不少于300mm。</w:t>
      </w:r>
    </w:p>
    <w:p w14:paraId="64B076A9">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3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设备如在两台以上时，应统一同时放好纵、横中心线，确保排列整齐、标高一致。</w:t>
      </w:r>
    </w:p>
    <w:p w14:paraId="622EE0E5">
      <w:pPr>
        <w:keepNext/>
        <w:keepLines/>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宋体" w:eastAsia="宋体" w:cs="宋体"/>
          <w:b w:val="0"/>
          <w:bCs/>
          <w:sz w:val="21"/>
          <w:szCs w:val="21"/>
          <w:lang w:eastAsia="zh-CN"/>
        </w:rPr>
      </w:pPr>
      <w:r>
        <w:rPr>
          <w:rFonts w:hint="eastAsia" w:ascii="宋体" w:hAnsi="宋体" w:eastAsia="宋体" w:cs="宋体"/>
          <w:b w:val="0"/>
          <w:bCs/>
          <w:sz w:val="21"/>
          <w:szCs w:val="21"/>
        </w:rPr>
        <w:t>5.3.</w:t>
      </w:r>
      <w:r>
        <w:rPr>
          <w:rFonts w:hint="eastAsia" w:hAnsi="宋体" w:cs="宋体"/>
          <w:b w:val="0"/>
          <w:bCs/>
          <w:sz w:val="21"/>
          <w:szCs w:val="21"/>
          <w:lang w:val="en-US" w:eastAsia="zh-CN"/>
        </w:rPr>
        <w:t>6</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制冰系统的辅助设备应符合下列</w:t>
      </w:r>
      <w:r>
        <w:rPr>
          <w:rFonts w:hint="eastAsia" w:hAnsi="宋体" w:cs="宋体"/>
          <w:b w:val="0"/>
          <w:bCs/>
          <w:sz w:val="21"/>
          <w:szCs w:val="21"/>
          <w:lang w:val="en-US" w:eastAsia="zh-CN"/>
        </w:rPr>
        <w:t>规定：</w:t>
      </w:r>
    </w:p>
    <w:p w14:paraId="2160DB91">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就位前应检查其基础及地脚螺栓孔的位置，应符合设计文件中设备管接口的方位。</w:t>
      </w:r>
    </w:p>
    <w:p w14:paraId="6BE83D9A">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lang w:eastAsia="zh-CN"/>
        </w:rPr>
      </w:pPr>
      <w:r>
        <w:rPr>
          <w:rFonts w:hint="eastAsia" w:hAnsi="宋体" w:cs="宋体"/>
          <w:b w:val="0"/>
          <w:bCs/>
          <w:sz w:val="21"/>
          <w:szCs w:val="21"/>
          <w:lang w:val="en-US" w:eastAsia="zh-CN"/>
        </w:rPr>
        <w:t xml:space="preserve">2  </w:t>
      </w:r>
      <w:r>
        <w:rPr>
          <w:rFonts w:hint="eastAsia" w:ascii="宋体" w:hAnsi="宋体" w:eastAsia="宋体" w:cs="宋体"/>
          <w:b w:val="0"/>
          <w:bCs/>
          <w:sz w:val="21"/>
          <w:szCs w:val="21"/>
        </w:rPr>
        <w:t>附属设备中的压力容器在规定的质量保证期内安装时,可不做强度试验,但应做严密性试验。当发现压力容器有损伤或在现场做过局部改装时,应做强度试验</w:t>
      </w:r>
      <w:r>
        <w:rPr>
          <w:rFonts w:hint="eastAsia" w:hAnsi="宋体" w:cs="宋体"/>
          <w:b w:val="0"/>
          <w:bCs/>
          <w:sz w:val="21"/>
          <w:szCs w:val="21"/>
          <w:lang w:eastAsia="zh-CN"/>
        </w:rPr>
        <w:t>。</w:t>
      </w:r>
    </w:p>
    <w:p w14:paraId="253BAEAE">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 xml:space="preserve">3 </w:t>
      </w:r>
      <w:r>
        <w:rPr>
          <w:rFonts w:hint="eastAsia" w:ascii="宋体" w:hAnsi="宋体" w:eastAsia="宋体" w:cs="宋体"/>
          <w:b w:val="0"/>
          <w:bCs/>
          <w:sz w:val="21"/>
          <w:szCs w:val="21"/>
        </w:rPr>
        <w:t xml:space="preserve"> </w:t>
      </w:r>
      <w:r>
        <w:rPr>
          <w:rFonts w:hint="eastAsia" w:ascii="宋体" w:hAnsi="宋体" w:eastAsia="宋体" w:cs="宋体"/>
          <w:b w:val="0"/>
          <w:bCs/>
          <w:color w:val="auto"/>
          <w:sz w:val="21"/>
          <w:szCs w:val="21"/>
        </w:rPr>
        <w:t>制</w:t>
      </w:r>
      <w:r>
        <w:rPr>
          <w:rFonts w:hint="eastAsia" w:hAnsi="宋体" w:cs="宋体"/>
          <w:b w:val="0"/>
          <w:bCs/>
          <w:color w:val="auto"/>
          <w:sz w:val="21"/>
          <w:szCs w:val="21"/>
          <w:lang w:val="en-US" w:eastAsia="zh-CN"/>
        </w:rPr>
        <w:t>冰</w:t>
      </w:r>
      <w:r>
        <w:rPr>
          <w:rFonts w:hint="eastAsia" w:ascii="宋体" w:hAnsi="宋体" w:eastAsia="宋体" w:cs="宋体"/>
          <w:b w:val="0"/>
          <w:bCs/>
          <w:color w:val="auto"/>
          <w:sz w:val="21"/>
          <w:szCs w:val="21"/>
        </w:rPr>
        <w:t>辅助设备安装前，应进行单体吹污，吹污可用0.8MPa(表压)的</w:t>
      </w:r>
      <w:r>
        <w:rPr>
          <w:rFonts w:hint="eastAsia" w:hAnsi="宋体" w:cs="宋体"/>
          <w:b w:val="0"/>
          <w:bCs/>
          <w:color w:val="auto"/>
          <w:sz w:val="21"/>
          <w:szCs w:val="21"/>
          <w:lang w:val="en-US" w:eastAsia="zh-CN"/>
        </w:rPr>
        <w:t>氮气或</w:t>
      </w:r>
      <w:r>
        <w:rPr>
          <w:rFonts w:hint="eastAsia" w:ascii="宋体" w:hAnsi="宋体" w:eastAsia="宋体" w:cs="宋体"/>
          <w:b w:val="0"/>
          <w:bCs/>
          <w:color w:val="auto"/>
          <w:sz w:val="21"/>
          <w:szCs w:val="21"/>
        </w:rPr>
        <w:t>干燥压缩空气进行，次数不应少于3次，直至无污物排出为止。单体气密性试验,可同设备单体吹污结合进行。</w:t>
      </w:r>
    </w:p>
    <w:p w14:paraId="2F309AAA">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4</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无特殊要求的卧式制</w:t>
      </w:r>
      <w:r>
        <w:rPr>
          <w:rFonts w:hint="eastAsia" w:hAnsi="宋体" w:cs="宋体"/>
          <w:b w:val="0"/>
          <w:bCs/>
          <w:sz w:val="21"/>
          <w:szCs w:val="21"/>
          <w:lang w:val="en-US" w:eastAsia="zh-CN"/>
        </w:rPr>
        <w:t>冰</w:t>
      </w:r>
      <w:r>
        <w:rPr>
          <w:rFonts w:hint="eastAsia" w:ascii="宋体" w:hAnsi="宋体" w:eastAsia="宋体" w:cs="宋体"/>
          <w:b w:val="0"/>
          <w:bCs/>
          <w:sz w:val="21"/>
          <w:szCs w:val="21"/>
        </w:rPr>
        <w:t>辅助设备的安装，其水平偏差和立式制冷辅助设备安装的铅垂度偏差均不宜大于1‰。</w:t>
      </w:r>
    </w:p>
    <w:p w14:paraId="3C6FCE73">
      <w:pPr>
        <w:pageBreakBefore w:val="0"/>
        <w:widowControl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b w:val="0"/>
          <w:bCs/>
          <w:sz w:val="21"/>
          <w:szCs w:val="21"/>
        </w:rPr>
      </w:pPr>
      <w:r>
        <w:rPr>
          <w:rFonts w:hint="eastAsia" w:hAnsi="宋体" w:cs="宋体"/>
          <w:b w:val="0"/>
          <w:bCs/>
          <w:sz w:val="21"/>
          <w:szCs w:val="21"/>
          <w:lang w:val="en-US" w:eastAsia="zh-CN"/>
        </w:rPr>
        <w:t>5</w:t>
      </w:r>
      <w:r>
        <w:rPr>
          <w:rFonts w:hint="eastAsia" w:ascii="宋体" w:hAnsi="宋体" w:eastAsia="宋体" w:cs="宋体"/>
          <w:b w:val="0"/>
          <w:bCs/>
          <w:sz w:val="21"/>
          <w:szCs w:val="21"/>
        </w:rPr>
        <w:t xml:space="preserve"> </w:t>
      </w:r>
      <w:r>
        <w:rPr>
          <w:rFonts w:hint="eastAsia" w:hAnsi="宋体" w:cs="宋体"/>
          <w:b w:val="0"/>
          <w:bCs/>
          <w:sz w:val="21"/>
          <w:szCs w:val="21"/>
          <w:lang w:val="en-US" w:eastAsia="zh-CN"/>
        </w:rPr>
        <w:t xml:space="preserve"> </w:t>
      </w:r>
      <w:r>
        <w:rPr>
          <w:rFonts w:hint="eastAsia" w:ascii="宋体" w:hAnsi="宋体" w:eastAsia="宋体" w:cs="宋体"/>
          <w:b w:val="0"/>
          <w:bCs/>
          <w:sz w:val="21"/>
          <w:szCs w:val="21"/>
        </w:rPr>
        <w:t>安装在常温环境下的低温制</w:t>
      </w:r>
      <w:r>
        <w:rPr>
          <w:rFonts w:hint="eastAsia" w:hAnsi="宋体" w:cs="宋体"/>
          <w:b w:val="0"/>
          <w:bCs/>
          <w:sz w:val="21"/>
          <w:szCs w:val="21"/>
          <w:lang w:val="en-US" w:eastAsia="zh-CN"/>
        </w:rPr>
        <w:t>冰辅</w:t>
      </w:r>
      <w:r>
        <w:rPr>
          <w:rFonts w:hint="eastAsia" w:ascii="宋体" w:hAnsi="宋体" w:eastAsia="宋体" w:cs="宋体"/>
          <w:b w:val="0"/>
          <w:bCs/>
          <w:sz w:val="21"/>
          <w:szCs w:val="21"/>
        </w:rPr>
        <w:t>助设备，其支座下应增设硬质垫木，垫木应预先进行防腐处理。</w:t>
      </w:r>
    </w:p>
    <w:p w14:paraId="2349C4A5">
      <w:pPr>
        <w:pStyle w:val="2"/>
        <w:pageBreakBefore w:val="0"/>
        <w:widowControl w:val="0"/>
        <w:kinsoku/>
        <w:wordWrap/>
        <w:overflowPunct/>
        <w:topLinePunct w:val="0"/>
        <w:autoSpaceDE/>
        <w:autoSpaceDN/>
        <w:bidi w:val="0"/>
        <w:adjustRightInd/>
        <w:spacing w:after="0"/>
        <w:ind w:left="0" w:leftChars="0" w:firstLine="0" w:firstLineChars="0"/>
        <w:jc w:val="left"/>
        <w:textAlignment w:val="auto"/>
      </w:pPr>
      <w:r>
        <w:rPr>
          <w:rFonts w:hint="eastAsia"/>
          <w:b w:val="0"/>
          <w:bCs/>
          <w:sz w:val="21"/>
          <w:szCs w:val="21"/>
          <w:lang w:val="en-US" w:eastAsia="zh-CN"/>
        </w:rPr>
        <w:t xml:space="preserve">5.3.7  </w:t>
      </w:r>
      <w:r>
        <w:rPr>
          <w:rFonts w:hint="eastAsia"/>
          <w:b w:val="0"/>
          <w:bCs/>
          <w:sz w:val="21"/>
          <w:szCs w:val="21"/>
        </w:rPr>
        <w:t>制</w:t>
      </w:r>
      <w:r>
        <w:rPr>
          <w:rFonts w:hint="eastAsia"/>
          <w:b w:val="0"/>
          <w:bCs/>
          <w:sz w:val="21"/>
          <w:szCs w:val="21"/>
          <w:lang w:val="en-US" w:eastAsia="zh-CN"/>
        </w:rPr>
        <w:t>冰设备</w:t>
      </w:r>
      <w:r>
        <w:rPr>
          <w:rFonts w:hint="eastAsia"/>
          <w:b w:val="0"/>
          <w:bCs/>
          <w:sz w:val="21"/>
          <w:szCs w:val="21"/>
        </w:rPr>
        <w:t>和辅助设备的操作、检修平台和爬梯应按设计</w:t>
      </w:r>
      <w:r>
        <w:rPr>
          <w:rFonts w:hint="eastAsia"/>
          <w:b w:val="0"/>
          <w:bCs/>
          <w:sz w:val="21"/>
          <w:szCs w:val="21"/>
          <w:lang w:val="en-US" w:eastAsia="zh-CN"/>
        </w:rPr>
        <w:t>要求</w:t>
      </w:r>
      <w:r>
        <w:rPr>
          <w:rFonts w:hint="eastAsia"/>
          <w:b w:val="0"/>
          <w:bCs/>
          <w:sz w:val="21"/>
          <w:szCs w:val="21"/>
        </w:rPr>
        <w:t>和设备技术文件的要求制作</w:t>
      </w:r>
      <w:r>
        <w:rPr>
          <w:rFonts w:hint="eastAsia"/>
          <w:b w:val="0"/>
          <w:bCs/>
          <w:sz w:val="21"/>
          <w:szCs w:val="21"/>
          <w:lang w:eastAsia="zh-CN"/>
        </w:rPr>
        <w:t>、</w:t>
      </w:r>
      <w:r>
        <w:rPr>
          <w:rFonts w:hint="eastAsia"/>
          <w:b w:val="0"/>
          <w:bCs/>
          <w:sz w:val="21"/>
          <w:szCs w:val="21"/>
        </w:rPr>
        <w:t>安装</w:t>
      </w:r>
      <w:r>
        <w:rPr>
          <w:rFonts w:hint="eastAsia"/>
          <w:b w:val="0"/>
          <w:bCs/>
          <w:sz w:val="21"/>
          <w:szCs w:val="21"/>
          <w:lang w:eastAsia="zh-CN"/>
        </w:rPr>
        <w:t>。</w:t>
      </w:r>
      <w:r>
        <w:rPr>
          <w:rFonts w:hint="eastAsia"/>
          <w:b w:val="0"/>
          <w:bCs/>
          <w:sz w:val="21"/>
          <w:szCs w:val="21"/>
          <w:lang w:val="en-US" w:eastAsia="zh-CN"/>
        </w:rPr>
        <w:t>平台</w:t>
      </w:r>
      <w:r>
        <w:rPr>
          <w:rFonts w:hint="eastAsia"/>
          <w:b w:val="0"/>
          <w:bCs/>
          <w:sz w:val="21"/>
          <w:szCs w:val="21"/>
        </w:rPr>
        <w:t>不应利用设备作为支撑</w:t>
      </w:r>
      <w:r>
        <w:rPr>
          <w:rFonts w:hint="eastAsia"/>
          <w:b w:val="0"/>
          <w:bCs/>
          <w:sz w:val="21"/>
          <w:szCs w:val="21"/>
          <w:lang w:eastAsia="zh-CN"/>
        </w:rPr>
        <w:t>，</w:t>
      </w:r>
      <w:r>
        <w:rPr>
          <w:rFonts w:hint="eastAsia"/>
          <w:b w:val="0"/>
          <w:bCs/>
          <w:sz w:val="21"/>
          <w:szCs w:val="21"/>
          <w:lang w:val="en-US" w:eastAsia="zh-CN"/>
        </w:rPr>
        <w:t>严禁</w:t>
      </w:r>
      <w:r>
        <w:rPr>
          <w:rFonts w:hint="eastAsia"/>
          <w:b w:val="0"/>
          <w:bCs/>
          <w:sz w:val="21"/>
          <w:szCs w:val="21"/>
        </w:rPr>
        <w:t>焊接在设备上</w:t>
      </w:r>
      <w:r>
        <w:rPr>
          <w:rFonts w:hint="eastAsia"/>
        </w:rPr>
        <w:t>。</w:t>
      </w:r>
    </w:p>
    <w:p w14:paraId="374A8BF8">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88" w:name="_Toc18220"/>
      <w:bookmarkStart w:id="89" w:name="_Toc36040059"/>
      <w:r>
        <w:rPr>
          <w:rFonts w:hint="eastAsia" w:ascii="黑体" w:hAnsi="黑体" w:eastAsia="黑体" w:cs="黑体"/>
          <w:b w:val="0"/>
          <w:bCs w:val="0"/>
          <w:kern w:val="0"/>
          <w:sz w:val="21"/>
          <w:szCs w:val="21"/>
          <w:lang w:val="en-US" w:eastAsia="zh-CN"/>
        </w:rPr>
        <w:t>5.4  制冰系统检测与试验</w:t>
      </w:r>
      <w:bookmarkEnd w:id="88"/>
    </w:p>
    <w:p w14:paraId="2D71B950">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color w:val="auto"/>
          <w:sz w:val="21"/>
          <w:szCs w:val="21"/>
          <w:lang w:val="en-US" w:eastAsia="zh-CN"/>
        </w:rPr>
        <w:t>5.4.1  本节适用于制冰系统的吹扫、</w:t>
      </w:r>
      <w:r>
        <w:rPr>
          <w:rFonts w:hint="eastAsia" w:ascii="宋体" w:hAnsi="宋体" w:eastAsia="宋体" w:cs="宋体"/>
          <w:b w:val="0"/>
          <w:bCs w:val="0"/>
          <w:color w:val="auto"/>
          <w:sz w:val="21"/>
          <w:szCs w:val="21"/>
        </w:rPr>
        <w:t>压力试验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i w:val="0"/>
          <w:iCs w:val="0"/>
          <w:caps w:val="0"/>
          <w:color w:val="auto"/>
          <w:spacing w:val="0"/>
          <w:sz w:val="21"/>
          <w:szCs w:val="21"/>
          <w:shd w:val="clear" w:color="auto" w:fill="auto"/>
        </w:rPr>
        <w:t>泄漏试验和真空度试验</w:t>
      </w:r>
      <w:r>
        <w:rPr>
          <w:rFonts w:hint="eastAsia" w:hAnsi="宋体" w:cs="宋体"/>
          <w:b w:val="0"/>
          <w:bCs w:val="0"/>
          <w:i w:val="0"/>
          <w:iCs w:val="0"/>
          <w:caps w:val="0"/>
          <w:color w:val="auto"/>
          <w:spacing w:val="0"/>
          <w:sz w:val="21"/>
          <w:szCs w:val="21"/>
          <w:shd w:val="clear" w:color="auto" w:fill="auto"/>
          <w:lang w:val="en-US" w:eastAsia="zh-CN"/>
        </w:rPr>
        <w:t>的检验与验收。</w:t>
      </w:r>
    </w:p>
    <w:p w14:paraId="353475BE">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ascii="宋体" w:hAnsi="宋体" w:eastAsia="宋体" w:cs="宋体"/>
          <w:b w:val="0"/>
          <w:bCs w:val="0"/>
          <w:i w:val="0"/>
          <w:iCs w:val="0"/>
          <w:caps w:val="0"/>
          <w:color w:val="auto"/>
          <w:spacing w:val="0"/>
          <w:sz w:val="21"/>
          <w:szCs w:val="21"/>
          <w:shd w:val="clear" w:color="auto" w:fill="auto"/>
        </w:rPr>
      </w:pPr>
      <w:r>
        <w:rPr>
          <w:rFonts w:hint="eastAsia" w:ascii="宋体" w:hAnsi="宋体" w:eastAsia="宋体" w:cs="宋体"/>
          <w:b w:val="0"/>
          <w:bCs w:val="0"/>
          <w:color w:val="auto"/>
          <w:sz w:val="21"/>
          <w:szCs w:val="21"/>
        </w:rPr>
        <w:t>5.4.</w:t>
      </w: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管道吹扫与排污应符合现行国家标准《工业金属管道工程施工规范》GB</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50235的有关规定，系统中压力管道应符合现行国家标准《压力管道规范 工业管道 第4部分：制作与安装》GB/T</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20801.4的有关规定。</w:t>
      </w:r>
    </w:p>
    <w:p w14:paraId="24EE7223">
      <w:pPr>
        <w:pStyle w:val="4"/>
        <w:keepNext w:val="0"/>
        <w:keepLines w:val="0"/>
        <w:pageBreakBefore w:val="0"/>
        <w:widowControl w:val="0"/>
        <w:kinsoku/>
        <w:wordWrap/>
        <w:overflowPunct/>
        <w:topLinePunct w:val="0"/>
        <w:autoSpaceDE/>
        <w:autoSpaceDN/>
        <w:bidi w:val="0"/>
        <w:adjustRightInd/>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5.4.3  制冷系统和二氧化碳载冷系统管道应采用干燥压缩空气或氮气吹扫，并应符合下列规定：</w:t>
      </w:r>
    </w:p>
    <w:p w14:paraId="43B82D61">
      <w:pPr>
        <w:pStyle w:val="4"/>
        <w:keepNext w:val="0"/>
        <w:keepLines w:val="0"/>
        <w:pageBreakBefore w:val="0"/>
        <w:widowControl w:val="0"/>
        <w:kinsoku/>
        <w:wordWrap/>
        <w:overflowPunct/>
        <w:topLinePunct w:val="0"/>
        <w:autoSpaceDE/>
        <w:autoSpaceDN/>
        <w:bidi w:val="0"/>
        <w:adjustRightInd/>
        <w:ind w:firstLine="480"/>
        <w:jc w:val="left"/>
        <w:textAlignment w:val="auto"/>
        <w:outlineLvl w:val="9"/>
        <w:rPr>
          <w:rFonts w:hint="eastAsia"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1  应在排气口设置贴有白布或涂白漆的木制靶板进行检验，吹扫5min后靶板上应无铁锈、尘土、水分及其它杂质为合格；</w:t>
      </w:r>
    </w:p>
    <w:p w14:paraId="0BA3E572">
      <w:pPr>
        <w:pStyle w:val="4"/>
        <w:keepNext w:val="0"/>
        <w:keepLines w:val="0"/>
        <w:pageBreakBefore w:val="0"/>
        <w:widowControl w:val="0"/>
        <w:kinsoku/>
        <w:wordWrap/>
        <w:overflowPunct/>
        <w:topLinePunct w:val="0"/>
        <w:autoSpaceDE/>
        <w:autoSpaceDN/>
        <w:bidi w:val="0"/>
        <w:adjustRightInd/>
        <w:ind w:firstLine="480"/>
        <w:jc w:val="left"/>
        <w:textAlignment w:val="auto"/>
        <w:outlineLvl w:val="9"/>
        <w:rPr>
          <w:rFonts w:hint="default" w:hAnsi="宋体" w:cs="宋体"/>
          <w:b w:val="0"/>
          <w:bCs w:val="0"/>
          <w:i w:val="0"/>
          <w:iCs w:val="0"/>
          <w:caps w:val="0"/>
          <w:color w:val="auto"/>
          <w:spacing w:val="0"/>
          <w:sz w:val="21"/>
          <w:szCs w:val="21"/>
          <w:shd w:val="clear" w:color="auto" w:fill="auto"/>
          <w:lang w:val="en-US" w:eastAsia="zh-CN"/>
        </w:rPr>
      </w:pPr>
      <w:r>
        <w:rPr>
          <w:rFonts w:hint="eastAsia" w:hAnsi="宋体" w:cs="宋体"/>
          <w:b w:val="0"/>
          <w:bCs w:val="0"/>
          <w:i w:val="0"/>
          <w:iCs w:val="0"/>
          <w:caps w:val="0"/>
          <w:color w:val="auto"/>
          <w:spacing w:val="0"/>
          <w:sz w:val="21"/>
          <w:szCs w:val="21"/>
          <w:shd w:val="clear" w:color="auto" w:fill="auto"/>
          <w:lang w:val="en-US" w:eastAsia="zh-CN"/>
        </w:rPr>
        <w:t>2  空气吹扫合格的管道在投入使用前，应按设计文件的规定进行封堵。</w:t>
      </w:r>
    </w:p>
    <w:p w14:paraId="018C3347">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宋体" w:eastAsia="宋体" w:cs="宋体"/>
          <w:b w:val="0"/>
          <w:bCs w:val="0"/>
          <w:i w:val="0"/>
          <w:iCs w:val="0"/>
          <w:caps w:val="0"/>
          <w:color w:val="auto"/>
          <w:spacing w:val="0"/>
          <w:sz w:val="21"/>
          <w:szCs w:val="21"/>
          <w:shd w:val="clear" w:color="auto" w:fill="auto"/>
          <w:lang w:eastAsia="zh-CN"/>
        </w:rPr>
      </w:pPr>
      <w:r>
        <w:rPr>
          <w:rFonts w:hint="eastAsia" w:ascii="宋体" w:hAnsi="宋体" w:eastAsia="宋体" w:cs="宋体"/>
          <w:b w:val="0"/>
          <w:bCs w:val="0"/>
          <w:color w:val="auto"/>
          <w:sz w:val="21"/>
          <w:szCs w:val="21"/>
        </w:rPr>
        <w:t>5.4.</w:t>
      </w:r>
      <w:r>
        <w:rPr>
          <w:rFonts w:hint="eastAsia" w:hAnsi="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 </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制冷系统和载冷系统应进行</w:t>
      </w:r>
      <w:r>
        <w:rPr>
          <w:rFonts w:hint="eastAsia" w:ascii="宋体" w:hAnsi="宋体" w:eastAsia="宋体" w:cs="宋体"/>
          <w:b w:val="0"/>
          <w:bCs w:val="0"/>
          <w:color w:val="auto"/>
          <w:sz w:val="21"/>
          <w:szCs w:val="21"/>
        </w:rPr>
        <w:t>压力试验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i w:val="0"/>
          <w:iCs w:val="0"/>
          <w:caps w:val="0"/>
          <w:color w:val="auto"/>
          <w:spacing w:val="0"/>
          <w:sz w:val="21"/>
          <w:szCs w:val="21"/>
          <w:shd w:val="clear" w:color="auto" w:fill="auto"/>
        </w:rPr>
        <w:t>泄漏试验和真空度试验</w:t>
      </w:r>
      <w:r>
        <w:rPr>
          <w:rFonts w:hint="eastAsia" w:ascii="宋体" w:hAnsi="宋体" w:eastAsia="宋体" w:cs="宋体"/>
          <w:b w:val="0"/>
          <w:bCs w:val="0"/>
          <w:i w:val="0"/>
          <w:iCs w:val="0"/>
          <w:caps w:val="0"/>
          <w:color w:val="auto"/>
          <w:spacing w:val="0"/>
          <w:sz w:val="21"/>
          <w:szCs w:val="21"/>
          <w:shd w:val="clear" w:color="auto" w:fill="auto"/>
          <w:lang w:eastAsia="zh-CN"/>
        </w:rPr>
        <w:t>，</w:t>
      </w:r>
      <w:r>
        <w:rPr>
          <w:rFonts w:hint="eastAsia" w:ascii="宋体" w:hAnsi="宋体" w:eastAsia="宋体" w:cs="宋体"/>
          <w:b w:val="0"/>
          <w:bCs w:val="0"/>
          <w:i w:val="0"/>
          <w:iCs w:val="0"/>
          <w:caps w:val="0"/>
          <w:color w:val="auto"/>
          <w:spacing w:val="0"/>
          <w:sz w:val="21"/>
          <w:szCs w:val="21"/>
          <w:shd w:val="clear" w:color="auto" w:fill="auto"/>
          <w:lang w:val="en-US" w:eastAsia="zh-CN"/>
        </w:rPr>
        <w:t>试验应</w:t>
      </w:r>
      <w:r>
        <w:rPr>
          <w:rFonts w:hint="eastAsia" w:ascii="宋体" w:hAnsi="宋体" w:eastAsia="宋体" w:cs="宋体"/>
          <w:b w:val="0"/>
          <w:bCs w:val="0"/>
          <w:i w:val="0"/>
          <w:iCs w:val="0"/>
          <w:caps w:val="0"/>
          <w:color w:val="auto"/>
          <w:spacing w:val="0"/>
          <w:sz w:val="21"/>
          <w:szCs w:val="21"/>
          <w:shd w:val="clear" w:color="auto" w:fill="auto"/>
        </w:rPr>
        <w:t>符合设计文件要求及国家现行标准《压力管道安全技术监察规程——工业管道》TSG</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D0001和《压力管道规范 工业管道 第5部分：检验与试验》GB/T</w:t>
      </w:r>
      <w:r>
        <w:rPr>
          <w:rFonts w:hint="eastAsia" w:hAnsi="宋体" w:cs="宋体"/>
          <w:b w:val="0"/>
          <w:bCs w:val="0"/>
          <w:i w:val="0"/>
          <w:iCs w:val="0"/>
          <w:caps w:val="0"/>
          <w:color w:val="auto"/>
          <w:spacing w:val="0"/>
          <w:sz w:val="21"/>
          <w:szCs w:val="21"/>
          <w:shd w:val="clear" w:color="auto" w:fill="auto"/>
          <w:lang w:val="en-US" w:eastAsia="zh-CN"/>
        </w:rPr>
        <w:t xml:space="preserve"> </w:t>
      </w:r>
      <w:r>
        <w:rPr>
          <w:rFonts w:hint="eastAsia" w:ascii="宋体" w:hAnsi="宋体" w:eastAsia="宋体" w:cs="宋体"/>
          <w:b w:val="0"/>
          <w:bCs w:val="0"/>
          <w:i w:val="0"/>
          <w:iCs w:val="0"/>
          <w:caps w:val="0"/>
          <w:color w:val="auto"/>
          <w:spacing w:val="0"/>
          <w:sz w:val="21"/>
          <w:szCs w:val="21"/>
          <w:shd w:val="clear" w:color="auto" w:fill="auto"/>
        </w:rPr>
        <w:t>20801.5的有关规定</w:t>
      </w:r>
      <w:r>
        <w:rPr>
          <w:rFonts w:hint="eastAsia" w:ascii="宋体" w:hAnsi="宋体" w:eastAsia="宋体" w:cs="宋体"/>
          <w:b w:val="0"/>
          <w:bCs w:val="0"/>
          <w:i w:val="0"/>
          <w:iCs w:val="0"/>
          <w:caps w:val="0"/>
          <w:color w:val="auto"/>
          <w:spacing w:val="0"/>
          <w:sz w:val="21"/>
          <w:szCs w:val="21"/>
          <w:shd w:val="clear" w:color="auto" w:fill="auto"/>
          <w:lang w:eastAsia="zh-CN"/>
        </w:rPr>
        <w:t>。</w:t>
      </w:r>
    </w:p>
    <w:p w14:paraId="3187F049">
      <w:pPr>
        <w:pStyle w:val="2"/>
        <w:keepNext w:val="0"/>
        <w:keepLines w:val="0"/>
        <w:pageBreakBefore w:val="0"/>
        <w:widowControl w:val="0"/>
        <w:kinsoku/>
        <w:wordWrap/>
        <w:overflowPunct/>
        <w:topLinePunct w:val="0"/>
        <w:autoSpaceDE/>
        <w:autoSpaceDN/>
        <w:bidi w:val="0"/>
        <w:adjustRightInd/>
        <w:spacing w:after="0"/>
        <w:ind w:left="0" w:leftChars="0" w:firstLine="0" w:firstLineChars="0"/>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5.4.</w:t>
      </w:r>
      <w:r>
        <w:rPr>
          <w:rFonts w:hint="eastAsia" w:hAnsi="宋体" w:cs="宋体"/>
          <w:b w:val="0"/>
          <w:bCs w:val="0"/>
          <w:i w:val="0"/>
          <w:iCs w:val="0"/>
          <w:caps w:val="0"/>
          <w:color w:val="auto"/>
          <w:spacing w:val="0"/>
          <w:kern w:val="2"/>
          <w:sz w:val="21"/>
          <w:szCs w:val="21"/>
          <w:shd w:val="clear" w:color="auto" w:fill="auto"/>
          <w:lang w:val="en-US" w:eastAsia="zh-CN" w:bidi="ar-SA"/>
        </w:rPr>
        <w:t>5</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气体压力试验</w:t>
      </w:r>
      <w:r>
        <w:rPr>
          <w:rFonts w:hint="eastAsia" w:hAnsi="宋体" w:cs="宋体"/>
          <w:b w:val="0"/>
          <w:bCs w:val="0"/>
          <w:i w:val="0"/>
          <w:iCs w:val="0"/>
          <w:caps w:val="0"/>
          <w:color w:val="auto"/>
          <w:spacing w:val="0"/>
          <w:kern w:val="2"/>
          <w:sz w:val="21"/>
          <w:szCs w:val="21"/>
          <w:shd w:val="clear" w:color="auto" w:fill="auto"/>
          <w:lang w:val="en-US" w:eastAsia="zh-CN" w:bidi="ar-SA"/>
        </w:rPr>
        <w:t>、泄漏试验</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应符合下列规定：</w:t>
      </w:r>
    </w:p>
    <w:p w14:paraId="73F6B231">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气体压力试验时</w:t>
      </w:r>
      <w:r>
        <w:rPr>
          <w:rFonts w:hint="eastAsia" w:hAnsi="宋体" w:cs="宋体"/>
          <w:b w:val="0"/>
          <w:bCs w:val="0"/>
          <w:i w:val="0"/>
          <w:iCs w:val="0"/>
          <w:caps w:val="0"/>
          <w:color w:val="auto"/>
          <w:spacing w:val="0"/>
          <w:kern w:val="2"/>
          <w:sz w:val="21"/>
          <w:szCs w:val="21"/>
          <w:shd w:val="clear" w:color="auto" w:fill="auto"/>
          <w:lang w:val="en-US" w:eastAsia="zh-CN" w:bidi="ar-SA"/>
        </w:rPr>
        <w:t>，</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无关人员严禁进入试压作业区内</w:t>
      </w:r>
      <w:r>
        <w:rPr>
          <w:rFonts w:hint="eastAsia" w:hAnsi="宋体" w:cs="宋体"/>
          <w:b w:val="0"/>
          <w:bCs w:val="0"/>
          <w:i w:val="0"/>
          <w:iCs w:val="0"/>
          <w:caps w:val="0"/>
          <w:color w:val="auto"/>
          <w:spacing w:val="0"/>
          <w:kern w:val="2"/>
          <w:sz w:val="21"/>
          <w:szCs w:val="21"/>
          <w:shd w:val="clear" w:color="auto" w:fill="auto"/>
          <w:lang w:val="en-US" w:eastAsia="zh-CN" w:bidi="ar-SA"/>
        </w:rPr>
        <w:t>；</w:t>
      </w:r>
    </w:p>
    <w:p w14:paraId="4AFEA3C7">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2  气体压力试验和泄漏试验用气体应符合设计要求，宜采用干燥压缩空气或氮气 ；</w:t>
      </w:r>
    </w:p>
    <w:p w14:paraId="50D57FB1">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3  气压试验前应进行预试压，试验压力值宜为0.2MPa;</w:t>
      </w:r>
    </w:p>
    <w:p w14:paraId="5CC8C03E">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hAnsi="宋体" w:cs="宋体"/>
          <w:b w:val="0"/>
          <w:bCs/>
          <w:i w:val="0"/>
          <w:iCs w:val="0"/>
          <w:caps w:val="0"/>
          <w:spacing w:val="0"/>
          <w:kern w:val="2"/>
          <w:sz w:val="24"/>
          <w:szCs w:val="24"/>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4  氨、卤代烃及其混合物制冷系统管道压力试验、泄露试验压力应符合设计要求，但不应小于表5.4.5-1的压力值；</w:t>
      </w:r>
    </w:p>
    <w:p w14:paraId="1A6CC96A">
      <w:pPr>
        <w:pStyle w:val="4"/>
        <w:jc w:val="center"/>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表</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5.4.5-1</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氨、卤代烃及其混合物制冷系统管道压力</w:t>
      </w:r>
      <w:r>
        <w:rPr>
          <w:rFonts w:hint="eastAsia" w:ascii="黑体" w:hAnsi="黑体" w:eastAsia="黑体" w:cs="黑体"/>
          <w:b w:val="0"/>
          <w:bCs w:val="0"/>
          <w:kern w:val="2"/>
          <w:sz w:val="21"/>
          <w:szCs w:val="21"/>
          <w:lang w:val="en-US" w:eastAsia="zh-CN" w:bidi="ar-SA"/>
        </w:rPr>
        <w:t>、泄露</w:t>
      </w:r>
      <w:r>
        <w:rPr>
          <w:rFonts w:hint="default" w:ascii="黑体" w:hAnsi="黑体" w:eastAsia="黑体" w:cs="黑体"/>
          <w:b w:val="0"/>
          <w:bCs w:val="0"/>
          <w:kern w:val="2"/>
          <w:sz w:val="21"/>
          <w:szCs w:val="21"/>
          <w:lang w:val="en-US" w:eastAsia="zh-CN" w:bidi="ar-SA"/>
        </w:rPr>
        <w:t>试验压力 (MPa)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7D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tcBorders>
              <w:top w:val="single" w:color="auto" w:sz="12" w:space="0"/>
              <w:left w:val="single" w:color="auto" w:sz="12" w:space="0"/>
            </w:tcBorders>
            <w:vAlign w:val="center"/>
          </w:tcPr>
          <w:p w14:paraId="3757B7D7">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制冷剂</w:t>
            </w:r>
          </w:p>
        </w:tc>
        <w:tc>
          <w:tcPr>
            <w:tcW w:w="7305" w:type="dxa"/>
            <w:gridSpan w:val="6"/>
            <w:tcBorders>
              <w:top w:val="single" w:color="auto" w:sz="12" w:space="0"/>
              <w:right w:val="single" w:color="auto" w:sz="12" w:space="0"/>
            </w:tcBorders>
            <w:vAlign w:val="center"/>
          </w:tcPr>
          <w:p w14:paraId="1F4658A2">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管道部位</w:t>
            </w:r>
          </w:p>
        </w:tc>
      </w:tr>
      <w:tr w14:paraId="3086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left w:val="single" w:color="auto" w:sz="12" w:space="0"/>
            </w:tcBorders>
            <w:vAlign w:val="center"/>
          </w:tcPr>
          <w:p w14:paraId="16D3148E">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p>
        </w:tc>
        <w:tc>
          <w:tcPr>
            <w:tcW w:w="2434" w:type="dxa"/>
            <w:gridSpan w:val="2"/>
            <w:vAlign w:val="center"/>
          </w:tcPr>
          <w:p w14:paraId="30C97BA8">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高压侧(风冷冷凝)</w:t>
            </w:r>
          </w:p>
        </w:tc>
        <w:tc>
          <w:tcPr>
            <w:tcW w:w="2435" w:type="dxa"/>
            <w:gridSpan w:val="2"/>
            <w:vAlign w:val="center"/>
          </w:tcPr>
          <w:p w14:paraId="10E0FB1B">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高压侧(水冷、蒸发式冷凝)</w:t>
            </w:r>
          </w:p>
        </w:tc>
        <w:tc>
          <w:tcPr>
            <w:tcW w:w="2436" w:type="dxa"/>
            <w:gridSpan w:val="2"/>
            <w:tcBorders>
              <w:right w:val="single" w:color="auto" w:sz="12" w:space="0"/>
            </w:tcBorders>
            <w:vAlign w:val="center"/>
          </w:tcPr>
          <w:p w14:paraId="437A93E6">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低压侧</w:t>
            </w:r>
          </w:p>
        </w:tc>
      </w:tr>
      <w:tr w14:paraId="525B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left w:val="single" w:color="auto" w:sz="12" w:space="0"/>
            </w:tcBorders>
            <w:vAlign w:val="center"/>
          </w:tcPr>
          <w:p w14:paraId="586E12AA">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p>
        </w:tc>
        <w:tc>
          <w:tcPr>
            <w:tcW w:w="1217" w:type="dxa"/>
            <w:vAlign w:val="center"/>
          </w:tcPr>
          <w:p w14:paraId="44E63DE5">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7" w:type="dxa"/>
            <w:vAlign w:val="center"/>
          </w:tcPr>
          <w:p w14:paraId="4E9A677E">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c>
          <w:tcPr>
            <w:tcW w:w="1217" w:type="dxa"/>
            <w:vAlign w:val="center"/>
          </w:tcPr>
          <w:p w14:paraId="4F9FD044">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8" w:type="dxa"/>
            <w:vAlign w:val="center"/>
          </w:tcPr>
          <w:p w14:paraId="5E3C2B19">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c>
          <w:tcPr>
            <w:tcW w:w="1218" w:type="dxa"/>
            <w:vAlign w:val="center"/>
          </w:tcPr>
          <w:p w14:paraId="045FA4C2">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1218" w:type="dxa"/>
            <w:tcBorders>
              <w:right w:val="single" w:color="auto" w:sz="12" w:space="0"/>
            </w:tcBorders>
            <w:vAlign w:val="center"/>
          </w:tcPr>
          <w:p w14:paraId="3D8CAC43">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泄露试验</w:t>
            </w:r>
          </w:p>
        </w:tc>
      </w:tr>
      <w:tr w14:paraId="7B1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tcBorders>
            <w:vAlign w:val="center"/>
          </w:tcPr>
          <w:p w14:paraId="313FDDEE">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R717</w:t>
            </w:r>
          </w:p>
        </w:tc>
        <w:tc>
          <w:tcPr>
            <w:tcW w:w="2434" w:type="dxa"/>
            <w:gridSpan w:val="2"/>
            <w:vAlign w:val="center"/>
          </w:tcPr>
          <w:p w14:paraId="5D722922">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w:t>
            </w:r>
          </w:p>
        </w:tc>
        <w:tc>
          <w:tcPr>
            <w:tcW w:w="1217" w:type="dxa"/>
            <w:vAlign w:val="center"/>
          </w:tcPr>
          <w:p w14:paraId="5E19C8BF">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vAlign w:val="center"/>
          </w:tcPr>
          <w:p w14:paraId="288D2679">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c>
          <w:tcPr>
            <w:tcW w:w="1218" w:type="dxa"/>
            <w:vAlign w:val="center"/>
          </w:tcPr>
          <w:p w14:paraId="0B6DB3BD">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tcBorders>
              <w:right w:val="single" w:color="auto" w:sz="12" w:space="0"/>
            </w:tcBorders>
            <w:vAlign w:val="center"/>
          </w:tcPr>
          <w:p w14:paraId="0833694F">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r>
      <w:tr w14:paraId="1823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tcBorders>
            <w:vAlign w:val="center"/>
          </w:tcPr>
          <w:p w14:paraId="72A4DFFF">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R404A、R407F、</w:t>
            </w:r>
          </w:p>
          <w:p w14:paraId="3CFD4CA1">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R507A</w:t>
            </w:r>
          </w:p>
        </w:tc>
        <w:tc>
          <w:tcPr>
            <w:tcW w:w="1217" w:type="dxa"/>
            <w:vAlign w:val="center"/>
          </w:tcPr>
          <w:p w14:paraId="1F79F760">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3.5</w:t>
            </w:r>
          </w:p>
        </w:tc>
        <w:tc>
          <w:tcPr>
            <w:tcW w:w="1217" w:type="dxa"/>
            <w:vAlign w:val="center"/>
          </w:tcPr>
          <w:p w14:paraId="2148ADC8">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3.0</w:t>
            </w:r>
          </w:p>
        </w:tc>
        <w:tc>
          <w:tcPr>
            <w:tcW w:w="1217" w:type="dxa"/>
            <w:vAlign w:val="center"/>
          </w:tcPr>
          <w:p w14:paraId="1C5A414E">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8" w:type="dxa"/>
            <w:vAlign w:val="center"/>
          </w:tcPr>
          <w:p w14:paraId="7A50ACCD">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c>
          <w:tcPr>
            <w:tcW w:w="1218" w:type="dxa"/>
            <w:vAlign w:val="center"/>
          </w:tcPr>
          <w:p w14:paraId="6C41D041">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8" w:type="dxa"/>
            <w:tcBorders>
              <w:right w:val="single" w:color="auto" w:sz="12" w:space="0"/>
            </w:tcBorders>
            <w:vAlign w:val="center"/>
          </w:tcPr>
          <w:p w14:paraId="5BAFC722">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r>
      <w:tr w14:paraId="776C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tcBorders>
            <w:vAlign w:val="center"/>
          </w:tcPr>
          <w:p w14:paraId="59CF318D">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R407C</w:t>
            </w:r>
          </w:p>
        </w:tc>
        <w:tc>
          <w:tcPr>
            <w:tcW w:w="1217" w:type="dxa"/>
            <w:vAlign w:val="center"/>
          </w:tcPr>
          <w:p w14:paraId="36AF6471">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2.9</w:t>
            </w:r>
          </w:p>
        </w:tc>
        <w:tc>
          <w:tcPr>
            <w:tcW w:w="1217" w:type="dxa"/>
            <w:vAlign w:val="center"/>
          </w:tcPr>
          <w:p w14:paraId="77DD16A3">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2.5</w:t>
            </w:r>
          </w:p>
        </w:tc>
        <w:tc>
          <w:tcPr>
            <w:tcW w:w="1217" w:type="dxa"/>
            <w:vAlign w:val="center"/>
          </w:tcPr>
          <w:p w14:paraId="79D2B253">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vAlign w:val="center"/>
          </w:tcPr>
          <w:p w14:paraId="083BDFE8">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c>
          <w:tcPr>
            <w:tcW w:w="1218" w:type="dxa"/>
            <w:vAlign w:val="center"/>
          </w:tcPr>
          <w:p w14:paraId="0179114F">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2.3</w:t>
            </w:r>
          </w:p>
        </w:tc>
        <w:tc>
          <w:tcPr>
            <w:tcW w:w="1218" w:type="dxa"/>
            <w:tcBorders>
              <w:right w:val="single" w:color="auto" w:sz="12" w:space="0"/>
            </w:tcBorders>
            <w:vAlign w:val="center"/>
          </w:tcPr>
          <w:p w14:paraId="1682B249">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2.0</w:t>
            </w:r>
          </w:p>
        </w:tc>
      </w:tr>
      <w:tr w14:paraId="2DD5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left w:val="single" w:color="auto" w:sz="12" w:space="0"/>
              <w:bottom w:val="single" w:color="auto" w:sz="12" w:space="0"/>
            </w:tcBorders>
            <w:vAlign w:val="center"/>
          </w:tcPr>
          <w:p w14:paraId="6B7B0F05">
            <w:pPr>
              <w:pStyle w:val="4"/>
              <w:keepNext w:val="0"/>
              <w:keepLines w:val="0"/>
              <w:suppressLineNumbers w:val="0"/>
              <w:spacing w:before="0" w:beforeAutospacing="0" w:after="0" w:afterAutospacing="0"/>
              <w:ind w:left="0" w:right="0" w:firstLine="0" w:firstLineChars="0"/>
              <w:jc w:val="center"/>
              <w:rPr>
                <w:rFonts w:hint="default" w:ascii="宋体" w:hAnsi="宋体" w:eastAsia="宋体" w:cs="宋体"/>
                <w:b w:val="0"/>
                <w:bCs/>
                <w:i w:val="0"/>
                <w:iCs w:val="0"/>
                <w:caps w:val="0"/>
                <w:spacing w:val="0"/>
                <w:kern w:val="2"/>
                <w:sz w:val="18"/>
                <w:szCs w:val="18"/>
                <w:shd w:val="clear" w:color="auto" w:fill="auto"/>
                <w:vertAlign w:val="baseline"/>
                <w:lang w:val="en-US" w:eastAsia="zh-CN" w:bidi="ar-SA"/>
              </w:rPr>
            </w:pPr>
            <w:r>
              <w:rPr>
                <w:rFonts w:hint="default" w:hAnsi="宋体" w:cs="宋体"/>
                <w:b w:val="0"/>
                <w:bCs/>
                <w:i w:val="0"/>
                <w:iCs w:val="0"/>
                <w:caps w:val="0"/>
                <w:spacing w:val="0"/>
                <w:kern w:val="2"/>
                <w:sz w:val="18"/>
                <w:szCs w:val="18"/>
                <w:shd w:val="clear" w:color="auto" w:fill="auto"/>
                <w:lang w:val="en-US" w:eastAsia="zh-CN" w:bidi="ar-SA"/>
              </w:rPr>
              <w:t>R134a</w:t>
            </w:r>
          </w:p>
        </w:tc>
        <w:tc>
          <w:tcPr>
            <w:tcW w:w="1217" w:type="dxa"/>
            <w:tcBorders>
              <w:bottom w:val="single" w:color="auto" w:sz="12" w:space="0"/>
            </w:tcBorders>
            <w:vAlign w:val="center"/>
          </w:tcPr>
          <w:p w14:paraId="2AE029F2">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1.9</w:t>
            </w:r>
          </w:p>
        </w:tc>
        <w:tc>
          <w:tcPr>
            <w:tcW w:w="1217" w:type="dxa"/>
            <w:tcBorders>
              <w:bottom w:val="single" w:color="auto" w:sz="12" w:space="0"/>
            </w:tcBorders>
            <w:vAlign w:val="center"/>
          </w:tcPr>
          <w:p w14:paraId="053485DD">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1.6</w:t>
            </w:r>
          </w:p>
        </w:tc>
        <w:tc>
          <w:tcPr>
            <w:tcW w:w="1217" w:type="dxa"/>
            <w:tcBorders>
              <w:bottom w:val="single" w:color="auto" w:sz="12" w:space="0"/>
            </w:tcBorders>
            <w:vAlign w:val="center"/>
          </w:tcPr>
          <w:p w14:paraId="48A66A2E">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1.4</w:t>
            </w:r>
          </w:p>
        </w:tc>
        <w:tc>
          <w:tcPr>
            <w:tcW w:w="1218" w:type="dxa"/>
            <w:tcBorders>
              <w:bottom w:val="single" w:color="auto" w:sz="12" w:space="0"/>
            </w:tcBorders>
            <w:vAlign w:val="center"/>
          </w:tcPr>
          <w:p w14:paraId="3116BFF7">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1.2</w:t>
            </w:r>
          </w:p>
        </w:tc>
        <w:tc>
          <w:tcPr>
            <w:tcW w:w="1218" w:type="dxa"/>
            <w:tcBorders>
              <w:bottom w:val="single" w:color="auto" w:sz="12" w:space="0"/>
            </w:tcBorders>
            <w:vAlign w:val="center"/>
          </w:tcPr>
          <w:p w14:paraId="735E7D50">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1.4</w:t>
            </w:r>
          </w:p>
        </w:tc>
        <w:tc>
          <w:tcPr>
            <w:tcW w:w="1218" w:type="dxa"/>
            <w:tcBorders>
              <w:bottom w:val="single" w:color="auto" w:sz="12" w:space="0"/>
              <w:right w:val="single" w:color="auto" w:sz="12" w:space="0"/>
            </w:tcBorders>
            <w:vAlign w:val="center"/>
          </w:tcPr>
          <w:p w14:paraId="5FA28FB0">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1.2</w:t>
            </w:r>
          </w:p>
        </w:tc>
      </w:tr>
    </w:tbl>
    <w:p w14:paraId="5D73D235">
      <w:pPr>
        <w:pStyle w:val="4"/>
        <w:ind w:firstLine="420" w:firstLineChars="200"/>
        <w:jc w:val="both"/>
        <w:rPr>
          <w:rFonts w:hint="eastAsia" w:hAnsi="宋体" w:cs="宋体"/>
          <w:b w:val="0"/>
          <w:bCs/>
          <w:i w:val="0"/>
          <w:iCs w:val="0"/>
          <w:caps w:val="0"/>
          <w:spacing w:val="0"/>
          <w:kern w:val="2"/>
          <w:sz w:val="24"/>
          <w:szCs w:val="24"/>
          <w:shd w:val="clear" w:color="auto" w:fill="auto"/>
          <w:lang w:val="en-US" w:eastAsia="zh-CN" w:bidi="ar-SA"/>
        </w:rPr>
      </w:pPr>
      <w:r>
        <w:rPr>
          <w:rFonts w:hint="eastAsia" w:hAnsi="宋体" w:cs="宋体"/>
          <w:b w:val="0"/>
          <w:bCs w:val="0"/>
          <w:i w:val="0"/>
          <w:iCs w:val="0"/>
          <w:caps w:val="0"/>
          <w:color w:val="auto"/>
          <w:spacing w:val="0"/>
          <w:kern w:val="2"/>
          <w:sz w:val="21"/>
          <w:szCs w:val="21"/>
          <w:shd w:val="clear" w:color="auto" w:fill="auto"/>
          <w:lang w:val="en-US" w:eastAsia="zh-CN" w:bidi="ar-SA"/>
        </w:rPr>
        <w:t>5  二氧化碳制冷和载冷系统管道压力试验、泄露试验压力应符合设计要求，但不应小于表5.4.5-2的压力值。</w:t>
      </w:r>
    </w:p>
    <w:p w14:paraId="0A977262">
      <w:pPr>
        <w:pStyle w:val="4"/>
        <w:jc w:val="center"/>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 xml:space="preserve">表 </w:t>
      </w:r>
      <w:r>
        <w:rPr>
          <w:rFonts w:hint="eastAsia" w:ascii="黑体" w:hAnsi="黑体" w:eastAsia="黑体" w:cs="黑体"/>
          <w:b w:val="0"/>
          <w:bCs w:val="0"/>
          <w:kern w:val="2"/>
          <w:sz w:val="21"/>
          <w:szCs w:val="21"/>
          <w:lang w:val="en-US" w:eastAsia="zh-CN" w:bidi="ar-SA"/>
        </w:rPr>
        <w:t xml:space="preserve"> 5.4.5-2</w:t>
      </w:r>
      <w:r>
        <w:rPr>
          <w:rFonts w:hint="default" w:ascii="黑体" w:hAnsi="黑体" w:eastAsia="黑体" w:cs="黑体"/>
          <w:b w:val="0"/>
          <w:bCs w:val="0"/>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 xml:space="preserve">   </w:t>
      </w:r>
      <w:r>
        <w:rPr>
          <w:rFonts w:hint="default" w:ascii="黑体" w:hAnsi="黑体" w:eastAsia="黑体" w:cs="黑体"/>
          <w:b w:val="0"/>
          <w:bCs w:val="0"/>
          <w:kern w:val="2"/>
          <w:sz w:val="21"/>
          <w:szCs w:val="21"/>
          <w:lang w:val="en-US" w:eastAsia="zh-CN" w:bidi="ar-SA"/>
        </w:rPr>
        <w:t>二氧化碳制冷和载冷系统管道压力</w:t>
      </w:r>
      <w:r>
        <w:rPr>
          <w:rFonts w:hint="eastAsia" w:ascii="黑体" w:hAnsi="黑体" w:eastAsia="黑体" w:cs="黑体"/>
          <w:b w:val="0"/>
          <w:bCs w:val="0"/>
          <w:kern w:val="2"/>
          <w:sz w:val="21"/>
          <w:szCs w:val="21"/>
          <w:lang w:val="en-US" w:eastAsia="zh-CN" w:bidi="ar-SA"/>
        </w:rPr>
        <w:t>、泄漏</w:t>
      </w:r>
      <w:r>
        <w:rPr>
          <w:rFonts w:hint="default" w:ascii="黑体" w:hAnsi="黑体" w:eastAsia="黑体" w:cs="黑体"/>
          <w:b w:val="0"/>
          <w:bCs w:val="0"/>
          <w:kern w:val="2"/>
          <w:sz w:val="21"/>
          <w:szCs w:val="21"/>
          <w:lang w:val="en-US" w:eastAsia="zh-CN" w:bidi="ar-SA"/>
        </w:rPr>
        <w:t>试验压力 (MPa)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2"/>
      </w:tblGrid>
      <w:tr w14:paraId="467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Borders>
              <w:top w:val="single" w:color="auto" w:sz="12" w:space="0"/>
              <w:left w:val="single" w:color="auto" w:sz="12" w:space="0"/>
            </w:tcBorders>
            <w:vAlign w:val="center"/>
          </w:tcPr>
          <w:p w14:paraId="10D56A54">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压力试验</w:t>
            </w:r>
          </w:p>
        </w:tc>
        <w:tc>
          <w:tcPr>
            <w:tcW w:w="4262" w:type="dxa"/>
            <w:tcBorders>
              <w:top w:val="single" w:color="auto" w:sz="12" w:space="0"/>
              <w:right w:val="single" w:color="auto" w:sz="12" w:space="0"/>
            </w:tcBorders>
            <w:vAlign w:val="center"/>
          </w:tcPr>
          <w:p w14:paraId="2159CBCE">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泄漏试验</w:t>
            </w:r>
          </w:p>
        </w:tc>
      </w:tr>
      <w:tr w14:paraId="461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Borders>
              <w:left w:val="single" w:color="auto" w:sz="12" w:space="0"/>
              <w:bottom w:val="single" w:color="auto" w:sz="12" w:space="0"/>
            </w:tcBorders>
            <w:vAlign w:val="center"/>
          </w:tcPr>
          <w:p w14:paraId="2E213580">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4.5</w:t>
            </w:r>
          </w:p>
        </w:tc>
        <w:tc>
          <w:tcPr>
            <w:tcW w:w="4262" w:type="dxa"/>
            <w:tcBorders>
              <w:bottom w:val="single" w:color="auto" w:sz="12" w:space="0"/>
              <w:right w:val="single" w:color="auto" w:sz="12" w:space="0"/>
            </w:tcBorders>
            <w:vAlign w:val="center"/>
          </w:tcPr>
          <w:p w14:paraId="78226286">
            <w:pPr>
              <w:pStyle w:val="4"/>
              <w:keepNext w:val="0"/>
              <w:keepLines w:val="0"/>
              <w:suppressLineNumbers w:val="0"/>
              <w:spacing w:before="0" w:beforeAutospacing="0" w:after="0" w:afterAutospacing="0"/>
              <w:ind w:left="0" w:right="0"/>
              <w:jc w:val="center"/>
              <w:rPr>
                <w:rFonts w:hint="default" w:hAnsi="宋体" w:cs="宋体"/>
                <w:b w:val="0"/>
                <w:bCs/>
                <w:i w:val="0"/>
                <w:iCs w:val="0"/>
                <w:caps w:val="0"/>
                <w:spacing w:val="0"/>
                <w:kern w:val="2"/>
                <w:sz w:val="18"/>
                <w:szCs w:val="18"/>
                <w:shd w:val="clear" w:color="auto" w:fill="auto"/>
                <w:vertAlign w:val="baseline"/>
                <w:lang w:val="en-US" w:eastAsia="zh-CN" w:bidi="ar-SA"/>
              </w:rPr>
            </w:pPr>
            <w:r>
              <w:rPr>
                <w:rFonts w:hint="eastAsia" w:hAnsi="宋体" w:cs="宋体"/>
                <w:b w:val="0"/>
                <w:bCs/>
                <w:i w:val="0"/>
                <w:iCs w:val="0"/>
                <w:caps w:val="0"/>
                <w:spacing w:val="0"/>
                <w:kern w:val="2"/>
                <w:sz w:val="18"/>
                <w:szCs w:val="18"/>
                <w:shd w:val="clear" w:color="auto" w:fill="auto"/>
                <w:vertAlign w:val="baseline"/>
                <w:lang w:val="en-US" w:eastAsia="zh-CN" w:bidi="ar-SA"/>
              </w:rPr>
              <w:t>3.9</w:t>
            </w:r>
          </w:p>
        </w:tc>
      </w:tr>
    </w:tbl>
    <w:p w14:paraId="5BC01842">
      <w:pPr>
        <w:keepNext w:val="0"/>
        <w:keepLines w:val="0"/>
        <w:pageBreakBefore w:val="0"/>
        <w:widowControl w:val="0"/>
        <w:tabs>
          <w:tab w:val="left" w:pos="357"/>
        </w:tabs>
        <w:kinsoku/>
        <w:wordWrap/>
        <w:overflowPunct/>
        <w:topLinePunct w:val="0"/>
        <w:autoSpaceDE/>
        <w:autoSpaceDN/>
        <w:bidi w:val="0"/>
        <w:adjustRightInd/>
        <w:snapToGrid w:val="0"/>
        <w:ind w:firstLine="420" w:firstLineChars="200"/>
        <w:jc w:val="left"/>
        <w:textAlignment w:val="auto"/>
        <w:outlineLvl w:val="9"/>
        <w:rPr>
          <w:rFonts w:hint="eastAsia"/>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6  试验过程中如发现泄露，应将系统压力降至大气压力后方可补焊，严禁带压焊接。</w:t>
      </w:r>
      <w:r>
        <w:rPr>
          <w:rFonts w:hint="eastAsia"/>
          <w:lang w:val="en-US" w:eastAsia="zh-CN"/>
        </w:rPr>
        <w:t xml:space="preserve"> </w:t>
      </w:r>
    </w:p>
    <w:p w14:paraId="141B5674">
      <w:pPr>
        <w:keepNext w:val="0"/>
        <w:keepLines w:val="0"/>
        <w:pageBreakBefore w:val="0"/>
        <w:widowControl w:val="0"/>
        <w:tabs>
          <w:tab w:val="left" w:pos="357"/>
        </w:tabs>
        <w:kinsoku/>
        <w:wordWrap/>
        <w:overflowPunct/>
        <w:topLinePunct w:val="0"/>
        <w:autoSpaceDE/>
        <w:autoSpaceDN/>
        <w:bidi w:val="0"/>
        <w:adjustRightInd/>
        <w:snapToGrid w:val="0"/>
        <w:ind w:left="0" w:leftChars="0" w:firstLine="0" w:firstLineChars="0"/>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5.4.6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真空度试验应在压力试验、泄漏试验合格后进行，剩余压力应符合设计要求。当设计无要求时，常规系统绝对压力不应超过5.3KPa，二氧化碳制冷、载冷系统管道绝对压力不应超过66Pa。</w:t>
      </w:r>
    </w:p>
    <w:p w14:paraId="219EEA6F">
      <w:pPr>
        <w:keepNext w:val="0"/>
        <w:keepLines w:val="0"/>
        <w:pageBreakBefore w:val="0"/>
        <w:widowControl w:val="0"/>
        <w:tabs>
          <w:tab w:val="left" w:pos="357"/>
        </w:tabs>
        <w:kinsoku/>
        <w:wordWrap/>
        <w:overflowPunct/>
        <w:topLinePunct w:val="0"/>
        <w:autoSpaceDE/>
        <w:autoSpaceDN/>
        <w:bidi w:val="0"/>
        <w:adjustRightInd/>
        <w:snapToGrid w:val="0"/>
        <w:ind w:firstLine="0" w:firstLineChars="0"/>
        <w:jc w:val="left"/>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5.4.7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制冰系统的检测和试验等技术文件应当完整并保存完好，应当对照系统实际情况核对并保证其真实性和准确性。</w:t>
      </w:r>
    </w:p>
    <w:p w14:paraId="258C9C6B">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90" w:name="_Toc16881"/>
      <w:r>
        <w:rPr>
          <w:rFonts w:hint="eastAsia" w:ascii="黑体" w:hAnsi="黑体" w:eastAsia="黑体" w:cs="黑体"/>
          <w:b w:val="0"/>
          <w:bCs w:val="0"/>
          <w:kern w:val="0"/>
          <w:sz w:val="21"/>
          <w:szCs w:val="21"/>
          <w:lang w:val="en-US" w:eastAsia="zh-CN"/>
        </w:rPr>
        <w:t>5.5  防腐与绝热</w:t>
      </w:r>
      <w:bookmarkEnd w:id="90"/>
    </w:p>
    <w:p w14:paraId="09F67DA1">
      <w:pPr>
        <w:pStyle w:val="4"/>
        <w:jc w:val="left"/>
        <w:rPr>
          <w:rFonts w:hint="eastAsia"/>
          <w:b w:val="0"/>
          <w:bCs/>
          <w:sz w:val="21"/>
          <w:szCs w:val="21"/>
          <w:lang w:val="en-US" w:eastAsia="zh-CN"/>
        </w:rPr>
      </w:pPr>
      <w:r>
        <w:rPr>
          <w:rFonts w:hint="eastAsia"/>
          <w:b w:val="0"/>
          <w:bCs/>
          <w:sz w:val="21"/>
          <w:szCs w:val="21"/>
          <w:lang w:val="en-US" w:eastAsia="zh-CN"/>
        </w:rPr>
        <w:t>5.5.1  制冰设备和管道的防腐应符合设计要求和现行国家标准《工业设备及管道防腐蚀工程施工规范》GB 50726的有关规定。</w:t>
      </w:r>
    </w:p>
    <w:p w14:paraId="32A023D0">
      <w:pPr>
        <w:pStyle w:val="4"/>
        <w:jc w:val="left"/>
        <w:rPr>
          <w:rFonts w:hint="eastAsia"/>
          <w:b w:val="0"/>
          <w:bCs/>
          <w:sz w:val="21"/>
          <w:szCs w:val="21"/>
          <w:lang w:val="en-US" w:eastAsia="zh-CN"/>
        </w:rPr>
      </w:pPr>
      <w:r>
        <w:rPr>
          <w:rFonts w:hint="eastAsia"/>
          <w:b w:val="0"/>
          <w:bCs/>
          <w:sz w:val="21"/>
          <w:szCs w:val="21"/>
          <w:lang w:val="en-US" w:eastAsia="zh-CN"/>
        </w:rPr>
        <w:t>5.5.2  制冰设备和管道的绝热应符合设计要求和现行国家标准《工业设备及管道绝热工程施工规范》GB 50126的有关规定。</w:t>
      </w:r>
    </w:p>
    <w:p w14:paraId="24F82BA7">
      <w:pPr>
        <w:pStyle w:val="4"/>
        <w:jc w:val="left"/>
        <w:rPr>
          <w:rFonts w:hint="eastAsia"/>
          <w:b w:val="0"/>
          <w:bCs/>
          <w:sz w:val="21"/>
          <w:szCs w:val="21"/>
          <w:lang w:val="en-US" w:eastAsia="zh-CN"/>
        </w:rPr>
      </w:pPr>
      <w:r>
        <w:rPr>
          <w:rFonts w:hint="eastAsia"/>
          <w:b w:val="0"/>
          <w:bCs/>
          <w:sz w:val="21"/>
          <w:szCs w:val="21"/>
          <w:lang w:val="en-US" w:eastAsia="zh-CN"/>
        </w:rPr>
        <w:t>5.5.3  制冰设备和管道保冷层材质、厚度应符合设计要求，厚度允许偏差为±5mm。</w:t>
      </w:r>
    </w:p>
    <w:p w14:paraId="61023D31">
      <w:pPr>
        <w:pStyle w:val="4"/>
        <w:jc w:val="left"/>
        <w:rPr>
          <w:rFonts w:hint="eastAsia"/>
          <w:b w:val="0"/>
          <w:bCs/>
          <w:sz w:val="21"/>
          <w:szCs w:val="21"/>
          <w:lang w:val="en-US" w:eastAsia="zh-CN"/>
        </w:rPr>
      </w:pPr>
      <w:r>
        <w:rPr>
          <w:rFonts w:hint="eastAsia"/>
          <w:b w:val="0"/>
          <w:bCs/>
          <w:sz w:val="21"/>
          <w:szCs w:val="21"/>
          <w:lang w:val="en-US" w:eastAsia="zh-CN"/>
        </w:rPr>
        <w:t>5.5.4  保冷层应包覆均匀、严密，防潮层应连续敷设。</w:t>
      </w:r>
    </w:p>
    <w:p w14:paraId="72027A16">
      <w:pPr>
        <w:pStyle w:val="4"/>
        <w:jc w:val="left"/>
        <w:rPr>
          <w:rFonts w:hint="eastAsia"/>
          <w:b w:val="0"/>
          <w:bCs/>
          <w:lang w:val="en-US" w:eastAsia="zh-CN"/>
        </w:rPr>
      </w:pPr>
      <w:r>
        <w:rPr>
          <w:rFonts w:hint="eastAsia"/>
          <w:b w:val="0"/>
          <w:bCs/>
          <w:sz w:val="21"/>
          <w:szCs w:val="21"/>
          <w:lang w:val="en-US" w:eastAsia="zh-CN"/>
        </w:rPr>
        <w:t>5.5.5  阀门、过滤器、管件、自控元件、仪表及制冰设备上的铭牌不应埋入保冷层内。</w:t>
      </w:r>
    </w:p>
    <w:bookmarkEnd w:id="89"/>
    <w:p w14:paraId="656ED9F7">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91" w:name="_Toc24160"/>
      <w:bookmarkStart w:id="92" w:name="_Toc17540"/>
      <w:bookmarkStart w:id="93" w:name="_Toc25470"/>
      <w:r>
        <w:rPr>
          <w:rFonts w:hint="eastAsia" w:ascii="黑体" w:hAnsi="黑体" w:eastAsia="黑体" w:cs="黑体"/>
          <w:b w:val="0"/>
          <w:bCs w:val="0"/>
          <w:kern w:val="0"/>
          <w:sz w:val="21"/>
          <w:szCs w:val="21"/>
          <w:lang w:val="en-US" w:eastAsia="zh-CN"/>
        </w:rPr>
        <w:t>5.6  制冰系统运行调试</w:t>
      </w:r>
      <w:bookmarkEnd w:id="91"/>
      <w:bookmarkEnd w:id="92"/>
      <w:bookmarkEnd w:id="93"/>
    </w:p>
    <w:p w14:paraId="4E525A68">
      <w:pPr>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default" w:ascii="宋体" w:hAnsi="宋体" w:eastAsia="宋体" w:cs="宋体"/>
          <w:b/>
          <w:bCs/>
          <w:sz w:val="24"/>
          <w:lang w:val="en-US" w:eastAsia="zh-CN"/>
        </w:rPr>
      </w:pPr>
      <w:r>
        <w:rPr>
          <w:rFonts w:hint="eastAsia" w:ascii="宋体" w:hAnsi="Times New Roman" w:eastAsia="宋体" w:cs="Times New Roman"/>
          <w:b w:val="0"/>
          <w:bCs/>
          <w:kern w:val="2"/>
          <w:sz w:val="21"/>
          <w:szCs w:val="21"/>
          <w:lang w:val="en-US" w:eastAsia="zh-CN" w:bidi="ar-SA"/>
        </w:rPr>
        <w:t xml:space="preserve">5.6.1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制冰系统运行调试前，应先充注制冷剂，充注应符合下列规定：</w:t>
      </w:r>
    </w:p>
    <w:p w14:paraId="2800B9F8">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制冷剂的充注必须在制冰系统压力试验、泄漏试验和真空度试验合格，并在制冰系统整体保冷工程完成并经检验合格后进行。</w:t>
      </w:r>
    </w:p>
    <w:p w14:paraId="78A2C176">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制冷剂的充注应由注册持证的制冷工进行作业，全面落实安全生产责任制，以保证作业人员安全。</w:t>
      </w:r>
    </w:p>
    <w:p w14:paraId="13EE0DAA">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制冷剂的规格、品种和性能应符合设计的要求。制冰系统充注用的制冷剂质量应符合现行国家标准，氨制冷剂应符合现行国家标准《液体无水氨》GB</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536中一等品指标的有关规定，二氧化碳应符合现行国家标准《高纯二氧化碳 》GB/T 23938的有关规定。</w:t>
      </w:r>
    </w:p>
    <w:p w14:paraId="338AC912">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制冰系统制冷剂的灌注量应以满足制冰系统正常运行为准则。充注操作时应逐步进行，不得将设计用制冷剂量一次注入制冰系统中。</w:t>
      </w:r>
    </w:p>
    <w:p w14:paraId="5BFFB18B">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二氧化碳系统应先充注二氧化碳气体，并应在系统压力高于二氧化碳三相点后再充注二氧化碳液体。</w:t>
      </w:r>
    </w:p>
    <w:p w14:paraId="0DEFEEDB">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制冷系统内的氨制冷剂直接向外排放时不应危害周边环境，卤代烃及其混合物制冷剂严禁直接向外排放。</w:t>
      </w:r>
    </w:p>
    <w:p w14:paraId="7D1C7B03">
      <w:pPr>
        <w:keepNext w:val="0"/>
        <w:keepLines w:val="0"/>
        <w:pageBreakBefore w:val="0"/>
        <w:widowControl w:val="0"/>
        <w:kinsoku/>
        <w:wordWrap/>
        <w:overflowPunct/>
        <w:topLinePunct w:val="0"/>
        <w:autoSpaceDE/>
        <w:autoSpaceDN/>
        <w:bidi w:val="0"/>
        <w:adjustRightInd/>
        <w:snapToGrid w:val="0"/>
        <w:spacing w:before="0" w:after="0" w:line="360" w:lineRule="auto"/>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94" w:name="_Toc36040079"/>
      <w:r>
        <w:rPr>
          <w:rFonts w:hint="eastAsia" w:ascii="宋体" w:hAnsi="Times New Roman" w:eastAsia="宋体" w:cs="Times New Roman"/>
          <w:b w:val="0"/>
          <w:bCs/>
          <w:kern w:val="2"/>
          <w:sz w:val="21"/>
          <w:szCs w:val="21"/>
          <w:lang w:val="en-US" w:eastAsia="zh-CN" w:bidi="ar-SA"/>
        </w:rPr>
        <w:t xml:space="preserve">5.6.2 </w:t>
      </w:r>
      <w:bookmarkEnd w:id="94"/>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制冰系统运行调试前应进行下列检查，经检查合格后，方可进行运行调试：</w:t>
      </w:r>
    </w:p>
    <w:p w14:paraId="58AEE71F">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hAnsi="宋体" w:cs="宋体"/>
          <w:b w:val="0"/>
          <w:bCs/>
          <w:sz w:val="21"/>
          <w:szCs w:val="21"/>
          <w:lang w:val="en-US" w:eastAsia="zh-CN"/>
        </w:rPr>
        <w:t>1</w:t>
      </w:r>
      <w:r>
        <w:rPr>
          <w:rFonts w:hint="eastAsia" w:hAnsi="宋体" w:cs="宋体"/>
          <w:b/>
          <w:bCs w:val="0"/>
          <w:sz w:val="24"/>
          <w:lang w:val="en-US" w:eastAsia="zh-CN"/>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参与制冰系统试运转的施工人员，必须持有国家认证的职业资格证书，该证书需在有效期内，并应进行现场登记；</w:t>
      </w:r>
    </w:p>
    <w:p w14:paraId="2A27D8B2">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机房应配备</w:t>
      </w:r>
      <w:r>
        <w:rPr>
          <w:rFonts w:hint="eastAsia" w:hAnsi="宋体" w:cs="宋体"/>
          <w:b w:val="0"/>
          <w:bCs w:val="0"/>
          <w:i w:val="0"/>
          <w:iCs w:val="0"/>
          <w:caps w:val="0"/>
          <w:color w:val="auto"/>
          <w:spacing w:val="0"/>
          <w:kern w:val="2"/>
          <w:sz w:val="21"/>
          <w:szCs w:val="21"/>
          <w:shd w:val="clear" w:color="auto" w:fill="auto"/>
          <w:lang w:val="en-US" w:eastAsia="zh-CN" w:bidi="ar-SA"/>
        </w:rPr>
        <w:t>手电筒</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、人工呼吸器、防毒面具、橡胶手套、应急药品等劳动防护器具；</w:t>
      </w:r>
    </w:p>
    <w:p w14:paraId="1F2DECAD">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单体制冷设备空载运行正常，制冰系统中各类容器中的液体处于正常液位；</w:t>
      </w:r>
    </w:p>
    <w:p w14:paraId="4A1F579D">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为制冰系统配套的冷却水系统试运转正常；</w:t>
      </w:r>
    </w:p>
    <w:p w14:paraId="6F608AE1">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5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制冰系统配套的供配电系统调试正常；</w:t>
      </w:r>
    </w:p>
    <w:p w14:paraId="7D6F7B34">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制冰系统中浮球液位控制器、压力控制(传感)器等自控元件调试完毕，工作正常稳定；</w:t>
      </w:r>
    </w:p>
    <w:p w14:paraId="493363BF">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7</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温、湿度仪表及其他仪表调试完毕，示值误差范围符合设计文件及技术文件要求；</w:t>
      </w:r>
    </w:p>
    <w:p w14:paraId="40B7D4B4">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8</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制冰系统已充灌了满足系统试运转所需的制冷剂量。</w:t>
      </w:r>
    </w:p>
    <w:p w14:paraId="6B24AECB">
      <w:pPr>
        <w:pStyle w:val="2"/>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5.6.3制冰系统运行调试除应按设计文件和设备技术文件的要求进行外，尚应符合下列规定：</w:t>
      </w:r>
    </w:p>
    <w:p w14:paraId="07ABEAF5">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将制冷压缩机(制冷压缩机组)逐台进行带负荷试运转，每台压缩机最后一次连续运转时间不得少于24h，每台压缩机累计运转时间不得少于48h，各项运转参数符合设计文件及设备技术文件的规定方为合格。</w:t>
      </w:r>
    </w:p>
    <w:p w14:paraId="63C04BC0">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制冷系统试运转宜与冰板制冷层降温过程同步进行，但冰板制冷层降温速率应≤1.5℃/日，并应执行温度监测及记录。</w:t>
      </w:r>
    </w:p>
    <w:p w14:paraId="52D90688">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Cs/>
          <w:sz w:val="24"/>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制冰系统试运转合格后，应将系统内过滤器滤网拆下，进行彻底的清洗后重新组装。</w:t>
      </w:r>
    </w:p>
    <w:p w14:paraId="6B8C9172">
      <w:pPr>
        <w:pStyle w:val="2"/>
        <w:ind w:left="0" w:leftChars="0" w:firstLine="0" w:firstLineChars="0"/>
        <w:rPr>
          <w:rFonts w:hint="default" w:eastAsia="宋体"/>
          <w:lang w:val="en-US" w:eastAsia="zh-CN"/>
        </w:rPr>
      </w:pPr>
      <w:r>
        <w:rPr>
          <w:rFonts w:hint="eastAsia" w:ascii="宋体" w:hAnsi="Times New Roman" w:eastAsia="宋体" w:cs="Times New Roman"/>
          <w:b w:val="0"/>
          <w:bCs/>
          <w:kern w:val="2"/>
          <w:sz w:val="21"/>
          <w:szCs w:val="21"/>
          <w:lang w:val="en-US" w:eastAsia="zh-CN" w:bidi="ar-SA"/>
        </w:rPr>
        <w:t xml:space="preserve">5.6.4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应对制冷系统试运转的数据进行记录，以反映制冷系统试运转的过程及参数。</w:t>
      </w:r>
    </w:p>
    <w:p w14:paraId="6DE0A9E3">
      <w:pPr>
        <w:rPr>
          <w:rFonts w:hint="eastAsia" w:ascii="宋体" w:hAnsi="宋体" w:cs="宋体"/>
          <w:b/>
          <w:bCs/>
          <w:kern w:val="44"/>
          <w:sz w:val="28"/>
          <w:szCs w:val="44"/>
        </w:rPr>
      </w:pPr>
      <w:bookmarkStart w:id="95" w:name="_Toc2042"/>
      <w:r>
        <w:rPr>
          <w:rFonts w:hint="eastAsia" w:ascii="宋体" w:hAnsi="宋体" w:cs="宋体"/>
          <w:b/>
          <w:bCs/>
          <w:kern w:val="44"/>
          <w:sz w:val="28"/>
          <w:szCs w:val="44"/>
        </w:rPr>
        <w:br w:type="page"/>
      </w:r>
    </w:p>
    <w:p w14:paraId="459B2207">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96" w:name="_Toc31366"/>
      <w:r>
        <w:rPr>
          <w:rFonts w:hint="eastAsia" w:ascii="黑体" w:hAnsi="黑体" w:eastAsia="黑体" w:cs="Times New Roman"/>
          <w:bCs w:val="0"/>
          <w:sz w:val="21"/>
          <w:szCs w:val="20"/>
        </w:rPr>
        <w:t xml:space="preserve">6  </w:t>
      </w:r>
      <w:r>
        <w:rPr>
          <w:rFonts w:hint="eastAsia" w:ascii="黑体" w:hAnsi="黑体" w:eastAsia="黑体" w:cs="Times New Roman"/>
          <w:bCs w:val="0"/>
          <w:sz w:val="21"/>
          <w:szCs w:val="20"/>
          <w:lang w:val="en-US" w:eastAsia="zh-CN"/>
        </w:rPr>
        <w:t>给水排水</w:t>
      </w:r>
      <w:r>
        <w:rPr>
          <w:rFonts w:hint="eastAsia" w:ascii="黑体" w:hAnsi="黑体" w:eastAsia="黑体" w:cs="Times New Roman"/>
          <w:bCs w:val="0"/>
          <w:sz w:val="21"/>
          <w:szCs w:val="20"/>
        </w:rPr>
        <w:t>系统安装</w:t>
      </w:r>
      <w:bookmarkEnd w:id="95"/>
      <w:bookmarkEnd w:id="96"/>
    </w:p>
    <w:p w14:paraId="2890CE64">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97" w:name="_Toc10561"/>
      <w:bookmarkStart w:id="98" w:name="_Toc29480"/>
      <w:bookmarkStart w:id="99" w:name="_Toc26822"/>
      <w:r>
        <w:rPr>
          <w:rFonts w:hint="eastAsia" w:ascii="黑体" w:hAnsi="黑体" w:eastAsia="黑体" w:cs="黑体"/>
          <w:b w:val="0"/>
          <w:bCs w:val="0"/>
          <w:kern w:val="0"/>
          <w:sz w:val="21"/>
          <w:szCs w:val="21"/>
          <w:lang w:val="en-US" w:eastAsia="zh-CN"/>
        </w:rPr>
        <w:t>6.1  一般规定</w:t>
      </w:r>
      <w:bookmarkEnd w:id="97"/>
      <w:bookmarkEnd w:id="98"/>
      <w:bookmarkEnd w:id="99"/>
    </w:p>
    <w:p w14:paraId="4D2CCDDA">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6.1.1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本章适用于为制冰系统服务的给水、纯水、热回收热水、</w:t>
      </w:r>
      <w:r>
        <w:rPr>
          <w:rFonts w:hint="eastAsia" w:hAnsi="Times New Roman" w:cs="Times New Roman"/>
          <w:b w:val="0"/>
          <w:bCs/>
          <w:kern w:val="2"/>
          <w:sz w:val="21"/>
          <w:szCs w:val="21"/>
          <w:lang w:val="en-US" w:eastAsia="zh-CN" w:bidi="ar-SA"/>
        </w:rPr>
        <w:t>防冻胀</w:t>
      </w:r>
      <w:r>
        <w:rPr>
          <w:rFonts w:hint="eastAsia" w:ascii="宋体" w:hAnsi="Times New Roman" w:eastAsia="宋体" w:cs="Times New Roman"/>
          <w:b w:val="0"/>
          <w:bCs/>
          <w:kern w:val="2"/>
          <w:sz w:val="21"/>
          <w:szCs w:val="21"/>
          <w:lang w:val="en-US" w:eastAsia="zh-CN" w:bidi="ar-SA"/>
        </w:rPr>
        <w:t>加热、融冰池热水、排水、冷却水系统的检验与验收。</w:t>
      </w:r>
    </w:p>
    <w:p w14:paraId="1E474822">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6.1.2</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给水排水系统安装及验收应符合现行国家标准《建筑给水排水及采暖工程施工质量验收规范》GB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50242的有关规定。</w:t>
      </w:r>
    </w:p>
    <w:p w14:paraId="184CD566">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6.1.3</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冷却水系统的施工及验收，除应执行本标准外，尚应符合现行国家标准《工业金属管道工程施工规范》GB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50235、《工业金属管道工程施工质量验收规范》GB</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50184的规定。</w:t>
      </w:r>
    </w:p>
    <w:p w14:paraId="22AD5E04">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6.1.4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供水系统支吊架安装按照5.2.1条规定执行。</w:t>
      </w:r>
    </w:p>
    <w:p w14:paraId="7B08C34C">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00" w:name="_Toc27266"/>
      <w:bookmarkStart w:id="101" w:name="_Toc30733"/>
      <w:bookmarkStart w:id="102" w:name="_Toc19706"/>
      <w:bookmarkStart w:id="103" w:name="_Toc20828"/>
      <w:bookmarkStart w:id="104" w:name="_Toc29720"/>
      <w:r>
        <w:rPr>
          <w:rFonts w:hint="eastAsia" w:ascii="黑体" w:hAnsi="黑体" w:eastAsia="黑体" w:cs="黑体"/>
          <w:b w:val="0"/>
          <w:bCs w:val="0"/>
          <w:kern w:val="0"/>
          <w:sz w:val="21"/>
          <w:szCs w:val="21"/>
          <w:lang w:val="en-US" w:eastAsia="zh-CN"/>
        </w:rPr>
        <w:t>6.2  管道及附件安装</w:t>
      </w:r>
      <w:bookmarkEnd w:id="100"/>
      <w:bookmarkEnd w:id="101"/>
      <w:bookmarkEnd w:id="102"/>
    </w:p>
    <w:p w14:paraId="472E270F">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hAnsi="宋体" w:cs="宋体"/>
          <w:b/>
          <w:sz w:val="24"/>
          <w:lang w:val="en-US" w:eastAsia="zh-CN"/>
        </w:rPr>
      </w:pPr>
      <w:bookmarkStart w:id="105" w:name="_Hlk46067708"/>
      <w:r>
        <w:rPr>
          <w:rFonts w:hint="eastAsia" w:ascii="宋体" w:hAnsi="Times New Roman" w:eastAsia="宋体" w:cs="Times New Roman"/>
          <w:b w:val="0"/>
          <w:bCs/>
          <w:kern w:val="2"/>
          <w:sz w:val="21"/>
          <w:szCs w:val="21"/>
          <w:lang w:val="en-US" w:eastAsia="zh-CN" w:bidi="ar-SA"/>
        </w:rPr>
        <w:t xml:space="preserve">6.2.1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加热层热水管道安装应符合设计文件要求，并应符合下列规定：</w:t>
      </w:r>
    </w:p>
    <w:p w14:paraId="64A78D31">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加热层内敷设的加热盘管为整管敷设，不得有接头，出混凝土板处管道</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处</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应设置波纹软管进行保护。</w:t>
      </w:r>
    </w:p>
    <w:p w14:paraId="6658D98C">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加热盘管形式、间距和长度应符合设计图纸。平行管段间距偏差不大于10%。加热盘管弯曲部分曲率半径不应小于5倍管外径，不得出现硬折弯现象。</w:t>
      </w:r>
    </w:p>
    <w:p w14:paraId="4FC8043F">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3</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加热盘管敷设在基层上，管卡固定牢固，与管道接触紧密，间距符合设计要去，均匀一致。</w:t>
      </w:r>
    </w:p>
    <w:p w14:paraId="4C036D2C">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4</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加热盘管安装完毕后应进行强度及严密性试验</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，试验</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合格后方能进行隐蔽工程检查验收。</w:t>
      </w:r>
    </w:p>
    <w:p w14:paraId="44E48DCC">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5</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 xml:space="preserve"> 加热层混凝土浇筑或填沙过程中，加热盘管系统应保持设计压力，并安排专人看护。管道一旦发生破损，</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全回路整根更换</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w:t>
      </w:r>
    </w:p>
    <w:p w14:paraId="5C71227A">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6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热集管的开孔应采用机械预制加工，不得采用气割成孔。</w:t>
      </w:r>
    </w:p>
    <w:p w14:paraId="2C5B2B80">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2</w:t>
      </w:r>
      <w:r>
        <w:rPr>
          <w:rFonts w:hint="default" w:ascii="宋体" w:hAnsi="Times New Roman" w:eastAsia="宋体" w:cs="Times New Roman"/>
          <w:b w:val="0"/>
          <w:bCs/>
          <w:kern w:val="2"/>
          <w:sz w:val="21"/>
          <w:szCs w:val="21"/>
          <w:lang w:val="en-US" w:eastAsia="zh-CN" w:bidi="ar-SA"/>
        </w:rPr>
        <w:t>.</w:t>
      </w:r>
      <w:r>
        <w:rPr>
          <w:rFonts w:hint="eastAsia" w:ascii="宋体" w:hAnsi="Times New Roman" w:eastAsia="宋体" w:cs="Times New Roman"/>
          <w:b w:val="0"/>
          <w:bCs/>
          <w:kern w:val="2"/>
          <w:sz w:val="21"/>
          <w:szCs w:val="21"/>
          <w:lang w:val="en-US" w:eastAsia="zh-CN" w:bidi="ar-SA"/>
        </w:rPr>
        <w:t>2</w:t>
      </w:r>
      <w:r>
        <w:rPr>
          <w:rFonts w:hint="default" w:ascii="宋体" w:hAnsi="Times New Roman" w:eastAsia="宋体" w:cs="Times New Roman"/>
          <w:b w:val="0"/>
          <w:bCs/>
          <w:kern w:val="2"/>
          <w:sz w:val="21"/>
          <w:szCs w:val="21"/>
          <w:lang w:val="en-US" w:eastAsia="zh-CN" w:bidi="ar-SA"/>
        </w:rPr>
        <w:t xml:space="preserve"> </w:t>
      </w:r>
      <w:r>
        <w:rPr>
          <w:rFonts w:hint="eastAsia" w:hAnsi="Times New Roman"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融冰池盘管安装应符合</w:t>
      </w:r>
      <w:r>
        <w:rPr>
          <w:rFonts w:hint="eastAsia" w:ascii="宋体" w:hAnsi="Times New Roman" w:eastAsia="宋体" w:cs="Times New Roman"/>
          <w:b w:val="0"/>
          <w:bCs/>
          <w:kern w:val="2"/>
          <w:sz w:val="21"/>
          <w:szCs w:val="21"/>
          <w:lang w:val="en-US" w:eastAsia="zh-CN" w:bidi="ar-SA"/>
        </w:rPr>
        <w:t>设计文件要求，并应符合下列规定：</w:t>
      </w:r>
    </w:p>
    <w:p w14:paraId="6C8147BC">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融冰池盘管、支架的</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焊接及组装</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在融冰池周边</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实施</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w:t>
      </w:r>
    </w:p>
    <w:p w14:paraId="25DED3B7">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盘管、支架组装完成，吊装入池前，应对管组进行打压和冲洗，打压、冲洗合格后方可将管组吊运至融冰池内就位。</w:t>
      </w:r>
    </w:p>
    <w:p w14:paraId="1203EB76">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与融冰池盘管相连的供回水主管需在打压和冲洗完成后，才能与融冰池盘管进行连接。</w:t>
      </w:r>
    </w:p>
    <w:p w14:paraId="69E32375">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cs="宋体"/>
          <w:b w:val="0"/>
          <w:bCs w:val="0"/>
          <w:sz w:val="24"/>
          <w:szCs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4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盘管上表面</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应留有符合设计要求的水浴融冰空间。当设计无要求时，</w:t>
      </w:r>
      <w:r>
        <w:rPr>
          <w:rFonts w:hint="default" w:ascii="宋体" w:hAnsi="宋体" w:eastAsia="宋体" w:cs="宋体"/>
          <w:b w:val="0"/>
          <w:bCs w:val="0"/>
          <w:i w:val="0"/>
          <w:iCs w:val="0"/>
          <w:caps w:val="0"/>
          <w:color w:val="auto"/>
          <w:spacing w:val="0"/>
          <w:kern w:val="2"/>
          <w:sz w:val="21"/>
          <w:szCs w:val="21"/>
          <w:shd w:val="clear" w:color="auto" w:fill="auto"/>
          <w:lang w:val="en-US" w:eastAsia="zh-CN" w:bidi="ar-SA"/>
        </w:rPr>
        <w:t>盘管上表面宜低于融雪池设计最高液位0.3m。</w:t>
      </w:r>
    </w:p>
    <w:p w14:paraId="147C461B">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cs="宋体"/>
          <w:b w:val="0"/>
          <w:bCs w:val="0"/>
          <w:sz w:val="24"/>
          <w:szCs w:val="24"/>
          <w:lang w:val="en-US" w:eastAsia="zh-CN"/>
        </w:rPr>
      </w:pPr>
      <w:r>
        <w:rPr>
          <w:rFonts w:hint="eastAsia" w:ascii="宋体" w:hAnsi="Times New Roman" w:eastAsia="宋体" w:cs="Times New Roman"/>
          <w:b w:val="0"/>
          <w:bCs/>
          <w:kern w:val="2"/>
          <w:sz w:val="21"/>
          <w:szCs w:val="21"/>
          <w:lang w:val="en-US" w:eastAsia="zh-CN" w:bidi="ar-SA"/>
        </w:rPr>
        <w:t xml:space="preserve">6.2.3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融冰池排水管道安装</w:t>
      </w:r>
      <w:r>
        <w:rPr>
          <w:rFonts w:hint="default" w:ascii="宋体" w:hAnsi="Times New Roman" w:eastAsia="宋体" w:cs="Times New Roman"/>
          <w:b w:val="0"/>
          <w:bCs/>
          <w:kern w:val="2"/>
          <w:sz w:val="21"/>
          <w:szCs w:val="21"/>
          <w:lang w:val="en-US" w:eastAsia="zh-CN" w:bidi="ar-SA"/>
        </w:rPr>
        <w:t>应符合</w:t>
      </w:r>
      <w:r>
        <w:rPr>
          <w:rFonts w:hint="eastAsia" w:ascii="宋体" w:hAnsi="Times New Roman" w:eastAsia="宋体" w:cs="Times New Roman"/>
          <w:b w:val="0"/>
          <w:bCs/>
          <w:kern w:val="2"/>
          <w:sz w:val="21"/>
          <w:szCs w:val="21"/>
          <w:lang w:val="en-US" w:eastAsia="zh-CN" w:bidi="ar-SA"/>
        </w:rPr>
        <w:t>设计文件要求，并应符合下列规定：</w:t>
      </w:r>
    </w:p>
    <w:p w14:paraId="3C604F3D">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应提前做好地漏及排水管道的预埋，并应预留出内部防水层、保温层、保护层的做法厚度。</w:t>
      </w:r>
    </w:p>
    <w:p w14:paraId="5DE5047E">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 地漏所接排水管应设置关断阀，阀门应安装在便于操作的位置。地漏关断阀门在安装前应进行强度及严密性试验，试验合格方可安装。</w:t>
      </w:r>
    </w:p>
    <w:p w14:paraId="470E4FE5">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default" w:cs="宋体"/>
          <w:b w:val="0"/>
          <w:bCs w:val="0"/>
          <w:sz w:val="24"/>
          <w:szCs w:val="24"/>
          <w:lang w:val="en-US" w:eastAsia="zh-CN"/>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地漏及管道应与池壁结合紧密，防水可靠，该排水管道灌水试验合格后应与融冰池一并做闭水试验，避免发生渗漏。</w:t>
      </w:r>
    </w:p>
    <w:p w14:paraId="58F4B721">
      <w:pPr>
        <w:pStyle w:val="27"/>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6.2.4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冰场周边及浇冰车房排水管道宜采用无水封的直排式地漏。当采用无水封地漏时，所连管道不应与污水管道直接连接，并应有有效空气隔断。</w:t>
      </w:r>
    </w:p>
    <w:p w14:paraId="7620091C">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6.2.5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冰场周边供水点安装位置及安装形式应符合设计要求，应便于取水，且不应影响滑冰及通行。</w:t>
      </w:r>
    </w:p>
    <w:p w14:paraId="73643DE3">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6.2.6</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给水、热水管道安装完毕应按设计要求进行强度及严密性试验。</w:t>
      </w:r>
    </w:p>
    <w:p w14:paraId="568319C0">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6.2.7</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给水、热水系统使用前应进行冲洗、通水试验。</w:t>
      </w:r>
    </w:p>
    <w:p w14:paraId="12DB78C5">
      <w:pPr>
        <w:pStyle w:val="27"/>
        <w:snapToGrid w:val="0"/>
        <w:ind w:left="0" w:leftChars="0" w:firstLine="0" w:firstLineChars="0"/>
        <w:jc w:val="left"/>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6.2.8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排水系统投入使用前应进行灌水、通球试验。</w:t>
      </w:r>
    </w:p>
    <w:bookmarkEnd w:id="105"/>
    <w:p w14:paraId="632F57E3">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06" w:name="_Toc11144"/>
      <w:r>
        <w:rPr>
          <w:rFonts w:hint="eastAsia" w:ascii="黑体" w:hAnsi="黑体" w:eastAsia="黑体" w:cs="黑体"/>
          <w:b w:val="0"/>
          <w:bCs w:val="0"/>
          <w:kern w:val="0"/>
          <w:sz w:val="21"/>
          <w:szCs w:val="21"/>
          <w:lang w:val="en-US" w:eastAsia="zh-CN"/>
        </w:rPr>
        <w:t>6.3  设备安装</w:t>
      </w:r>
      <w:bookmarkEnd w:id="103"/>
      <w:bookmarkEnd w:id="104"/>
      <w:bookmarkEnd w:id="106"/>
    </w:p>
    <w:p w14:paraId="7E8E5D75">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设备就位前的基础混凝土强度、坐标、标高、尺寸和螺栓孔位置必须符合设计及产品技术文件要求。</w:t>
      </w:r>
    </w:p>
    <w:p w14:paraId="3B30DC7A">
      <w:pPr>
        <w:pStyle w:val="4"/>
        <w:jc w:val="both"/>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水箱溢流管、泄放管及连通管设置位置应合理，溢流管和泄放管应接至排水地点附近，但不得与排水管直接连接。</w:t>
      </w:r>
    </w:p>
    <w:p w14:paraId="53083BD2">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敞口水箱的满水试验和密闭水箱(罐)的水压试验必须符合设计与相关标准的规定。</w:t>
      </w:r>
    </w:p>
    <w:p w14:paraId="4AD29694">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设备安装的允许偏差应符合表6.3.4的规定。</w:t>
      </w:r>
    </w:p>
    <w:p w14:paraId="6AE3F60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6.</w:t>
      </w:r>
      <w:r>
        <w:rPr>
          <w:rFonts w:hint="eastAsia" w:ascii="黑体" w:hAnsi="黑体" w:eastAsia="黑体" w:cs="黑体"/>
          <w:b w:val="0"/>
          <w:bCs w:val="0"/>
          <w:sz w:val="21"/>
          <w:szCs w:val="21"/>
          <w:lang w:val="en-US" w:eastAsia="zh-CN"/>
        </w:rPr>
        <w:t>3</w:t>
      </w:r>
      <w:r>
        <w:rPr>
          <w:rFonts w:hint="eastAsia" w:ascii="黑体" w:hAnsi="黑体" w:eastAsia="黑体" w:cs="黑体"/>
          <w:b w:val="0"/>
          <w:bCs w:val="0"/>
          <w:sz w:val="21"/>
          <w:szCs w:val="21"/>
        </w:rPr>
        <w:t>.</w:t>
      </w:r>
      <w:r>
        <w:rPr>
          <w:rFonts w:hint="eastAsia" w:ascii="黑体" w:hAnsi="黑体" w:eastAsia="黑体" w:cs="黑体"/>
          <w:b w:val="0"/>
          <w:bCs w:val="0"/>
          <w:sz w:val="21"/>
          <w:szCs w:val="21"/>
          <w:lang w:val="en-US" w:eastAsia="zh-CN"/>
        </w:rPr>
        <w:t>4</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室内给水设备安装的允许偏差和检验方法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9"/>
        <w:gridCol w:w="1390"/>
        <w:gridCol w:w="1871"/>
        <w:gridCol w:w="1136"/>
        <w:gridCol w:w="2335"/>
      </w:tblGrid>
      <w:tr w14:paraId="0E8D5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noWrap w:val="0"/>
            <w:vAlign w:val="center"/>
          </w:tcPr>
          <w:p w14:paraId="7D6B7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项次</w:t>
            </w:r>
          </w:p>
        </w:tc>
        <w:tc>
          <w:tcPr>
            <w:tcW w:w="4290" w:type="dxa"/>
            <w:gridSpan w:val="3"/>
            <w:noWrap w:val="0"/>
            <w:vAlign w:val="center"/>
          </w:tcPr>
          <w:p w14:paraId="43DF2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项目</w:t>
            </w:r>
          </w:p>
        </w:tc>
        <w:tc>
          <w:tcPr>
            <w:tcW w:w="1136" w:type="dxa"/>
            <w:noWrap w:val="0"/>
            <w:vAlign w:val="center"/>
          </w:tcPr>
          <w:p w14:paraId="2C121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2335" w:type="dxa"/>
            <w:noWrap w:val="0"/>
            <w:vAlign w:val="center"/>
          </w:tcPr>
          <w:p w14:paraId="1793D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14:paraId="61ADA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restart"/>
            <w:noWrap w:val="0"/>
            <w:vAlign w:val="center"/>
          </w:tcPr>
          <w:p w14:paraId="78A63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w:t>
            </w:r>
          </w:p>
        </w:tc>
        <w:tc>
          <w:tcPr>
            <w:tcW w:w="1029" w:type="dxa"/>
            <w:vMerge w:val="restart"/>
            <w:noWrap w:val="0"/>
            <w:vAlign w:val="center"/>
          </w:tcPr>
          <w:p w14:paraId="249CA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静置设备</w:t>
            </w:r>
          </w:p>
        </w:tc>
        <w:tc>
          <w:tcPr>
            <w:tcW w:w="3261" w:type="dxa"/>
            <w:gridSpan w:val="2"/>
            <w:noWrap w:val="0"/>
            <w:vAlign w:val="center"/>
          </w:tcPr>
          <w:p w14:paraId="2F55F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坐标</w:t>
            </w:r>
          </w:p>
        </w:tc>
        <w:tc>
          <w:tcPr>
            <w:tcW w:w="1136" w:type="dxa"/>
            <w:noWrap w:val="0"/>
            <w:vAlign w:val="center"/>
          </w:tcPr>
          <w:p w14:paraId="58A87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15</w:t>
            </w:r>
          </w:p>
        </w:tc>
        <w:tc>
          <w:tcPr>
            <w:tcW w:w="2335" w:type="dxa"/>
            <w:noWrap w:val="0"/>
            <w:vAlign w:val="center"/>
          </w:tcPr>
          <w:p w14:paraId="2D0E2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经纬仪或拉线、尺量</w:t>
            </w:r>
          </w:p>
        </w:tc>
      </w:tr>
      <w:tr w14:paraId="3C9D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14:paraId="076D9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14:paraId="0499E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14:paraId="4C730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标高</w:t>
            </w:r>
          </w:p>
        </w:tc>
        <w:tc>
          <w:tcPr>
            <w:tcW w:w="1136" w:type="dxa"/>
            <w:noWrap w:val="0"/>
            <w:vAlign w:val="center"/>
          </w:tcPr>
          <w:p w14:paraId="638A7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2335" w:type="dxa"/>
            <w:noWrap w:val="0"/>
            <w:vAlign w:val="center"/>
          </w:tcPr>
          <w:p w14:paraId="1501A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用水准仪、拉线和尺量检查</w:t>
            </w:r>
          </w:p>
        </w:tc>
      </w:tr>
      <w:tr w14:paraId="33F66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14:paraId="15381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14:paraId="3622E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14:paraId="626E7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垂直度（每米）</w:t>
            </w:r>
          </w:p>
        </w:tc>
        <w:tc>
          <w:tcPr>
            <w:tcW w:w="1136" w:type="dxa"/>
            <w:noWrap w:val="0"/>
            <w:vAlign w:val="center"/>
          </w:tcPr>
          <w:p w14:paraId="14819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2335" w:type="dxa"/>
            <w:noWrap w:val="0"/>
            <w:vAlign w:val="center"/>
          </w:tcPr>
          <w:p w14:paraId="0B981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吊线和尺量检查</w:t>
            </w:r>
          </w:p>
        </w:tc>
      </w:tr>
      <w:tr w14:paraId="63297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restart"/>
            <w:noWrap w:val="0"/>
            <w:vAlign w:val="center"/>
          </w:tcPr>
          <w:p w14:paraId="3A2E2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w:t>
            </w:r>
          </w:p>
        </w:tc>
        <w:tc>
          <w:tcPr>
            <w:tcW w:w="1029" w:type="dxa"/>
            <w:vMerge w:val="restart"/>
            <w:noWrap w:val="0"/>
            <w:vAlign w:val="center"/>
          </w:tcPr>
          <w:p w14:paraId="3366F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离心式水泵</w:t>
            </w:r>
          </w:p>
        </w:tc>
        <w:tc>
          <w:tcPr>
            <w:tcW w:w="3261" w:type="dxa"/>
            <w:gridSpan w:val="2"/>
            <w:noWrap w:val="0"/>
            <w:vAlign w:val="center"/>
          </w:tcPr>
          <w:p w14:paraId="44DD0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立式泵体垂直度（每米）</w:t>
            </w:r>
          </w:p>
        </w:tc>
        <w:tc>
          <w:tcPr>
            <w:tcW w:w="1136" w:type="dxa"/>
            <w:noWrap w:val="0"/>
            <w:vAlign w:val="center"/>
          </w:tcPr>
          <w:p w14:paraId="7C397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noWrap w:val="0"/>
            <w:vAlign w:val="center"/>
          </w:tcPr>
          <w:p w14:paraId="5812A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水平尺和塞尺检查</w:t>
            </w:r>
          </w:p>
        </w:tc>
      </w:tr>
      <w:tr w14:paraId="604C4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continue"/>
            <w:noWrap w:val="0"/>
            <w:vAlign w:val="center"/>
          </w:tcPr>
          <w:p w14:paraId="546A4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14:paraId="18FC3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3261" w:type="dxa"/>
            <w:gridSpan w:val="2"/>
            <w:noWrap w:val="0"/>
            <w:vAlign w:val="center"/>
          </w:tcPr>
          <w:p w14:paraId="6261C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卧室泵体水平度（每米）</w:t>
            </w:r>
          </w:p>
        </w:tc>
        <w:tc>
          <w:tcPr>
            <w:tcW w:w="1136" w:type="dxa"/>
            <w:noWrap w:val="0"/>
            <w:vAlign w:val="center"/>
          </w:tcPr>
          <w:p w14:paraId="31B7D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noWrap w:val="0"/>
            <w:vAlign w:val="center"/>
          </w:tcPr>
          <w:p w14:paraId="21CB2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水平尺和塞尺检查</w:t>
            </w:r>
          </w:p>
        </w:tc>
      </w:tr>
      <w:tr w14:paraId="7C9EB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1" w:type="dxa"/>
            <w:vMerge w:val="continue"/>
            <w:noWrap w:val="0"/>
            <w:vAlign w:val="center"/>
          </w:tcPr>
          <w:p w14:paraId="160B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14:paraId="281DD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390" w:type="dxa"/>
            <w:vMerge w:val="restart"/>
            <w:noWrap w:val="0"/>
            <w:vAlign w:val="center"/>
          </w:tcPr>
          <w:p w14:paraId="10956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联轴器同心度</w:t>
            </w:r>
          </w:p>
        </w:tc>
        <w:tc>
          <w:tcPr>
            <w:tcW w:w="1871" w:type="dxa"/>
            <w:noWrap w:val="0"/>
            <w:vAlign w:val="center"/>
          </w:tcPr>
          <w:p w14:paraId="3CBB0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轴向位移（每米）</w:t>
            </w:r>
          </w:p>
        </w:tc>
        <w:tc>
          <w:tcPr>
            <w:tcW w:w="1136" w:type="dxa"/>
            <w:noWrap w:val="0"/>
            <w:vAlign w:val="center"/>
          </w:tcPr>
          <w:p w14:paraId="5E64E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0.8</w:t>
            </w:r>
          </w:p>
        </w:tc>
        <w:tc>
          <w:tcPr>
            <w:tcW w:w="2335" w:type="dxa"/>
            <w:vMerge w:val="restart"/>
            <w:noWrap w:val="0"/>
            <w:vAlign w:val="center"/>
          </w:tcPr>
          <w:p w14:paraId="271BB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在联轴器互相垂直的四个位置上用水准仪、百分表或胃测螺钉和塞尺检查</w:t>
            </w:r>
          </w:p>
        </w:tc>
      </w:tr>
      <w:tr w14:paraId="3F4B9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61" w:type="dxa"/>
            <w:vMerge w:val="continue"/>
            <w:noWrap w:val="0"/>
            <w:vAlign w:val="center"/>
          </w:tcPr>
          <w:p w14:paraId="39485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029" w:type="dxa"/>
            <w:vMerge w:val="continue"/>
            <w:noWrap w:val="0"/>
            <w:vAlign w:val="center"/>
          </w:tcPr>
          <w:p w14:paraId="426B9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390" w:type="dxa"/>
            <w:vMerge w:val="continue"/>
            <w:noWrap w:val="0"/>
            <w:vAlign w:val="center"/>
          </w:tcPr>
          <w:p w14:paraId="09CB0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c>
          <w:tcPr>
            <w:tcW w:w="1871" w:type="dxa"/>
            <w:noWrap w:val="0"/>
            <w:vAlign w:val="center"/>
          </w:tcPr>
          <w:p w14:paraId="20623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径向位移</w:t>
            </w:r>
          </w:p>
        </w:tc>
        <w:tc>
          <w:tcPr>
            <w:tcW w:w="1136" w:type="dxa"/>
            <w:noWrap w:val="0"/>
            <w:vAlign w:val="center"/>
          </w:tcPr>
          <w:p w14:paraId="52553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w:t>
            </w:r>
          </w:p>
        </w:tc>
        <w:tc>
          <w:tcPr>
            <w:tcW w:w="2335" w:type="dxa"/>
            <w:vMerge w:val="continue"/>
            <w:noWrap w:val="0"/>
            <w:vAlign w:val="center"/>
          </w:tcPr>
          <w:p w14:paraId="16FE83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宋体" w:hAnsi="宋体" w:cs="宋体"/>
                <w:sz w:val="18"/>
                <w:szCs w:val="18"/>
              </w:rPr>
            </w:pPr>
          </w:p>
        </w:tc>
      </w:tr>
    </w:tbl>
    <w:p w14:paraId="45E95FFC">
      <w:pPr>
        <w:pStyle w:val="2"/>
        <w:keepNext w:val="0"/>
        <w:keepLines w:val="0"/>
        <w:pageBreakBefore w:val="0"/>
        <w:widowControl w:val="0"/>
        <w:kinsoku/>
        <w:wordWrap/>
        <w:overflowPunct/>
        <w:topLinePunct w:val="0"/>
        <w:autoSpaceDE/>
        <w:autoSpaceDN/>
        <w:bidi w:val="0"/>
        <w:adjustRightInd/>
        <w:ind w:left="0" w:leftChars="0" w:firstLine="0" w:firstLineChars="0"/>
        <w:jc w:val="left"/>
        <w:textAlignment w:val="auto"/>
        <w:outlineLvl w:val="9"/>
        <w:rPr>
          <w:rFonts w:hint="eastAsia" w:ascii="宋体" w:hAnsi="宋体" w:cs="宋体"/>
          <w:b/>
          <w:bCs/>
          <w:sz w:val="24"/>
        </w:rPr>
      </w:pPr>
      <w:r>
        <w:rPr>
          <w:rFonts w:hint="eastAsia" w:ascii="宋体" w:hAnsi="Times New Roman" w:eastAsia="宋体" w:cs="Times New Roman"/>
          <w:b w:val="0"/>
          <w:bCs/>
          <w:kern w:val="2"/>
          <w:sz w:val="21"/>
          <w:szCs w:val="21"/>
          <w:lang w:val="en-US" w:eastAsia="zh-CN" w:bidi="ar-SA"/>
        </w:rPr>
        <w:t xml:space="preserve">6.3.5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热水管道及设备保温层的厚度和平整度的允许偏差应符合表6.3.5的规定。</w:t>
      </w:r>
    </w:p>
    <w:p w14:paraId="5BD45D7E">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6.3.5    管道及设备保温的允许偏差和检验方法</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60"/>
        <w:gridCol w:w="1360"/>
        <w:gridCol w:w="1984"/>
        <w:gridCol w:w="3066"/>
      </w:tblGrid>
      <w:tr w14:paraId="09EA4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0"/>
            <w:vAlign w:val="center"/>
          </w:tcPr>
          <w:p w14:paraId="383E2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项次</w:t>
            </w:r>
          </w:p>
        </w:tc>
        <w:tc>
          <w:tcPr>
            <w:tcW w:w="3090" w:type="dxa"/>
            <w:gridSpan w:val="2"/>
            <w:noWrap w:val="0"/>
            <w:vAlign w:val="center"/>
          </w:tcPr>
          <w:p w14:paraId="3A3D5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项目</w:t>
            </w:r>
          </w:p>
        </w:tc>
        <w:tc>
          <w:tcPr>
            <w:tcW w:w="2220" w:type="dxa"/>
            <w:noWrap w:val="0"/>
            <w:vAlign w:val="center"/>
          </w:tcPr>
          <w:p w14:paraId="1F0F8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允许偏差（mm）</w:t>
            </w:r>
          </w:p>
        </w:tc>
        <w:tc>
          <w:tcPr>
            <w:tcW w:w="3579" w:type="dxa"/>
            <w:noWrap w:val="0"/>
            <w:vAlign w:val="center"/>
          </w:tcPr>
          <w:p w14:paraId="31606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检验方法</w:t>
            </w:r>
          </w:p>
        </w:tc>
      </w:tr>
      <w:tr w14:paraId="057BC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0"/>
            <w:vAlign w:val="center"/>
          </w:tcPr>
          <w:p w14:paraId="07F72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w:t>
            </w:r>
          </w:p>
        </w:tc>
        <w:tc>
          <w:tcPr>
            <w:tcW w:w="3090" w:type="dxa"/>
            <w:gridSpan w:val="2"/>
            <w:noWrap w:val="0"/>
            <w:vAlign w:val="center"/>
          </w:tcPr>
          <w:p w14:paraId="4DA38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厚度</w:t>
            </w:r>
          </w:p>
        </w:tc>
        <w:tc>
          <w:tcPr>
            <w:tcW w:w="2220" w:type="dxa"/>
            <w:noWrap w:val="0"/>
            <w:vAlign w:val="center"/>
          </w:tcPr>
          <w:p w14:paraId="08286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+0.1δ</w:t>
            </w:r>
          </w:p>
          <w:p w14:paraId="08CCA9E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-0.05δ</w:t>
            </w:r>
          </w:p>
        </w:tc>
        <w:tc>
          <w:tcPr>
            <w:tcW w:w="3579" w:type="dxa"/>
            <w:noWrap w:val="0"/>
            <w:vAlign w:val="center"/>
          </w:tcPr>
          <w:p w14:paraId="0E6B3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用钢针刺入</w:t>
            </w:r>
          </w:p>
        </w:tc>
      </w:tr>
      <w:tr w14:paraId="66D65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0"/>
            <w:vAlign w:val="center"/>
          </w:tcPr>
          <w:p w14:paraId="46803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2</w:t>
            </w:r>
          </w:p>
        </w:tc>
        <w:tc>
          <w:tcPr>
            <w:tcW w:w="1545" w:type="dxa"/>
            <w:vMerge w:val="restart"/>
            <w:noWrap w:val="0"/>
            <w:vAlign w:val="center"/>
          </w:tcPr>
          <w:p w14:paraId="0C5DD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表面平整度</w:t>
            </w:r>
          </w:p>
        </w:tc>
        <w:tc>
          <w:tcPr>
            <w:tcW w:w="1545" w:type="dxa"/>
            <w:noWrap w:val="0"/>
            <w:vAlign w:val="center"/>
          </w:tcPr>
          <w:p w14:paraId="6039F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卷材</w:t>
            </w:r>
          </w:p>
        </w:tc>
        <w:tc>
          <w:tcPr>
            <w:tcW w:w="2220" w:type="dxa"/>
            <w:noWrap w:val="0"/>
            <w:vAlign w:val="center"/>
          </w:tcPr>
          <w:p w14:paraId="2745A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5</w:t>
            </w:r>
          </w:p>
        </w:tc>
        <w:tc>
          <w:tcPr>
            <w:tcW w:w="3579" w:type="dxa"/>
            <w:vMerge w:val="restart"/>
            <w:noWrap w:val="0"/>
            <w:vAlign w:val="center"/>
          </w:tcPr>
          <w:p w14:paraId="644EF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用2m靠尺和楔形塞尺检查</w:t>
            </w:r>
          </w:p>
        </w:tc>
      </w:tr>
      <w:tr w14:paraId="66327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0"/>
            <w:vAlign w:val="center"/>
          </w:tcPr>
          <w:p w14:paraId="63F20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c>
          <w:tcPr>
            <w:tcW w:w="1545" w:type="dxa"/>
            <w:vMerge w:val="continue"/>
            <w:noWrap w:val="0"/>
            <w:vAlign w:val="center"/>
          </w:tcPr>
          <w:p w14:paraId="152CD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c>
          <w:tcPr>
            <w:tcW w:w="1545" w:type="dxa"/>
            <w:noWrap w:val="0"/>
            <w:vAlign w:val="center"/>
          </w:tcPr>
          <w:p w14:paraId="12A9E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涂抹</w:t>
            </w:r>
          </w:p>
        </w:tc>
        <w:tc>
          <w:tcPr>
            <w:tcW w:w="2220" w:type="dxa"/>
            <w:noWrap w:val="0"/>
            <w:vAlign w:val="center"/>
          </w:tcPr>
          <w:p w14:paraId="67609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r>
              <w:rPr>
                <w:rFonts w:hint="eastAsia" w:ascii="宋体" w:hAnsi="宋体" w:cs="宋体"/>
                <w:sz w:val="18"/>
                <w:szCs w:val="18"/>
              </w:rPr>
              <w:t>10</w:t>
            </w:r>
          </w:p>
        </w:tc>
        <w:tc>
          <w:tcPr>
            <w:tcW w:w="3579" w:type="dxa"/>
            <w:vMerge w:val="continue"/>
            <w:noWrap w:val="0"/>
            <w:vAlign w:val="center"/>
          </w:tcPr>
          <w:p w14:paraId="2CDFD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outlineLvl w:val="9"/>
              <w:rPr>
                <w:rFonts w:hint="eastAsia" w:ascii="宋体" w:hAnsi="宋体" w:cs="宋体"/>
                <w:sz w:val="18"/>
                <w:szCs w:val="18"/>
              </w:rPr>
            </w:pPr>
          </w:p>
        </w:tc>
      </w:tr>
    </w:tbl>
    <w:p w14:paraId="6BE8E719">
      <w:pPr>
        <w:keepNext w:val="0"/>
        <w:keepLines w:val="0"/>
        <w:pageBreakBefore w:val="0"/>
        <w:widowControl w:val="0"/>
        <w:kinsoku/>
        <w:wordWrap/>
        <w:overflowPunct/>
        <w:topLinePunct w:val="0"/>
        <w:autoSpaceDE/>
        <w:autoSpaceDN/>
        <w:bidi w:val="0"/>
        <w:adjustRightInd/>
        <w:ind w:firstLine="360" w:firstLineChars="200"/>
        <w:jc w:val="left"/>
        <w:textAlignment w:val="auto"/>
        <w:outlineLvl w:val="9"/>
        <w:rPr>
          <w:rFonts w:hint="eastAsia" w:ascii="宋体" w:hAnsi="宋体" w:cs="宋体"/>
          <w:sz w:val="18"/>
          <w:szCs w:val="18"/>
        </w:rPr>
      </w:pPr>
      <w:r>
        <w:rPr>
          <w:rFonts w:hint="eastAsia" w:ascii="宋体" w:hAnsi="宋体" w:cs="宋体"/>
          <w:sz w:val="18"/>
          <w:szCs w:val="18"/>
        </w:rPr>
        <w:t>注：δ为保温层厚度。</w:t>
      </w:r>
    </w:p>
    <w:p w14:paraId="1EA2C0ED">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07" w:name="_Toc10028"/>
      <w:r>
        <w:rPr>
          <w:rFonts w:hint="eastAsia" w:ascii="宋体" w:hAnsi="Times New Roman" w:eastAsia="宋体" w:cs="Times New Roman"/>
          <w:b w:val="0"/>
          <w:bCs/>
          <w:kern w:val="2"/>
          <w:sz w:val="21"/>
          <w:szCs w:val="21"/>
          <w:lang w:val="en-US" w:eastAsia="zh-CN" w:bidi="ar-SA"/>
        </w:rPr>
        <w:t xml:space="preserve">6.3.6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软化水装置安装应符合设计文件要求，并应符合下列规定:</w:t>
      </w:r>
      <w:bookmarkEnd w:id="107"/>
    </w:p>
    <w:p w14:paraId="12C5A743">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1 软化水装置的电控器上方或沿电控器开启方向应预留不小于600mm的检修空间；</w:t>
      </w:r>
    </w:p>
    <w:p w14:paraId="038BA50D">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bookmarkStart w:id="108" w:name="_Toc8960"/>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2 盐罐安装位置应靠近树脂罐，并应尽量缩短吸盐管的长度；</w:t>
      </w:r>
      <w:bookmarkEnd w:id="108"/>
    </w:p>
    <w:p w14:paraId="149573B2">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3 过滤型的软化水装置应按设备上的水流方向标识安装，不应装反；非过滤型的软化水装置安装时可根据实际情况选择进出口。</w:t>
      </w:r>
    </w:p>
    <w:p w14:paraId="56A69341">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6.3.7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软化水装置配管应符合设计要求，并应符合下列规定:</w:t>
      </w:r>
    </w:p>
    <w:p w14:paraId="48D54FF0">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1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进、出水管道上应装有压力表和手动阀门，进、出水管道之间应安装旁通阀，出水管道阀门前应安装取样阀，进水管道宜安装Y形过滤器；</w:t>
      </w:r>
    </w:p>
    <w:p w14:paraId="4B947609">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2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排水管道上不应安装阀门，排水管道不应直接与污水管道连接；</w:t>
      </w:r>
    </w:p>
    <w:p w14:paraId="4B79FB15">
      <w:pPr>
        <w:pStyle w:val="4"/>
        <w:keepNext w:val="0"/>
        <w:keepLines w:val="0"/>
        <w:pageBreakBefore w:val="0"/>
        <w:widowControl w:val="0"/>
        <w:kinsoku/>
        <w:wordWrap/>
        <w:overflowPunct/>
        <w:topLinePunct w:val="0"/>
        <w:autoSpaceDE/>
        <w:autoSpaceDN/>
        <w:bidi w:val="0"/>
        <w:adjustRightInd/>
        <w:ind w:firstLine="481"/>
        <w:jc w:val="left"/>
        <w:textAlignment w:val="auto"/>
        <w:outlineLvl w:val="9"/>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pP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 xml:space="preserve">3 </w:t>
      </w:r>
      <w:r>
        <w:rPr>
          <w:rFonts w:hint="eastAsia" w:hAnsi="宋体" w:cs="宋体"/>
          <w:b w:val="0"/>
          <w:bCs w:val="0"/>
          <w:i w:val="0"/>
          <w:iCs w:val="0"/>
          <w:caps w:val="0"/>
          <w:color w:val="auto"/>
          <w:spacing w:val="0"/>
          <w:kern w:val="2"/>
          <w:sz w:val="21"/>
          <w:szCs w:val="21"/>
          <w:shd w:val="clear" w:color="auto" w:fill="auto"/>
          <w:lang w:val="en-US" w:eastAsia="zh-CN" w:bidi="ar-SA"/>
        </w:rPr>
        <w:t xml:space="preserve"> </w:t>
      </w:r>
      <w:r>
        <w:rPr>
          <w:rFonts w:hint="eastAsia" w:ascii="宋体" w:hAnsi="宋体" w:eastAsia="宋体" w:cs="宋体"/>
          <w:b w:val="0"/>
          <w:bCs w:val="0"/>
          <w:i w:val="0"/>
          <w:iCs w:val="0"/>
          <w:caps w:val="0"/>
          <w:color w:val="auto"/>
          <w:spacing w:val="0"/>
          <w:kern w:val="2"/>
          <w:sz w:val="21"/>
          <w:szCs w:val="21"/>
          <w:shd w:val="clear" w:color="auto" w:fill="auto"/>
          <w:lang w:val="en-US" w:eastAsia="zh-CN" w:bidi="ar-SA"/>
        </w:rPr>
        <w:t>与软化水装置连接的管道应设独立支架。</w:t>
      </w:r>
    </w:p>
    <w:p w14:paraId="391093A7">
      <w:pPr>
        <w:pStyle w:val="2"/>
        <w:ind w:left="0" w:leftChars="0" w:firstLine="0" w:firstLineChars="0"/>
        <w:rPr>
          <w:rFonts w:hint="eastAsia"/>
          <w:lang w:val="en-US" w:eastAsia="zh-CN"/>
        </w:rPr>
      </w:pPr>
      <w:r>
        <w:rPr>
          <w:rFonts w:hint="eastAsia" w:ascii="宋体" w:hAnsi="Times New Roman" w:eastAsia="宋体" w:cs="Times New Roman"/>
          <w:b w:val="0"/>
          <w:bCs/>
          <w:kern w:val="2"/>
          <w:sz w:val="21"/>
          <w:szCs w:val="21"/>
          <w:lang w:val="en-US" w:eastAsia="zh-CN" w:bidi="ar-SA"/>
        </w:rPr>
        <w:t xml:space="preserve">6.3.8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当气体冷却器设有湿帘给水系统时，湿帘系统补水管道材质宜为钢制等耐久性材料。</w:t>
      </w:r>
    </w:p>
    <w:p w14:paraId="301396C8">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09" w:name="_Toc26209"/>
      <w:r>
        <w:rPr>
          <w:rFonts w:hint="eastAsia" w:ascii="黑体" w:hAnsi="黑体" w:eastAsia="黑体" w:cs="黑体"/>
          <w:b w:val="0"/>
          <w:bCs w:val="0"/>
          <w:kern w:val="0"/>
          <w:sz w:val="21"/>
          <w:szCs w:val="21"/>
          <w:lang w:val="en-US" w:eastAsia="zh-CN"/>
        </w:rPr>
        <w:t>6.4  给水排水系统调试</w:t>
      </w:r>
      <w:bookmarkEnd w:id="109"/>
    </w:p>
    <w:p w14:paraId="58B44AF7">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系统调试前，设备应进行单机试运行并合格。</w:t>
      </w:r>
    </w:p>
    <w:p w14:paraId="6C135CF8">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纯水系统调试重点应检测出水水质的电导率，且应能在一定范围内对电导率进行调整。</w:t>
      </w:r>
    </w:p>
    <w:p w14:paraId="0D0F433C">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加热层供回水温度应满足设计文件要求。</w:t>
      </w:r>
    </w:p>
    <w:p w14:paraId="52E49BFC">
      <w:pPr>
        <w:pStyle w:val="4"/>
        <w:jc w:val="both"/>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6.4.4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融冰池应能满足修冰冰渣的及时溶解。</w:t>
      </w:r>
    </w:p>
    <w:p w14:paraId="088EEDDB">
      <w:pPr>
        <w:pStyle w:val="4"/>
        <w:jc w:val="both"/>
        <w:rPr>
          <w:rFonts w:hint="default"/>
          <w:b w:val="0"/>
          <w:bCs/>
          <w:lang w:val="en-US" w:eastAsia="zh-CN"/>
        </w:rPr>
      </w:pPr>
      <w:r>
        <w:rPr>
          <w:rFonts w:hint="eastAsia" w:ascii="宋体" w:hAnsi="Times New Roman" w:eastAsia="宋体" w:cs="Times New Roman"/>
          <w:b w:val="0"/>
          <w:bCs/>
          <w:kern w:val="2"/>
          <w:sz w:val="21"/>
          <w:szCs w:val="21"/>
          <w:lang w:val="en-US" w:eastAsia="zh-CN" w:bidi="ar-SA"/>
        </w:rPr>
        <w:t xml:space="preserve">6.4.5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浇冰用热水温度应满足设计文件要求。</w:t>
      </w:r>
    </w:p>
    <w:p w14:paraId="700DE3F4">
      <w:pPr>
        <w:rPr>
          <w:rFonts w:hint="eastAsia" w:ascii="宋体" w:hAnsi="宋体" w:eastAsia="宋体" w:cs="宋体"/>
          <w:b/>
          <w:bCs/>
          <w:kern w:val="44"/>
          <w:sz w:val="28"/>
          <w:szCs w:val="44"/>
          <w:lang w:val="en-US" w:eastAsia="zh-CN" w:bidi="ar-SA"/>
        </w:rPr>
      </w:pPr>
      <w:bookmarkStart w:id="110" w:name="_Toc21855"/>
      <w:r>
        <w:rPr>
          <w:rFonts w:hint="eastAsia" w:ascii="宋体" w:hAnsi="宋体" w:eastAsia="宋体" w:cs="宋体"/>
          <w:b/>
          <w:bCs/>
          <w:kern w:val="44"/>
          <w:sz w:val="28"/>
          <w:szCs w:val="44"/>
          <w:lang w:val="en-US" w:eastAsia="zh-CN" w:bidi="ar-SA"/>
        </w:rPr>
        <w:br w:type="page"/>
      </w:r>
    </w:p>
    <w:p w14:paraId="45AFA810">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111" w:name="_Toc22329"/>
      <w:r>
        <w:rPr>
          <w:rFonts w:hint="eastAsia" w:ascii="黑体" w:hAnsi="黑体" w:eastAsia="黑体" w:cs="Times New Roman"/>
          <w:bCs w:val="0"/>
          <w:sz w:val="21"/>
          <w:szCs w:val="20"/>
          <w:lang w:val="en-US" w:eastAsia="zh-CN"/>
        </w:rPr>
        <w:t>7  除湿系统安装</w:t>
      </w:r>
      <w:bookmarkEnd w:id="110"/>
      <w:bookmarkEnd w:id="111"/>
    </w:p>
    <w:p w14:paraId="42040107">
      <w:pPr>
        <w:pStyle w:val="6"/>
        <w:spacing w:before="240" w:after="240"/>
        <w:ind w:left="0" w:leftChars="0" w:firstLine="0" w:firstLineChars="0"/>
        <w:jc w:val="center"/>
        <w:rPr>
          <w:rFonts w:hint="eastAsia" w:ascii="宋体" w:hAnsi="宋体"/>
          <w:sz w:val="24"/>
          <w:szCs w:val="24"/>
        </w:rPr>
      </w:pPr>
      <w:bookmarkStart w:id="112" w:name="_Toc29114"/>
      <w:bookmarkStart w:id="113" w:name="_Toc127741846"/>
      <w:bookmarkStart w:id="114" w:name="_Toc32001"/>
      <w:bookmarkStart w:id="115" w:name="_Toc8838"/>
      <w:bookmarkStart w:id="116" w:name="_Toc21443"/>
      <w:bookmarkStart w:id="117" w:name="_Toc32003"/>
      <w:r>
        <w:rPr>
          <w:rFonts w:hint="eastAsia" w:ascii="黑体" w:hAnsi="黑体" w:eastAsia="黑体" w:cs="黑体"/>
          <w:b w:val="0"/>
          <w:bCs w:val="0"/>
          <w:kern w:val="0"/>
          <w:sz w:val="21"/>
          <w:szCs w:val="21"/>
          <w:lang w:val="en-US" w:eastAsia="zh-CN"/>
        </w:rPr>
        <w:t>7.1  一般规定</w:t>
      </w:r>
      <w:bookmarkEnd w:id="112"/>
      <w:bookmarkEnd w:id="113"/>
      <w:bookmarkEnd w:id="114"/>
      <w:bookmarkEnd w:id="115"/>
      <w:bookmarkEnd w:id="116"/>
    </w:p>
    <w:p w14:paraId="50FA37A9">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本章节适用于人工冰场除湿系统安装及调试，包括除湿设备及管道安装、试验及调试。</w:t>
      </w:r>
    </w:p>
    <w:p w14:paraId="64300E56">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除湿设备安装工程的施工及验收,除应符合本规范外，尚应符合国家现行有关标准的规定。</w:t>
      </w:r>
    </w:p>
    <w:p w14:paraId="1EF30EB3">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人工冰场除湿分为除湿机除湿，以及按设计要求设置除湿系统两种除湿方式。小型人工冰场按设计要求设置除湿机即可。</w:t>
      </w:r>
    </w:p>
    <w:p w14:paraId="6E41FD12">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18" w:name="_Toc7428"/>
      <w:bookmarkStart w:id="119" w:name="_Toc12860"/>
      <w:bookmarkStart w:id="120" w:name="_Toc17506"/>
      <w:bookmarkStart w:id="121" w:name="_Toc10124"/>
      <w:bookmarkStart w:id="122" w:name="_Toc127741847"/>
      <w:r>
        <w:rPr>
          <w:rFonts w:hint="eastAsia" w:ascii="黑体" w:hAnsi="黑体" w:eastAsia="黑体" w:cs="黑体"/>
          <w:b w:val="0"/>
          <w:bCs w:val="0"/>
          <w:kern w:val="0"/>
          <w:sz w:val="21"/>
          <w:szCs w:val="21"/>
          <w:lang w:val="en-US" w:eastAsia="zh-CN"/>
        </w:rPr>
        <w:t>7.2  除湿</w:t>
      </w:r>
      <w:bookmarkEnd w:id="118"/>
      <w:bookmarkEnd w:id="119"/>
      <w:bookmarkEnd w:id="120"/>
      <w:r>
        <w:rPr>
          <w:rFonts w:hint="eastAsia" w:ascii="黑体" w:hAnsi="黑体" w:eastAsia="黑体" w:cs="黑体"/>
          <w:b w:val="0"/>
          <w:bCs w:val="0"/>
          <w:kern w:val="0"/>
          <w:sz w:val="21"/>
          <w:szCs w:val="21"/>
          <w:lang w:val="en-US" w:eastAsia="zh-CN"/>
        </w:rPr>
        <w:t>设备安装</w:t>
      </w:r>
      <w:bookmarkEnd w:id="121"/>
      <w:bookmarkEnd w:id="122"/>
    </w:p>
    <w:p w14:paraId="111E22C8">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除湿机的除湿量和型号的选择，应根据使用环境空间的体积、新风量的大小、空间环境所需的湿度要求等具体数值进行计算。</w:t>
      </w:r>
    </w:p>
    <w:p w14:paraId="092DB800">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基础的强度、外形尺寸、坐标、标高、预留预埋件及减振装置应符合设计规定。除湿设备的基础应采用混凝土平台，其高度应考虑凝结水水封的高度及管道安装坡度。如设计无具体要求时，基础的长度及宽度宜按照设备的外型尺寸各加100mm，基础面高度应高于机房地平面150～200mm。</w:t>
      </w:r>
    </w:p>
    <w:p w14:paraId="4F2CA475">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7.2.3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除湿设备安装应由设备厂家认定的具有相关资质的专业人员指导安装，并应满足下列安装要求：</w:t>
      </w:r>
    </w:p>
    <w:p w14:paraId="50EC2CB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冷却除湿盘管应设挡水板</w:t>
      </w:r>
      <w:r>
        <w:rPr>
          <w:rFonts w:hint="eastAsia" w:ascii="宋体" w:hAnsi="宋体" w:eastAsia="宋体" w:cs="宋体"/>
          <w:b w:val="0"/>
          <w:bCs w:val="0"/>
          <w:sz w:val="21"/>
          <w:szCs w:val="21"/>
          <w:lang w:eastAsia="zh-CN"/>
        </w:rPr>
        <w:t>。</w:t>
      </w:r>
    </w:p>
    <w:p w14:paraId="70F3315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2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应设冷却除湿盘管冷凝水U形排水口，排水顺畅、无溢出和渗漏</w:t>
      </w:r>
      <w:r>
        <w:rPr>
          <w:rFonts w:hint="eastAsia" w:ascii="宋体" w:hAnsi="宋体" w:eastAsia="宋体" w:cs="宋体"/>
          <w:b w:val="0"/>
          <w:bCs w:val="0"/>
          <w:sz w:val="21"/>
          <w:szCs w:val="21"/>
          <w:lang w:eastAsia="zh-CN"/>
        </w:rPr>
        <w:t>。</w:t>
      </w:r>
    </w:p>
    <w:p w14:paraId="45E9EE1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3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箱体应有严格的密封措施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并应有</w:t>
      </w:r>
      <w:r>
        <w:rPr>
          <w:rFonts w:hint="eastAsia" w:ascii="宋体" w:hAnsi="宋体" w:eastAsia="宋体" w:cs="宋体"/>
          <w:b w:val="0"/>
          <w:bCs w:val="0"/>
          <w:sz w:val="21"/>
          <w:szCs w:val="21"/>
        </w:rPr>
        <w:t>防冷桥措施</w:t>
      </w:r>
      <w:r>
        <w:rPr>
          <w:rFonts w:hint="eastAsia" w:ascii="宋体" w:hAnsi="宋体" w:eastAsia="宋体" w:cs="宋体"/>
          <w:b w:val="0"/>
          <w:bCs w:val="0"/>
          <w:sz w:val="21"/>
          <w:szCs w:val="21"/>
          <w:lang w:eastAsia="zh-CN"/>
        </w:rPr>
        <w:t>。</w:t>
      </w:r>
    </w:p>
    <w:p w14:paraId="1283C476">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4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的检查门应严密、牢固，能灵活开启并能锁紧</w:t>
      </w:r>
      <w:r>
        <w:rPr>
          <w:rFonts w:hint="eastAsia" w:ascii="宋体" w:hAnsi="宋体" w:eastAsia="宋体" w:cs="宋体"/>
          <w:b w:val="0"/>
          <w:bCs w:val="0"/>
          <w:sz w:val="21"/>
          <w:szCs w:val="21"/>
          <w:lang w:eastAsia="zh-CN"/>
        </w:rPr>
        <w:t>。</w:t>
      </w:r>
    </w:p>
    <w:p w14:paraId="0224CA5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5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的风机应有柔性接管并应采取减震措施</w:t>
      </w:r>
      <w:r>
        <w:rPr>
          <w:rFonts w:hint="eastAsia" w:ascii="宋体" w:hAnsi="宋体" w:eastAsia="宋体" w:cs="宋体"/>
          <w:b w:val="0"/>
          <w:bCs w:val="0"/>
          <w:sz w:val="21"/>
          <w:szCs w:val="21"/>
          <w:lang w:eastAsia="zh-CN"/>
        </w:rPr>
        <w:t>。</w:t>
      </w:r>
    </w:p>
    <w:p w14:paraId="2F55C4F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6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设备</w:t>
      </w:r>
      <w:r>
        <w:rPr>
          <w:rFonts w:hint="eastAsia" w:ascii="宋体" w:hAnsi="宋体" w:eastAsia="宋体" w:cs="宋体"/>
          <w:b w:val="0"/>
          <w:bCs w:val="0"/>
          <w:sz w:val="21"/>
          <w:szCs w:val="21"/>
        </w:rPr>
        <w:t>应具备一定的维护空间</w:t>
      </w:r>
      <w:r>
        <w:rPr>
          <w:rFonts w:hint="eastAsia" w:ascii="宋体" w:hAnsi="宋体" w:eastAsia="宋体" w:cs="宋体"/>
          <w:b w:val="0"/>
          <w:bCs w:val="0"/>
          <w:sz w:val="21"/>
          <w:szCs w:val="21"/>
          <w:lang w:eastAsia="zh-CN"/>
        </w:rPr>
        <w:t>。</w:t>
      </w:r>
    </w:p>
    <w:p w14:paraId="5A8741A8">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7</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除湿</w:t>
      </w:r>
      <w:r>
        <w:rPr>
          <w:rFonts w:hint="eastAsia" w:ascii="宋体" w:hAnsi="宋体" w:eastAsia="宋体" w:cs="宋体"/>
          <w:b w:val="0"/>
          <w:bCs w:val="0"/>
          <w:sz w:val="21"/>
          <w:szCs w:val="21"/>
          <w:lang w:val="en-US" w:eastAsia="zh-CN"/>
        </w:rPr>
        <w:t>设</w:t>
      </w:r>
      <w:r>
        <w:rPr>
          <w:rFonts w:hint="eastAsia" w:ascii="宋体" w:hAnsi="宋体" w:eastAsia="宋体" w:cs="宋体"/>
          <w:sz w:val="21"/>
          <w:szCs w:val="21"/>
          <w:lang w:val="en-US" w:eastAsia="zh-CN"/>
        </w:rPr>
        <w:t>备</w:t>
      </w:r>
      <w:r>
        <w:rPr>
          <w:rFonts w:hint="eastAsia" w:ascii="宋体" w:hAnsi="宋体" w:eastAsia="宋体" w:cs="宋体"/>
          <w:sz w:val="21"/>
          <w:szCs w:val="21"/>
        </w:rPr>
        <w:t>应能承受一定的机械强度和热应力。</w:t>
      </w:r>
    </w:p>
    <w:p w14:paraId="304A4D87">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23" w:name="_Toc21989"/>
      <w:bookmarkStart w:id="124" w:name="_Toc3766"/>
      <w:bookmarkStart w:id="125" w:name="_Toc10320"/>
      <w:bookmarkStart w:id="126" w:name="_Toc20674"/>
      <w:bookmarkStart w:id="127" w:name="_Toc127741848"/>
      <w:r>
        <w:rPr>
          <w:rFonts w:hint="eastAsia" w:ascii="黑体" w:hAnsi="黑体" w:eastAsia="黑体" w:cs="黑体"/>
          <w:b w:val="0"/>
          <w:bCs w:val="0"/>
          <w:kern w:val="0"/>
          <w:sz w:val="21"/>
          <w:szCs w:val="21"/>
          <w:lang w:val="en-US" w:eastAsia="zh-CN"/>
        </w:rPr>
        <w:t xml:space="preserve">7.3  </w:t>
      </w:r>
      <w:bookmarkEnd w:id="123"/>
      <w:bookmarkEnd w:id="124"/>
      <w:bookmarkEnd w:id="125"/>
      <w:r>
        <w:rPr>
          <w:rFonts w:hint="eastAsia" w:ascii="黑体" w:hAnsi="黑体" w:eastAsia="黑体" w:cs="黑体"/>
          <w:b w:val="0"/>
          <w:bCs w:val="0"/>
          <w:kern w:val="0"/>
          <w:sz w:val="21"/>
          <w:szCs w:val="21"/>
          <w:lang w:val="en-US" w:eastAsia="zh-CN"/>
        </w:rPr>
        <w:t>除湿风管系统安装</w:t>
      </w:r>
      <w:bookmarkEnd w:id="126"/>
      <w:bookmarkEnd w:id="127"/>
    </w:p>
    <w:p w14:paraId="011AE736">
      <w:pPr>
        <w:pStyle w:val="2"/>
        <w:spacing w:beforeLines="0" w:afterLines="0"/>
        <w:ind w:left="0" w:leftChars="0" w:firstLine="0" w:firstLineChars="0"/>
        <w:rPr>
          <w:rFonts w:hint="eastAsia" w:ascii="宋体" w:hAnsi="宋体"/>
          <w:sz w:val="24"/>
          <w:szCs w:val="24"/>
        </w:rPr>
      </w:pPr>
      <w:r>
        <w:rPr>
          <w:rFonts w:hint="eastAsia" w:ascii="宋体" w:hAnsi="Times New Roman" w:eastAsia="宋体" w:cs="Times New Roman"/>
          <w:b w:val="0"/>
          <w:bCs/>
          <w:kern w:val="2"/>
          <w:sz w:val="21"/>
          <w:szCs w:val="21"/>
          <w:lang w:val="en-US" w:eastAsia="zh-CN" w:bidi="ar-SA"/>
        </w:rPr>
        <w:t>7.3.1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除湿风管支、吊架的安装应符合下列规定</w:t>
      </w:r>
    </w:p>
    <w:p w14:paraId="50F9675A">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金属风管水平安装身直径或边长小于等于400mm时支、间距不应大于4m；大于400mm时间距不应大于3m螺旋风管的支、吊架的间距可为5m与3.75m;薄钢板法兰风管的支、吊架间距大于3m。垂直安装时,应设置至少2固定点,支架间距不应大4m。</w:t>
      </w:r>
    </w:p>
    <w:p w14:paraId="06BA116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支、吊架的设置不应影响阀门、自控机构的正常动作，应设置在风口、检查门处,离风口和分支管的距离不宜小于200mm。</w:t>
      </w:r>
    </w:p>
    <w:p w14:paraId="3C9FB4D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悬吊的水平主、风管直线长度大于 20m 时,应设置防晃支架或防止摆动的固定点。</w:t>
      </w:r>
    </w:p>
    <w:p w14:paraId="12E5F8AD">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矩形风管的抱箍支架,折角应平直,抱箍应紧贴风管。形风管的支架应设托座或抱箍,圆弧应均匀,且应与风管外径一致。</w:t>
      </w:r>
    </w:p>
    <w:p w14:paraId="297C235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风管或空调设备使用的可调节减振支、吊架,拉伸或压缩 量应符合设计要求。</w:t>
      </w:r>
    </w:p>
    <w:p w14:paraId="7B4436E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不锈钢板、铝板风管与碳素钢支架的接触处,应采取隔绝 或防腐绝缘措施。</w:t>
      </w:r>
    </w:p>
    <w:p w14:paraId="2300634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边长(直径)大于1250mm的弯头、三通等部位应设置单独的支、吊架 。</w:t>
      </w:r>
    </w:p>
    <w:p w14:paraId="60B8FAEE">
      <w:pPr>
        <w:pStyle w:val="2"/>
        <w:spacing w:beforeLines="0" w:after="0" w:afterLines="0"/>
        <w:ind w:left="0" w:leftChars="0" w:firstLine="0" w:firstLineChars="0"/>
        <w:rPr>
          <w:rFonts w:hint="eastAsia" w:ascii="宋体" w:hAnsi="宋体" w:eastAsia="宋体"/>
          <w:sz w:val="24"/>
          <w:szCs w:val="24"/>
          <w:lang w:eastAsia="zh-CN"/>
        </w:rPr>
      </w:pPr>
      <w:r>
        <w:rPr>
          <w:rFonts w:hint="eastAsia" w:ascii="宋体" w:hAnsi="Times New Roman" w:eastAsia="宋体" w:cs="Times New Roman"/>
          <w:b w:val="0"/>
          <w:bCs/>
          <w:kern w:val="2"/>
          <w:sz w:val="21"/>
          <w:szCs w:val="21"/>
          <w:lang w:val="en-US" w:eastAsia="zh-CN" w:bidi="ar-SA"/>
        </w:rPr>
        <w:t>7.3.2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除湿风管安装应符合《通风与空调工程施工质量验收规范》GB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50243、《通风与空调工程施工规范》GB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50738的相关要求，并应符合下列规定：</w:t>
      </w:r>
    </w:p>
    <w:p w14:paraId="5D3E4288">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风管应保持清洁,管内不应有杂物和积尘。</w:t>
      </w:r>
    </w:p>
    <w:p w14:paraId="227E60E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风管安装的位置、标高、走向,应符合设计要求。</w:t>
      </w:r>
    </w:p>
    <w:p w14:paraId="138AA936">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明装风管水平安装，水平度的允许偏差不超过3mm</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m，总偏差不应大于20mm。垂直安装，垂直度的允许偏差不超过2mm</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m，总偏差不应大于20mm。</w:t>
      </w:r>
    </w:p>
    <w:p w14:paraId="7735CC8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暗装风管位置应正确、无明显偏差。</w:t>
      </w:r>
    </w:p>
    <w:p w14:paraId="0E10014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sz w:val="24"/>
          <w:szCs w:val="24"/>
          <w:lang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织物布风管抗拉强度应满足现行国家标准《纺织品织物撕破性能第1部分：冲击摆锤法撕破强力的测定》GB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3917.1的规定，健康安全性能应达到现行国家标准《国家纺织产品基本安全技术规范》GB</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18401规定的指标，抗静电性能应符合现行国家标准《纺织品静电性能的评定第4部分：电阻率》GB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12703.4的相关规定，抗凝露性能应符合现行行业标准《非金属及复合风管》JG</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258的相关规定。</w:t>
      </w:r>
    </w:p>
    <w:p w14:paraId="59BBB637">
      <w:pPr>
        <w:pStyle w:val="6"/>
        <w:snapToGrid w:val="0"/>
        <w:spacing w:before="240" w:after="240"/>
        <w:ind w:firstLine="482"/>
        <w:rPr>
          <w:rFonts w:hint="eastAsia" w:ascii="Times New Roman" w:hAnsi="Times New Roman"/>
          <w:sz w:val="24"/>
          <w:szCs w:val="24"/>
        </w:rPr>
      </w:pPr>
      <w:bookmarkStart w:id="128" w:name="_Toc28861"/>
      <w:bookmarkStart w:id="129" w:name="_Toc25438"/>
      <w:bookmarkStart w:id="130" w:name="_Toc12183"/>
      <w:bookmarkStart w:id="131" w:name="_Toc127741849"/>
      <w:bookmarkStart w:id="132" w:name="_Toc9487"/>
      <w:r>
        <w:rPr>
          <w:rFonts w:hint="eastAsia" w:ascii="黑体" w:hAnsi="黑体" w:eastAsia="黑体" w:cs="黑体"/>
          <w:b w:val="0"/>
          <w:bCs w:val="0"/>
          <w:kern w:val="0"/>
          <w:sz w:val="21"/>
          <w:szCs w:val="21"/>
          <w:lang w:val="en-US" w:eastAsia="zh-CN"/>
        </w:rPr>
        <w:t xml:space="preserve">7.4 </w:t>
      </w:r>
      <w:bookmarkEnd w:id="128"/>
      <w:bookmarkEnd w:id="129"/>
      <w:bookmarkEnd w:id="130"/>
      <w:r>
        <w:rPr>
          <w:rFonts w:hint="eastAsia" w:ascii="黑体" w:hAnsi="黑体" w:eastAsia="黑体" w:cs="黑体"/>
          <w:b w:val="0"/>
          <w:bCs w:val="0"/>
          <w:kern w:val="0"/>
          <w:sz w:val="21"/>
          <w:szCs w:val="21"/>
          <w:lang w:val="en-US" w:eastAsia="zh-CN"/>
        </w:rPr>
        <w:t xml:space="preserve"> 空调除湿制冷剂管道系统安装</w:t>
      </w:r>
      <w:bookmarkEnd w:id="131"/>
      <w:bookmarkEnd w:id="132"/>
    </w:p>
    <w:p w14:paraId="7F2BFFA3">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制冷剂管道一般气、液管并排敷设，冷媒管安装时支吊架的间距应符合设计要求，并以液管直径大小来确定。</w:t>
      </w:r>
    </w:p>
    <w:p w14:paraId="5A9A56A3">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宋体" w:eastAsia="宋体"/>
          <w:sz w:val="24"/>
          <w:szCs w:val="24"/>
          <w:lang w:val="en-US" w:eastAsia="zh-CN"/>
        </w:rPr>
      </w:pPr>
      <w:r>
        <w:rPr>
          <w:rFonts w:hint="eastAsia" w:ascii="宋体" w:hAnsi="Times New Roman" w:eastAsia="宋体" w:cs="Times New Roman"/>
          <w:b w:val="0"/>
          <w:bCs/>
          <w:kern w:val="2"/>
          <w:sz w:val="21"/>
          <w:szCs w:val="21"/>
          <w:lang w:val="en-US" w:eastAsia="zh-CN" w:bidi="ar-SA"/>
        </w:rPr>
        <w:t xml:space="preserve">7.4.2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制冷剂管道穿墙应符合下列规定：</w:t>
      </w:r>
    </w:p>
    <w:p w14:paraId="38990B2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管道穿墙安装时应加设套管且不得以套管作为管路支撑，套管内管道不应有焊点。</w:t>
      </w:r>
    </w:p>
    <w:p w14:paraId="7852D77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套管与冷媒管间隙应用防火胶泥材料填充，套管与墙体间应用水泥沙浆封堵。</w:t>
      </w:r>
    </w:p>
    <w:p w14:paraId="6BC667B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sz w:val="24"/>
          <w:szCs w:val="24"/>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穿墙孔应有向室外的坡度，防止雨水进入室内。</w:t>
      </w:r>
    </w:p>
    <w:p w14:paraId="62839ECB">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分歧管安装应符合下列规定：</w:t>
      </w:r>
    </w:p>
    <w:p w14:paraId="15782B3A">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检查确认分歧管型号和流量符合空调性能和设计要求。</w:t>
      </w:r>
    </w:p>
    <w:p w14:paraId="3DAAEDE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水平安装两分歧管支管必须在同一水平面上，不能在同一竖直面上。</w:t>
      </w:r>
    </w:p>
    <w:p w14:paraId="399D2F1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铜管弯头距分歧管的距离应在500mm以上，两分歧管间距应在1000mm以上。</w:t>
      </w:r>
    </w:p>
    <w:p w14:paraId="28E3E67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冷媒管与分歧管管径不同时，应用割刀切割调整分歧管侧的管径。</w:t>
      </w:r>
    </w:p>
    <w:p w14:paraId="218BDC0C">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冷媒管路安装应符合下列规定：</w:t>
      </w:r>
    </w:p>
    <w:p w14:paraId="219EDA1A">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冷媒管路安装应保持管内干燥。</w:t>
      </w:r>
    </w:p>
    <w:p w14:paraId="36744C2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铜管切割应使用割刀，应向下倾斜，防止铜屑等进入管内。</w:t>
      </w:r>
    </w:p>
    <w:p w14:paraId="1A426550">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冷媒管焊接应采用承插钎焊连接，承插的扩口方向应迎介质流向，插接深度应符合表7.4.4的要求。</w:t>
      </w:r>
    </w:p>
    <w:p w14:paraId="13841F28">
      <w:pPr>
        <w:pStyle w:val="2"/>
        <w:ind w:left="0" w:leftChars="0" w:firstLine="0" w:firstLineChars="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7.4.4    冷媒管插接深度</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2125"/>
        <w:gridCol w:w="2147"/>
        <w:gridCol w:w="2147"/>
      </w:tblGrid>
      <w:tr w14:paraId="227F7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7" w:type="dxa"/>
            <w:tcBorders>
              <w:tl2br w:val="nil"/>
              <w:tr2bl w:val="nil"/>
            </w:tcBorders>
            <w:vAlign w:val="center"/>
          </w:tcPr>
          <w:p w14:paraId="16115FE9">
            <w:pPr>
              <w:pStyle w:val="4"/>
              <w:keepNext w:val="0"/>
              <w:keepLines w:val="0"/>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b w:val="0"/>
                <w:kern w:val="2"/>
                <w:sz w:val="18"/>
                <w:szCs w:val="18"/>
                <w:lang w:val="en-US" w:eastAsia="zh-CN" w:bidi="ar-SA"/>
              </w:rPr>
              <w:t>冷媒管管径（mm）</w:t>
            </w:r>
          </w:p>
        </w:tc>
        <w:tc>
          <w:tcPr>
            <w:tcW w:w="2517" w:type="dxa"/>
            <w:tcBorders>
              <w:tl2br w:val="nil"/>
              <w:tr2bl w:val="nil"/>
            </w:tcBorders>
            <w:vAlign w:val="center"/>
          </w:tcPr>
          <w:p w14:paraId="389B32FF">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Ф6.4～Ф19.1</w:t>
            </w:r>
          </w:p>
        </w:tc>
        <w:tc>
          <w:tcPr>
            <w:tcW w:w="2518" w:type="dxa"/>
            <w:tcBorders>
              <w:tl2br w:val="nil"/>
              <w:tr2bl w:val="nil"/>
            </w:tcBorders>
            <w:vAlign w:val="center"/>
          </w:tcPr>
          <w:p w14:paraId="3DD84BCA">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Ф22.2～Ф31.8</w:t>
            </w:r>
          </w:p>
        </w:tc>
        <w:tc>
          <w:tcPr>
            <w:tcW w:w="2518" w:type="dxa"/>
            <w:tcBorders>
              <w:tl2br w:val="nil"/>
              <w:tr2bl w:val="nil"/>
            </w:tcBorders>
            <w:vAlign w:val="center"/>
          </w:tcPr>
          <w:p w14:paraId="3D6D5514">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Ф38.1～Ф44.5</w:t>
            </w:r>
          </w:p>
        </w:tc>
      </w:tr>
      <w:tr w14:paraId="622A8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7" w:type="dxa"/>
            <w:tcBorders>
              <w:tl2br w:val="nil"/>
              <w:tr2bl w:val="nil"/>
            </w:tcBorders>
            <w:vAlign w:val="center"/>
          </w:tcPr>
          <w:p w14:paraId="0AEB3EEC">
            <w:pPr>
              <w:pStyle w:val="4"/>
              <w:keepNext w:val="0"/>
              <w:keepLines w:val="0"/>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b w:val="0"/>
                <w:kern w:val="2"/>
                <w:sz w:val="18"/>
                <w:szCs w:val="18"/>
                <w:lang w:val="en-US" w:eastAsia="zh-CN" w:bidi="ar-SA"/>
              </w:rPr>
              <w:t>插接深度（mm）</w:t>
            </w:r>
          </w:p>
        </w:tc>
        <w:tc>
          <w:tcPr>
            <w:tcW w:w="2517" w:type="dxa"/>
            <w:tcBorders>
              <w:tl2br w:val="nil"/>
              <w:tr2bl w:val="nil"/>
            </w:tcBorders>
            <w:vAlign w:val="center"/>
          </w:tcPr>
          <w:p w14:paraId="6C6A99CB">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15</w:t>
            </w:r>
          </w:p>
        </w:tc>
        <w:tc>
          <w:tcPr>
            <w:tcW w:w="2518" w:type="dxa"/>
            <w:tcBorders>
              <w:tl2br w:val="nil"/>
              <w:tr2bl w:val="nil"/>
            </w:tcBorders>
            <w:vAlign w:val="center"/>
          </w:tcPr>
          <w:p w14:paraId="3F902987">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20</w:t>
            </w:r>
          </w:p>
        </w:tc>
        <w:tc>
          <w:tcPr>
            <w:tcW w:w="2518" w:type="dxa"/>
            <w:tcBorders>
              <w:tl2br w:val="nil"/>
              <w:tr2bl w:val="nil"/>
            </w:tcBorders>
            <w:vAlign w:val="center"/>
          </w:tcPr>
          <w:p w14:paraId="58841E1F">
            <w:pPr>
              <w:pStyle w:val="4"/>
              <w:keepNext w:val="0"/>
              <w:keepLines w:val="0"/>
              <w:suppressLineNumbers w:val="0"/>
              <w:spacing w:before="0" w:beforeAutospacing="0" w:after="0" w:afterAutospacing="0"/>
              <w:ind w:left="0" w:right="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25</w:t>
            </w:r>
          </w:p>
        </w:tc>
      </w:tr>
    </w:tbl>
    <w:p w14:paraId="5718DA5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喇叭口连接时，内外表面应喷涂冷冻油，确保密封、避免管道扭曲。</w:t>
      </w:r>
    </w:p>
    <w:p w14:paraId="0C405C30">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冷媒管焊接时应采用立焊或俯焊，防止烫伤并并确保焊接质量。</w:t>
      </w:r>
    </w:p>
    <w:p w14:paraId="4143615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冷媒管与电子膨胀阀焊接时，应对阀体采取降温保护措施，防止焊接时高温造成阀体损坏。</w:t>
      </w:r>
    </w:p>
    <w:p w14:paraId="1ECC72BF">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eastAsia" w:cs="Times New Roman"/>
          <w:b w:val="0"/>
          <w:bCs/>
          <w:kern w:val="2"/>
          <w:sz w:val="21"/>
          <w:szCs w:val="21"/>
          <w:lang w:val="en-US" w:eastAsia="zh-CN" w:bidi="ar-SA"/>
        </w:rPr>
        <w:t>4.5</w:t>
      </w:r>
      <w:r>
        <w:rPr>
          <w:rFonts w:hint="eastAsia" w:ascii="宋体" w:hAnsi="Times New Roman" w:eastAsia="宋体" w:cs="Times New Roman"/>
          <w:b w:val="0"/>
          <w:bCs/>
          <w:kern w:val="2"/>
          <w:sz w:val="21"/>
          <w:szCs w:val="21"/>
          <w:lang w:val="en-US" w:eastAsia="zh-CN" w:bidi="ar-SA"/>
        </w:rPr>
        <w:t xml:space="preserve">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制冷剂管道绝热保温应符合下列规定：</w:t>
      </w:r>
    </w:p>
    <w:p w14:paraId="5946488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制冷剂管道保温应符合设计要求，通常采用高压发泡聚乙烯(PEF，难燃B1级)。气管和液管分开保温，当设计无要求时，保温层厚度应符合表7.</w:t>
      </w:r>
      <w:r>
        <w:rPr>
          <w:rFonts w:hint="eastAsia" w:hAnsi="宋体" w:cs="宋体"/>
          <w:b w:val="0"/>
          <w:bCs w:val="0"/>
          <w:sz w:val="21"/>
          <w:szCs w:val="21"/>
          <w:lang w:val="en-US" w:eastAsia="zh-CN"/>
        </w:rPr>
        <w:t>4.5</w:t>
      </w:r>
      <w:r>
        <w:rPr>
          <w:rFonts w:hint="eastAsia" w:ascii="宋体" w:hAnsi="宋体" w:eastAsia="宋体" w:cs="宋体"/>
          <w:b w:val="0"/>
          <w:bCs w:val="0"/>
          <w:sz w:val="21"/>
          <w:szCs w:val="21"/>
          <w:lang w:val="en-US" w:eastAsia="zh-CN"/>
        </w:rPr>
        <w:t>要求，室外的管道保温层分别加厚5mm，并外包铝箔。</w:t>
      </w:r>
    </w:p>
    <w:p w14:paraId="63D8B4E9">
      <w:pPr>
        <w:pStyle w:val="2"/>
        <w:ind w:left="0" w:leftChars="0" w:firstLine="0" w:firstLineChars="0"/>
        <w:jc w:val="center"/>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7.4.5    冷媒管保温层厚度要求</w:t>
      </w:r>
    </w:p>
    <w:tbl>
      <w:tblPr>
        <w:tblStyle w:val="14"/>
        <w:tblW w:w="86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8"/>
        <w:gridCol w:w="2168"/>
        <w:gridCol w:w="2170"/>
      </w:tblGrid>
      <w:tr w14:paraId="5BF77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tcBorders>
              <w:tl2br w:val="nil"/>
              <w:tr2bl w:val="nil"/>
            </w:tcBorders>
            <w:noWrap w:val="0"/>
            <w:vAlign w:val="center"/>
          </w:tcPr>
          <w:p w14:paraId="5863AC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管径(mm)</w:t>
            </w:r>
          </w:p>
        </w:tc>
        <w:tc>
          <w:tcPr>
            <w:tcW w:w="2168" w:type="dxa"/>
            <w:tcBorders>
              <w:tl2br w:val="nil"/>
              <w:tr2bl w:val="nil"/>
            </w:tcBorders>
            <w:noWrap w:val="0"/>
            <w:vAlign w:val="center"/>
          </w:tcPr>
          <w:p w14:paraId="12E430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Φ6.4～15.9</w:t>
            </w:r>
          </w:p>
        </w:tc>
        <w:tc>
          <w:tcPr>
            <w:tcW w:w="2168" w:type="dxa"/>
            <w:tcBorders>
              <w:tl2br w:val="nil"/>
              <w:tr2bl w:val="nil"/>
            </w:tcBorders>
            <w:noWrap w:val="0"/>
            <w:vAlign w:val="center"/>
          </w:tcPr>
          <w:p w14:paraId="74B02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Φ15.9～38.1</w:t>
            </w:r>
          </w:p>
        </w:tc>
        <w:tc>
          <w:tcPr>
            <w:tcW w:w="2170" w:type="dxa"/>
            <w:tcBorders>
              <w:tl2br w:val="nil"/>
              <w:tr2bl w:val="nil"/>
            </w:tcBorders>
            <w:noWrap w:val="0"/>
            <w:vAlign w:val="center"/>
          </w:tcPr>
          <w:p w14:paraId="40265B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Φ38.1～54.1</w:t>
            </w:r>
          </w:p>
        </w:tc>
      </w:tr>
      <w:tr w14:paraId="7C6E8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tcBorders>
              <w:tl2br w:val="nil"/>
              <w:tr2bl w:val="nil"/>
            </w:tcBorders>
            <w:noWrap w:val="0"/>
            <w:vAlign w:val="center"/>
          </w:tcPr>
          <w:p w14:paraId="512FF4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保温厚度(mm)</w:t>
            </w:r>
          </w:p>
        </w:tc>
        <w:tc>
          <w:tcPr>
            <w:tcW w:w="2168" w:type="dxa"/>
            <w:tcBorders>
              <w:tl2br w:val="nil"/>
              <w:tr2bl w:val="nil"/>
            </w:tcBorders>
            <w:noWrap w:val="0"/>
            <w:vAlign w:val="center"/>
          </w:tcPr>
          <w:p w14:paraId="708A42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68" w:type="dxa"/>
            <w:tcBorders>
              <w:tl2br w:val="nil"/>
              <w:tr2bl w:val="nil"/>
            </w:tcBorders>
            <w:noWrap w:val="0"/>
            <w:vAlign w:val="center"/>
          </w:tcPr>
          <w:p w14:paraId="49E4CB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170" w:type="dxa"/>
            <w:tcBorders>
              <w:tl2br w:val="nil"/>
              <w:tr2bl w:val="nil"/>
            </w:tcBorders>
            <w:noWrap w:val="0"/>
            <w:vAlign w:val="center"/>
          </w:tcPr>
          <w:p w14:paraId="4E68A7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r>
    </w:tbl>
    <w:p w14:paraId="3BCDF16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绝热工作应按设计要求选材施工，焊接前先把保温套管穿好，留出焊接口处。施工时绝对禁止绝热层断段现象，保温套管搭接处应用胶带捆扎好。</w:t>
      </w:r>
    </w:p>
    <w:p w14:paraId="0AD64A4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附属保温材料应安装在气、液管与冷媒配管接口处，且其上的扎带应靠近机侧安装。</w:t>
      </w:r>
    </w:p>
    <w:p w14:paraId="57F309C3">
      <w:pPr>
        <w:pStyle w:val="6"/>
        <w:snapToGrid w:val="0"/>
        <w:spacing w:before="240" w:after="240"/>
        <w:rPr>
          <w:rFonts w:hint="eastAsia" w:ascii="Times New Roman" w:hAnsi="Times New Roman"/>
          <w:sz w:val="24"/>
          <w:szCs w:val="24"/>
        </w:rPr>
      </w:pPr>
      <w:bookmarkStart w:id="133" w:name="_Toc26764"/>
      <w:bookmarkStart w:id="134" w:name="_Toc127741850"/>
      <w:r>
        <w:rPr>
          <w:rFonts w:hint="eastAsia" w:ascii="黑体" w:hAnsi="黑体" w:eastAsia="黑体" w:cs="黑体"/>
          <w:b w:val="0"/>
          <w:bCs w:val="0"/>
          <w:kern w:val="0"/>
          <w:sz w:val="21"/>
          <w:szCs w:val="21"/>
          <w:lang w:val="en-US" w:eastAsia="zh-CN"/>
        </w:rPr>
        <w:t>7.5  水系统安装</w:t>
      </w:r>
      <w:bookmarkEnd w:id="133"/>
      <w:bookmarkEnd w:id="134"/>
    </w:p>
    <w:p w14:paraId="77BAB4D8">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7.5.1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金属管道的支、吊架的形式、位置、间距、标高应符合设计要求，并应符合本规程5.2.1条规定。</w:t>
      </w:r>
    </w:p>
    <w:p w14:paraId="4B9B2A9F">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Times New Roman" w:hAnsi="Times New Roman"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7.5.2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水管道安装应符合下列规定：</w:t>
      </w:r>
    </w:p>
    <w:p w14:paraId="73F6144C">
      <w:pPr>
        <w:snapToGrid w:val="0"/>
        <w:ind w:firstLine="480"/>
        <w:rPr>
          <w:rFonts w:hint="eastAsia" w:ascii="Times New Roman" w:hAnsi="Times New Roman" w:eastAsia="宋体" w:cs="宋体"/>
          <w:sz w:val="24"/>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焊接材料的品种、规格、性能应符合设计要求，管道焊接坡口形式和尺寸应符合表7.5.2的规定，对口平直度的允许偏差应为1%，全长不应大于10mm，管道与设备的固定焊口应远离设备且不宜与设备接口中心线相重合管道的对接，焊缝与支、吊架的距离应大于50mm。</w:t>
      </w:r>
    </w:p>
    <w:p w14:paraId="58DCB4E4">
      <w:pPr>
        <w:pStyle w:val="4"/>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7.5.2    管道焊接坡口形式和尺寸</w:t>
      </w:r>
    </w:p>
    <w:tbl>
      <w:tblPr>
        <w:tblStyle w:val="14"/>
        <w:tblW w:w="77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72"/>
        <w:gridCol w:w="844"/>
        <w:gridCol w:w="861"/>
        <w:gridCol w:w="1696"/>
        <w:gridCol w:w="936"/>
        <w:gridCol w:w="1039"/>
        <w:gridCol w:w="773"/>
        <w:gridCol w:w="1077"/>
      </w:tblGrid>
      <w:tr w14:paraId="4D1031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14:paraId="6B07E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rPr>
              <w:t>项</w:t>
            </w:r>
            <w:r>
              <w:rPr>
                <w:rFonts w:hint="eastAsia" w:ascii="宋体" w:hAnsi="宋体" w:eastAsia="宋体" w:cs="宋体"/>
                <w:snapToGrid w:val="0"/>
                <w:color w:val="000000"/>
                <w:spacing w:val="10"/>
                <w:sz w:val="18"/>
                <w:szCs w:val="18"/>
              </w:rPr>
              <w:t>次</w:t>
            </w:r>
          </w:p>
        </w:tc>
        <w:tc>
          <w:tcPr>
            <w:tcW w:w="844" w:type="dxa"/>
            <w:vMerge w:val="restart"/>
            <w:tcBorders>
              <w:tl2br w:val="nil"/>
              <w:tr2bl w:val="nil"/>
            </w:tcBorders>
            <w:noWrap w:val="0"/>
            <w:vAlign w:val="center"/>
          </w:tcPr>
          <w:p w14:paraId="1F1B7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7"/>
                <w:sz w:val="18"/>
                <w:szCs w:val="18"/>
                <w:lang w:val="en-US" w:eastAsia="zh-CN"/>
              </w:rPr>
              <w:t>厚</w:t>
            </w:r>
            <w:r>
              <w:rPr>
                <w:rFonts w:hint="eastAsia" w:ascii="宋体" w:hAnsi="宋体" w:eastAsia="宋体" w:cs="宋体"/>
                <w:snapToGrid w:val="0"/>
                <w:color w:val="000000"/>
                <w:spacing w:val="7"/>
                <w:sz w:val="18"/>
                <w:szCs w:val="18"/>
              </w:rPr>
              <w:t>度</w:t>
            </w:r>
          </w:p>
          <w:p w14:paraId="05CE0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78"/>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8"/>
                <w:sz w:val="18"/>
                <w:szCs w:val="18"/>
              </w:rPr>
              <w:t>)</w:t>
            </w:r>
          </w:p>
        </w:tc>
        <w:tc>
          <w:tcPr>
            <w:tcW w:w="861" w:type="dxa"/>
            <w:vMerge w:val="restart"/>
            <w:tcBorders>
              <w:tl2br w:val="nil"/>
              <w:tr2bl w:val="nil"/>
            </w:tcBorders>
            <w:noWrap w:val="0"/>
            <w:vAlign w:val="center"/>
          </w:tcPr>
          <w:p w14:paraId="4684C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
                <w:position w:val="9"/>
                <w:sz w:val="18"/>
                <w:szCs w:val="18"/>
              </w:rPr>
              <w:t xml:space="preserve">坡 </w:t>
            </w:r>
            <w:r>
              <w:rPr>
                <w:rFonts w:hint="eastAsia" w:ascii="宋体" w:hAnsi="宋体" w:eastAsia="宋体" w:cs="宋体"/>
                <w:snapToGrid w:val="0"/>
                <w:color w:val="000000"/>
                <w:position w:val="9"/>
                <w:sz w:val="18"/>
                <w:szCs w:val="18"/>
              </w:rPr>
              <w:t>口</w:t>
            </w:r>
          </w:p>
          <w:p w14:paraId="702A4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0"/>
                <w:sz w:val="18"/>
                <w:szCs w:val="18"/>
              </w:rPr>
              <w:t>名称</w:t>
            </w:r>
          </w:p>
        </w:tc>
        <w:tc>
          <w:tcPr>
            <w:tcW w:w="1696" w:type="dxa"/>
            <w:vMerge w:val="restart"/>
            <w:tcBorders>
              <w:tl2br w:val="nil"/>
              <w:tr2bl w:val="nil"/>
            </w:tcBorders>
            <w:noWrap w:val="0"/>
            <w:vAlign w:val="center"/>
          </w:tcPr>
          <w:p w14:paraId="37DE7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lang w:val="en-US" w:eastAsia="zh-CN"/>
              </w:rPr>
              <w:t>破口</w:t>
            </w:r>
            <w:r>
              <w:rPr>
                <w:rFonts w:hint="eastAsia" w:ascii="宋体" w:hAnsi="宋体" w:eastAsia="宋体" w:cs="宋体"/>
                <w:snapToGrid w:val="0"/>
                <w:color w:val="000000"/>
                <w:spacing w:val="11"/>
                <w:sz w:val="18"/>
                <w:szCs w:val="18"/>
              </w:rPr>
              <w:t>形式</w:t>
            </w:r>
          </w:p>
        </w:tc>
        <w:tc>
          <w:tcPr>
            <w:tcW w:w="2748" w:type="dxa"/>
            <w:gridSpan w:val="3"/>
            <w:tcBorders>
              <w:tl2br w:val="nil"/>
              <w:tr2bl w:val="nil"/>
            </w:tcBorders>
            <w:noWrap w:val="0"/>
            <w:vAlign w:val="center"/>
          </w:tcPr>
          <w:p w14:paraId="40097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5"/>
                <w:sz w:val="18"/>
                <w:szCs w:val="18"/>
              </w:rPr>
              <w:t>坡口尺寸</w:t>
            </w:r>
          </w:p>
        </w:tc>
        <w:tc>
          <w:tcPr>
            <w:tcW w:w="1077" w:type="dxa"/>
            <w:vMerge w:val="restart"/>
            <w:tcBorders>
              <w:tl2br w:val="nil"/>
              <w:tr2bl w:val="nil"/>
            </w:tcBorders>
            <w:noWrap w:val="0"/>
            <w:vAlign w:val="center"/>
          </w:tcPr>
          <w:p w14:paraId="6E328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1"/>
                <w:sz w:val="18"/>
                <w:szCs w:val="18"/>
              </w:rPr>
              <w:t>备</w:t>
            </w:r>
            <w:r>
              <w:rPr>
                <w:rFonts w:hint="eastAsia" w:ascii="宋体" w:hAnsi="宋体" w:eastAsia="宋体" w:cs="宋体"/>
                <w:snapToGrid w:val="0"/>
                <w:color w:val="000000"/>
                <w:spacing w:val="10"/>
                <w:sz w:val="18"/>
                <w:szCs w:val="18"/>
              </w:rPr>
              <w:t>注</w:t>
            </w:r>
          </w:p>
        </w:tc>
      </w:tr>
      <w:tr w14:paraId="7BD538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14:paraId="7415F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vMerge w:val="continue"/>
            <w:tcBorders>
              <w:tl2br w:val="nil"/>
              <w:tr2bl w:val="nil"/>
            </w:tcBorders>
            <w:noWrap w:val="0"/>
            <w:vAlign w:val="center"/>
          </w:tcPr>
          <w:p w14:paraId="085E3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61" w:type="dxa"/>
            <w:vMerge w:val="continue"/>
            <w:tcBorders>
              <w:tl2br w:val="nil"/>
              <w:tr2bl w:val="nil"/>
            </w:tcBorders>
            <w:noWrap w:val="0"/>
            <w:vAlign w:val="center"/>
          </w:tcPr>
          <w:p w14:paraId="6C322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14:paraId="51720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14:paraId="2ECDF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pacing w:val="4"/>
                <w:sz w:val="18"/>
                <w:szCs w:val="18"/>
                <w:lang w:val="en-US" w:eastAsia="zh-CN"/>
              </w:rPr>
            </w:pPr>
            <w:r>
              <w:rPr>
                <w:rFonts w:hint="eastAsia" w:ascii="宋体" w:hAnsi="宋体" w:eastAsia="宋体" w:cs="宋体"/>
                <w:snapToGrid w:val="0"/>
                <w:color w:val="000000"/>
                <w:spacing w:val="5"/>
                <w:sz w:val="18"/>
                <w:szCs w:val="18"/>
              </w:rPr>
              <w:t>间</w:t>
            </w:r>
            <w:r>
              <w:rPr>
                <w:rFonts w:hint="eastAsia" w:ascii="宋体" w:hAnsi="宋体" w:eastAsia="宋体" w:cs="宋体"/>
                <w:snapToGrid w:val="0"/>
                <w:color w:val="000000"/>
                <w:spacing w:val="4"/>
                <w:sz w:val="18"/>
                <w:szCs w:val="18"/>
              </w:rPr>
              <w:t>隙</w:t>
            </w:r>
          </w:p>
          <w:p w14:paraId="347A4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C</w:t>
            </w:r>
            <w:r>
              <w:rPr>
                <w:rFonts w:hint="eastAsia" w:ascii="宋体" w:hAnsi="宋体" w:eastAsia="宋体" w:cs="宋体"/>
                <w:snapToGrid w:val="0"/>
                <w:color w:val="000000"/>
                <w:spacing w:val="73"/>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2"/>
                <w:sz w:val="18"/>
                <w:szCs w:val="18"/>
              </w:rPr>
              <w:t>)</w:t>
            </w:r>
          </w:p>
        </w:tc>
        <w:tc>
          <w:tcPr>
            <w:tcW w:w="1039" w:type="dxa"/>
            <w:tcBorders>
              <w:tl2br w:val="nil"/>
              <w:tr2bl w:val="nil"/>
            </w:tcBorders>
            <w:noWrap w:val="0"/>
            <w:vAlign w:val="center"/>
          </w:tcPr>
          <w:p w14:paraId="0A316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pacing w:val="7"/>
                <w:sz w:val="18"/>
                <w:szCs w:val="18"/>
                <w:lang w:val="en-US" w:eastAsia="zh-CN"/>
              </w:rPr>
            </w:pPr>
            <w:r>
              <w:rPr>
                <w:rFonts w:hint="eastAsia" w:ascii="宋体" w:hAnsi="宋体" w:eastAsia="宋体" w:cs="宋体"/>
                <w:snapToGrid w:val="0"/>
                <w:color w:val="000000"/>
                <w:spacing w:val="7"/>
                <w:sz w:val="18"/>
                <w:szCs w:val="18"/>
              </w:rPr>
              <w:t>鈍边</w:t>
            </w:r>
          </w:p>
          <w:p w14:paraId="5AD4F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P</w:t>
            </w:r>
            <w:r>
              <w:rPr>
                <w:rFonts w:hint="eastAsia" w:ascii="宋体" w:hAnsi="宋体" w:eastAsia="宋体" w:cs="宋体"/>
                <w:snapToGrid w:val="0"/>
                <w:color w:val="000000"/>
                <w:spacing w:val="75"/>
                <w:sz w:val="18"/>
                <w:szCs w:val="18"/>
              </w:rPr>
              <w:t>(</w:t>
            </w:r>
            <w:r>
              <w:rPr>
                <w:rFonts w:hint="eastAsia" w:ascii="宋体" w:hAnsi="宋体" w:eastAsia="宋体" w:cs="宋体"/>
                <w:snapToGrid w:val="0"/>
                <w:color w:val="000000"/>
                <w:sz w:val="18"/>
                <w:szCs w:val="18"/>
              </w:rPr>
              <w:t>mm</w:t>
            </w:r>
            <w:r>
              <w:rPr>
                <w:rFonts w:hint="eastAsia" w:ascii="宋体" w:hAnsi="宋体" w:eastAsia="宋体" w:cs="宋体"/>
                <w:snapToGrid w:val="0"/>
                <w:color w:val="000000"/>
                <w:spacing w:val="75"/>
                <w:sz w:val="18"/>
                <w:szCs w:val="18"/>
              </w:rPr>
              <w:t>)</w:t>
            </w:r>
          </w:p>
        </w:tc>
        <w:tc>
          <w:tcPr>
            <w:tcW w:w="773" w:type="dxa"/>
            <w:tcBorders>
              <w:tl2br w:val="nil"/>
              <w:tr2bl w:val="nil"/>
            </w:tcBorders>
            <w:noWrap w:val="0"/>
            <w:vAlign w:val="center"/>
          </w:tcPr>
          <w:p w14:paraId="7EC1F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0"/>
                <w:sz w:val="18"/>
                <w:szCs w:val="18"/>
              </w:rPr>
              <w:t>坡</w:t>
            </w:r>
            <w:r>
              <w:rPr>
                <w:rFonts w:hint="eastAsia" w:ascii="宋体" w:hAnsi="宋体" w:eastAsia="宋体" w:cs="宋体"/>
                <w:snapToGrid w:val="0"/>
                <w:color w:val="000000"/>
                <w:spacing w:val="9"/>
                <w:sz w:val="18"/>
                <w:szCs w:val="18"/>
              </w:rPr>
              <w:t>口角度</w:t>
            </w:r>
            <w:r>
              <w:rPr>
                <w:rFonts w:hint="eastAsia" w:ascii="宋体" w:hAnsi="宋体" w:eastAsia="宋体" w:cs="宋体"/>
                <w:snapToGrid w:val="0"/>
                <w:color w:val="000000"/>
                <w:spacing w:val="24"/>
                <w:sz w:val="18"/>
                <w:szCs w:val="18"/>
              </w:rPr>
              <w:t>α</w:t>
            </w:r>
            <w:r>
              <w:rPr>
                <w:rFonts w:hint="eastAsia" w:ascii="宋体" w:hAnsi="宋体" w:eastAsia="宋体" w:cs="宋体"/>
                <w:snapToGrid w:val="0"/>
                <w:color w:val="000000"/>
                <w:spacing w:val="23"/>
                <w:sz w:val="18"/>
                <w:szCs w:val="18"/>
              </w:rPr>
              <w:t>0</w:t>
            </w:r>
          </w:p>
        </w:tc>
        <w:tc>
          <w:tcPr>
            <w:tcW w:w="1077" w:type="dxa"/>
            <w:vMerge w:val="continue"/>
            <w:tcBorders>
              <w:tl2br w:val="nil"/>
              <w:tr2bl w:val="nil"/>
            </w:tcBorders>
            <w:noWrap w:val="0"/>
            <w:vAlign w:val="center"/>
          </w:tcPr>
          <w:p w14:paraId="44FA0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14:paraId="7F4E8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14:paraId="38E7F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0"/>
                <w:sz w:val="18"/>
                <w:szCs w:val="18"/>
              </w:rPr>
              <w:t>1</w:t>
            </w:r>
          </w:p>
        </w:tc>
        <w:tc>
          <w:tcPr>
            <w:tcW w:w="844" w:type="dxa"/>
            <w:tcBorders>
              <w:tl2br w:val="nil"/>
              <w:tr2bl w:val="nil"/>
            </w:tcBorders>
            <w:noWrap w:val="0"/>
            <w:vAlign w:val="center"/>
          </w:tcPr>
          <w:p w14:paraId="7093A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6"/>
                <w:sz w:val="18"/>
                <w:szCs w:val="18"/>
              </w:rPr>
              <w:t>1~</w:t>
            </w:r>
            <w:r>
              <w:rPr>
                <w:rFonts w:hint="eastAsia" w:ascii="宋体" w:hAnsi="宋体" w:eastAsia="宋体" w:cs="宋体"/>
                <w:snapToGrid w:val="0"/>
                <w:color w:val="000000"/>
                <w:spacing w:val="25"/>
                <w:sz w:val="18"/>
                <w:szCs w:val="18"/>
              </w:rPr>
              <w:t>3</w:t>
            </w:r>
          </w:p>
        </w:tc>
        <w:tc>
          <w:tcPr>
            <w:tcW w:w="861" w:type="dxa"/>
            <w:vMerge w:val="restart"/>
            <w:tcBorders>
              <w:tl2br w:val="nil"/>
              <w:tr2bl w:val="nil"/>
            </w:tcBorders>
            <w:noWrap w:val="0"/>
            <w:vAlign w:val="center"/>
          </w:tcPr>
          <w:p w14:paraId="31AE2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I</w:t>
            </w:r>
            <w:r>
              <w:rPr>
                <w:rFonts w:hint="eastAsia" w:ascii="宋体" w:hAnsi="宋体" w:eastAsia="宋体" w:cs="宋体"/>
                <w:snapToGrid w:val="0"/>
                <w:color w:val="000000"/>
                <w:spacing w:val="32"/>
                <w:sz w:val="18"/>
                <w:szCs w:val="18"/>
              </w:rPr>
              <w:t>形坡</w:t>
            </w:r>
            <w:r>
              <w:rPr>
                <w:rFonts w:hint="eastAsia" w:ascii="宋体" w:hAnsi="宋体" w:eastAsia="宋体" w:cs="宋体"/>
                <w:snapToGrid w:val="0"/>
                <w:color w:val="000000"/>
                <w:spacing w:val="31"/>
                <w:sz w:val="18"/>
                <w:szCs w:val="18"/>
              </w:rPr>
              <w:t>口</w:t>
            </w:r>
          </w:p>
        </w:tc>
        <w:tc>
          <w:tcPr>
            <w:tcW w:w="1696" w:type="dxa"/>
            <w:vMerge w:val="restart"/>
            <w:tcBorders>
              <w:tl2br w:val="nil"/>
              <w:tr2bl w:val="nil"/>
            </w:tcBorders>
            <w:noWrap w:val="0"/>
            <w:vAlign w:val="center"/>
          </w:tcPr>
          <w:p w14:paraId="610B0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638175" cy="362585"/>
                  <wp:effectExtent l="0" t="0" r="190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638175" cy="362585"/>
                          </a:xfrm>
                          <a:prstGeom prst="rect">
                            <a:avLst/>
                          </a:prstGeom>
                          <a:noFill/>
                          <a:ln>
                            <a:noFill/>
                          </a:ln>
                        </pic:spPr>
                      </pic:pic>
                    </a:graphicData>
                  </a:graphic>
                </wp:inline>
              </w:drawing>
            </w:r>
          </w:p>
        </w:tc>
        <w:tc>
          <w:tcPr>
            <w:tcW w:w="936" w:type="dxa"/>
            <w:tcBorders>
              <w:tl2br w:val="nil"/>
              <w:tr2bl w:val="nil"/>
            </w:tcBorders>
            <w:noWrap w:val="0"/>
            <w:vAlign w:val="center"/>
          </w:tcPr>
          <w:p w14:paraId="01070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0~1.</w:t>
            </w:r>
            <w:r>
              <w:rPr>
                <w:rFonts w:hint="eastAsia" w:ascii="宋体" w:hAnsi="宋体" w:eastAsia="宋体" w:cs="宋体"/>
                <w:snapToGrid w:val="0"/>
                <w:color w:val="000000"/>
                <w:spacing w:val="24"/>
                <w:sz w:val="18"/>
                <w:szCs w:val="18"/>
              </w:rPr>
              <w:t>5</w:t>
            </w:r>
          </w:p>
          <w:p w14:paraId="106D2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4"/>
                <w:sz w:val="18"/>
                <w:szCs w:val="18"/>
              </w:rPr>
              <w:t>单面</w:t>
            </w:r>
            <w:r>
              <w:rPr>
                <w:rFonts w:hint="eastAsia" w:ascii="宋体" w:hAnsi="宋体" w:eastAsia="宋体" w:cs="宋体"/>
                <w:snapToGrid w:val="0"/>
                <w:color w:val="000000"/>
                <w:spacing w:val="13"/>
                <w:sz w:val="18"/>
                <w:szCs w:val="18"/>
              </w:rPr>
              <w:t>焊</w:t>
            </w:r>
          </w:p>
        </w:tc>
        <w:tc>
          <w:tcPr>
            <w:tcW w:w="1039" w:type="dxa"/>
            <w:vMerge w:val="restart"/>
            <w:tcBorders>
              <w:tl2br w:val="nil"/>
              <w:tr2bl w:val="nil"/>
            </w:tcBorders>
            <w:noWrap w:val="0"/>
            <w:vAlign w:val="center"/>
          </w:tcPr>
          <w:p w14:paraId="22A64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773" w:type="dxa"/>
            <w:vMerge w:val="restart"/>
            <w:tcBorders>
              <w:tl2br w:val="nil"/>
              <w:tr2bl w:val="nil"/>
            </w:tcBorders>
            <w:noWrap w:val="0"/>
            <w:vAlign w:val="center"/>
          </w:tcPr>
          <w:p w14:paraId="59E66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077" w:type="dxa"/>
            <w:vMerge w:val="restart"/>
            <w:tcBorders>
              <w:tl2br w:val="nil"/>
              <w:tr2bl w:val="nil"/>
            </w:tcBorders>
            <w:noWrap w:val="0"/>
            <w:vAlign w:val="center"/>
          </w:tcPr>
          <w:p w14:paraId="194E6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14:paraId="7BC13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14:paraId="08277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p w14:paraId="2069E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5"/>
                <w:sz w:val="18"/>
                <w:szCs w:val="18"/>
              </w:rPr>
              <w:t>内</w:t>
            </w:r>
            <w:r>
              <w:rPr>
                <w:rFonts w:hint="eastAsia" w:ascii="宋体" w:hAnsi="宋体" w:eastAsia="宋体" w:cs="宋体"/>
                <w:snapToGrid w:val="0"/>
                <w:color w:val="000000"/>
                <w:spacing w:val="12"/>
                <w:sz w:val="18"/>
                <w:szCs w:val="18"/>
              </w:rPr>
              <w:t>壁错边量</w:t>
            </w:r>
            <w:r>
              <w:rPr>
                <w:rFonts w:hint="eastAsia" w:ascii="宋体" w:hAnsi="宋体" w:eastAsia="宋体" w:cs="宋体"/>
                <w:snapToGrid w:val="0"/>
                <w:color w:val="000000"/>
                <w:sz w:val="18"/>
                <w:szCs w:val="18"/>
              </w:rPr>
              <w:t xml:space="preserve"> </w:t>
            </w:r>
            <w:r>
              <w:rPr>
                <w:rFonts w:hint="eastAsia" w:ascii="宋体" w:hAnsi="宋体" w:eastAsia="宋体" w:cs="宋体"/>
                <w:snapToGrid w:val="0"/>
                <w:color w:val="000000"/>
                <w:spacing w:val="40"/>
                <w:sz w:val="18"/>
                <w:szCs w:val="18"/>
              </w:rPr>
              <w:t>≤0.25</w:t>
            </w: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40"/>
                <w:position w:val="2"/>
                <w:sz w:val="18"/>
                <w:szCs w:val="18"/>
              </w:rPr>
              <w:t>,</w:t>
            </w:r>
            <w:r>
              <w:rPr>
                <w:rFonts w:hint="eastAsia" w:ascii="宋体" w:hAnsi="宋体" w:eastAsia="宋体" w:cs="宋体"/>
                <w:snapToGrid w:val="0"/>
                <w:color w:val="000000"/>
                <w:position w:val="2"/>
                <w:sz w:val="18"/>
                <w:szCs w:val="18"/>
              </w:rPr>
              <w:t xml:space="preserve"> </w:t>
            </w:r>
            <w:r>
              <w:rPr>
                <w:rFonts w:hint="eastAsia" w:ascii="宋体" w:hAnsi="宋体" w:eastAsia="宋体" w:cs="宋体"/>
                <w:snapToGrid w:val="0"/>
                <w:color w:val="000000"/>
                <w:spacing w:val="18"/>
                <w:sz w:val="18"/>
                <w:szCs w:val="18"/>
              </w:rPr>
              <w:t>且 ≤</w:t>
            </w:r>
            <w:r>
              <w:rPr>
                <w:rFonts w:hint="eastAsia" w:ascii="宋体" w:hAnsi="宋体" w:eastAsia="宋体" w:cs="宋体"/>
                <w:snapToGrid w:val="0"/>
                <w:color w:val="000000"/>
                <w:spacing w:val="17"/>
                <w:sz w:val="18"/>
                <w:szCs w:val="18"/>
              </w:rPr>
              <w:t>2</w:t>
            </w:r>
            <w:r>
              <w:rPr>
                <w:rFonts w:hint="eastAsia" w:ascii="宋体" w:hAnsi="宋体" w:eastAsia="宋体" w:cs="宋体"/>
                <w:snapToGrid w:val="0"/>
                <w:color w:val="000000"/>
                <w:sz w:val="18"/>
                <w:szCs w:val="18"/>
              </w:rPr>
              <w:t>mm</w:t>
            </w:r>
          </w:p>
        </w:tc>
      </w:tr>
      <w:tr w14:paraId="26AAE8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14:paraId="5B71D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tcBorders>
              <w:tl2br w:val="nil"/>
              <w:tr2bl w:val="nil"/>
            </w:tcBorders>
            <w:noWrap w:val="0"/>
            <w:vAlign w:val="center"/>
          </w:tcPr>
          <w:p w14:paraId="01638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7"/>
                <w:sz w:val="18"/>
                <w:szCs w:val="18"/>
              </w:rPr>
              <w:t>3</w:t>
            </w:r>
            <w:r>
              <w:rPr>
                <w:rFonts w:hint="eastAsia" w:ascii="宋体" w:hAnsi="宋体" w:eastAsia="宋体" w:cs="宋体"/>
                <w:snapToGrid w:val="0"/>
                <w:color w:val="000000"/>
                <w:spacing w:val="26"/>
                <w:sz w:val="18"/>
                <w:szCs w:val="18"/>
              </w:rPr>
              <w:t>~6</w:t>
            </w:r>
          </w:p>
        </w:tc>
        <w:tc>
          <w:tcPr>
            <w:tcW w:w="861" w:type="dxa"/>
            <w:vMerge w:val="continue"/>
            <w:tcBorders>
              <w:tl2br w:val="nil"/>
              <w:tr2bl w:val="nil"/>
            </w:tcBorders>
            <w:noWrap w:val="0"/>
            <w:vAlign w:val="center"/>
          </w:tcPr>
          <w:p w14:paraId="78384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14:paraId="48E4F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14:paraId="25D01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5</w:t>
            </w:r>
          </w:p>
          <w:p w14:paraId="161AD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3"/>
                <w:sz w:val="18"/>
                <w:szCs w:val="18"/>
              </w:rPr>
              <w:t>双面</w:t>
            </w:r>
            <w:r>
              <w:rPr>
                <w:rFonts w:hint="eastAsia" w:ascii="宋体" w:hAnsi="宋体" w:eastAsia="宋体" w:cs="宋体"/>
                <w:snapToGrid w:val="0"/>
                <w:color w:val="000000"/>
                <w:spacing w:val="12"/>
                <w:sz w:val="18"/>
                <w:szCs w:val="18"/>
              </w:rPr>
              <w:t>焊</w:t>
            </w:r>
          </w:p>
        </w:tc>
        <w:tc>
          <w:tcPr>
            <w:tcW w:w="1039" w:type="dxa"/>
            <w:vMerge w:val="continue"/>
            <w:tcBorders>
              <w:tl2br w:val="nil"/>
              <w:tr2bl w:val="nil"/>
            </w:tcBorders>
            <w:noWrap w:val="0"/>
            <w:vAlign w:val="center"/>
          </w:tcPr>
          <w:p w14:paraId="7CDF5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773" w:type="dxa"/>
            <w:vMerge w:val="continue"/>
            <w:tcBorders>
              <w:tl2br w:val="nil"/>
              <w:tr2bl w:val="nil"/>
            </w:tcBorders>
            <w:noWrap w:val="0"/>
            <w:vAlign w:val="center"/>
          </w:tcPr>
          <w:p w14:paraId="5E426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077" w:type="dxa"/>
            <w:vMerge w:val="continue"/>
            <w:tcBorders>
              <w:tl2br w:val="nil"/>
              <w:tr2bl w:val="nil"/>
            </w:tcBorders>
            <w:noWrap w:val="0"/>
            <w:vAlign w:val="center"/>
          </w:tcPr>
          <w:p w14:paraId="71F9E5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14:paraId="37487C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restart"/>
            <w:tcBorders>
              <w:tl2br w:val="nil"/>
              <w:tr2bl w:val="nil"/>
            </w:tcBorders>
            <w:noWrap w:val="0"/>
            <w:vAlign w:val="center"/>
          </w:tcPr>
          <w:p w14:paraId="15746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3"/>
                <w:sz w:val="18"/>
                <w:szCs w:val="18"/>
              </w:rPr>
              <w:t>2</w:t>
            </w:r>
          </w:p>
        </w:tc>
        <w:tc>
          <w:tcPr>
            <w:tcW w:w="844" w:type="dxa"/>
            <w:tcBorders>
              <w:tl2br w:val="nil"/>
              <w:tr2bl w:val="nil"/>
            </w:tcBorders>
            <w:noWrap w:val="0"/>
            <w:vAlign w:val="center"/>
          </w:tcPr>
          <w:p w14:paraId="7775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7"/>
                <w:sz w:val="18"/>
                <w:szCs w:val="18"/>
              </w:rPr>
              <w:t>3</w:t>
            </w:r>
            <w:r>
              <w:rPr>
                <w:rFonts w:hint="eastAsia" w:ascii="宋体" w:hAnsi="宋体" w:eastAsia="宋体" w:cs="宋体"/>
                <w:snapToGrid w:val="0"/>
                <w:color w:val="000000"/>
                <w:spacing w:val="26"/>
                <w:sz w:val="18"/>
                <w:szCs w:val="18"/>
              </w:rPr>
              <w:t>~9</w:t>
            </w:r>
          </w:p>
        </w:tc>
        <w:tc>
          <w:tcPr>
            <w:tcW w:w="861" w:type="dxa"/>
            <w:vMerge w:val="restart"/>
            <w:tcBorders>
              <w:tl2br w:val="nil"/>
              <w:tr2bl w:val="nil"/>
            </w:tcBorders>
            <w:noWrap w:val="0"/>
            <w:vAlign w:val="center"/>
          </w:tcPr>
          <w:p w14:paraId="44384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V</w:t>
            </w:r>
            <w:r>
              <w:rPr>
                <w:rFonts w:hint="eastAsia" w:ascii="宋体" w:hAnsi="宋体" w:eastAsia="宋体" w:cs="宋体"/>
                <w:snapToGrid w:val="0"/>
                <w:color w:val="000000"/>
                <w:spacing w:val="35"/>
                <w:sz w:val="18"/>
                <w:szCs w:val="18"/>
              </w:rPr>
              <w:t>形坡</w:t>
            </w:r>
            <w:r>
              <w:rPr>
                <w:rFonts w:hint="eastAsia" w:ascii="宋体" w:hAnsi="宋体" w:eastAsia="宋体" w:cs="宋体"/>
                <w:snapToGrid w:val="0"/>
                <w:color w:val="000000"/>
                <w:spacing w:val="34"/>
                <w:sz w:val="18"/>
                <w:szCs w:val="18"/>
              </w:rPr>
              <w:t>口</w:t>
            </w:r>
          </w:p>
        </w:tc>
        <w:tc>
          <w:tcPr>
            <w:tcW w:w="1696" w:type="dxa"/>
            <w:vMerge w:val="restart"/>
            <w:tcBorders>
              <w:tl2br w:val="nil"/>
              <w:tr2bl w:val="nil"/>
            </w:tcBorders>
            <w:noWrap w:val="0"/>
            <w:vAlign w:val="center"/>
          </w:tcPr>
          <w:p w14:paraId="30F70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569595" cy="419735"/>
                  <wp:effectExtent l="0" t="0" r="9525" b="698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8"/>
                          <a:stretch>
                            <a:fillRect/>
                          </a:stretch>
                        </pic:blipFill>
                        <pic:spPr>
                          <a:xfrm>
                            <a:off x="0" y="0"/>
                            <a:ext cx="569595" cy="419735"/>
                          </a:xfrm>
                          <a:prstGeom prst="rect">
                            <a:avLst/>
                          </a:prstGeom>
                          <a:noFill/>
                          <a:ln>
                            <a:noFill/>
                          </a:ln>
                        </pic:spPr>
                      </pic:pic>
                    </a:graphicData>
                  </a:graphic>
                </wp:inline>
              </w:drawing>
            </w:r>
          </w:p>
        </w:tc>
        <w:tc>
          <w:tcPr>
            <w:tcW w:w="936" w:type="dxa"/>
            <w:tcBorders>
              <w:tl2br w:val="nil"/>
              <w:tr2bl w:val="nil"/>
            </w:tcBorders>
            <w:noWrap w:val="0"/>
            <w:vAlign w:val="center"/>
          </w:tcPr>
          <w:p w14:paraId="2A8D2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14:paraId="5D88F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773" w:type="dxa"/>
            <w:tcBorders>
              <w:tl2br w:val="nil"/>
              <w:tr2bl w:val="nil"/>
            </w:tcBorders>
            <w:noWrap w:val="0"/>
            <w:vAlign w:val="center"/>
          </w:tcPr>
          <w:p w14:paraId="57087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8"/>
                <w:sz w:val="18"/>
                <w:szCs w:val="18"/>
              </w:rPr>
              <w:t>6</w:t>
            </w:r>
            <w:r>
              <w:rPr>
                <w:rFonts w:hint="eastAsia" w:ascii="宋体" w:hAnsi="宋体" w:eastAsia="宋体" w:cs="宋体"/>
                <w:snapToGrid w:val="0"/>
                <w:color w:val="000000"/>
                <w:spacing w:val="16"/>
                <w:sz w:val="18"/>
                <w:szCs w:val="18"/>
              </w:rPr>
              <w:t>0~65</w:t>
            </w:r>
          </w:p>
        </w:tc>
        <w:tc>
          <w:tcPr>
            <w:tcW w:w="1077" w:type="dxa"/>
            <w:vMerge w:val="continue"/>
            <w:tcBorders>
              <w:tl2br w:val="nil"/>
              <w:tr2bl w:val="nil"/>
            </w:tcBorders>
            <w:noWrap w:val="0"/>
            <w:vAlign w:val="center"/>
          </w:tcPr>
          <w:p w14:paraId="19216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14:paraId="0EE18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vMerge w:val="continue"/>
            <w:tcBorders>
              <w:tl2br w:val="nil"/>
              <w:tr2bl w:val="nil"/>
            </w:tcBorders>
            <w:noWrap w:val="0"/>
            <w:vAlign w:val="center"/>
          </w:tcPr>
          <w:p w14:paraId="089C1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844" w:type="dxa"/>
            <w:tcBorders>
              <w:tl2br w:val="nil"/>
              <w:tr2bl w:val="nil"/>
            </w:tcBorders>
            <w:noWrap w:val="0"/>
            <w:vAlign w:val="center"/>
          </w:tcPr>
          <w:p w14:paraId="64DE2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0"/>
                <w:sz w:val="18"/>
                <w:szCs w:val="18"/>
              </w:rPr>
              <w:t>9~26</w:t>
            </w:r>
          </w:p>
        </w:tc>
        <w:tc>
          <w:tcPr>
            <w:tcW w:w="861" w:type="dxa"/>
            <w:vMerge w:val="continue"/>
            <w:tcBorders>
              <w:tl2br w:val="nil"/>
              <w:tr2bl w:val="nil"/>
            </w:tcBorders>
            <w:noWrap w:val="0"/>
            <w:vAlign w:val="center"/>
          </w:tcPr>
          <w:p w14:paraId="053ED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1696" w:type="dxa"/>
            <w:vMerge w:val="continue"/>
            <w:tcBorders>
              <w:tl2br w:val="nil"/>
              <w:tr2bl w:val="nil"/>
            </w:tcBorders>
            <w:noWrap w:val="0"/>
            <w:vAlign w:val="center"/>
          </w:tcPr>
          <w:p w14:paraId="3F120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c>
          <w:tcPr>
            <w:tcW w:w="936" w:type="dxa"/>
            <w:tcBorders>
              <w:tl2br w:val="nil"/>
              <w:tr2bl w:val="nil"/>
            </w:tcBorders>
            <w:noWrap w:val="0"/>
            <w:vAlign w:val="center"/>
          </w:tcPr>
          <w:p w14:paraId="0D77A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0~3.</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14:paraId="2C615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0~3.</w:t>
            </w:r>
            <w:r>
              <w:rPr>
                <w:rFonts w:hint="eastAsia" w:ascii="宋体" w:hAnsi="宋体" w:eastAsia="宋体" w:cs="宋体"/>
                <w:snapToGrid w:val="0"/>
                <w:color w:val="000000"/>
                <w:spacing w:val="24"/>
                <w:sz w:val="18"/>
                <w:szCs w:val="18"/>
              </w:rPr>
              <w:t>0</w:t>
            </w:r>
          </w:p>
        </w:tc>
        <w:tc>
          <w:tcPr>
            <w:tcW w:w="773" w:type="dxa"/>
            <w:tcBorders>
              <w:tl2br w:val="nil"/>
              <w:tr2bl w:val="nil"/>
            </w:tcBorders>
            <w:noWrap w:val="0"/>
            <w:vAlign w:val="center"/>
          </w:tcPr>
          <w:p w14:paraId="50CDB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18"/>
                <w:sz w:val="18"/>
                <w:szCs w:val="18"/>
              </w:rPr>
              <w:t>5</w:t>
            </w:r>
            <w:r>
              <w:rPr>
                <w:rFonts w:hint="eastAsia" w:ascii="宋体" w:hAnsi="宋体" w:eastAsia="宋体" w:cs="宋体"/>
                <w:snapToGrid w:val="0"/>
                <w:color w:val="000000"/>
                <w:spacing w:val="16"/>
                <w:sz w:val="18"/>
                <w:szCs w:val="18"/>
              </w:rPr>
              <w:t>5~60</w:t>
            </w:r>
          </w:p>
        </w:tc>
        <w:tc>
          <w:tcPr>
            <w:tcW w:w="1077" w:type="dxa"/>
            <w:vMerge w:val="continue"/>
            <w:tcBorders>
              <w:tl2br w:val="nil"/>
              <w:tr2bl w:val="nil"/>
            </w:tcBorders>
            <w:noWrap w:val="0"/>
            <w:vAlign w:val="center"/>
          </w:tcPr>
          <w:p w14:paraId="39895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r w14:paraId="73F47A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72" w:type="dxa"/>
            <w:tcBorders>
              <w:tl2br w:val="nil"/>
              <w:tr2bl w:val="nil"/>
            </w:tcBorders>
            <w:noWrap w:val="0"/>
            <w:vAlign w:val="center"/>
          </w:tcPr>
          <w:p w14:paraId="5C0E0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2"/>
                <w:sz w:val="18"/>
                <w:szCs w:val="18"/>
              </w:rPr>
              <w:t>3</w:t>
            </w:r>
          </w:p>
        </w:tc>
        <w:tc>
          <w:tcPr>
            <w:tcW w:w="844" w:type="dxa"/>
            <w:tcBorders>
              <w:tl2br w:val="nil"/>
              <w:tr2bl w:val="nil"/>
            </w:tcBorders>
            <w:noWrap w:val="0"/>
            <w:vAlign w:val="center"/>
          </w:tcPr>
          <w:p w14:paraId="0513D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2"/>
                <w:sz w:val="18"/>
                <w:szCs w:val="18"/>
              </w:rPr>
              <w:t>2</w:t>
            </w:r>
            <w:r>
              <w:rPr>
                <w:rFonts w:hint="eastAsia" w:ascii="宋体" w:hAnsi="宋体" w:eastAsia="宋体" w:cs="宋体"/>
                <w:snapToGrid w:val="0"/>
                <w:color w:val="000000"/>
                <w:spacing w:val="20"/>
                <w:sz w:val="18"/>
                <w:szCs w:val="18"/>
              </w:rPr>
              <w:t>~30</w:t>
            </w:r>
          </w:p>
        </w:tc>
        <w:tc>
          <w:tcPr>
            <w:tcW w:w="861" w:type="dxa"/>
            <w:tcBorders>
              <w:tl2br w:val="nil"/>
              <w:tr2bl w:val="nil"/>
            </w:tcBorders>
            <w:noWrap w:val="0"/>
            <w:vAlign w:val="center"/>
          </w:tcPr>
          <w:p w14:paraId="5801C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T</w:t>
            </w:r>
            <w:r>
              <w:rPr>
                <w:rFonts w:hint="eastAsia" w:ascii="宋体" w:hAnsi="宋体" w:eastAsia="宋体" w:cs="宋体"/>
                <w:snapToGrid w:val="0"/>
                <w:color w:val="000000"/>
                <w:spacing w:val="35"/>
                <w:sz w:val="18"/>
                <w:szCs w:val="18"/>
              </w:rPr>
              <w:t>形坡口</w:t>
            </w:r>
          </w:p>
        </w:tc>
        <w:tc>
          <w:tcPr>
            <w:tcW w:w="1696" w:type="dxa"/>
            <w:tcBorders>
              <w:tl2br w:val="nil"/>
              <w:tr2bl w:val="nil"/>
            </w:tcBorders>
            <w:noWrap w:val="0"/>
            <w:vAlign w:val="center"/>
          </w:tcPr>
          <w:p w14:paraId="745D7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drawing>
                <wp:inline distT="0" distB="0" distL="114300" distR="114300">
                  <wp:extent cx="560070" cy="638175"/>
                  <wp:effectExtent l="0" t="0" r="3810" b="190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9"/>
                          <a:stretch>
                            <a:fillRect/>
                          </a:stretch>
                        </pic:blipFill>
                        <pic:spPr>
                          <a:xfrm>
                            <a:off x="0" y="0"/>
                            <a:ext cx="560070" cy="638175"/>
                          </a:xfrm>
                          <a:prstGeom prst="rect">
                            <a:avLst/>
                          </a:prstGeom>
                          <a:noFill/>
                          <a:ln>
                            <a:noFill/>
                          </a:ln>
                        </pic:spPr>
                      </pic:pic>
                    </a:graphicData>
                  </a:graphic>
                </wp:inline>
              </w:drawing>
            </w:r>
          </w:p>
        </w:tc>
        <w:tc>
          <w:tcPr>
            <w:tcW w:w="936" w:type="dxa"/>
            <w:tcBorders>
              <w:tl2br w:val="nil"/>
              <w:tr2bl w:val="nil"/>
            </w:tcBorders>
            <w:noWrap w:val="0"/>
            <w:vAlign w:val="center"/>
          </w:tcPr>
          <w:p w14:paraId="3DB65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pacing w:val="25"/>
                <w:sz w:val="18"/>
                <w:szCs w:val="18"/>
              </w:rPr>
              <w:t>0~2.</w:t>
            </w:r>
            <w:r>
              <w:rPr>
                <w:rFonts w:hint="eastAsia" w:ascii="宋体" w:hAnsi="宋体" w:eastAsia="宋体" w:cs="宋体"/>
                <w:snapToGrid w:val="0"/>
                <w:color w:val="000000"/>
                <w:spacing w:val="24"/>
                <w:sz w:val="18"/>
                <w:szCs w:val="18"/>
              </w:rPr>
              <w:t>0</w:t>
            </w:r>
          </w:p>
        </w:tc>
        <w:tc>
          <w:tcPr>
            <w:tcW w:w="1039" w:type="dxa"/>
            <w:tcBorders>
              <w:tl2br w:val="nil"/>
              <w:tr2bl w:val="nil"/>
            </w:tcBorders>
            <w:noWrap w:val="0"/>
            <w:vAlign w:val="center"/>
          </w:tcPr>
          <w:p w14:paraId="38811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w:t>
            </w:r>
          </w:p>
        </w:tc>
        <w:tc>
          <w:tcPr>
            <w:tcW w:w="773" w:type="dxa"/>
            <w:tcBorders>
              <w:tl2br w:val="nil"/>
              <w:tr2bl w:val="nil"/>
            </w:tcBorders>
            <w:noWrap w:val="0"/>
            <w:vAlign w:val="center"/>
          </w:tcPr>
          <w:p w14:paraId="0FC48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t>—</w:t>
            </w:r>
          </w:p>
        </w:tc>
        <w:tc>
          <w:tcPr>
            <w:tcW w:w="1077" w:type="dxa"/>
            <w:tcBorders>
              <w:tl2br w:val="nil"/>
              <w:tr2bl w:val="nil"/>
            </w:tcBorders>
            <w:noWrap w:val="0"/>
            <w:vAlign w:val="center"/>
          </w:tcPr>
          <w:p w14:paraId="579C1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snapToGrid w:val="0"/>
                <w:color w:val="000000"/>
                <w:sz w:val="18"/>
                <w:szCs w:val="18"/>
              </w:rPr>
            </w:pPr>
          </w:p>
        </w:tc>
      </w:tr>
    </w:tbl>
    <w:p w14:paraId="6A6E9AE5">
      <w:pPr>
        <w:kinsoku w:val="0"/>
        <w:autoSpaceDE w:val="0"/>
        <w:autoSpaceDN w:val="0"/>
        <w:adjustRightInd w:val="0"/>
        <w:snapToGrid w:val="0"/>
        <w:spacing w:line="59" w:lineRule="exact"/>
        <w:textAlignment w:val="baseline"/>
        <w:rPr>
          <w:rFonts w:hint="default" w:ascii="Arial" w:hAnsi="Arial" w:eastAsia="等线"/>
          <w:snapToGrid w:val="0"/>
          <w:color w:val="000000"/>
          <w:kern w:val="0"/>
          <w:sz w:val="21"/>
          <w:szCs w:val="24"/>
        </w:rPr>
      </w:pPr>
    </w:p>
    <w:p w14:paraId="395FFE4A">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管道螺纹连接的螺纹应清洁规整，断丝或缺丝不应大于螺纹全扣数的10%。管道的连接应牢固，接口处的外露螺纹应为2扣～3扣，不应有外露填料。镀锌管道的镀锌层应保护完好，局部破损处应进行防腐处理。</w:t>
      </w:r>
    </w:p>
    <w:p w14:paraId="6C52C92E">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管道法兰连接的法兰面应与管道中心线垂直，且应同心。法兰对接应平行，偏差不应大于管道外径的1.5%，且不得大于2mm。连接螺栓长度应一致，螺母应在同一侧，并应均匀拧紧。紧固后的螺母应与螺栓端部平齐或略低于螺栓。法兰衬垫的材料、规格与厚度应符合设计要求。</w:t>
      </w:r>
    </w:p>
    <w:p w14:paraId="1F58B58E">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除湿设备与管道的连接，应采用耐压值大于或等于1.5倍工作压力的金属或非金属柔性接管，连接应牢固，不应有强扭和瘪管。冷凝水排水管的坡度应符合设计要求。当设计无要求时，管道坡度宜大于或等于8%，且应坡向出水口。设备与排水管的连接应采用软接，并应保持畅通。</w:t>
      </w:r>
    </w:p>
    <w:p w14:paraId="6F006B9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镀锌钢管及带有防腐涂层的钢管不得采用焊接连接，应采用螺纹连接。当管径大于DN100时，可采用卡箍或法兰连接。</w:t>
      </w:r>
    </w:p>
    <w:p w14:paraId="3888D38D">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7.5.3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冷凝水管安装应符合下列规定：</w:t>
      </w:r>
    </w:p>
    <w:p w14:paraId="03311A1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设备与冷凝水管应用透明胶管连接，长度≤300mm，胶管用喉箍固定，严禁用铁丝绑扎，胶管不能用作找平、找正的异径连接管使用。</w:t>
      </w:r>
    </w:p>
    <w:p w14:paraId="4D7EB83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水平支管与水平干管连接时，应顶平连接。</w:t>
      </w:r>
    </w:p>
    <w:p w14:paraId="1411CBF6">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35" w:name="_Toc21548"/>
      <w:bookmarkStart w:id="136" w:name="_Toc19290"/>
      <w:bookmarkStart w:id="137" w:name="_Toc17214"/>
      <w:bookmarkStart w:id="138" w:name="_Toc3157"/>
      <w:bookmarkStart w:id="139" w:name="_Toc127741851"/>
      <w:r>
        <w:rPr>
          <w:rFonts w:hint="default" w:ascii="黑体" w:hAnsi="黑体" w:eastAsia="黑体" w:cs="黑体"/>
          <w:b w:val="0"/>
          <w:bCs w:val="0"/>
          <w:kern w:val="0"/>
          <w:sz w:val="21"/>
          <w:szCs w:val="21"/>
          <w:lang w:val="en-US" w:eastAsia="zh-CN"/>
        </w:rPr>
        <w:t>7.6</w:t>
      </w:r>
      <w:r>
        <w:rPr>
          <w:rFonts w:hint="eastAsia" w:ascii="黑体" w:hAnsi="黑体" w:eastAsia="黑体" w:cs="黑体"/>
          <w:b w:val="0"/>
          <w:bCs w:val="0"/>
          <w:kern w:val="0"/>
          <w:sz w:val="21"/>
          <w:szCs w:val="21"/>
          <w:lang w:val="en-US" w:eastAsia="zh-CN"/>
        </w:rPr>
        <w:t xml:space="preserve">  </w:t>
      </w:r>
      <w:bookmarkEnd w:id="135"/>
      <w:bookmarkEnd w:id="136"/>
      <w:bookmarkEnd w:id="137"/>
      <w:r>
        <w:rPr>
          <w:rFonts w:hint="eastAsia" w:ascii="黑体" w:hAnsi="黑体" w:eastAsia="黑体" w:cs="黑体"/>
          <w:b w:val="0"/>
          <w:bCs w:val="0"/>
          <w:kern w:val="0"/>
          <w:sz w:val="21"/>
          <w:szCs w:val="21"/>
          <w:lang w:val="en-US" w:eastAsia="zh-CN"/>
        </w:rPr>
        <w:t>空调除湿系统试验</w:t>
      </w:r>
      <w:bookmarkEnd w:id="138"/>
      <w:bookmarkEnd w:id="139"/>
    </w:p>
    <w:p w14:paraId="7FF96B64">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default" w:ascii="宋体" w:hAnsi="Times New Roman" w:eastAsia="宋体" w:cs="Times New Roman"/>
          <w:b w:val="0"/>
          <w:bCs/>
          <w:kern w:val="2"/>
          <w:sz w:val="21"/>
          <w:szCs w:val="21"/>
          <w:lang w:val="en-US" w:eastAsia="zh-CN" w:bidi="ar-SA"/>
        </w:rPr>
        <w:t>7.6.1</w:t>
      </w:r>
      <w:r>
        <w:rPr>
          <w:rFonts w:hint="eastAsia" w:ascii="宋体" w:hAnsi="Times New Roman" w:eastAsia="宋体" w:cs="Times New Roman"/>
          <w:b w:val="0"/>
          <w:bCs/>
          <w:kern w:val="2"/>
          <w:sz w:val="21"/>
          <w:szCs w:val="21"/>
          <w:lang w:val="en-US" w:eastAsia="zh-CN" w:bidi="ar-SA"/>
        </w:rPr>
        <w:t xml:space="preserve">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阀门试验应符合下列规定：</w:t>
      </w:r>
    </w:p>
    <w:p w14:paraId="7A523DE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阀门安装前应进行外观检查，阀门的铭牌应符合现行国家标准《工业阀门标志》GB</w:t>
      </w:r>
      <w:r>
        <w:rPr>
          <w:rFonts w:hint="eastAsia" w:hAnsi="宋体" w:cs="宋体"/>
          <w:b w:val="0"/>
          <w:bCs w:val="0"/>
          <w:sz w:val="21"/>
          <w:szCs w:val="21"/>
          <w:lang w:val="en-US" w:eastAsia="zh-CN"/>
        </w:rPr>
        <w:t>/</w:t>
      </w:r>
      <w:r>
        <w:rPr>
          <w:rFonts w:hint="eastAsia" w:ascii="宋体" w:hAnsi="宋体" w:eastAsia="宋体" w:cs="宋体"/>
          <w:b w:val="0"/>
          <w:bCs w:val="0"/>
          <w:sz w:val="21"/>
          <w:szCs w:val="21"/>
          <w:lang w:val="en-US" w:eastAsia="zh-CN"/>
        </w:rPr>
        <w:t>T</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12220的有关规定。工作压力大于1.0MPa及在主干管上起到切断作用和系统冷、热水运行转换调节功能的阀门和止回阀，应进行壳体强度和阀瓣密封性能的试验，且应试验合格。</w:t>
      </w:r>
    </w:p>
    <w:p w14:paraId="277B3889">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壳体强度试验压力应为常温条件下公称压力的1.5倍，持续时间不应少于5min，阀门的壳体、填料应无渗漏。</w:t>
      </w:r>
    </w:p>
    <w:p w14:paraId="59A34F9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严密性试验压力应为公称压力的1.1倍，在试验持续的时间内应保持压力不变，阀门压力试验持续时间与允许泄漏量应符合表7.6.1的规定。</w:t>
      </w:r>
    </w:p>
    <w:p w14:paraId="55F9B2E3">
      <w:pPr>
        <w:pStyle w:val="4"/>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7.6.1    阀门压力试验持续时间与允许泄漏量</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CA1C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restart"/>
            <w:tcBorders>
              <w:tl2br w:val="nil"/>
              <w:tr2bl w:val="nil"/>
            </w:tcBorders>
            <w:vAlign w:val="center"/>
          </w:tcPr>
          <w:p w14:paraId="6DA31A0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公称直径（mm）</w:t>
            </w:r>
          </w:p>
        </w:tc>
        <w:tc>
          <w:tcPr>
            <w:tcW w:w="5682" w:type="dxa"/>
            <w:gridSpan w:val="2"/>
            <w:tcBorders>
              <w:tl2br w:val="nil"/>
              <w:tr2bl w:val="nil"/>
            </w:tcBorders>
            <w:vAlign w:val="center"/>
          </w:tcPr>
          <w:p w14:paraId="7AC15DC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lang w:val="en-US" w:eastAsia="zh-CN"/>
              </w:rPr>
              <w:t>最短试验持续时间（s）</w:t>
            </w:r>
          </w:p>
        </w:tc>
      </w:tr>
      <w:tr w14:paraId="4BDE0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continue"/>
            <w:tcBorders>
              <w:tl2br w:val="nil"/>
              <w:tr2bl w:val="nil"/>
            </w:tcBorders>
            <w:vAlign w:val="center"/>
          </w:tcPr>
          <w:p w14:paraId="1FC2A2C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5682" w:type="dxa"/>
            <w:gridSpan w:val="2"/>
            <w:tcBorders>
              <w:tl2br w:val="nil"/>
              <w:tr2bl w:val="nil"/>
            </w:tcBorders>
            <w:vAlign w:val="center"/>
          </w:tcPr>
          <w:p w14:paraId="7BBE5BF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严密性试验（水）</w:t>
            </w:r>
          </w:p>
        </w:tc>
      </w:tr>
      <w:tr w14:paraId="3DB1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Merge w:val="continue"/>
            <w:tcBorders>
              <w:tl2br w:val="nil"/>
              <w:tr2bl w:val="nil"/>
            </w:tcBorders>
            <w:vAlign w:val="center"/>
          </w:tcPr>
          <w:p w14:paraId="151FD4A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2841" w:type="dxa"/>
            <w:tcBorders>
              <w:tl2br w:val="nil"/>
              <w:tr2bl w:val="nil"/>
            </w:tcBorders>
            <w:vAlign w:val="center"/>
          </w:tcPr>
          <w:p w14:paraId="4A6E047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止回阀</w:t>
            </w:r>
          </w:p>
        </w:tc>
        <w:tc>
          <w:tcPr>
            <w:tcW w:w="2841" w:type="dxa"/>
            <w:tcBorders>
              <w:tl2br w:val="nil"/>
              <w:tr2bl w:val="nil"/>
            </w:tcBorders>
            <w:vAlign w:val="center"/>
          </w:tcPr>
          <w:p w14:paraId="7C7EA9A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其他阀门</w:t>
            </w:r>
          </w:p>
        </w:tc>
      </w:tr>
      <w:tr w14:paraId="0CBCC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14:paraId="0C631FB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w:t>
            </w:r>
            <w:r>
              <w:rPr>
                <w:rFonts w:hint="eastAsia" w:ascii="宋体" w:hAnsi="宋体" w:eastAsia="宋体" w:cs="宋体"/>
                <w:color w:val="000000"/>
                <w:sz w:val="18"/>
                <w:szCs w:val="18"/>
                <w:shd w:val="clear" w:color="auto" w:fill="FFFFFF"/>
                <w:vertAlign w:val="baseline"/>
                <w:lang w:val="en-US" w:eastAsia="zh-CN"/>
              </w:rPr>
              <w:t>50</w:t>
            </w:r>
          </w:p>
        </w:tc>
        <w:tc>
          <w:tcPr>
            <w:tcW w:w="2841" w:type="dxa"/>
            <w:tcBorders>
              <w:tl2br w:val="nil"/>
              <w:tr2bl w:val="nil"/>
            </w:tcBorders>
            <w:vAlign w:val="center"/>
          </w:tcPr>
          <w:p w14:paraId="0D58A94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14:paraId="1E007EC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15</w:t>
            </w:r>
          </w:p>
        </w:tc>
      </w:tr>
      <w:tr w14:paraId="582E8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14:paraId="1D2CCC6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65～150</w:t>
            </w:r>
          </w:p>
        </w:tc>
        <w:tc>
          <w:tcPr>
            <w:tcW w:w="2841" w:type="dxa"/>
            <w:tcBorders>
              <w:tl2br w:val="nil"/>
              <w:tr2bl w:val="nil"/>
            </w:tcBorders>
            <w:vAlign w:val="center"/>
          </w:tcPr>
          <w:p w14:paraId="1E9B5C3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14:paraId="28AEE2B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r>
      <w:tr w14:paraId="2E8FB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14:paraId="77F12DA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200～300</w:t>
            </w:r>
          </w:p>
        </w:tc>
        <w:tc>
          <w:tcPr>
            <w:tcW w:w="2841" w:type="dxa"/>
            <w:tcBorders>
              <w:tl2br w:val="nil"/>
              <w:tr2bl w:val="nil"/>
            </w:tcBorders>
            <w:vAlign w:val="center"/>
          </w:tcPr>
          <w:p w14:paraId="6CEFD75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60</w:t>
            </w:r>
          </w:p>
        </w:tc>
        <w:tc>
          <w:tcPr>
            <w:tcW w:w="2841" w:type="dxa"/>
            <w:tcBorders>
              <w:tl2br w:val="nil"/>
              <w:tr2bl w:val="nil"/>
            </w:tcBorders>
            <w:vAlign w:val="center"/>
          </w:tcPr>
          <w:p w14:paraId="4DD4CEB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r>
      <w:tr w14:paraId="45A64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14:paraId="05D269F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w:t>
            </w:r>
            <w:r>
              <w:rPr>
                <w:rFonts w:hint="eastAsia" w:ascii="宋体" w:hAnsi="宋体" w:eastAsia="宋体" w:cs="宋体"/>
                <w:color w:val="000000"/>
                <w:sz w:val="18"/>
                <w:szCs w:val="18"/>
                <w:shd w:val="clear" w:color="auto" w:fill="FFFFFF"/>
                <w:vertAlign w:val="baseline"/>
                <w:lang w:val="en-US" w:eastAsia="zh-CN"/>
              </w:rPr>
              <w:t>350</w:t>
            </w:r>
          </w:p>
        </w:tc>
        <w:tc>
          <w:tcPr>
            <w:tcW w:w="2841" w:type="dxa"/>
            <w:tcBorders>
              <w:tl2br w:val="nil"/>
              <w:tr2bl w:val="nil"/>
            </w:tcBorders>
            <w:vAlign w:val="center"/>
          </w:tcPr>
          <w:p w14:paraId="066C23B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c>
          <w:tcPr>
            <w:tcW w:w="2841" w:type="dxa"/>
            <w:tcBorders>
              <w:tl2br w:val="nil"/>
              <w:tr2bl w:val="nil"/>
            </w:tcBorders>
            <w:vAlign w:val="center"/>
          </w:tcPr>
          <w:p w14:paraId="2803466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120</w:t>
            </w:r>
          </w:p>
        </w:tc>
      </w:tr>
      <w:tr w14:paraId="6E8E0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tcBorders>
              <w:tl2br w:val="nil"/>
              <w:tr2bl w:val="nil"/>
            </w:tcBorders>
            <w:vAlign w:val="center"/>
          </w:tcPr>
          <w:p w14:paraId="6BDBDFD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允许泄漏量</w:t>
            </w:r>
          </w:p>
        </w:tc>
        <w:tc>
          <w:tcPr>
            <w:tcW w:w="2841" w:type="dxa"/>
            <w:tcBorders>
              <w:tl2br w:val="nil"/>
              <w:tr2bl w:val="nil"/>
            </w:tcBorders>
            <w:vAlign w:val="center"/>
          </w:tcPr>
          <w:p w14:paraId="3D43E84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3滴×（Dn/25）/min</w:t>
            </w:r>
          </w:p>
        </w:tc>
        <w:tc>
          <w:tcPr>
            <w:tcW w:w="2841" w:type="dxa"/>
            <w:tcBorders>
              <w:tl2br w:val="nil"/>
              <w:tr2bl w:val="nil"/>
            </w:tcBorders>
            <w:vAlign w:val="center"/>
          </w:tcPr>
          <w:p w14:paraId="352D8E6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小于Dn65为0滴，其他为2滴×（Dn/25）/min</w:t>
            </w:r>
          </w:p>
        </w:tc>
      </w:tr>
    </w:tbl>
    <w:p w14:paraId="1BF4BC8B">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ind w:left="198" w:firstLine="0" w:firstLineChars="0"/>
        <w:textAlignment w:val="auto"/>
        <w:rPr>
          <w:rFonts w:ascii="微软雅黑" w:hAnsi="微软雅黑" w:eastAsia="微软雅黑" w:cs="微软雅黑"/>
          <w:color w:val="000000"/>
          <w:sz w:val="20"/>
          <w:szCs w:val="20"/>
        </w:rPr>
      </w:pPr>
      <w:r>
        <w:rPr>
          <w:rFonts w:hint="eastAsia" w:ascii="宋体" w:hAnsi="宋体" w:eastAsia="宋体" w:cs="宋体"/>
          <w:color w:val="000000"/>
          <w:sz w:val="20"/>
          <w:szCs w:val="20"/>
          <w:shd w:val="clear" w:color="auto" w:fill="FFFFFF"/>
        </w:rPr>
        <w:t>注：压力试验的介质为洁净水。用于不锈钢阀门的试验水，氯离子含量不得高于25mg／L。</w:t>
      </w:r>
    </w:p>
    <w:p w14:paraId="499D365E">
      <w:pPr>
        <w:snapToGrid w:val="0"/>
        <w:ind w:left="0" w:leftChars="0" w:firstLine="0" w:firstLineChars="0"/>
        <w:rPr>
          <w:rFonts w:hint="eastAsia" w:ascii="Times New Roman" w:hAnsi="Times New Roman"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7.6.2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水管道试压应符合下列规定：</w:t>
      </w:r>
    </w:p>
    <w:p w14:paraId="7C602AC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水管道系统施工完毕，并符合设计要求和规范规定。</w:t>
      </w:r>
    </w:p>
    <w:p w14:paraId="2F3C7C3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支、吊架管架均安装完毕并固定，各种井、阀门安装完并已临时固定。试验用压力表已经校验，精度规定为1.5级，表的满刻度值应为被测量最大压力的1.5-2倍。</w:t>
      </w:r>
    </w:p>
    <w:p w14:paraId="37CA1900">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试验前将不参与试验系统的仪表及附件加以隔离，并加盲板位置作好标识。</w:t>
      </w:r>
    </w:p>
    <w:p w14:paraId="4155494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试压用水应采用洁净水，水中氯离子含量不得超过25×10（25ppm）。</w:t>
      </w:r>
    </w:p>
    <w:p w14:paraId="453E5888">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系统管道应按设计要求进行水压试验。当设计无要求时，应符合下列规定：系统的试验压力，当工作压力小于或等于1.0MPa时，应为1.5倍工作压力，最低不应小于0.6MPa；当工作压力大于1.0MPa时，应为工作压力加0.5MPa。</w:t>
      </w:r>
    </w:p>
    <w:p w14:paraId="6A255F4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6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凝结水系统采用通水试验，应以不渗漏，排水畅通为合格。</w:t>
      </w:r>
    </w:p>
    <w:p w14:paraId="6726C079">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7.6.3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水流量试验应符合下列规定：</w:t>
      </w:r>
    </w:p>
    <w:p w14:paraId="61768D6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水流量测量断面应设置在距上游局部阻力构件10倍管径、距下游局部阻力构件5倍管径的长度的管段上。</w:t>
      </w:r>
    </w:p>
    <w:p w14:paraId="0786A3B9">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当采用转子或涡轮等整体流量计进行流量的测量时，应根据仪表的操作规程，调整测试仪表到测量状态，待测试状态稳定后，开始测量，测量时间宜取10min。</w:t>
      </w:r>
    </w:p>
    <w:p w14:paraId="7440F91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当采用超声波流量计进行流量的测量时，应按管道口径及仪器说明书规定选择传感器安装方式。测量时，应清除传感器安装处的管道表面污垢，并应在稳态条件下读取数值。</w:t>
      </w:r>
    </w:p>
    <w:p w14:paraId="3F7D1B1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水流量检测值应取各次测量值的算术平均值。</w:t>
      </w:r>
    </w:p>
    <w:p w14:paraId="7D8C51BA">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7.6.4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水温测试应符合下列规定：</w:t>
      </w:r>
    </w:p>
    <w:p w14:paraId="14BD3FA6">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水温测点应布置在靠近被测机组(设备)的进出口处。当被检测系统有预留安放温度计位置时，宜利用预留位置进行测试。</w:t>
      </w:r>
    </w:p>
    <w:p w14:paraId="00FDE0D6">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膨胀式、压力式等温度计的感温泡，应完全置于水流中；当采用铂电阻等传感元件检测时，应对显示温度进行校正。水温检测值应取各次测量值的算术平均值。</w:t>
      </w:r>
    </w:p>
    <w:p w14:paraId="5FCE5D73">
      <w:pPr>
        <w:snapToGrid w:val="0"/>
        <w:ind w:left="0" w:leftChars="0" w:firstLine="0" w:firstLineChars="0"/>
        <w:rPr>
          <w:rFonts w:hint="default" w:ascii="Times New Roman" w:hAnsi="Times New Roman" w:eastAsia="宋体" w:cs="宋体"/>
          <w:sz w:val="24"/>
        </w:rPr>
      </w:pPr>
      <w:r>
        <w:rPr>
          <w:rFonts w:hint="default" w:ascii="宋体" w:hAnsi="Times New Roman" w:eastAsia="宋体" w:cs="Times New Roman"/>
          <w:b w:val="0"/>
          <w:bCs/>
          <w:kern w:val="2"/>
          <w:sz w:val="21"/>
          <w:szCs w:val="21"/>
          <w:lang w:val="en-US" w:eastAsia="zh-CN" w:bidi="ar-SA"/>
        </w:rPr>
        <w:t>7.6</w:t>
      </w:r>
      <w:r>
        <w:rPr>
          <w:rFonts w:hint="eastAsia" w:ascii="宋体" w:hAnsi="Times New Roman" w:eastAsia="宋体" w:cs="Times New Roman"/>
          <w:b w:val="0"/>
          <w:bCs/>
          <w:kern w:val="2"/>
          <w:sz w:val="21"/>
          <w:szCs w:val="21"/>
          <w:lang w:val="en-US" w:eastAsia="zh-CN" w:bidi="ar-SA"/>
        </w:rPr>
        <w:t xml:space="preserve">.5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风道系统压力试验应符合下列规定：</w:t>
      </w:r>
    </w:p>
    <w:p w14:paraId="424607C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风管在试验压力保持 5min 及以上时，接缝处应无开裂,整体结构应无永久性的变形及损伤。</w:t>
      </w:r>
    </w:p>
    <w:p w14:paraId="2848A5DA">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低压风管应为1.5倍的工作压力。</w:t>
      </w:r>
    </w:p>
    <w:p w14:paraId="3E123AF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中压风管应为1.2倍的工作压力，且不低于750Pa。</w:t>
      </w:r>
    </w:p>
    <w:p w14:paraId="6A58822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高压风管应为1.2倍的工作压力。</w:t>
      </w:r>
    </w:p>
    <w:p w14:paraId="2530A93E">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5  矩形金属风管的严密性检验，在工作压力下的风管允许漏风量应符合表7.6.5的规定。</w:t>
      </w:r>
    </w:p>
    <w:p w14:paraId="11C53BD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val="0"/>
          <w:bCs w:val="0"/>
          <w:sz w:val="21"/>
          <w:szCs w:val="21"/>
        </w:rPr>
      </w:pPr>
      <w:r>
        <w:rPr>
          <w:rFonts w:hint="eastAsia" w:ascii="黑体" w:hAnsi="黑体" w:eastAsia="黑体" w:cs="黑体"/>
          <w:b w:val="0"/>
          <w:bCs w:val="0"/>
          <w:sz w:val="21"/>
          <w:szCs w:val="21"/>
        </w:rPr>
        <w:t>表</w:t>
      </w:r>
      <w:r>
        <w:rPr>
          <w:rFonts w:hint="eastAsia" w:ascii="黑体" w:hAnsi="黑体" w:eastAsia="黑体" w:cs="黑体"/>
          <w:b w:val="0"/>
          <w:bCs w:val="0"/>
          <w:sz w:val="21"/>
          <w:szCs w:val="21"/>
          <w:lang w:val="en-US" w:eastAsia="zh-CN"/>
        </w:rPr>
        <w:t xml:space="preserve"> 7.6.5    </w:t>
      </w:r>
      <w:r>
        <w:rPr>
          <w:rFonts w:hint="eastAsia" w:ascii="黑体" w:hAnsi="黑体" w:eastAsia="黑体" w:cs="黑体"/>
          <w:b w:val="0"/>
          <w:bCs w:val="0"/>
          <w:sz w:val="21"/>
          <w:szCs w:val="21"/>
        </w:rPr>
        <w:t>风管允许漏风量</w:t>
      </w:r>
    </w:p>
    <w:tbl>
      <w:tblPr>
        <w:tblStyle w:val="14"/>
        <w:tblW w:w="58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877"/>
        <w:gridCol w:w="2999"/>
      </w:tblGrid>
      <w:tr w14:paraId="11823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14:paraId="7BB96F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风管类别</w:t>
            </w:r>
          </w:p>
        </w:tc>
        <w:tc>
          <w:tcPr>
            <w:tcW w:w="2999" w:type="dxa"/>
            <w:tcBorders>
              <w:tl2br w:val="nil"/>
              <w:tr2bl w:val="nil"/>
            </w:tcBorders>
            <w:noWrap w:val="0"/>
            <w:vAlign w:val="center"/>
          </w:tcPr>
          <w:p w14:paraId="446B80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允许漏风量[m3/(h· m2)]</w:t>
            </w:r>
          </w:p>
        </w:tc>
      </w:tr>
      <w:tr w14:paraId="2D3FE6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14:paraId="66B7D7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低压风管</w:t>
            </w:r>
          </w:p>
        </w:tc>
        <w:tc>
          <w:tcPr>
            <w:tcW w:w="2999" w:type="dxa"/>
            <w:tcBorders>
              <w:tl2br w:val="nil"/>
              <w:tr2bl w:val="nil"/>
            </w:tcBorders>
            <w:noWrap w:val="0"/>
            <w:vAlign w:val="center"/>
          </w:tcPr>
          <w:p w14:paraId="4F1DE2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Q1≤0.1056P0.65</w:t>
            </w:r>
          </w:p>
        </w:tc>
      </w:tr>
      <w:tr w14:paraId="3D9156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14:paraId="410AB6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中压风管</w:t>
            </w:r>
          </w:p>
        </w:tc>
        <w:tc>
          <w:tcPr>
            <w:tcW w:w="2999" w:type="dxa"/>
            <w:tcBorders>
              <w:tl2br w:val="nil"/>
              <w:tr2bl w:val="nil"/>
            </w:tcBorders>
            <w:noWrap w:val="0"/>
            <w:vAlign w:val="center"/>
          </w:tcPr>
          <w:p w14:paraId="405461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Qm ≤0.0352P0.65</w:t>
            </w:r>
          </w:p>
        </w:tc>
      </w:tr>
      <w:tr w14:paraId="527D10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7" w:type="dxa"/>
            <w:tcBorders>
              <w:tl2br w:val="nil"/>
              <w:tr2bl w:val="nil"/>
            </w:tcBorders>
            <w:noWrap w:val="0"/>
            <w:vAlign w:val="center"/>
          </w:tcPr>
          <w:p w14:paraId="0D6072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高压风管</w:t>
            </w:r>
          </w:p>
        </w:tc>
        <w:tc>
          <w:tcPr>
            <w:tcW w:w="2999" w:type="dxa"/>
            <w:tcBorders>
              <w:tl2br w:val="nil"/>
              <w:tr2bl w:val="nil"/>
            </w:tcBorders>
            <w:noWrap w:val="0"/>
            <w:vAlign w:val="center"/>
          </w:tcPr>
          <w:p w14:paraId="5542B6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Qh≤0.0117P0.65</w:t>
            </w:r>
          </w:p>
        </w:tc>
      </w:tr>
    </w:tbl>
    <w:p w14:paraId="373DD18F">
      <w:pPr>
        <w:snapToGrid w:val="0"/>
        <w:ind w:firstLine="480"/>
        <w:rPr>
          <w:rFonts w:hint="eastAsia" w:ascii="宋体" w:hAnsi="宋体" w:eastAsia="宋体" w:cs="宋体"/>
          <w:sz w:val="18"/>
          <w:szCs w:val="18"/>
        </w:rPr>
      </w:pPr>
      <w:r>
        <w:rPr>
          <w:rFonts w:hint="eastAsia" w:ascii="宋体" w:hAnsi="宋体" w:eastAsia="宋体" w:cs="宋体"/>
          <w:sz w:val="18"/>
          <w:szCs w:val="18"/>
        </w:rPr>
        <w:t>注:Q1为低压风管允许漏风量</w:t>
      </w:r>
      <w:r>
        <w:rPr>
          <w:rFonts w:hint="eastAsia" w:ascii="宋体" w:hAnsi="宋体" w:eastAsia="宋体" w:cs="宋体"/>
          <w:sz w:val="18"/>
          <w:szCs w:val="18"/>
          <w:lang w:eastAsia="zh-CN"/>
        </w:rPr>
        <w:t>，</w:t>
      </w:r>
      <w:r>
        <w:rPr>
          <w:rFonts w:hint="eastAsia" w:ascii="宋体" w:hAnsi="宋体" w:eastAsia="宋体" w:cs="宋体"/>
          <w:sz w:val="18"/>
          <w:szCs w:val="18"/>
        </w:rPr>
        <w:t>Qm为中压风管允许漏风量</w:t>
      </w:r>
      <w:r>
        <w:rPr>
          <w:rFonts w:hint="eastAsia" w:ascii="宋体" w:hAnsi="宋体" w:eastAsia="宋体" w:cs="宋体"/>
          <w:sz w:val="18"/>
          <w:szCs w:val="18"/>
          <w:lang w:eastAsia="zh-CN"/>
        </w:rPr>
        <w:t>，</w:t>
      </w:r>
      <w:r>
        <w:rPr>
          <w:rFonts w:hint="eastAsia" w:ascii="宋体" w:hAnsi="宋体" w:eastAsia="宋体" w:cs="宋体"/>
          <w:sz w:val="18"/>
          <w:szCs w:val="18"/>
        </w:rPr>
        <w:t>Qh为高压风管允许漏风量</w:t>
      </w:r>
      <w:r>
        <w:rPr>
          <w:rFonts w:hint="eastAsia" w:ascii="宋体" w:hAnsi="宋体" w:eastAsia="宋体" w:cs="宋体"/>
          <w:sz w:val="18"/>
          <w:szCs w:val="18"/>
          <w:lang w:eastAsia="zh-CN"/>
        </w:rPr>
        <w:t>，</w:t>
      </w:r>
      <w:r>
        <w:rPr>
          <w:rFonts w:hint="eastAsia" w:ascii="宋体" w:hAnsi="宋体" w:eastAsia="宋体" w:cs="宋体"/>
          <w:sz w:val="18"/>
          <w:szCs w:val="18"/>
        </w:rPr>
        <w:t>P为系统风管工作压力(Pa)。</w:t>
      </w:r>
    </w:p>
    <w:p w14:paraId="7FB2E28A">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制冷剂管路气密性试验应符合下列规定：</w:t>
      </w:r>
    </w:p>
    <w:p w14:paraId="3EEA7B30">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先用真空泵排出系统空气（抽至负压-0.1MPa），关闭真空泵，注入4.0MPa氮气，在达到试验压力后24小时内压力不下降为合格。</w:t>
      </w:r>
    </w:p>
    <w:p w14:paraId="4DE9D3D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连接室内、外机之前，在室外机的气、液侧管上各焊一个注氟嘴，将管路各处管口夹扁焊接密封，进行保压检漏试验；</w:t>
      </w:r>
    </w:p>
    <w:p w14:paraId="720D177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在两个注氟嘴处冲入氮气，第一阶段加压至0.3MPa，保持5min以上，第二阶段加压至1.5MPa保持5min以上，期间查找大的泄漏点重焊或补焊，第三阶段加压至2.8MPa保持24h，检查微小泄漏点补焊。</w:t>
      </w:r>
    </w:p>
    <w:p w14:paraId="5BA5CB2D">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排除温度影响（0.01MPa），压力降在0.02MPa之内为合格，否则应继续检漏补焊。</w:t>
      </w:r>
    </w:p>
    <w:p w14:paraId="257BD81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4"/>
        </w:rPr>
      </w:pPr>
      <w:r>
        <w:rPr>
          <w:rFonts w:hint="eastAsia" w:ascii="宋体" w:hAnsi="宋体" w:eastAsia="宋体" w:cs="宋体"/>
          <w:b w:val="0"/>
          <w:bCs w:val="0"/>
          <w:sz w:val="21"/>
          <w:szCs w:val="21"/>
          <w:lang w:val="en-US" w:eastAsia="zh-CN"/>
        </w:rPr>
        <w:t>5  连接室内机后，应再进行一次整个管路的保压试漏。</w:t>
      </w:r>
    </w:p>
    <w:p w14:paraId="524E8595">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真空干燥测试应符合下列规定：</w:t>
      </w:r>
    </w:p>
    <w:p w14:paraId="5A3BBF46">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氮气试压合格后要对系统进行真空干燥，真空干燥应达到质量要求。</w:t>
      </w:r>
    </w:p>
    <w:p w14:paraId="1D74195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真空干燥应选用旋转式真空泵，使用前先检查真空泵的抽真空能力须达到-755mmHg方可进行。</w:t>
      </w:r>
    </w:p>
    <w:p w14:paraId="71DA48C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使用真空泵(真空度≤-0.1MPa、排气量≥40L/min)运转2小时以上，完全真空到达后(－0.1MPa)真空泵继续运转20～60分钟，真空泵停止，真空放置1小时以上。如果3小时以上仍达不到－0.1MPa以下，说明有水分混入或漏气，需检查。</w:t>
      </w:r>
    </w:p>
    <w:p w14:paraId="114DE7D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真空试验合格后，按计算的冷媒管量加注，并打开阀门（注意抽真空时应从气管和液管两侧进行）。</w:t>
      </w:r>
    </w:p>
    <w:p w14:paraId="77C22E47">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w:t>
      </w:r>
      <w:r>
        <w:rPr>
          <w:rFonts w:hint="default" w:ascii="宋体" w:hAnsi="Times New Roman" w:eastAsia="宋体" w:cs="Times New Roman"/>
          <w:b w:val="0"/>
          <w:bCs/>
          <w:kern w:val="2"/>
          <w:sz w:val="21"/>
          <w:szCs w:val="21"/>
          <w:lang w:val="en-US" w:eastAsia="zh-CN" w:bidi="ar-SA"/>
        </w:rPr>
        <w:t>.6.</w:t>
      </w:r>
      <w:r>
        <w:rPr>
          <w:rFonts w:hint="eastAsia" w:ascii="宋体" w:hAnsi="Times New Roman" w:eastAsia="宋体" w:cs="Times New Roman"/>
          <w:b w:val="0"/>
          <w:bCs/>
          <w:kern w:val="2"/>
          <w:sz w:val="21"/>
          <w:szCs w:val="21"/>
          <w:lang w:val="en-US" w:eastAsia="zh-CN" w:bidi="ar-SA"/>
        </w:rPr>
        <w:t>8</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室内环境温度、湿度测试</w:t>
      </w:r>
    </w:p>
    <w:p w14:paraId="2A8C5D3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应根据温度和相对湿度允许波动范围，采用相应适用精度的仪表进行测定。每次测定时间隔不应大于30min。</w:t>
      </w:r>
    </w:p>
    <w:p w14:paraId="5AB32E4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室内测点布置应符合下列原则：送回风口处；测点应布置在距外墙表面大于0.5m，离地面0.8m的同一高度上，也可以根据恒温区的大小，分别布置在离地不同高度的几个平面上。</w:t>
      </w:r>
    </w:p>
    <w:p w14:paraId="4B797A2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温、湿度测点数应符合</w:t>
      </w:r>
      <w:r>
        <w:rPr>
          <w:rFonts w:hint="eastAsia" w:hAnsi="宋体" w:cs="宋体"/>
          <w:b w:val="0"/>
          <w:bCs w:val="0"/>
          <w:sz w:val="21"/>
          <w:szCs w:val="21"/>
          <w:lang w:val="en-US" w:eastAsia="zh-CN"/>
        </w:rPr>
        <w:t>表7.6.8的</w:t>
      </w:r>
      <w:r>
        <w:rPr>
          <w:rFonts w:hint="eastAsia" w:ascii="宋体" w:hAnsi="宋体" w:eastAsia="宋体" w:cs="宋体"/>
          <w:b w:val="0"/>
          <w:bCs w:val="0"/>
          <w:sz w:val="21"/>
          <w:szCs w:val="21"/>
          <w:lang w:val="en-US" w:eastAsia="zh-CN"/>
        </w:rPr>
        <w:t>规定。</w:t>
      </w:r>
    </w:p>
    <w:p w14:paraId="7E7EE61B">
      <w:pPr>
        <w:pStyle w:val="13"/>
        <w:shd w:val="clear" w:color="auto" w:fill="FFFFFF"/>
        <w:spacing w:before="0" w:beforeAutospacing="0" w:after="0" w:afterAutospacing="0"/>
        <w:ind w:firstLine="38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7.6.8     温、湿度测点数</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E4E6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14:paraId="43E3E36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波动范围</w:t>
            </w:r>
          </w:p>
        </w:tc>
        <w:tc>
          <w:tcPr>
            <w:tcW w:w="2841" w:type="dxa"/>
            <w:tcBorders>
              <w:tl2br w:val="nil"/>
              <w:tr2bl w:val="nil"/>
            </w:tcBorders>
            <w:vAlign w:val="center"/>
          </w:tcPr>
          <w:p w14:paraId="6FC7A27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室面积≤50（㎡）</w:t>
            </w:r>
          </w:p>
        </w:tc>
        <w:tc>
          <w:tcPr>
            <w:tcW w:w="2841" w:type="dxa"/>
            <w:tcBorders>
              <w:tl2br w:val="nil"/>
              <w:tr2bl w:val="nil"/>
            </w:tcBorders>
            <w:vAlign w:val="center"/>
          </w:tcPr>
          <w:p w14:paraId="3100391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每增加20～50（㎡）</w:t>
            </w:r>
          </w:p>
        </w:tc>
      </w:tr>
      <w:tr w14:paraId="486FF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840" w:type="dxa"/>
            <w:tcBorders>
              <w:tl2br w:val="nil"/>
              <w:tr2bl w:val="nil"/>
            </w:tcBorders>
            <w:vAlign w:val="center"/>
          </w:tcPr>
          <w:p w14:paraId="1FAB348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color w:val="000000"/>
                <w:sz w:val="18"/>
                <w:szCs w:val="18"/>
                <w:shd w:val="clear" w:color="auto" w:fill="FFFFFF"/>
                <w:vertAlign w:val="baseline"/>
                <w:lang w:val="en-US" w:eastAsia="zh-CN"/>
              </w:rPr>
              <w:t>t=±0.5℃～±2℃</w:t>
            </w:r>
          </w:p>
        </w:tc>
        <w:tc>
          <w:tcPr>
            <w:tcW w:w="2841" w:type="dxa"/>
            <w:vMerge w:val="restart"/>
            <w:tcBorders>
              <w:tl2br w:val="nil"/>
              <w:tr2bl w:val="nil"/>
            </w:tcBorders>
            <w:vAlign w:val="center"/>
          </w:tcPr>
          <w:p w14:paraId="003F6B0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lang w:val="en-US" w:eastAsia="zh-CN"/>
              </w:rPr>
              <w:t>5个</w:t>
            </w:r>
          </w:p>
        </w:tc>
        <w:tc>
          <w:tcPr>
            <w:tcW w:w="2841" w:type="dxa"/>
            <w:vMerge w:val="restart"/>
            <w:tcBorders>
              <w:tl2br w:val="nil"/>
              <w:tr2bl w:val="nil"/>
            </w:tcBorders>
            <w:vAlign w:val="center"/>
          </w:tcPr>
          <w:p w14:paraId="7027A46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rPr>
            </w:pPr>
            <w:r>
              <w:rPr>
                <w:rFonts w:hint="eastAsia" w:ascii="宋体" w:hAnsi="宋体" w:eastAsia="宋体" w:cs="宋体"/>
                <w:color w:val="000000"/>
                <w:sz w:val="18"/>
                <w:szCs w:val="18"/>
                <w:shd w:val="clear" w:color="auto" w:fill="FFFFFF"/>
                <w:vertAlign w:val="baseline"/>
                <w:lang w:val="en-US" w:eastAsia="zh-CN"/>
              </w:rPr>
              <w:t>增加3～5个</w:t>
            </w:r>
          </w:p>
        </w:tc>
      </w:tr>
      <w:tr w14:paraId="21C8C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14:paraId="7AC7ADD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lang w:val="en-US" w:eastAsia="zh-CN"/>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color w:val="000000"/>
                <w:sz w:val="18"/>
                <w:szCs w:val="18"/>
                <w:shd w:val="clear" w:color="auto" w:fill="FFFFFF"/>
                <w:vertAlign w:val="baseline"/>
                <w:lang w:val="en-US" w:eastAsia="zh-CN"/>
              </w:rPr>
              <w:t>RH=±5%～±10%</w:t>
            </w:r>
          </w:p>
        </w:tc>
        <w:tc>
          <w:tcPr>
            <w:tcW w:w="2841" w:type="dxa"/>
            <w:vMerge w:val="continue"/>
            <w:tcBorders>
              <w:tl2br w:val="nil"/>
              <w:tr2bl w:val="nil"/>
            </w:tcBorders>
            <w:vAlign w:val="center"/>
          </w:tcPr>
          <w:p w14:paraId="52E0861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c>
          <w:tcPr>
            <w:tcW w:w="2841" w:type="dxa"/>
            <w:vMerge w:val="continue"/>
            <w:tcBorders>
              <w:tl2br w:val="nil"/>
              <w:tr2bl w:val="nil"/>
            </w:tcBorders>
            <w:vAlign w:val="center"/>
          </w:tcPr>
          <w:p w14:paraId="23A17FB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r>
      <w:tr w14:paraId="20EA8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14:paraId="240FA9F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color w:val="000000"/>
                <w:sz w:val="18"/>
                <w:szCs w:val="18"/>
                <w:shd w:val="clear" w:color="auto" w:fill="FFFFFF"/>
                <w:vertAlign w:val="baseline"/>
                <w:lang w:val="en-US" w:eastAsia="zh-CN"/>
              </w:rPr>
              <w:t>t≤±0.5℃</w:t>
            </w:r>
          </w:p>
        </w:tc>
        <w:tc>
          <w:tcPr>
            <w:tcW w:w="5682" w:type="dxa"/>
            <w:gridSpan w:val="2"/>
            <w:vMerge w:val="restart"/>
            <w:tcBorders>
              <w:tl2br w:val="nil"/>
              <w:tr2bl w:val="nil"/>
            </w:tcBorders>
            <w:vAlign w:val="center"/>
          </w:tcPr>
          <w:p w14:paraId="3344CED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点间距不应大于2m，点数不应少于5个</w:t>
            </w:r>
          </w:p>
        </w:tc>
      </w:tr>
      <w:tr w14:paraId="7B6B9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tcBorders>
              <w:tl2br w:val="nil"/>
              <w:tr2bl w:val="nil"/>
            </w:tcBorders>
            <w:vAlign w:val="center"/>
          </w:tcPr>
          <w:p w14:paraId="771255A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r>
              <w:rPr>
                <w:rFonts w:hint="eastAsia" w:ascii="宋体" w:hAnsi="宋体" w:eastAsia="宋体" w:cs="宋体"/>
                <w:color w:val="000000"/>
                <w:sz w:val="18"/>
                <w:szCs w:val="18"/>
                <w:shd w:val="clear" w:color="auto" w:fill="FFFFFF"/>
                <w:vertAlign w:val="baseline"/>
              </w:rPr>
              <w:t>Δ</w:t>
            </w:r>
            <w:r>
              <w:rPr>
                <w:rFonts w:hint="eastAsia" w:ascii="宋体" w:hAnsi="宋体" w:eastAsia="宋体" w:cs="宋体"/>
                <w:color w:val="000000"/>
                <w:sz w:val="18"/>
                <w:szCs w:val="18"/>
                <w:shd w:val="clear" w:color="auto" w:fill="FFFFFF"/>
                <w:vertAlign w:val="baseline"/>
                <w:lang w:val="en-US" w:eastAsia="zh-CN"/>
              </w:rPr>
              <w:t>RH≤±5%</w:t>
            </w:r>
          </w:p>
        </w:tc>
        <w:tc>
          <w:tcPr>
            <w:tcW w:w="5682" w:type="dxa"/>
            <w:gridSpan w:val="2"/>
            <w:vMerge w:val="continue"/>
            <w:tcBorders>
              <w:tl2br w:val="nil"/>
              <w:tr2bl w:val="nil"/>
            </w:tcBorders>
            <w:vAlign w:val="center"/>
          </w:tcPr>
          <w:p w14:paraId="4D0ABD0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sz w:val="18"/>
                <w:szCs w:val="18"/>
                <w:shd w:val="clear" w:color="auto" w:fill="FFFFFF"/>
                <w:vertAlign w:val="baseline"/>
              </w:rPr>
            </w:pPr>
          </w:p>
        </w:tc>
      </w:tr>
    </w:tbl>
    <w:p w14:paraId="745E2B4C">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40" w:name="_Toc2025"/>
      <w:r>
        <w:rPr>
          <w:rFonts w:hint="default" w:ascii="黑体" w:hAnsi="黑体" w:eastAsia="黑体" w:cs="黑体"/>
          <w:b w:val="0"/>
          <w:bCs w:val="0"/>
          <w:kern w:val="0"/>
          <w:sz w:val="21"/>
          <w:szCs w:val="21"/>
          <w:lang w:val="en-US" w:eastAsia="zh-CN"/>
        </w:rPr>
        <w:t>7.7</w:t>
      </w:r>
      <w:r>
        <w:rPr>
          <w:rFonts w:hint="eastAsia" w:ascii="黑体" w:hAnsi="黑体" w:eastAsia="黑体" w:cs="黑体"/>
          <w:b w:val="0"/>
          <w:bCs w:val="0"/>
          <w:kern w:val="0"/>
          <w:sz w:val="21"/>
          <w:szCs w:val="21"/>
          <w:lang w:val="en-US" w:eastAsia="zh-CN"/>
        </w:rPr>
        <w:t xml:space="preserve">  除湿系统调试</w:t>
      </w:r>
      <w:bookmarkEnd w:id="140"/>
    </w:p>
    <w:p w14:paraId="59589A0C">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系统调试，应由施工单位负责，监理单位监督，设计单位与建设单位参与和配合。系统调试可由施工企业或委托具有调试能力的其他单位进行。系统调试前应编制调试方案，并应报送专业监理工程师审核批准。系统调试应由专业施工和技术人员实施，调试结束后，应提供完整的调试资料和报告。</w:t>
      </w:r>
    </w:p>
    <w:p w14:paraId="0B103494">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Times New Roman" w:hAnsi="Times New Roman" w:eastAsia="宋体" w:cs="宋体"/>
          <w:sz w:val="21"/>
          <w:szCs w:val="21"/>
        </w:rPr>
      </w:pPr>
      <w:r>
        <w:rPr>
          <w:rFonts w:hint="eastAsia" w:ascii="宋体" w:hAnsi="Times New Roman" w:eastAsia="宋体" w:cs="Times New Roman"/>
          <w:b w:val="0"/>
          <w:bCs/>
          <w:kern w:val="2"/>
          <w:sz w:val="21"/>
          <w:szCs w:val="21"/>
          <w:lang w:val="en-US" w:eastAsia="zh-CN" w:bidi="ar-SA"/>
        </w:rPr>
        <w:t>7.7.2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系统调试应包括下列内容：</w:t>
      </w:r>
    </w:p>
    <w:p w14:paraId="2D63F4F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设备单机试运转及调试。</w:t>
      </w:r>
    </w:p>
    <w:p w14:paraId="477F9CA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系统非设计满负荷条件下的联合试运转及调试。</w:t>
      </w:r>
    </w:p>
    <w:p w14:paraId="21B0E48A">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设备单机试运转及调试应符合下列规定：</w:t>
      </w:r>
    </w:p>
    <w:p w14:paraId="3082302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机组中的风机，叶轮旋转方向应正确、运转应平稳、应无异常振动与声响，电机运行功率应符合设备技术文件要求。在额定转速下连续运转2h后，滑动轴承外壳最高温度不得大于70℃，滚动轴承不得大于80℃。</w:t>
      </w:r>
    </w:p>
    <w:p w14:paraId="4B47535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水泵（如有）叶轮旋转方向应正确，应无异常振动和声响，紧固连接部位应无松动，电机运行功率应符合设备技术文件要求。水泵连续运转2h滑动轴承外壳最高温度不得超过70℃，滚动轴承不得超过75℃。</w:t>
      </w:r>
    </w:p>
    <w:p w14:paraId="361E64E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电动调节阀、电动防火阀、防排烟风阀(口)的手动、电动操作应灵活可靠，信号输出应正确。</w:t>
      </w:r>
    </w:p>
    <w:p w14:paraId="688543FC">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水系统的总流量与设计流量的偏差不应大于10％。</w:t>
      </w:r>
    </w:p>
    <w:p w14:paraId="1D87723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系统总风量调试结果与设计风量的允许偏差应为—5％～＋10％，建筑内各区域的压</w:t>
      </w:r>
    </w:p>
    <w:p w14:paraId="18DD3D6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  机组的试运转除应符合设备技术文件和现行国家标准的有关规定外，尚应符合下列规定：</w:t>
      </w:r>
    </w:p>
    <w:p w14:paraId="788F92A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1)机组运转应平稳、应无异常振动与声响；</w:t>
      </w:r>
    </w:p>
    <w:p w14:paraId="684E5318">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2)各连接和密封部位不应有松动、漏气、漏油等现象；</w:t>
      </w:r>
    </w:p>
    <w:p w14:paraId="07EEB05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3)吸、排气的压力和温度应在正常工作范围内；</w:t>
      </w:r>
    </w:p>
    <w:p w14:paraId="072A516B">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4)能量调节装置及各保护继电器、安全装置的动作应正确、灵敏、可靠；</w:t>
      </w:r>
    </w:p>
    <w:p w14:paraId="425CD79D">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5)正常运转不应少于8h。</w:t>
      </w:r>
    </w:p>
    <w:p w14:paraId="67C1C555">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  除湿机组系统应在充灌定量制冷剂后，进行系统的试运转，并应符合下列规定：</w:t>
      </w:r>
    </w:p>
    <w:p w14:paraId="7F60AE17">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1)系统应能正常输出冷风或热风，在常温条件下可进行冷热的切换与调控；</w:t>
      </w:r>
    </w:p>
    <w:p w14:paraId="179046EE">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2)试运转不应有异常振动与声响，百叶板动作应正常，不应有渗漏水现象，运行噪声应符合设备技术文件要求；</w:t>
      </w:r>
    </w:p>
    <w:p w14:paraId="57DDD762">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Times New Roman" w:hAnsi="Times New Roman" w:eastAsia="宋体" w:cs="宋体"/>
          <w:sz w:val="21"/>
          <w:szCs w:val="21"/>
        </w:rPr>
      </w:pPr>
      <w:r>
        <w:rPr>
          <w:rFonts w:hint="eastAsia" w:ascii="宋体" w:hAnsi="宋体" w:eastAsia="宋体" w:cs="宋体"/>
          <w:b w:val="0"/>
          <w:bCs w:val="0"/>
          <w:sz w:val="21"/>
          <w:szCs w:val="21"/>
          <w:lang w:val="en-US" w:eastAsia="zh-CN"/>
        </w:rPr>
        <w:t>3)具有可同时供冷、热的系统，应在满足当季工况运行条件下，实现局部内机反向工况的运行。</w:t>
      </w:r>
    </w:p>
    <w:p w14:paraId="3C5CC897">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除湿设备性能应符合下列规定：</w:t>
      </w:r>
    </w:p>
    <w:p w14:paraId="47975C11">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除湿设备在额定电压和频率下正常启动和运行。</w:t>
      </w:r>
    </w:p>
    <w:p w14:paraId="4AF56B1D">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在规定的试验工况下，风量实测值应不低于额定值的90%，不高于额定值的110%。</w:t>
      </w:r>
    </w:p>
    <w:p w14:paraId="7685F190">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  挡水板的过水量不超过4×10-4kg/kg。</w:t>
      </w:r>
    </w:p>
    <w:p w14:paraId="0B980F76">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7.7.5</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除湿设备额定风量和噪声声压等级要求</w:t>
      </w:r>
    </w:p>
    <w:p w14:paraId="155F15DF">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当机组额定风量在1000m3/h～6000m3/h,除湿机机外噪声声压级不超过70dB(A)。</w:t>
      </w:r>
    </w:p>
    <w:p w14:paraId="1863EB94">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当机组额定风量在6000m3/h～10000m3/h,除湿机机外噪声声压级不超过75dB(A)。</w:t>
      </w:r>
    </w:p>
    <w:p w14:paraId="58C5CE23">
      <w:pPr>
        <w:keepNext w:val="0"/>
        <w:keepLines w:val="0"/>
        <w:pageBreakBefore w:val="0"/>
        <w:widowControl w:val="0"/>
        <w:kinsoku/>
        <w:wordWrap/>
        <w:overflowPunct/>
        <w:topLinePunct w:val="0"/>
        <w:autoSpaceDE/>
        <w:autoSpaceDN/>
        <w:bidi w:val="0"/>
        <w:adjustRightInd/>
        <w:snapToGrid w:val="0"/>
        <w:ind w:firstLine="48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 </w:t>
      </w:r>
      <w:r>
        <w:rPr>
          <w:rFonts w:hint="eastAsia"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当机组额定风最在10000m3/h～20000m3/h,除湿机机外噪声声压级不超过85dB(A)。</w:t>
      </w:r>
    </w:p>
    <w:p w14:paraId="340A209F">
      <w:pPr>
        <w:rPr>
          <w:rFonts w:hint="eastAsia" w:ascii="宋体" w:hAnsi="宋体" w:cs="宋体"/>
          <w:b/>
          <w:kern w:val="44"/>
          <w:sz w:val="28"/>
          <w:szCs w:val="44"/>
        </w:rPr>
      </w:pPr>
      <w:r>
        <w:rPr>
          <w:rFonts w:hint="eastAsia" w:ascii="宋体" w:hAnsi="宋体" w:cs="宋体"/>
          <w:b/>
          <w:kern w:val="44"/>
          <w:sz w:val="28"/>
          <w:szCs w:val="44"/>
        </w:rPr>
        <w:br w:type="page"/>
      </w:r>
    </w:p>
    <w:p w14:paraId="56D6FF6B">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41" w:name="_Toc2898"/>
      <w:r>
        <w:rPr>
          <w:rFonts w:hint="eastAsia" w:ascii="黑体" w:hAnsi="黑体" w:eastAsia="黑体" w:cs="Times New Roman"/>
          <w:bCs w:val="0"/>
          <w:kern w:val="44"/>
          <w:sz w:val="21"/>
          <w:szCs w:val="20"/>
          <w:lang w:val="en-US" w:eastAsia="zh-CN" w:bidi="ar-SA"/>
        </w:rPr>
        <w:t>8  事故排风系统安装</w:t>
      </w:r>
      <w:bookmarkEnd w:id="117"/>
      <w:bookmarkEnd w:id="141"/>
    </w:p>
    <w:p w14:paraId="7013534F">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42" w:name="_Toc15412"/>
      <w:bookmarkStart w:id="143" w:name="_Toc20866"/>
      <w:bookmarkStart w:id="144" w:name="_Toc24021"/>
      <w:r>
        <w:rPr>
          <w:rFonts w:hint="eastAsia" w:ascii="黑体" w:hAnsi="黑体" w:eastAsia="黑体" w:cs="黑体"/>
          <w:b w:val="0"/>
          <w:bCs w:val="0"/>
          <w:kern w:val="0"/>
          <w:sz w:val="21"/>
          <w:szCs w:val="21"/>
          <w:lang w:val="en-US" w:eastAsia="zh-CN"/>
        </w:rPr>
        <w:t>8.1  一般规定</w:t>
      </w:r>
      <w:bookmarkEnd w:id="142"/>
      <w:bookmarkEnd w:id="143"/>
      <w:bookmarkEnd w:id="144"/>
    </w:p>
    <w:p w14:paraId="6419E781">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对制冷剂泄漏会产生危害的人工冰场，应根据设计要求设置事故排风系统。</w:t>
      </w:r>
    </w:p>
    <w:p w14:paraId="2005176E">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事故排风的吸风口应设在二氧化碳放散量可能最大或聚集最多的地点。对事故排风的死角处应采取导流措施。</w:t>
      </w:r>
    </w:p>
    <w:p w14:paraId="4F62F88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cs="宋体"/>
          <w:sz w:val="24"/>
        </w:rPr>
      </w:pPr>
      <w:bookmarkStart w:id="145" w:name="_Toc24130"/>
      <w:r>
        <w:rPr>
          <w:rFonts w:hint="eastAsia" w:ascii="宋体" w:hAnsi="Times New Roman" w:eastAsia="宋体" w:cs="Times New Roman"/>
          <w:b w:val="0"/>
          <w:bCs/>
          <w:kern w:val="2"/>
          <w:sz w:val="21"/>
          <w:szCs w:val="21"/>
          <w:lang w:val="en-US" w:eastAsia="zh-CN" w:bidi="ar-SA"/>
        </w:rPr>
        <w:t xml:space="preserve">8.1.3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事故排风的排风口应符合下列规定：</w:t>
      </w:r>
      <w:bookmarkEnd w:id="145"/>
    </w:p>
    <w:p w14:paraId="4ACAD5D8">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46" w:name="_Toc19904"/>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不应布置在人员经常停留或经常通行的地点。</w:t>
      </w:r>
      <w:bookmarkEnd w:id="146"/>
    </w:p>
    <w:p w14:paraId="3823E915">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排风口与机械送风系统的进风口的水平距离不应小于20m；当水平距离不足20m时，排风口应低于进风口，并不得小于6m。</w:t>
      </w:r>
    </w:p>
    <w:p w14:paraId="4431B5D6">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default" w:eastAsia="宋体"/>
          <w:lang w:val="en-US" w:eastAsia="zh-CN"/>
        </w:rPr>
      </w:pPr>
      <w:bookmarkStart w:id="147" w:name="_Toc27169"/>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w:t>
      </w:r>
      <w:bookmarkEnd w:id="147"/>
      <w:r>
        <w:rPr>
          <w:rFonts w:hint="eastAsia" w:ascii="宋体" w:hAnsi="宋体" w:eastAsia="宋体" w:cs="宋体"/>
          <w:b w:val="0"/>
          <w:bCs w:val="0"/>
          <w:kern w:val="2"/>
          <w:sz w:val="21"/>
          <w:szCs w:val="21"/>
          <w:lang w:val="en-US" w:eastAsia="zh-CN" w:bidi="ar-SA"/>
        </w:rPr>
        <w:t>事故排风口应设置在被保护区域接近地面处。</w:t>
      </w:r>
      <w:r>
        <w:rPr>
          <w:rFonts w:hint="eastAsia" w:hAnsi="宋体" w:cs="宋体"/>
          <w:sz w:val="24"/>
          <w:lang w:val="en-US" w:eastAsia="zh-CN"/>
        </w:rPr>
        <w:t xml:space="preserve">   </w:t>
      </w:r>
    </w:p>
    <w:p w14:paraId="0BE22FE6">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事故通风装置应与报警装置连锁。</w:t>
      </w:r>
    </w:p>
    <w:p w14:paraId="34949B53">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8.1.5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设置有事故排风的场所不具备自然进风条件时，应同时设置补风系统，补风量宜为排风量的80%，补风机应与事故排风机连锁。</w:t>
      </w:r>
    </w:p>
    <w:p w14:paraId="1D583F0F">
      <w:pPr>
        <w:pStyle w:val="4"/>
        <w:jc w:val="both"/>
        <w:rPr>
          <w:rFonts w:hint="default" w:eastAsia="宋体"/>
          <w:b w:val="0"/>
          <w:bCs/>
          <w:lang w:val="en-US" w:eastAsia="zh-CN"/>
        </w:rPr>
      </w:pPr>
      <w:r>
        <w:rPr>
          <w:rFonts w:hint="eastAsia" w:ascii="宋体" w:hAnsi="Times New Roman" w:eastAsia="宋体" w:cs="Times New Roman"/>
          <w:b w:val="0"/>
          <w:bCs/>
          <w:kern w:val="2"/>
          <w:sz w:val="21"/>
          <w:szCs w:val="21"/>
          <w:lang w:val="en-US" w:eastAsia="zh-CN" w:bidi="ar-SA"/>
        </w:rPr>
        <w:t xml:space="preserve">8.1.6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事故排风系统施工及验收除应执行本标准外，尚应符合现行国家标准(通风与空调工程施工质量验收规范》GB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50243的有关规定 。</w:t>
      </w:r>
    </w:p>
    <w:p w14:paraId="2DCEA47D">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48" w:name="_Toc1122"/>
      <w:bookmarkStart w:id="149" w:name="_Toc1399"/>
      <w:bookmarkStart w:id="150" w:name="_Toc21123"/>
      <w:r>
        <w:rPr>
          <w:rFonts w:hint="eastAsia" w:ascii="黑体" w:hAnsi="黑体" w:eastAsia="黑体" w:cs="黑体"/>
          <w:b w:val="0"/>
          <w:bCs w:val="0"/>
          <w:kern w:val="0"/>
          <w:sz w:val="21"/>
          <w:szCs w:val="21"/>
          <w:lang w:val="en-US" w:eastAsia="zh-CN"/>
        </w:rPr>
        <w:t>8.2  管道及部件安装</w:t>
      </w:r>
      <w:bookmarkEnd w:id="148"/>
      <w:bookmarkEnd w:id="149"/>
      <w:bookmarkEnd w:id="150"/>
    </w:p>
    <w:p w14:paraId="62F33509">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b w:val="0"/>
          <w:bCs w:val="0"/>
          <w:sz w:val="24"/>
          <w:szCs w:val="24"/>
        </w:rPr>
      </w:pPr>
      <w:r>
        <w:rPr>
          <w:rFonts w:hint="eastAsia" w:ascii="宋体" w:hAnsi="Times New Roman" w:eastAsia="宋体" w:cs="Times New Roman"/>
          <w:b w:val="0"/>
          <w:bCs/>
          <w:kern w:val="2"/>
          <w:sz w:val="21"/>
          <w:szCs w:val="21"/>
          <w:lang w:val="en-US" w:eastAsia="zh-CN" w:bidi="ar-SA"/>
        </w:rPr>
        <w:t xml:space="preserve">8.2.1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事故排风管道支、吊架的安装应符合下列规定：</w:t>
      </w:r>
    </w:p>
    <w:p w14:paraId="5E1479AE">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风管系统支、吊架的形式和规格应按工程实际情况选用。</w:t>
      </w:r>
      <w:r>
        <w:rPr>
          <w:rFonts w:hint="eastAsia" w:ascii="宋体" w:hAnsi="宋体" w:eastAsia="宋体" w:cs="宋体"/>
          <w:b w:val="0"/>
          <w:bCs w:val="0"/>
          <w:kern w:val="2"/>
          <w:sz w:val="21"/>
          <w:szCs w:val="21"/>
          <w:lang w:val="en-US" w:eastAsia="zh-CN" w:bidi="ar-SA"/>
        </w:rPr>
        <w:tab/>
      </w:r>
    </w:p>
    <w:p w14:paraId="0937C337">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风管直径大于2000mm或边长大于2500mm风管的支、吊架的安装要求，应按设计要求执行。</w:t>
      </w:r>
    </w:p>
    <w:p w14:paraId="5FF66509">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悬吊的水平主、干风管直线长度大于20m时，应设置防晃支架或防止摆动的固定点。</w:t>
      </w:r>
    </w:p>
    <w:p w14:paraId="446AB713">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矩形风管的抱箍支架，折角应平直，抱箍应紧贴风管。圆形风管的支架应设托座或抱箍，圆弧应均匀，且应与风管外径一致。</w:t>
      </w:r>
    </w:p>
    <w:p w14:paraId="25607E57">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风管或空调设备使用的可调节减振支、吊架，拉伸或压缩量应符合设计要求。</w:t>
      </w:r>
    </w:p>
    <w:p w14:paraId="63561FB0">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6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不锈钢板、铝板风管与碳素钢支架的接触处，应采取隔绝或防腐绝缘措施。</w:t>
      </w:r>
    </w:p>
    <w:p w14:paraId="7CBBEB2F">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边长(直径)大于1250mm的弯头、三通等部位应设置单独的支、吊架。</w:t>
      </w:r>
    </w:p>
    <w:p w14:paraId="0E1178D2">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eastAsia="宋体" w:cs="宋体"/>
          <w:sz w:val="24"/>
          <w:lang w:val="en-US" w:eastAsia="zh-CN"/>
        </w:rPr>
      </w:pPr>
      <w:r>
        <w:rPr>
          <w:rFonts w:hint="eastAsia" w:ascii="宋体" w:hAnsi="Times New Roman" w:eastAsia="宋体" w:cs="Times New Roman"/>
          <w:b w:val="0"/>
          <w:bCs/>
          <w:kern w:val="2"/>
          <w:sz w:val="21"/>
          <w:szCs w:val="21"/>
          <w:lang w:val="en-US" w:eastAsia="zh-CN" w:bidi="ar-SA"/>
        </w:rPr>
        <w:t xml:space="preserve">8.2.2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事故排风管道安装安装应符合《通风与空调工程施工质量验收规范》GB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50243、《通风与空调工程施工规范》GB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50738的相关要求，并应符合下列规定：</w:t>
      </w:r>
      <w:r>
        <w:rPr>
          <w:rFonts w:hint="eastAsia" w:hAnsi="宋体" w:cs="宋体"/>
          <w:sz w:val="24"/>
          <w:lang w:val="en-US" w:eastAsia="zh-CN"/>
        </w:rPr>
        <w:t xml:space="preserve"> </w:t>
      </w:r>
    </w:p>
    <w:p w14:paraId="72F63E6B">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1" w:name="_Toc935"/>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风管内严禁其他管线穿越。</w:t>
      </w:r>
      <w:bookmarkEnd w:id="151"/>
    </w:p>
    <w:p w14:paraId="6A438ADA">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事故排风系统风管通过普通房间时不得设置风口。</w:t>
      </w:r>
    </w:p>
    <w:p w14:paraId="2D64B114">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2" w:name="_Toc23086"/>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室外风管系统的拉索等金属固定件严禁与避雷针或避雷网连接。</w:t>
      </w:r>
      <w:bookmarkEnd w:id="152"/>
    </w:p>
    <w:p w14:paraId="656D4042">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当风管穿过需要封闭的防火、防爆的墙体或楼板时，必须设置厚度不小于1.6mm的钢制防护套管；风管与防护套管之间应采用不燃柔性材料封堵严密。</w:t>
      </w:r>
    </w:p>
    <w:p w14:paraId="596FD1D3">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bookmarkStart w:id="153" w:name="_Toc24134"/>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法兰的连接螺栓应均匀拧紧，螺母宜在顺气体流向的一侧。</w:t>
      </w:r>
      <w:bookmarkEnd w:id="153"/>
    </w:p>
    <w:p w14:paraId="65045788">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风管接口的连接应严密牢固。风管法兰的垫片材质应符合系统功能的要求，厚度不应小于3mm。垫片不应凸入管内，且不宜突出法兰外；垫片接口交叉长度不应小于30mm。</w:t>
      </w:r>
    </w:p>
    <w:p w14:paraId="2951BE4A">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cs="宋体"/>
          <w:sz w:val="24"/>
        </w:rPr>
      </w:pPr>
      <w:r>
        <w:rPr>
          <w:rFonts w:hint="eastAsia" w:ascii="宋体" w:hAnsi="宋体" w:eastAsia="宋体" w:cs="宋体"/>
          <w:b w:val="0"/>
          <w:bCs w:val="0"/>
          <w:kern w:val="2"/>
          <w:sz w:val="21"/>
          <w:szCs w:val="21"/>
          <w:lang w:val="en-US" w:eastAsia="zh-CN" w:bidi="ar-SA"/>
        </w:rPr>
        <w:t>7</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风管的连接应平直。风管水平安装时，水平度的允许偏差应为3‰，总偏差不应大于20mm；风管垂直安装时，垂直度的允许偏差应为2‰，总偏差不应大于20mm。</w:t>
      </w:r>
    </w:p>
    <w:p w14:paraId="44FF4B7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事故通风管道安装后应进行严密性检验，合格后方能交付下道工序。</w:t>
      </w:r>
    </w:p>
    <w:p w14:paraId="77267941">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54" w:name="_Toc3419"/>
      <w:r>
        <w:rPr>
          <w:rFonts w:hint="eastAsia" w:ascii="宋体" w:hAnsi="Times New Roman" w:eastAsia="宋体" w:cs="Times New Roman"/>
          <w:b w:val="0"/>
          <w:bCs/>
          <w:kern w:val="2"/>
          <w:sz w:val="21"/>
          <w:szCs w:val="21"/>
          <w:lang w:val="en-US" w:eastAsia="zh-CN" w:bidi="ar-SA"/>
        </w:rPr>
        <w:t xml:space="preserve">8.2.4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风口的安装应符合下列规定：</w:t>
      </w:r>
      <w:bookmarkEnd w:id="154"/>
    </w:p>
    <w:p w14:paraId="2C315CF5">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风管与风口连接宜采用法兰连接。</w:t>
      </w:r>
    </w:p>
    <w:p w14:paraId="128AD16A">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风口不应直接安装在主风管上，风口与主风管间应通过短管连接。</w:t>
      </w:r>
    </w:p>
    <w:p w14:paraId="281C5C8B">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风口安装位置应正确，调节装置定位后应无明显自由松动。</w:t>
      </w:r>
    </w:p>
    <w:p w14:paraId="17CE3F9D">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风口表面应平整、不变形，调节应灵活、可靠。同一房间内的相同风口的安装高度应一致，排列应整齐。</w:t>
      </w:r>
    </w:p>
    <w:p w14:paraId="6F53DC5D">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风口安装位置和标高允许偏差应为10mm，垂直度的允许偏差应为2‰。</w:t>
      </w:r>
    </w:p>
    <w:p w14:paraId="56E86838">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宋体" w:cs="宋体"/>
          <w:sz w:val="24"/>
        </w:rPr>
      </w:pPr>
      <w:bookmarkStart w:id="155" w:name="_Toc14715"/>
      <w:r>
        <w:rPr>
          <w:rFonts w:hint="eastAsia" w:ascii="宋体" w:hAnsi="Times New Roman" w:eastAsia="宋体" w:cs="Times New Roman"/>
          <w:b w:val="0"/>
          <w:bCs/>
          <w:kern w:val="2"/>
          <w:sz w:val="21"/>
          <w:szCs w:val="21"/>
          <w:lang w:val="en-US" w:eastAsia="zh-CN" w:bidi="ar-SA"/>
        </w:rPr>
        <w:t xml:space="preserve">8.2.5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风阀的安装应符合下列规定：</w:t>
      </w:r>
      <w:bookmarkEnd w:id="155"/>
    </w:p>
    <w:p w14:paraId="41798B52">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阀门安装方向应正确、便于操作，启闭灵活。</w:t>
      </w:r>
      <w:bookmarkStart w:id="156" w:name="_Toc12108"/>
    </w:p>
    <w:p w14:paraId="6E451173">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电动、气动调节阀的安装应保证执行机构动作的空间。</w:t>
      </w:r>
      <w:bookmarkEnd w:id="156"/>
    </w:p>
    <w:p w14:paraId="05AF5CA4">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防火阀应设独立支、吊架。</w:t>
      </w:r>
    </w:p>
    <w:p w14:paraId="2178340E">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57" w:name="_Toc13720"/>
      <w:r>
        <w:rPr>
          <w:rFonts w:hint="eastAsia" w:ascii="宋体" w:hAnsi="Times New Roman" w:eastAsia="宋体" w:cs="Times New Roman"/>
          <w:b w:val="0"/>
          <w:bCs/>
          <w:kern w:val="2"/>
          <w:sz w:val="21"/>
          <w:szCs w:val="21"/>
          <w:lang w:val="en-US" w:eastAsia="zh-CN" w:bidi="ar-SA"/>
        </w:rPr>
        <w:t xml:space="preserve">8.2.6 </w:t>
      </w:r>
      <w:bookmarkEnd w:id="157"/>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消声器及静压箱安装时，应设置独立支、吊架，固定应牢固。</w:t>
      </w:r>
    </w:p>
    <w:p w14:paraId="6511F4B0">
      <w:pPr>
        <w:pStyle w:val="4"/>
        <w:jc w:val="both"/>
        <w:rPr>
          <w:rFonts w:hint="default" w:eastAsia="宋体"/>
          <w:b w:val="0"/>
          <w:bCs/>
          <w:lang w:val="en-US" w:eastAsia="zh-CN"/>
        </w:rPr>
      </w:pPr>
      <w:r>
        <w:rPr>
          <w:rFonts w:hint="eastAsia" w:ascii="宋体" w:hAnsi="Times New Roman" w:eastAsia="宋体" w:cs="Times New Roman"/>
          <w:b w:val="0"/>
          <w:bCs/>
          <w:kern w:val="2"/>
          <w:sz w:val="21"/>
          <w:szCs w:val="21"/>
          <w:lang w:val="en-US" w:eastAsia="zh-CN" w:bidi="ar-SA"/>
        </w:rPr>
        <w:t>8.2.7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CO2监测报警器、氧气探测器所连接的空气采样管道安装应符合设计文件要求，采样管与探测器应连接牢固、紧密，并确保采样口畅通。</w:t>
      </w:r>
    </w:p>
    <w:p w14:paraId="4114262F">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58" w:name="_Toc26758"/>
      <w:bookmarkStart w:id="159" w:name="_Toc32297"/>
      <w:bookmarkStart w:id="160" w:name="_Toc30217"/>
      <w:r>
        <w:rPr>
          <w:rFonts w:hint="eastAsia" w:ascii="黑体" w:hAnsi="黑体" w:eastAsia="黑体" w:cs="黑体"/>
          <w:b w:val="0"/>
          <w:bCs w:val="0"/>
          <w:kern w:val="0"/>
          <w:sz w:val="21"/>
          <w:szCs w:val="21"/>
          <w:lang w:val="en-US" w:eastAsia="zh-CN"/>
        </w:rPr>
        <w:t>8.3  设备安装</w:t>
      </w:r>
      <w:bookmarkEnd w:id="158"/>
      <w:bookmarkEnd w:id="159"/>
      <w:bookmarkEnd w:id="160"/>
    </w:p>
    <w:p w14:paraId="4FA04C3E">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宋体" w:hAnsi="Times New Roman" w:eastAsia="宋体" w:cs="Times New Roman"/>
          <w:b w:val="0"/>
          <w:bCs/>
          <w:kern w:val="2"/>
          <w:sz w:val="21"/>
          <w:szCs w:val="21"/>
          <w:lang w:val="en-US" w:eastAsia="zh-CN" w:bidi="ar-SA"/>
        </w:rPr>
      </w:pPr>
      <w:bookmarkStart w:id="161" w:name="_Toc10672"/>
      <w:r>
        <w:rPr>
          <w:rFonts w:hint="eastAsia" w:ascii="宋体" w:hAnsi="Times New Roman" w:eastAsia="宋体" w:cs="Times New Roman"/>
          <w:b w:val="0"/>
          <w:bCs/>
          <w:kern w:val="2"/>
          <w:sz w:val="21"/>
          <w:szCs w:val="21"/>
          <w:lang w:val="en-US" w:eastAsia="zh-CN" w:bidi="ar-SA"/>
        </w:rPr>
        <w:t>8.3.1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风机及风机箱的安装应符合设计要求及《风机、压缩机、泵安装工程施工及验收规范》GB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50275的规定，且应符合下列规定：</w:t>
      </w:r>
      <w:bookmarkEnd w:id="161"/>
    </w:p>
    <w:p w14:paraId="5ECAC87D">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  风机安装前应检查电机接线正确无误；通电试验，叶片转动灵活、方向正确，每次停转后不应停留在同一位置上，机械部分无摩擦、松脱，无漏电及异常声响。</w:t>
      </w:r>
    </w:p>
    <w:p w14:paraId="22F1B2E5">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风机落地安装的基础标高、位置及主要尺寸、预留洞的位置和深度应符合设计要求；基础表面应无蜂窝、裂纹、麻面、露筋；基础表面应水平。</w:t>
      </w:r>
    </w:p>
    <w:p w14:paraId="36E8AD8D">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风机落地安装时，应固定在隔振底座上，底座尺寸应与基础大小匹配，中心线一致；隔振底座与基础之间应按设计要求设置减振装置，并应采取防止设备水平位移的措施。</w:t>
      </w:r>
    </w:p>
    <w:p w14:paraId="37CCCB9B">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风机吊装时，吊架及减振装置应符合设计及产品技术文件的要求。</w:t>
      </w:r>
    </w:p>
    <w:p w14:paraId="768BF1BF">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风机与风管连接时，应采用柔性短管连接。</w:t>
      </w:r>
    </w:p>
    <w:p w14:paraId="29B11E9F">
      <w:pPr>
        <w:pStyle w:val="2"/>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6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风机的进、出口不得承受外加的重量，相连接的风管、阀件应设置独立的支、吊架。</w:t>
      </w:r>
    </w:p>
    <w:p w14:paraId="48E167C7">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cs="宋体"/>
          <w:sz w:val="24"/>
        </w:rPr>
      </w:pPr>
      <w:r>
        <w:rPr>
          <w:rFonts w:hint="eastAsia" w:ascii="宋体" w:hAnsi="宋体" w:eastAsia="宋体" w:cs="宋体"/>
          <w:b w:val="0"/>
          <w:bCs w:val="0"/>
          <w:kern w:val="2"/>
          <w:sz w:val="21"/>
          <w:szCs w:val="21"/>
          <w:lang w:val="en-US" w:eastAsia="zh-CN" w:bidi="ar-SA"/>
        </w:rPr>
        <w:t xml:space="preserve">7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风机传动装置的外露部位以及直通大气的进、出风口，必须装设防护罩、防护网或采取其他安全防护措施。</w:t>
      </w:r>
    </w:p>
    <w:p w14:paraId="0206D699">
      <w:pPr>
        <w:pStyle w:val="2"/>
        <w:ind w:left="0" w:leftChars="0" w:firstLine="0" w:firstLineChars="0"/>
        <w:rPr>
          <w:rFonts w:hint="eastAsia"/>
        </w:rPr>
      </w:pPr>
      <w:r>
        <w:rPr>
          <w:rFonts w:hint="eastAsia" w:ascii="宋体" w:hAnsi="Times New Roman" w:eastAsia="宋体" w:cs="Times New Roman"/>
          <w:b w:val="0"/>
          <w:bCs/>
          <w:kern w:val="2"/>
          <w:sz w:val="21"/>
          <w:szCs w:val="21"/>
          <w:lang w:val="en-US" w:eastAsia="zh-CN" w:bidi="ar-SA"/>
        </w:rPr>
        <w:t xml:space="preserve">8.3.2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二氧化碳监测报警器、氧气探测器安装位置应符合设计文件及设备文件要求。</w:t>
      </w:r>
    </w:p>
    <w:p w14:paraId="08417B7C">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62" w:name="_Toc24646"/>
      <w:r>
        <w:rPr>
          <w:rFonts w:hint="eastAsia" w:ascii="黑体" w:hAnsi="黑体" w:eastAsia="黑体" w:cs="黑体"/>
          <w:b w:val="0"/>
          <w:bCs w:val="0"/>
          <w:kern w:val="0"/>
          <w:sz w:val="21"/>
          <w:szCs w:val="21"/>
          <w:lang w:val="en-US" w:eastAsia="zh-CN"/>
        </w:rPr>
        <w:t>8.4  事故排风系统调试</w:t>
      </w:r>
      <w:bookmarkEnd w:id="162"/>
    </w:p>
    <w:p w14:paraId="5E699688">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8.4.1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风机安装完毕应逐台进行单机试运行，并记录。</w:t>
      </w:r>
    </w:p>
    <w:p w14:paraId="46C0D4C6">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8.4.2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系统试运行应采用固态二氧化碳进行试验。当测试点二氧化碳浓度升至设计开启浓度时，二氧化碳监测报警器应能发出声光警报，事故排风机应能同步联动运行；氧气探测器应能实时监测测试区域氧气浓度。</w:t>
      </w:r>
    </w:p>
    <w:p w14:paraId="6B699409">
      <w:pPr>
        <w:ind w:left="0" w:leftChars="0" w:firstLine="0" w:firstLineChars="0"/>
        <w:rPr>
          <w:rFonts w:hint="eastAsia" w:ascii="宋体" w:hAnsi="宋体" w:eastAsia="宋体" w:cs="宋体"/>
          <w:b/>
          <w:bCs w:val="0"/>
        </w:rPr>
      </w:pPr>
      <w:r>
        <w:rPr>
          <w:rFonts w:hint="eastAsia" w:ascii="宋体" w:hAnsi="宋体" w:eastAsia="宋体" w:cs="宋体"/>
          <w:b/>
          <w:bCs w:val="0"/>
        </w:rPr>
        <w:br w:type="page"/>
      </w:r>
    </w:p>
    <w:p w14:paraId="4D999E65">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63" w:name="_Toc18906"/>
      <w:bookmarkStart w:id="164" w:name="_Toc620"/>
      <w:bookmarkStart w:id="165" w:name="_Toc21076"/>
      <w:bookmarkStart w:id="166" w:name="_Toc28725"/>
      <w:bookmarkStart w:id="167" w:name="_Toc31000"/>
      <w:r>
        <w:rPr>
          <w:rFonts w:hint="eastAsia" w:ascii="黑体" w:hAnsi="黑体" w:eastAsia="黑体" w:cs="Times New Roman"/>
          <w:bCs w:val="0"/>
          <w:kern w:val="44"/>
          <w:sz w:val="21"/>
          <w:szCs w:val="20"/>
          <w:lang w:val="en-US" w:eastAsia="zh-CN" w:bidi="ar-SA"/>
        </w:rPr>
        <w:t>9  电气系统安装</w:t>
      </w:r>
      <w:bookmarkEnd w:id="163"/>
      <w:bookmarkEnd w:id="164"/>
    </w:p>
    <w:p w14:paraId="6FF99CF7">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rPr>
      </w:pPr>
      <w:bookmarkStart w:id="168" w:name="_Toc24598"/>
      <w:bookmarkStart w:id="169" w:name="_Toc21143"/>
      <w:r>
        <w:rPr>
          <w:rFonts w:hint="eastAsia" w:ascii="黑体" w:hAnsi="黑体" w:eastAsia="黑体" w:cs="黑体"/>
          <w:b w:val="0"/>
          <w:bCs w:val="0"/>
          <w:kern w:val="0"/>
          <w:sz w:val="21"/>
          <w:szCs w:val="21"/>
          <w:lang w:val="en-US" w:eastAsia="zh-CN"/>
        </w:rPr>
        <w:t>9.1  一般规定</w:t>
      </w:r>
      <w:bookmarkEnd w:id="168"/>
      <w:bookmarkEnd w:id="169"/>
    </w:p>
    <w:p w14:paraId="119621B4">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制冰电气系统安装除应符合本规程外，尚应符合现行国家标</w:t>
      </w:r>
      <w:r>
        <w:rPr>
          <w:rFonts w:hint="default" w:ascii="宋体" w:hAnsi="Times New Roman" w:eastAsia="宋体" w:cs="Times New Roman"/>
          <w:b w:val="0"/>
          <w:bCs/>
          <w:kern w:val="2"/>
          <w:sz w:val="21"/>
          <w:szCs w:val="21"/>
          <w:lang w:val="en-US" w:eastAsia="zh-CN" w:bidi="ar-SA"/>
        </w:rPr>
        <w:t>准《</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w:t>
      </w:r>
      <w:r>
        <w:rPr>
          <w:rFonts w:hint="default" w:ascii="宋体" w:hAnsi="Times New Roman" w:eastAsia="宋体" w:cs="Times New Roman"/>
          <w:b w:val="0"/>
          <w:bCs/>
          <w:kern w:val="2"/>
          <w:sz w:val="21"/>
          <w:szCs w:val="21"/>
          <w:lang w:val="en-US" w:eastAsia="zh-CN" w:bidi="ar-SA"/>
        </w:rPr>
        <w:t>的有关规定</w:t>
      </w:r>
      <w:r>
        <w:rPr>
          <w:rFonts w:hint="eastAsia" w:ascii="宋体" w:hAnsi="Times New Roman" w:eastAsia="宋体" w:cs="Times New Roman"/>
          <w:b w:val="0"/>
          <w:bCs/>
          <w:kern w:val="2"/>
          <w:sz w:val="21"/>
          <w:szCs w:val="21"/>
          <w:lang w:val="en-US" w:eastAsia="zh-CN" w:bidi="ar-SA"/>
        </w:rPr>
        <w:t>。</w:t>
      </w:r>
    </w:p>
    <w:p w14:paraId="3AE9909A">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安装及系统调试人员应持证上岗。</w:t>
      </w:r>
    </w:p>
    <w:p w14:paraId="3C1148E5">
      <w:pPr>
        <w:pStyle w:val="2"/>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安装和调试用各类器具、仪表应检定合格，且使用时应在检定有效期内。</w:t>
      </w:r>
    </w:p>
    <w:p w14:paraId="18AF9C4E">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9.1.4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制冰设备和控制系统应在冰板温度降到设计要求，连</w:t>
      </w:r>
      <w:r>
        <w:rPr>
          <w:rFonts w:hint="default" w:ascii="宋体" w:hAnsi="Times New Roman" w:eastAsia="宋体" w:cs="Times New Roman"/>
          <w:b w:val="0"/>
          <w:bCs/>
          <w:kern w:val="2"/>
          <w:sz w:val="21"/>
          <w:szCs w:val="21"/>
          <w:lang w:val="en-US" w:eastAsia="zh-CN" w:bidi="ar-SA"/>
        </w:rPr>
        <w:t>续开通投</w:t>
      </w:r>
      <w:r>
        <w:rPr>
          <w:rFonts w:hint="eastAsia" w:ascii="宋体" w:hAnsi="Times New Roman" w:eastAsia="宋体" w:cs="Times New Roman"/>
          <w:b w:val="0"/>
          <w:bCs/>
          <w:kern w:val="2"/>
          <w:sz w:val="21"/>
          <w:szCs w:val="21"/>
          <w:lang w:val="en-US" w:eastAsia="zh-CN" w:bidi="ar-SA"/>
        </w:rPr>
        <w:t>入</w:t>
      </w:r>
      <w:r>
        <w:rPr>
          <w:rFonts w:hint="default" w:ascii="宋体" w:hAnsi="Times New Roman" w:eastAsia="宋体" w:cs="Times New Roman"/>
          <w:b w:val="0"/>
          <w:bCs/>
          <w:kern w:val="2"/>
          <w:sz w:val="21"/>
          <w:szCs w:val="21"/>
          <w:lang w:val="en-US" w:eastAsia="zh-CN" w:bidi="ar-SA"/>
        </w:rPr>
        <w:t>48h运行正常后，</w:t>
      </w:r>
      <w:r>
        <w:rPr>
          <w:rFonts w:hint="eastAsia" w:ascii="宋体" w:hAnsi="Times New Roman" w:eastAsia="宋体" w:cs="Times New Roman"/>
          <w:b w:val="0"/>
          <w:bCs/>
          <w:kern w:val="2"/>
          <w:sz w:val="21"/>
          <w:szCs w:val="21"/>
          <w:lang w:val="en-US" w:eastAsia="zh-CN" w:bidi="ar-SA"/>
        </w:rPr>
        <w:t>方</w:t>
      </w:r>
      <w:r>
        <w:rPr>
          <w:rFonts w:hint="default" w:ascii="宋体" w:hAnsi="Times New Roman" w:eastAsia="宋体" w:cs="Times New Roman"/>
          <w:b w:val="0"/>
          <w:bCs/>
          <w:kern w:val="2"/>
          <w:sz w:val="21"/>
          <w:szCs w:val="21"/>
          <w:lang w:val="en-US" w:eastAsia="zh-CN" w:bidi="ar-SA"/>
        </w:rPr>
        <w:t>可进行验收。</w:t>
      </w:r>
    </w:p>
    <w:p w14:paraId="3FF68675">
      <w:pPr>
        <w:pStyle w:val="2"/>
        <w:ind w:left="0" w:leftChars="0" w:firstLine="0" w:firstLineChars="0"/>
      </w:pPr>
    </w:p>
    <w:p w14:paraId="2109A6C4">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黑体" w:hAnsi="黑体" w:eastAsia="黑体" w:cs="黑体"/>
          <w:b w:val="0"/>
          <w:bCs w:val="0"/>
          <w:kern w:val="0"/>
          <w:sz w:val="21"/>
          <w:szCs w:val="21"/>
          <w:lang w:val="en-US" w:eastAsia="zh-CN"/>
        </w:rPr>
      </w:pPr>
      <w:bookmarkStart w:id="170" w:name="_Toc10399"/>
      <w:bookmarkStart w:id="171" w:name="_Toc5162"/>
      <w:r>
        <w:rPr>
          <w:rFonts w:hint="eastAsia" w:ascii="黑体" w:hAnsi="黑体" w:eastAsia="黑体" w:cs="黑体"/>
          <w:b w:val="0"/>
          <w:bCs w:val="0"/>
          <w:kern w:val="0"/>
          <w:sz w:val="21"/>
          <w:szCs w:val="21"/>
          <w:lang w:val="en-US" w:eastAsia="zh-CN"/>
        </w:rPr>
        <w:t>9.2  配电系统线路布线</w:t>
      </w:r>
      <w:bookmarkEnd w:id="170"/>
      <w:bookmarkEnd w:id="171"/>
    </w:p>
    <w:p w14:paraId="2D51D0CD">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9.2.1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电缆施工应符合现行国家标准《电气装置安装工程电缆线</w:t>
      </w:r>
      <w:r>
        <w:rPr>
          <w:rFonts w:hint="default" w:ascii="宋体" w:hAnsi="Times New Roman" w:eastAsia="宋体" w:cs="Times New Roman"/>
          <w:b w:val="0"/>
          <w:bCs/>
          <w:kern w:val="2"/>
          <w:sz w:val="21"/>
          <w:szCs w:val="21"/>
          <w:lang w:val="en-US" w:eastAsia="zh-CN" w:bidi="ar-SA"/>
        </w:rPr>
        <w:t>路施工及验收规范》GB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50168和《</w:t>
      </w:r>
      <w:r>
        <w:rPr>
          <w:rFonts w:hint="eastAsia" w:ascii="宋体" w:hAnsi="Times New Roman" w:eastAsia="宋体" w:cs="Times New Roman"/>
          <w:b w:val="0"/>
          <w:bCs/>
          <w:kern w:val="2"/>
          <w:sz w:val="21"/>
          <w:szCs w:val="21"/>
          <w:lang w:val="en-US" w:eastAsia="zh-CN" w:bidi="ar-SA"/>
        </w:rPr>
        <w:t>1</w:t>
      </w:r>
      <w:r>
        <w:rPr>
          <w:rFonts w:hint="default" w:ascii="宋体" w:hAnsi="Times New Roman" w:eastAsia="宋体" w:cs="Times New Roman"/>
          <w:b w:val="0"/>
          <w:bCs/>
          <w:kern w:val="2"/>
          <w:sz w:val="21"/>
          <w:szCs w:val="21"/>
          <w:lang w:val="en-US" w:eastAsia="zh-CN" w:bidi="ar-SA"/>
        </w:rPr>
        <w:t>kV 及以下配线工程施工与验收规范》GB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50575的有关规定</w:t>
      </w:r>
      <w:r>
        <w:rPr>
          <w:rFonts w:hint="eastAsia" w:ascii="宋体" w:hAnsi="Times New Roman" w:eastAsia="宋体" w:cs="Times New Roman"/>
          <w:b w:val="0"/>
          <w:bCs/>
          <w:kern w:val="2"/>
          <w:sz w:val="21"/>
          <w:szCs w:val="21"/>
          <w:lang w:val="en-US" w:eastAsia="zh-CN" w:bidi="ar-SA"/>
        </w:rPr>
        <w:t>。</w:t>
      </w:r>
    </w:p>
    <w:p w14:paraId="4665F01E">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9.2.2</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电线(缆)进出</w:t>
      </w:r>
      <w:r>
        <w:rPr>
          <w:rFonts w:hint="eastAsia" w:ascii="宋体" w:hAnsi="Times New Roman" w:eastAsia="宋体" w:cs="Times New Roman"/>
          <w:b w:val="0"/>
          <w:bCs/>
          <w:kern w:val="2"/>
          <w:sz w:val="21"/>
          <w:szCs w:val="21"/>
          <w:lang w:val="en-US" w:eastAsia="zh-CN" w:bidi="ar-SA"/>
        </w:rPr>
        <w:t>制冰机房、水处理机房</w:t>
      </w:r>
      <w:r>
        <w:rPr>
          <w:rFonts w:hint="default" w:ascii="宋体" w:hAnsi="Times New Roman" w:eastAsia="宋体" w:cs="Times New Roman"/>
          <w:b w:val="0"/>
          <w:bCs/>
          <w:kern w:val="2"/>
          <w:sz w:val="21"/>
          <w:szCs w:val="21"/>
          <w:lang w:val="en-US" w:eastAsia="zh-CN" w:bidi="ar-SA"/>
        </w:rPr>
        <w:t>等潮湿场所安装的接线箱(盒)、电气箱、柜应穿保护管，并应通过连接头连接;接线完成后，保护管管口应密封，并应做好进出电线 (缆)的隔汽和防水处理</w:t>
      </w:r>
      <w:r>
        <w:rPr>
          <w:rFonts w:hint="eastAsia" w:ascii="宋体" w:hAnsi="Times New Roman" w:eastAsia="宋体" w:cs="Times New Roman"/>
          <w:b w:val="0"/>
          <w:bCs/>
          <w:kern w:val="2"/>
          <w:sz w:val="21"/>
          <w:szCs w:val="21"/>
          <w:lang w:val="en-US" w:eastAsia="zh-CN" w:bidi="ar-SA"/>
        </w:rPr>
        <w:t>；</w:t>
      </w:r>
    </w:p>
    <w:p w14:paraId="72BCCDD4">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default" w:eastAsia="宋体"/>
          <w:lang w:val="en-US" w:eastAsia="zh-CN"/>
        </w:rPr>
      </w:pPr>
      <w:r>
        <w:rPr>
          <w:rFonts w:hint="eastAsia" w:ascii="宋体" w:hAnsi="Times New Roman" w:eastAsia="宋体" w:cs="Times New Roman"/>
          <w:b w:val="0"/>
          <w:bCs/>
          <w:kern w:val="2"/>
          <w:sz w:val="21"/>
          <w:szCs w:val="21"/>
          <w:lang w:val="en-US" w:eastAsia="zh-CN" w:bidi="ar-SA"/>
        </w:rPr>
        <w:t>9.2.</w:t>
      </w:r>
      <w:r>
        <w:rPr>
          <w:rFonts w:hint="default" w:ascii="宋体" w:hAnsi="Times New Roman" w:eastAsia="宋体" w:cs="Times New Roman"/>
          <w:b w:val="0"/>
          <w:bCs/>
          <w:kern w:val="2"/>
          <w:sz w:val="21"/>
          <w:szCs w:val="21"/>
          <w:lang w:val="en-US" w:eastAsia="zh-CN" w:bidi="ar-SA"/>
        </w:rPr>
        <w:t>3</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 xml:space="preserve"> 电气线路穿越</w:t>
      </w:r>
      <w:r>
        <w:rPr>
          <w:rFonts w:hint="eastAsia" w:ascii="宋体" w:hAnsi="Times New Roman" w:eastAsia="宋体" w:cs="Times New Roman"/>
          <w:b w:val="0"/>
          <w:bCs/>
          <w:kern w:val="2"/>
          <w:sz w:val="21"/>
          <w:szCs w:val="21"/>
          <w:lang w:val="en-US" w:eastAsia="zh-CN" w:bidi="ar-SA"/>
        </w:rPr>
        <w:t>制冰设备</w:t>
      </w:r>
      <w:r>
        <w:rPr>
          <w:rFonts w:hint="default" w:ascii="宋体" w:hAnsi="Times New Roman" w:eastAsia="宋体" w:cs="Times New Roman"/>
          <w:b w:val="0"/>
          <w:bCs/>
          <w:kern w:val="2"/>
          <w:sz w:val="21"/>
          <w:szCs w:val="21"/>
          <w:lang w:val="en-US" w:eastAsia="zh-CN" w:bidi="ar-SA"/>
        </w:rPr>
        <w:t>保温材料敷设时，应</w:t>
      </w:r>
      <w:r>
        <w:rPr>
          <w:rFonts w:hint="eastAsia" w:ascii="宋体" w:hAnsi="Times New Roman" w:eastAsia="宋体" w:cs="Times New Roman"/>
          <w:b w:val="0"/>
          <w:bCs/>
          <w:kern w:val="2"/>
          <w:sz w:val="21"/>
          <w:szCs w:val="21"/>
          <w:lang w:val="en-US" w:eastAsia="zh-CN" w:bidi="ar-SA"/>
        </w:rPr>
        <w:t>穿保护管，</w:t>
      </w:r>
      <w:r>
        <w:rPr>
          <w:rFonts w:hint="default" w:ascii="宋体" w:hAnsi="Times New Roman" w:eastAsia="宋体" w:cs="Times New Roman"/>
          <w:b w:val="0"/>
          <w:bCs/>
          <w:kern w:val="2"/>
          <w:sz w:val="21"/>
          <w:szCs w:val="21"/>
          <w:lang w:val="en-US" w:eastAsia="zh-CN" w:bidi="ar-SA"/>
        </w:rPr>
        <w:t>采取防火和防止产生冷桥的措施</w:t>
      </w:r>
      <w:r>
        <w:rPr>
          <w:rFonts w:hint="eastAsia" w:ascii="宋体" w:hAnsi="Times New Roman" w:eastAsia="宋体" w:cs="Times New Roman"/>
          <w:b w:val="0"/>
          <w:bCs/>
          <w:kern w:val="2"/>
          <w:sz w:val="21"/>
          <w:szCs w:val="21"/>
          <w:lang w:val="en-US" w:eastAsia="zh-CN" w:bidi="ar-SA"/>
        </w:rPr>
        <w:t>。</w:t>
      </w:r>
    </w:p>
    <w:p w14:paraId="165DE234">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72" w:name="_Toc16733"/>
      <w:bookmarkStart w:id="173" w:name="_Toc1159"/>
      <w:r>
        <w:rPr>
          <w:rFonts w:hint="eastAsia" w:ascii="黑体" w:hAnsi="黑体" w:eastAsia="黑体" w:cs="黑体"/>
          <w:b w:val="0"/>
          <w:bCs w:val="0"/>
          <w:kern w:val="0"/>
          <w:sz w:val="21"/>
          <w:szCs w:val="21"/>
          <w:lang w:val="en-US" w:eastAsia="zh-CN"/>
        </w:rPr>
        <w:t xml:space="preserve">9.3  </w:t>
      </w:r>
      <w:bookmarkEnd w:id="172"/>
      <w:r>
        <w:rPr>
          <w:rFonts w:hint="eastAsia" w:ascii="黑体" w:hAnsi="黑体" w:eastAsia="黑体" w:cs="黑体"/>
          <w:b w:val="0"/>
          <w:bCs w:val="0"/>
          <w:kern w:val="0"/>
          <w:sz w:val="21"/>
          <w:szCs w:val="21"/>
          <w:lang w:val="en-US" w:eastAsia="zh-CN"/>
        </w:rPr>
        <w:t>电气箱、柜安装</w:t>
      </w:r>
      <w:bookmarkEnd w:id="173"/>
    </w:p>
    <w:p w14:paraId="01432E66">
      <w:pPr>
        <w:ind w:left="0" w:leftChars="0" w:firstLine="0" w:firstLineChars="0"/>
        <w:rPr>
          <w:rFonts w:hint="eastAsia"/>
          <w:color w:val="70AD47" w:themeColor="accent6"/>
          <w:sz w:val="24"/>
          <w:lang w:val="en-US" w:eastAsia="zh-CN"/>
          <w14:textFill>
            <w14:solidFill>
              <w14:schemeClr w14:val="accent6"/>
            </w14:solidFill>
          </w14:textFill>
        </w:rPr>
      </w:pPr>
      <w:r>
        <w:rPr>
          <w:rFonts w:hint="eastAsia" w:ascii="宋体" w:hAnsi="Times New Roman" w:eastAsia="宋体" w:cs="Times New Roman"/>
          <w:b w:val="0"/>
          <w:bCs/>
          <w:kern w:val="2"/>
          <w:sz w:val="21"/>
          <w:szCs w:val="21"/>
          <w:lang w:val="en-US" w:eastAsia="zh-CN" w:bidi="ar-SA"/>
        </w:rPr>
        <w:t xml:space="preserve">9.3.1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电气箱、柜及二次回路接线除应符合现行国家标准《</w:t>
      </w:r>
      <w:r>
        <w:rPr>
          <w:rFonts w:hint="default" w:ascii="宋体" w:hAnsi="Times New Roman" w:eastAsia="宋体" w:cs="Times New Roman"/>
          <w:b w:val="0"/>
          <w:bCs/>
          <w:kern w:val="2"/>
          <w:sz w:val="21"/>
          <w:szCs w:val="21"/>
          <w:lang w:val="en-US" w:eastAsia="zh-CN" w:bidi="ar-SA"/>
        </w:rPr>
        <w:t>电气装置安装工程盘</w:t>
      </w:r>
      <w:r>
        <w:rPr>
          <w:rFonts w:hint="eastAsia" w:ascii="宋体" w:hAnsi="Times New Roman" w:eastAsia="宋体" w:cs="Times New Roman"/>
          <w:b w:val="0"/>
          <w:bCs/>
          <w:kern w:val="2"/>
          <w:sz w:val="21"/>
          <w:szCs w:val="21"/>
          <w:lang w:val="en-US" w:eastAsia="zh-CN" w:bidi="ar-SA"/>
        </w:rPr>
        <w:t>、</w:t>
      </w:r>
      <w:r>
        <w:rPr>
          <w:rFonts w:hint="default" w:ascii="宋体" w:hAnsi="Times New Roman" w:eastAsia="宋体" w:cs="Times New Roman"/>
          <w:b w:val="0"/>
          <w:bCs/>
          <w:kern w:val="2"/>
          <w:sz w:val="21"/>
          <w:szCs w:val="21"/>
          <w:lang w:val="en-US" w:eastAsia="zh-CN" w:bidi="ar-SA"/>
        </w:rPr>
        <w:t>柜及二次回路接线施工及验收规范》GB</w:t>
      </w:r>
      <w:r>
        <w:rPr>
          <w:rFonts w:hint="eastAsia" w:cs="Times New Roman"/>
          <w:b w:val="0"/>
          <w:bCs/>
          <w:kern w:val="2"/>
          <w:sz w:val="21"/>
          <w:szCs w:val="21"/>
          <w:lang w:val="en-US" w:eastAsia="zh-CN" w:bidi="ar-SA"/>
        </w:rPr>
        <w:t xml:space="preserve"> </w:t>
      </w:r>
      <w:r>
        <w:rPr>
          <w:rFonts w:hint="default" w:ascii="宋体" w:hAnsi="Times New Roman" w:eastAsia="宋体" w:cs="Times New Roman"/>
          <w:b w:val="0"/>
          <w:bCs/>
          <w:kern w:val="2"/>
          <w:sz w:val="21"/>
          <w:szCs w:val="21"/>
          <w:lang w:val="en-US" w:eastAsia="zh-CN" w:bidi="ar-SA"/>
        </w:rPr>
        <w:t>50171的有关规定外，尚应符合下列规定:</w:t>
      </w:r>
      <w:r>
        <w:rPr>
          <w:rFonts w:hint="default"/>
          <w:color w:val="70AD47" w:themeColor="accent6"/>
          <w:sz w:val="24"/>
          <w:lang w:val="en-US" w:eastAsia="zh-CN"/>
          <w14:textFill>
            <w14:solidFill>
              <w14:schemeClr w14:val="accent6"/>
            </w14:solidFill>
          </w14:textFill>
        </w:rPr>
        <w:t xml:space="preserve"> </w:t>
      </w:r>
    </w:p>
    <w:p w14:paraId="6869CAAE">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等容易结露场所安装的电气箱、柜应采取防止凝露沿墙面、电缆托盘、穿线管等进</w:t>
      </w:r>
      <w:r>
        <w:rPr>
          <w:rFonts w:hint="eastAsia" w:ascii="宋体" w:hAnsi="宋体" w:eastAsia="宋体" w:cs="宋体"/>
          <w:b w:val="0"/>
          <w:bCs w:val="0"/>
          <w:kern w:val="2"/>
          <w:sz w:val="21"/>
          <w:szCs w:val="21"/>
          <w:lang w:val="en-US" w:eastAsia="zh-CN" w:bidi="ar-SA"/>
        </w:rPr>
        <w:t>入</w:t>
      </w:r>
      <w:r>
        <w:rPr>
          <w:rFonts w:hint="default" w:ascii="宋体" w:hAnsi="宋体" w:eastAsia="宋体" w:cs="宋体"/>
          <w:b w:val="0"/>
          <w:bCs w:val="0"/>
          <w:kern w:val="2"/>
          <w:sz w:val="21"/>
          <w:szCs w:val="21"/>
          <w:lang w:val="en-US" w:eastAsia="zh-CN" w:bidi="ar-SA"/>
        </w:rPr>
        <w:t>的措施</w:t>
      </w:r>
      <w:r>
        <w:rPr>
          <w:rFonts w:hint="eastAsia" w:ascii="宋体" w:hAnsi="宋体" w:eastAsia="宋体" w:cs="宋体"/>
          <w:b w:val="0"/>
          <w:bCs w:val="0"/>
          <w:kern w:val="2"/>
          <w:sz w:val="21"/>
          <w:szCs w:val="21"/>
          <w:lang w:val="en-US" w:eastAsia="zh-CN" w:bidi="ar-SA"/>
        </w:rPr>
        <w:t>；</w:t>
      </w:r>
    </w:p>
    <w:p w14:paraId="7682676A">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等潮湿或容易结露场所安装的电气箱、柜</w:t>
      </w:r>
      <w:r>
        <w:rPr>
          <w:rFonts w:hint="eastAsia" w:ascii="宋体" w:hAnsi="宋体" w:eastAsia="宋体" w:cs="宋体"/>
          <w:b w:val="0"/>
          <w:bCs w:val="0"/>
          <w:kern w:val="2"/>
          <w:sz w:val="21"/>
          <w:szCs w:val="21"/>
          <w:lang w:val="en-US" w:eastAsia="zh-CN" w:bidi="ar-SA"/>
        </w:rPr>
        <w:t>应采取通风措施，降低</w:t>
      </w:r>
      <w:r>
        <w:rPr>
          <w:rFonts w:hint="default" w:ascii="宋体" w:hAnsi="宋体" w:eastAsia="宋体" w:cs="宋体"/>
          <w:b w:val="0"/>
          <w:bCs w:val="0"/>
          <w:kern w:val="2"/>
          <w:sz w:val="21"/>
          <w:szCs w:val="21"/>
          <w:lang w:val="en-US" w:eastAsia="zh-CN" w:bidi="ar-SA"/>
        </w:rPr>
        <w:t>电气箱、柜</w:t>
      </w:r>
      <w:r>
        <w:rPr>
          <w:rFonts w:hint="eastAsia" w:ascii="宋体" w:hAnsi="宋体" w:eastAsia="宋体" w:cs="宋体"/>
          <w:b w:val="0"/>
          <w:bCs w:val="0"/>
          <w:kern w:val="2"/>
          <w:sz w:val="21"/>
          <w:szCs w:val="21"/>
          <w:lang w:val="en-US" w:eastAsia="zh-CN" w:bidi="ar-SA"/>
        </w:rPr>
        <w:t>内部水汽含量；</w:t>
      </w:r>
    </w:p>
    <w:p w14:paraId="07AD0D01">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制冰机房、水处理机房</w:t>
      </w:r>
      <w:r>
        <w:rPr>
          <w:rFonts w:hint="default" w:ascii="宋体" w:hAnsi="宋体" w:eastAsia="宋体" w:cs="宋体"/>
          <w:b w:val="0"/>
          <w:bCs w:val="0"/>
          <w:kern w:val="2"/>
          <w:sz w:val="21"/>
          <w:szCs w:val="21"/>
          <w:lang w:val="en-US" w:eastAsia="zh-CN" w:bidi="ar-SA"/>
        </w:rPr>
        <w:t>等潮湿或容易结露场所安装的电气箱、柜，母线搭接面应处理后搪锡 ，并应均匀涂抹电力复合脂</w:t>
      </w:r>
      <w:r>
        <w:rPr>
          <w:rFonts w:hint="eastAsia" w:ascii="宋体" w:hAnsi="宋体" w:eastAsia="宋体" w:cs="宋体"/>
          <w:b w:val="0"/>
          <w:bCs w:val="0"/>
          <w:kern w:val="2"/>
          <w:sz w:val="21"/>
          <w:szCs w:val="21"/>
          <w:lang w:val="en-US" w:eastAsia="zh-CN" w:bidi="ar-SA"/>
        </w:rPr>
        <w:t>；</w:t>
      </w:r>
      <w:r>
        <w:rPr>
          <w:rFonts w:hint="default" w:ascii="宋体" w:hAnsi="宋体" w:eastAsia="宋体" w:cs="宋体"/>
          <w:b w:val="0"/>
          <w:bCs w:val="0"/>
          <w:kern w:val="2"/>
          <w:sz w:val="21"/>
          <w:szCs w:val="21"/>
          <w:lang w:val="en-US" w:eastAsia="zh-CN" w:bidi="ar-SA"/>
        </w:rPr>
        <w:t xml:space="preserve"> </w:t>
      </w:r>
    </w:p>
    <w:p w14:paraId="46EF5205">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color w:val="70AD47" w:themeColor="accent6"/>
          <w:lang w:val="en-US" w:eastAsia="zh-CN"/>
          <w14:textFill>
            <w14:solidFill>
              <w14:schemeClr w14:val="accent6"/>
            </w14:solidFill>
          </w14:textFill>
        </w:rPr>
      </w:pP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 xml:space="preserve"> </w:t>
      </w:r>
      <w:r>
        <w:rPr>
          <w:rFonts w:hint="eastAsia" w:hAnsi="宋体" w:cs="宋体"/>
          <w:b w:val="0"/>
          <w:bCs w:val="0"/>
          <w:kern w:val="2"/>
          <w:sz w:val="21"/>
          <w:szCs w:val="21"/>
          <w:lang w:val="en-US" w:eastAsia="zh-CN" w:bidi="ar-SA"/>
        </w:rPr>
        <w:t xml:space="preserve"> </w:t>
      </w:r>
      <w:r>
        <w:rPr>
          <w:rFonts w:hint="default" w:ascii="宋体" w:hAnsi="宋体" w:eastAsia="宋体" w:cs="宋体"/>
          <w:b w:val="0"/>
          <w:bCs w:val="0"/>
          <w:kern w:val="2"/>
          <w:sz w:val="21"/>
          <w:szCs w:val="21"/>
          <w:lang w:val="en-US" w:eastAsia="zh-CN" w:bidi="ar-SA"/>
        </w:rPr>
        <w:t>二次回路接线应紧密、无松动</w:t>
      </w:r>
      <w:r>
        <w:rPr>
          <w:rFonts w:hint="eastAsia" w:ascii="宋体" w:hAnsi="宋体" w:eastAsia="宋体" w:cs="宋体"/>
          <w:b w:val="0"/>
          <w:bCs w:val="0"/>
          <w:kern w:val="2"/>
          <w:sz w:val="21"/>
          <w:szCs w:val="21"/>
          <w:lang w:val="en-US" w:eastAsia="zh-CN" w:bidi="ar-SA"/>
        </w:rPr>
        <w:t>，</w:t>
      </w:r>
      <w:r>
        <w:rPr>
          <w:rFonts w:hint="default" w:ascii="宋体" w:hAnsi="宋体" w:eastAsia="宋体" w:cs="宋体"/>
          <w:b w:val="0"/>
          <w:bCs w:val="0"/>
          <w:kern w:val="2"/>
          <w:sz w:val="21"/>
          <w:szCs w:val="21"/>
          <w:lang w:val="en-US" w:eastAsia="zh-CN" w:bidi="ar-SA"/>
        </w:rPr>
        <w:t>当采用多股软铜线时，线端应采用相应规格的接线耳与接线端子相连。</w:t>
      </w:r>
      <w:r>
        <w:rPr>
          <w:rFonts w:hint="default" w:ascii="STSong-Light" w:hAnsi="STSong-Light" w:eastAsia="STSong-Light" w:cs="STSong-Light"/>
          <w:color w:val="70AD47" w:themeColor="accent6"/>
          <w:kern w:val="0"/>
          <w:sz w:val="20"/>
          <w:szCs w:val="20"/>
          <w:lang w:val="en-US" w:eastAsia="zh-CN" w:bidi="ar"/>
          <w14:textFill>
            <w14:solidFill>
              <w14:schemeClr w14:val="accent6"/>
            </w14:solidFill>
          </w14:textFill>
        </w:rPr>
        <w:t xml:space="preserve"> </w:t>
      </w:r>
    </w:p>
    <w:p w14:paraId="5C9D86BD">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ascii="Times New Roman" w:hAnsi="Times New Roman"/>
          <w:color w:val="auto"/>
          <w:sz w:val="24"/>
          <w:szCs w:val="28"/>
        </w:rPr>
      </w:pPr>
      <w:bookmarkStart w:id="174" w:name="_Toc6996"/>
      <w:bookmarkStart w:id="175" w:name="_Toc32708"/>
      <w:bookmarkStart w:id="176" w:name="_Toc31445"/>
      <w:bookmarkStart w:id="177" w:name="_Toc24931"/>
      <w:bookmarkStart w:id="178" w:name="_Hlk119337473"/>
      <w:r>
        <w:rPr>
          <w:rFonts w:hint="eastAsia" w:ascii="黑体" w:hAnsi="黑体" w:eastAsia="黑体" w:cs="黑体"/>
          <w:b w:val="0"/>
          <w:bCs w:val="0"/>
          <w:kern w:val="0"/>
          <w:sz w:val="21"/>
          <w:szCs w:val="21"/>
          <w:lang w:val="en-US" w:eastAsia="zh-CN"/>
        </w:rPr>
        <w:t>9.4  电动执行器接线</w:t>
      </w:r>
      <w:bookmarkEnd w:id="174"/>
      <w:bookmarkEnd w:id="175"/>
      <w:bookmarkEnd w:id="176"/>
      <w:bookmarkEnd w:id="177"/>
    </w:p>
    <w:bookmarkEnd w:id="178"/>
    <w:p w14:paraId="2FAEBB86">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制冰机房、水处理机房内水泵、电加热水箱等除应满足现行国家标</w:t>
      </w:r>
      <w:r>
        <w:rPr>
          <w:rFonts w:hint="default" w:ascii="宋体" w:hAnsi="Times New Roman" w:eastAsia="宋体" w:cs="Times New Roman"/>
          <w:b w:val="0"/>
          <w:bCs/>
          <w:kern w:val="2"/>
          <w:sz w:val="21"/>
          <w:szCs w:val="21"/>
          <w:lang w:val="en-US" w:eastAsia="zh-CN" w:bidi="ar-SA"/>
        </w:rPr>
        <w:t>准《</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w:t>
      </w:r>
      <w:r>
        <w:rPr>
          <w:rFonts w:hint="default" w:ascii="宋体" w:hAnsi="Times New Roman" w:eastAsia="宋体" w:cs="Times New Roman"/>
          <w:b w:val="0"/>
          <w:bCs/>
          <w:kern w:val="2"/>
          <w:sz w:val="21"/>
          <w:szCs w:val="21"/>
          <w:lang w:val="en-US" w:eastAsia="zh-CN" w:bidi="ar-SA"/>
        </w:rPr>
        <w:t>的有关规定</w:t>
      </w:r>
      <w:r>
        <w:rPr>
          <w:rFonts w:hint="eastAsia" w:ascii="宋体" w:hAnsi="Times New Roman" w:eastAsia="宋体" w:cs="Times New Roman"/>
          <w:b w:val="0"/>
          <w:bCs/>
          <w:kern w:val="2"/>
          <w:sz w:val="21"/>
          <w:szCs w:val="21"/>
          <w:lang w:val="en-US" w:eastAsia="zh-CN" w:bidi="ar-SA"/>
        </w:rPr>
        <w:t>，尚应符合</w:t>
      </w:r>
      <w:r>
        <w:rPr>
          <w:rFonts w:hint="default" w:ascii="宋体" w:hAnsi="Times New Roman" w:eastAsia="宋体" w:cs="Times New Roman"/>
          <w:b w:val="0"/>
          <w:bCs/>
          <w:kern w:val="2"/>
          <w:sz w:val="21"/>
          <w:szCs w:val="21"/>
          <w:lang w:val="en-US" w:eastAsia="zh-CN" w:bidi="ar-SA"/>
        </w:rPr>
        <w:t>下列规定：</w:t>
      </w:r>
    </w:p>
    <w:p w14:paraId="0B9375E1">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电加热水箱加热温度应满足设计要求，以及达到场馆浇冰需求热水供应量；</w:t>
      </w:r>
    </w:p>
    <w:p w14:paraId="73EDE27B">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水泵、风机、电加热水箱及电动执行器设备接线时，应在接线端子前采用防潮型金属软管连接，并设置滴水弯，</w:t>
      </w:r>
      <w:r>
        <w:rPr>
          <w:rFonts w:hint="default" w:ascii="宋体" w:hAnsi="宋体" w:eastAsia="宋体" w:cs="宋体"/>
          <w:b w:val="0"/>
          <w:bCs w:val="0"/>
          <w:kern w:val="2"/>
          <w:sz w:val="21"/>
          <w:szCs w:val="21"/>
          <w:lang w:val="en-US" w:eastAsia="zh-CN" w:bidi="ar-SA"/>
        </w:rPr>
        <w:t>接线完成后，保护管管口应密封，并应做好进出电线 (缆)的隔汽和防水处理</w:t>
      </w:r>
      <w:r>
        <w:rPr>
          <w:rFonts w:hint="eastAsia" w:ascii="宋体" w:hAnsi="宋体" w:eastAsia="宋体" w:cs="宋体"/>
          <w:b w:val="0"/>
          <w:bCs w:val="0"/>
          <w:kern w:val="2"/>
          <w:sz w:val="21"/>
          <w:szCs w:val="21"/>
          <w:lang w:val="en-US" w:eastAsia="zh-CN" w:bidi="ar-SA"/>
        </w:rPr>
        <w:t>。</w:t>
      </w:r>
    </w:p>
    <w:bookmarkEnd w:id="165"/>
    <w:bookmarkEnd w:id="166"/>
    <w:bookmarkEnd w:id="167"/>
    <w:p w14:paraId="3AF3A773">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default" w:ascii="黑体" w:hAnsi="黑体" w:eastAsia="黑体" w:cs="黑体"/>
          <w:b w:val="0"/>
          <w:bCs w:val="0"/>
          <w:kern w:val="0"/>
          <w:sz w:val="21"/>
          <w:szCs w:val="21"/>
          <w:lang w:val="en-US" w:eastAsia="zh-CN"/>
        </w:rPr>
      </w:pPr>
      <w:bookmarkStart w:id="179" w:name="_Toc14896"/>
      <w:r>
        <w:rPr>
          <w:rFonts w:hint="eastAsia" w:ascii="黑体" w:hAnsi="黑体" w:eastAsia="黑体" w:cs="黑体"/>
          <w:b w:val="0"/>
          <w:bCs w:val="0"/>
          <w:kern w:val="0"/>
          <w:sz w:val="21"/>
          <w:szCs w:val="21"/>
          <w:lang w:val="en-US" w:eastAsia="zh-CN"/>
        </w:rPr>
        <w:t>9.5  系统调试</w:t>
      </w:r>
      <w:bookmarkEnd w:id="179"/>
    </w:p>
    <w:p w14:paraId="0F3B5FA9">
      <w:pPr>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9.5.1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试运行前，相关电气设备和线路应按</w:t>
      </w:r>
      <w:r>
        <w:rPr>
          <w:rFonts w:hint="default" w:ascii="宋体" w:hAnsi="Times New Roman" w:eastAsia="宋体" w:cs="Times New Roman"/>
          <w:b w:val="0"/>
          <w:bCs/>
          <w:kern w:val="2"/>
          <w:sz w:val="21"/>
          <w:szCs w:val="21"/>
          <w:lang w:val="en-US" w:eastAsia="zh-CN" w:bidi="ar-SA"/>
        </w:rPr>
        <w:t>《</w:t>
      </w:r>
      <w:r>
        <w:rPr>
          <w:rFonts w:hint="eastAsia" w:ascii="宋体" w:hAnsi="Times New Roman" w:eastAsia="宋体" w:cs="Times New Roman"/>
          <w:b w:val="0"/>
          <w:bCs/>
          <w:kern w:val="2"/>
          <w:sz w:val="21"/>
          <w:szCs w:val="21"/>
          <w:lang w:val="en-US" w:eastAsia="zh-CN" w:bidi="ar-SA"/>
        </w:rPr>
        <w:t>建筑电气工程施工质量验收规范》</w:t>
      </w:r>
      <w:r>
        <w:rPr>
          <w:rFonts w:hint="default" w:ascii="宋体" w:hAnsi="Times New Roman" w:eastAsia="宋体" w:cs="Times New Roman"/>
          <w:b w:val="0"/>
          <w:bCs/>
          <w:kern w:val="2"/>
          <w:sz w:val="21"/>
          <w:szCs w:val="21"/>
          <w:lang w:val="en-US" w:eastAsia="zh-CN" w:bidi="ar-SA"/>
        </w:rPr>
        <w:t>GB 5030</w:t>
      </w:r>
      <w:r>
        <w:rPr>
          <w:rFonts w:hint="eastAsia" w:ascii="宋体" w:hAnsi="Times New Roman" w:eastAsia="宋体" w:cs="Times New Roman"/>
          <w:b w:val="0"/>
          <w:bCs/>
          <w:kern w:val="2"/>
          <w:sz w:val="21"/>
          <w:szCs w:val="21"/>
          <w:lang w:val="en-US" w:eastAsia="zh-CN" w:bidi="ar-SA"/>
        </w:rPr>
        <w:t>3的规定试验合格。</w:t>
      </w:r>
    </w:p>
    <w:p w14:paraId="2F7C31DF">
      <w:pPr>
        <w:ind w:left="0" w:leftChars="0" w:firstLine="0" w:firstLineChars="0"/>
        <w:jc w:val="left"/>
        <w:rPr>
          <w:rFonts w:hint="eastAsia" w:ascii="宋体" w:hAnsi="Times New Roman" w:eastAsia="宋体" w:cs="Times New Roman"/>
          <w:b w:val="0"/>
          <w:bCs/>
          <w:color w:val="70AD47" w:themeColor="accent6"/>
          <w:kern w:val="2"/>
          <w:sz w:val="24"/>
          <w:szCs w:val="24"/>
          <w:lang w:val="en-US" w:eastAsia="zh-CN" w:bidi="ar-SA"/>
          <w14:textFill>
            <w14:solidFill>
              <w14:schemeClr w14:val="accent6"/>
            </w14:solidFill>
          </w14:textFill>
        </w:rPr>
      </w:pPr>
      <w:r>
        <w:rPr>
          <w:rFonts w:hint="eastAsia" w:ascii="宋体" w:hAnsi="Times New Roman" w:eastAsia="宋体" w:cs="Times New Roman"/>
          <w:b w:val="0"/>
          <w:bCs/>
          <w:kern w:val="2"/>
          <w:sz w:val="21"/>
          <w:szCs w:val="21"/>
          <w:lang w:val="en-US" w:eastAsia="zh-CN" w:bidi="ar-SA"/>
        </w:rPr>
        <w:t>9.5.2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电动机应试通电，并应检查转向和机械转动情况,电动机试运行应符合下列规定:</w:t>
      </w:r>
    </w:p>
    <w:p w14:paraId="393B1C60">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空载试运行时间宜为2h,机身和轴承的温升、电压和电流等应符合建筑设备或工艺装置的空载状态运行要求，并应记录电流、电压、温度、运行时间等有关数据；</w:t>
      </w:r>
    </w:p>
    <w:p w14:paraId="399FF7D6">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ascii="宋体" w:hAnsi="Times New Roman" w:eastAsia="宋体" w:cs="Times New Roman"/>
          <w:b w:val="0"/>
          <w:bCs/>
          <w:color w:val="70AD47" w:themeColor="accent6"/>
          <w:kern w:val="2"/>
          <w:sz w:val="24"/>
          <w:szCs w:val="24"/>
          <w:lang w:val="en-US" w:eastAsia="zh-CN" w:bidi="ar-SA"/>
          <w14:textFill>
            <w14:solidFill>
              <w14:schemeClr w14:val="accent6"/>
            </w14:solidFill>
          </w14:textFill>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空载状态下可启动次数及间隔时间应符合产品技术文件的要求；无要求时，连续启动2次的时间间隔不应小于5min，并应在电动机冷却至常温下进行再次启动。</w:t>
      </w:r>
    </w:p>
    <w:p w14:paraId="310D1491">
      <w:pPr>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9.5.3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电气动力设备的运行电压、电流应正常,各种仪表指示应正常。</w:t>
      </w:r>
    </w:p>
    <w:p w14:paraId="596C8711">
      <w:pPr>
        <w:pStyle w:val="2"/>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9.5.4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电动执行机构的动作方向及指示应与工艺装置的设计要求保持一致。</w:t>
      </w:r>
    </w:p>
    <w:p w14:paraId="391AD261">
      <w:pPr>
        <w:rPr>
          <w:rFonts w:hint="eastAsia" w:ascii="宋体" w:hAnsi="宋体" w:cs="宋体"/>
          <w:bCs w:val="0"/>
        </w:rPr>
      </w:pPr>
      <w:r>
        <w:rPr>
          <w:rFonts w:hint="eastAsia" w:ascii="宋体" w:hAnsi="宋体" w:cs="宋体"/>
          <w:bCs w:val="0"/>
        </w:rPr>
        <w:br w:type="page"/>
      </w:r>
    </w:p>
    <w:p w14:paraId="5D93674D">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80" w:name="_Toc27644"/>
      <w:r>
        <w:rPr>
          <w:rFonts w:hint="eastAsia" w:ascii="黑体" w:hAnsi="黑体" w:eastAsia="黑体" w:cs="Times New Roman"/>
          <w:bCs w:val="0"/>
          <w:kern w:val="44"/>
          <w:sz w:val="21"/>
          <w:szCs w:val="20"/>
          <w:lang w:val="en-US" w:eastAsia="zh-CN" w:bidi="ar-SA"/>
        </w:rPr>
        <w:t>10  自动化监控系统安装</w:t>
      </w:r>
      <w:bookmarkEnd w:id="180"/>
    </w:p>
    <w:p w14:paraId="37D28FFF">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rPr>
      </w:pPr>
      <w:bookmarkStart w:id="181" w:name="_Toc17134"/>
      <w:r>
        <w:rPr>
          <w:rFonts w:hint="eastAsia" w:ascii="黑体" w:hAnsi="黑体" w:eastAsia="黑体" w:cs="黑体"/>
          <w:b w:val="0"/>
          <w:bCs w:val="0"/>
          <w:kern w:val="0"/>
          <w:sz w:val="21"/>
          <w:szCs w:val="21"/>
          <w:lang w:val="en-US" w:eastAsia="zh-CN"/>
        </w:rPr>
        <w:t>10.1  一般规定</w:t>
      </w:r>
      <w:bookmarkEnd w:id="181"/>
    </w:p>
    <w:p w14:paraId="4F87F2D3">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10.1.1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本章适用于人工冰场工艺系统的自动控制和集中监控的检验与验收。</w:t>
      </w:r>
    </w:p>
    <w:p w14:paraId="12DD931D">
      <w:pPr>
        <w:pStyle w:val="27"/>
        <w:snapToGrid w:val="0"/>
        <w:ind w:left="0" w:leftChars="0" w:firstLine="0" w:firstLineChars="0"/>
        <w:jc w:val="left"/>
        <w:rPr>
          <w:rFonts w:hint="eastAsia"/>
          <w:color w:val="auto"/>
          <w:sz w:val="24"/>
          <w:highlight w:val="none"/>
          <w:lang w:val="en-US" w:eastAsia="zh-CN"/>
        </w:rPr>
      </w:pPr>
      <w:r>
        <w:rPr>
          <w:rFonts w:hint="eastAsia" w:ascii="宋体" w:hAnsi="Times New Roman" w:eastAsia="宋体" w:cs="Times New Roman"/>
          <w:b w:val="0"/>
          <w:bCs/>
          <w:kern w:val="2"/>
          <w:sz w:val="21"/>
          <w:szCs w:val="21"/>
          <w:lang w:val="en-US" w:eastAsia="zh-CN" w:bidi="ar-SA"/>
        </w:rPr>
        <w:t xml:space="preserve">10.1.2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监控项目应根据设计文件要求和建设单位需求进行确定，宜包括以下内容：</w:t>
      </w:r>
    </w:p>
    <w:p w14:paraId="28D318EB">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工艺要求设置的冰面温度范围监测及超温报警提示；</w:t>
      </w:r>
    </w:p>
    <w:p w14:paraId="6BDE2FF6">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制冰系统的温度、压力监测及超温报警提示；</w:t>
      </w:r>
    </w:p>
    <w:p w14:paraId="67CF6C98">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所有机电设备实时监测开闭状态、运行状态、故障状态等，同时监测电磁阀的通断状态；</w:t>
      </w:r>
    </w:p>
    <w:p w14:paraId="7CF82263">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压缩机的吸气压力和温度、排气压力和温度、油压差和温度等相关主要参数的监测及超压超温报警提示；</w:t>
      </w:r>
    </w:p>
    <w:p w14:paraId="405F62A9">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 </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蒸发式冷凝器的水温、水位、能级、累计运行时间等主要参数监测；水冷冷凝器的进出水温度、水流、累计运行时间等主要参数监测；风冷冷凝器的能级、累计运行时间等主要参数监测；</w:t>
      </w:r>
    </w:p>
    <w:p w14:paraId="7DF4C33D">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低压循环贮液器或液体分离器等容器的液位、压力监测及液位报警提示；</w:t>
      </w:r>
    </w:p>
    <w:p w14:paraId="5D44D74E">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冷却设备的累计运行时间、运行温度等主要参数监测；</w:t>
      </w:r>
    </w:p>
    <w:p w14:paraId="1A746371">
      <w:pPr>
        <w:pStyle w:val="27"/>
        <w:snapToGrid w:val="0"/>
        <w:ind w:left="0" w:leftChars="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r>
        <w:rPr>
          <w:rFonts w:hint="eastAsia"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冰场通风换气风机的运行状态、故障状态、累计运行时间等主要参数监测。</w:t>
      </w:r>
    </w:p>
    <w:p w14:paraId="4097749D">
      <w:pPr>
        <w:pStyle w:val="27"/>
        <w:snapToGrid w:val="0"/>
        <w:ind w:left="0" w:leftChars="0" w:firstLine="0" w:firstLineChars="0"/>
        <w:jc w:val="left"/>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10.1.3 </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系统施工前，施工单位应与建设单位、使用单位、设计单位就集成系统内容的整体网络规划和配置方案（含机电设备控制逻辑）等，达成并取得一致。</w:t>
      </w:r>
    </w:p>
    <w:p w14:paraId="3400A7C2">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lang w:val="en-US" w:eastAsia="zh-CN"/>
        </w:rPr>
      </w:pPr>
      <w:bookmarkStart w:id="182" w:name="_Toc1351"/>
      <w:r>
        <w:rPr>
          <w:rFonts w:hint="eastAsia" w:ascii="黑体" w:hAnsi="黑体" w:eastAsia="黑体" w:cs="黑体"/>
          <w:b w:val="0"/>
          <w:bCs w:val="0"/>
          <w:kern w:val="0"/>
          <w:sz w:val="21"/>
          <w:szCs w:val="21"/>
          <w:lang w:val="en-US" w:eastAsia="zh-CN"/>
        </w:rPr>
        <w:t>10.2  传感器安装</w:t>
      </w:r>
      <w:bookmarkEnd w:id="182"/>
    </w:p>
    <w:p w14:paraId="5001ED27">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各类型传感器的规格、型号应符合设计规定，并应有质量证明文件、出厂检测试验报告和使用说明书。</w:t>
      </w:r>
    </w:p>
    <w:p w14:paraId="52241489">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传感器的外观应符合现行国家标准《智能传感器 第5部分：检查和例行试验方法》GB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33905.5的相关规定。</w:t>
      </w:r>
    </w:p>
    <w:p w14:paraId="239245D5">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传感器的安装位置应符合设计要求，置于冰板制冷层的传感器应易于查看、检修，并应安装牢固，密封良好，且与冰板上表面齐平。</w:t>
      </w:r>
    </w:p>
    <w:p w14:paraId="37890CBB">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埋设于冰场内传感器的电缆应使用镀锌钢管进行保护，且该电缆应无接头。</w:t>
      </w:r>
    </w:p>
    <w:p w14:paraId="44BB8CC6">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1"/>
        <w:rPr>
          <w:rFonts w:hint="default" w:ascii="黑体" w:hAnsi="黑体" w:eastAsia="黑体" w:cs="黑体"/>
          <w:b w:val="0"/>
          <w:bCs w:val="0"/>
          <w:kern w:val="0"/>
          <w:sz w:val="21"/>
          <w:szCs w:val="21"/>
          <w:lang w:val="en-US" w:eastAsia="zh-CN" w:bidi="ar-SA"/>
        </w:rPr>
      </w:pPr>
      <w:bookmarkStart w:id="183" w:name="_Toc1052"/>
      <w:r>
        <w:rPr>
          <w:rFonts w:hint="eastAsia" w:ascii="黑体" w:hAnsi="黑体" w:eastAsia="黑体" w:cs="黑体"/>
          <w:b w:val="0"/>
          <w:bCs w:val="0"/>
          <w:kern w:val="0"/>
          <w:sz w:val="21"/>
          <w:szCs w:val="21"/>
          <w:lang w:val="en-US" w:eastAsia="zh-CN" w:bidi="ar-SA"/>
        </w:rPr>
        <w:t>10.3  设备安装及系统集成</w:t>
      </w:r>
      <w:bookmarkEnd w:id="183"/>
    </w:p>
    <w:p w14:paraId="695787AB">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应根据设计文件要求和功能需求进行深化设计，应具备智能化集成系统的网络规划和配置方案、控制功能和系统性能文件及系统联动功能需求文件等。</w:t>
      </w:r>
    </w:p>
    <w:p w14:paraId="2FDC6E32">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集成子系统的通信接口和通信协议应满足集成功能和性能要求。</w:t>
      </w:r>
    </w:p>
    <w:p w14:paraId="6C1DD0FA">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设备和软件应按现行国家标准《智能建筑工程质量验收规范》GB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50339相关规定进行产品质量检查，并应符合进场验收要求。</w:t>
      </w:r>
    </w:p>
    <w:p w14:paraId="3480CDF3">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应依据网络规划和配置方案、控制功能和系统性能文件，绘制系统图、网络拓扑图、设备布置接线图等深化图纸。</w:t>
      </w:r>
    </w:p>
    <w:p w14:paraId="7B9206AE">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10.3.5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智能化集成系统的硬件设备和软件系统的安装应符合现行国家标准《智能建筑工程施工规范》GB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50606的相关规定。</w:t>
      </w:r>
    </w:p>
    <w:p w14:paraId="3BA47AD7">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通信接口软件调试和修改工作应在专用计算机上进行，并应进行版本控制。</w:t>
      </w:r>
    </w:p>
    <w:p w14:paraId="41E0B887">
      <w:pPr>
        <w:pStyle w:val="27"/>
        <w:snapToGrid w:val="0"/>
        <w:ind w:left="0" w:leftChars="0"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10.3.7</w:t>
      </w:r>
      <w:r>
        <w:rPr>
          <w:rFonts w:hint="eastAsia" w:hAnsi="Times New Roman"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应将集成系统的服务端软件配置为开机自动运行方式。</w:t>
      </w:r>
    </w:p>
    <w:p w14:paraId="37031B4D">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highlight w:val="none"/>
          <w:lang w:val="en-US" w:eastAsia="zh-CN"/>
        </w:rPr>
      </w:pPr>
      <w:bookmarkStart w:id="184" w:name="_Toc9133"/>
      <w:r>
        <w:rPr>
          <w:rFonts w:hint="eastAsia" w:ascii="黑体" w:hAnsi="黑体" w:eastAsia="黑体" w:cs="黑体"/>
          <w:b w:val="0"/>
          <w:bCs w:val="0"/>
          <w:kern w:val="0"/>
          <w:sz w:val="21"/>
          <w:szCs w:val="21"/>
          <w:lang w:val="en-US" w:eastAsia="zh-CN"/>
        </w:rPr>
        <w:t>10.4  系统调试</w:t>
      </w:r>
      <w:bookmarkEnd w:id="184"/>
    </w:p>
    <w:p w14:paraId="1984733D">
      <w:pPr>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冰场自动化监控系统安装完毕，应进行系统整体联动调试。</w:t>
      </w:r>
    </w:p>
    <w:p w14:paraId="0ABEE1EC">
      <w:pPr>
        <w:ind w:firstLine="0" w:firstLineChars="0"/>
        <w:jc w:val="left"/>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10.4.2</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检查自动化PC端人机界面，各项功能参数指标均应符合设计要求。</w:t>
      </w:r>
    </w:p>
    <w:p w14:paraId="532C11BA">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10.4.3</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确定机组控制的操作流程，调试人员应掌握最高级别操作范围，即修改PLC控制程序直至满足设计要求，并且拥有机组自动化手动控制的全部权限。</w:t>
      </w:r>
    </w:p>
    <w:p w14:paraId="005892FF">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查自动化参数界面所有显示的参数均应与相对应的传感器对应，自动化系统启动时软件程序自行检验并判断传感器的数值回读情况，实时传输数据是否精准，只参数超出正常范围值时软件系统可自动完成报警提示。</w:t>
      </w:r>
    </w:p>
    <w:p w14:paraId="1FF16ECB">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10.4.5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检测机组自动控制逻辑程序的完整性，需实现系统控制的设计逻辑及要求。在手动模式下，通过现场操作面板，实现机组对相应参数的就地调控。</w:t>
      </w:r>
    </w:p>
    <w:p w14:paraId="6AE55DA5">
      <w:pPr>
        <w:ind w:left="0" w:leftChars="0"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10.4.6</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根据设计要求检查机组典型的运行和报警状态。</w:t>
      </w:r>
    </w:p>
    <w:p w14:paraId="357B9A53">
      <w:pPr>
        <w:ind w:firstLine="0" w:firstLineChars="0"/>
        <w:rPr>
          <w:color w:val="auto"/>
          <w:highlight w:val="none"/>
        </w:rPr>
      </w:pPr>
      <w:r>
        <w:rPr>
          <w:rFonts w:hint="eastAsia" w:ascii="宋体" w:hAnsi="Times New Roman" w:eastAsia="宋体" w:cs="Times New Roman"/>
          <w:b w:val="0"/>
          <w:bCs/>
          <w:kern w:val="2"/>
          <w:sz w:val="21"/>
          <w:szCs w:val="21"/>
          <w:lang w:val="en-US" w:eastAsia="zh-CN" w:bidi="ar-SA"/>
        </w:rPr>
        <w:t>10.4.7</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自动化系统试运行应连续进行48h。试运行中出现系统故障时，应重新开始计时，直至连续运行满48h。</w:t>
      </w:r>
    </w:p>
    <w:p w14:paraId="771DE26F">
      <w:pPr>
        <w:pStyle w:val="2"/>
        <w:ind w:left="0" w:leftChars="0" w:firstLine="0" w:firstLineChars="0"/>
        <w:rPr>
          <w:color w:val="auto"/>
        </w:rPr>
      </w:pPr>
    </w:p>
    <w:p w14:paraId="37C1633D">
      <w:pPr>
        <w:rPr>
          <w:color w:val="auto"/>
        </w:rPr>
      </w:pPr>
      <w:r>
        <w:rPr>
          <w:rFonts w:hint="eastAsia" w:ascii="宋体" w:hAnsi="宋体" w:cs="宋体"/>
          <w:color w:val="auto"/>
          <w:sz w:val="24"/>
        </w:rPr>
        <w:br w:type="page"/>
      </w:r>
    </w:p>
    <w:p w14:paraId="23D48D43">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default" w:ascii="黑体" w:hAnsi="黑体" w:eastAsia="黑体" w:cs="Times New Roman"/>
          <w:bCs w:val="0"/>
          <w:kern w:val="44"/>
          <w:sz w:val="21"/>
          <w:szCs w:val="20"/>
          <w:lang w:val="en-US" w:eastAsia="zh-CN" w:bidi="ar-SA"/>
        </w:rPr>
      </w:pPr>
      <w:bookmarkStart w:id="185" w:name="_Toc26552"/>
      <w:r>
        <w:rPr>
          <w:rFonts w:hint="eastAsia" w:ascii="黑体" w:hAnsi="黑体" w:eastAsia="黑体" w:cs="Times New Roman"/>
          <w:bCs w:val="0"/>
          <w:kern w:val="44"/>
          <w:sz w:val="21"/>
          <w:szCs w:val="20"/>
          <w:lang w:val="en-US" w:eastAsia="zh-CN" w:bidi="ar-SA"/>
        </w:rPr>
        <w:t>11  安全与绿色施工</w:t>
      </w:r>
      <w:bookmarkEnd w:id="185"/>
    </w:p>
    <w:p w14:paraId="70C9D744">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11.0.1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安全与绿色施工应符合国家现行有关安全生产、绿色施工的法律、法规、标准的规定。应根据现场实际情况对高处坠落、物体打击、有限空间作业、防火、安全用电、焊接作业、危化品、易爆气体、吊装作业、绿色施工等进行重点管理，并编制专项方案。</w:t>
      </w:r>
    </w:p>
    <w:p w14:paraId="6EBD8DEC">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承担人工冰场工程的企业应具有相应的安全生产许可证；施工安装现场应建立相应的安全与环境保护管理制度，并应配备专职安全员。</w:t>
      </w:r>
    </w:p>
    <w:p w14:paraId="78F35068">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人工冰场工程施工前应进行安全技术交底；施工中各项安全防护措施和设施应达到国家有关规定的要求；施工机具应按相应的安全操作规程要求使用。</w:t>
      </w:r>
    </w:p>
    <w:p w14:paraId="3AC2EEE4">
      <w:pPr>
        <w:ind w:firstLine="0" w:firstLineChars="0"/>
        <w:rPr>
          <w:rFonts w:hint="default"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11.0.4</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防止高处坠落应符合现行标准《建筑施工高处作业安全技术规范》JGJ 80的有关规定，并应符合下列规定：</w:t>
      </w:r>
    </w:p>
    <w:p w14:paraId="31C203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高处作业应使用符合安全要求的吊架、梯子、防护用品。作业前必须检查使用的设施是否牢固、可靠。</w:t>
      </w:r>
    </w:p>
    <w:p w14:paraId="4BD425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作业周边应设置警示标志和围护设施，必要时设立安全区，并设专人看护。</w:t>
      </w:r>
    </w:p>
    <w:p w14:paraId="113323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如有危及人身安全的紧急险情，应立即停止作业。</w:t>
      </w:r>
    </w:p>
    <w:p w14:paraId="636C951C">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11.0.5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防止物体打击应符合现行标准《建筑施工安全检查标准》JGJ 59的有关规定，并应符合下列规定：</w:t>
      </w:r>
    </w:p>
    <w:p w14:paraId="56A83B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在冰场等地面区域作业时，应避免与上方区域其他专业交叉施工。</w:t>
      </w:r>
    </w:p>
    <w:p w14:paraId="702816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施工人员进入施工现场必须按规定配带安全帽，在规定的安全通道内出入和上下。</w:t>
      </w:r>
    </w:p>
    <w:p w14:paraId="075E1E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敲击（锤打）作业应佩戴护目镜等防护用具。</w:t>
      </w:r>
    </w:p>
    <w:p w14:paraId="3D5F87D7">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6 </w:t>
      </w:r>
      <w:r>
        <w:rPr>
          <w:rFonts w:hint="eastAsia" w:ascii="宋体" w:hAnsi="Times New Roman" w:eastAsia="宋体" w:cs="Times New Roman"/>
          <w:b w:val="0"/>
          <w:bCs/>
          <w:kern w:val="2"/>
          <w:sz w:val="21"/>
          <w:szCs w:val="21"/>
          <w:lang w:val="en-US" w:eastAsia="zh-CN" w:bidi="ar-SA"/>
        </w:rPr>
        <w:t xml:space="preserve"> 有限空间作业安全管理应符合现行标准《工贸企业有限空间作业安全管理与监督暂行规定》的有关规定，并应符合下列要求：</w:t>
      </w:r>
    </w:p>
    <w:p w14:paraId="6A722B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施工前，应对制冰工程涉及区域进行合理分析，界定是否存在有限空间作业。</w:t>
      </w:r>
    </w:p>
    <w:p w14:paraId="5B2CF3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当存在有限空间作业时，应编制专项方案和相应的规章制度，并根据方案布置通风、防护等设施。 </w:t>
      </w:r>
    </w:p>
    <w:p w14:paraId="250D6F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应在施工前对从事有限空间作业人员进行专业知识培训教育。</w:t>
      </w:r>
    </w:p>
    <w:p w14:paraId="46FE3C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7 </w:t>
      </w:r>
      <w:r>
        <w:rPr>
          <w:rFonts w:hint="eastAsia" w:ascii="宋体" w:hAnsi="Times New Roman" w:eastAsia="宋体" w:cs="Times New Roman"/>
          <w:b w:val="0"/>
          <w:bCs/>
          <w:kern w:val="2"/>
          <w:sz w:val="21"/>
          <w:szCs w:val="21"/>
          <w:lang w:val="en-US" w:eastAsia="zh-CN" w:bidi="ar-SA"/>
        </w:rPr>
        <w:t xml:space="preserve"> 防火安全管理措施应符合下列规定：</w:t>
      </w:r>
    </w:p>
    <w:p w14:paraId="135818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根据施工不同阶段的特点，对消防进行动态管理，应对电焊作业、防水作业等进行重点管控。</w:t>
      </w:r>
    </w:p>
    <w:p w14:paraId="243A83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重点防火区域，应设置明显警告标志。</w:t>
      </w:r>
    </w:p>
    <w:p w14:paraId="0E31F7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严格实行动火许可制度，现场用火应经批准后方可实施。</w:t>
      </w:r>
    </w:p>
    <w:p w14:paraId="10A51B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重要场所及工序应配置足够的灭火器，灭火器应定期进行检查保证其工作正常。</w:t>
      </w:r>
    </w:p>
    <w:p w14:paraId="7A72E6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sz w:val="24"/>
          <w:szCs w:val="24"/>
          <w:lang w:val="en-US" w:eastAsia="zh-CN"/>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8 </w:t>
      </w:r>
      <w:r>
        <w:rPr>
          <w:rFonts w:hint="eastAsia" w:ascii="宋体" w:hAnsi="Times New Roman" w:eastAsia="宋体" w:cs="Times New Roman"/>
          <w:b w:val="0"/>
          <w:bCs/>
          <w:kern w:val="2"/>
          <w:sz w:val="21"/>
          <w:szCs w:val="21"/>
          <w:lang w:val="en-US" w:eastAsia="zh-CN" w:bidi="ar-SA"/>
        </w:rPr>
        <w:t xml:space="preserve"> 安全用电管理应符合现行标准《建设工程施工现场供用电安全规范》GB</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50194、《施工现场临时用电安全技术规范》JGJ 46的有关规定，并应符合下列规定：</w:t>
      </w:r>
    </w:p>
    <w:p w14:paraId="41EA3E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加强对电工、电焊工等电气技工人员的技能培训和安全教育，考试合格方能上岗。</w:t>
      </w:r>
    </w:p>
    <w:p w14:paraId="261DA9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施工过程中应采取保证用电与机具操作安全的有效措施。</w:t>
      </w:r>
    </w:p>
    <w:p w14:paraId="63C01E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做好电气设备的日常检查和维修工作，加强对施工现场电气设备的日常检查并记录在案，贯彻、落实安全交底制度，并有书面记录。</w:t>
      </w:r>
    </w:p>
    <w:p w14:paraId="77290602">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9 </w:t>
      </w:r>
      <w:r>
        <w:rPr>
          <w:rFonts w:hint="eastAsia" w:ascii="宋体" w:hAnsi="Times New Roman" w:eastAsia="宋体" w:cs="Times New Roman"/>
          <w:b w:val="0"/>
          <w:bCs/>
          <w:kern w:val="2"/>
          <w:sz w:val="21"/>
          <w:szCs w:val="21"/>
          <w:lang w:val="en-US" w:eastAsia="zh-CN" w:bidi="ar-SA"/>
        </w:rPr>
        <w:t xml:space="preserve"> 焊接作业安全管理应符合下列规定：</w:t>
      </w:r>
    </w:p>
    <w:p w14:paraId="369F1E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焊接作业人员必须使用相应的防护眼镜、防毒面置、口置、手套，穿电焊防护服、绝缘鞋。</w:t>
      </w:r>
    </w:p>
    <w:p w14:paraId="7D1B36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密闭空间内作业，应开启机械通风措施，保证新鲜空气的进入和焊接烟气的及时排出。</w:t>
      </w:r>
    </w:p>
    <w:p w14:paraId="57B96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加强电焊作业场所的尘毒危害的监测工作以及电焊工的体检工作，及时发现和解决问题。</w:t>
      </w:r>
    </w:p>
    <w:p w14:paraId="26C90BC6">
      <w:pPr>
        <w:keepNext/>
        <w:keepLines/>
        <w:snapToGrid w:val="0"/>
        <w:ind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 焊接作业人员应持证上岗，设专人监督，并应配备灭火器材；焊接作业完毕后，应认真检查，消除隐患后方可离开。</w:t>
      </w:r>
    </w:p>
    <w:p w14:paraId="0DB531C6">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w:t>
      </w:r>
      <w:r>
        <w:rPr>
          <w:rFonts w:hint="eastAsia" w:cs="Times New Roman"/>
          <w:b w:val="0"/>
          <w:bCs/>
          <w:kern w:val="2"/>
          <w:sz w:val="21"/>
          <w:szCs w:val="21"/>
          <w:lang w:val="en-US" w:eastAsia="zh-CN" w:bidi="ar-SA"/>
        </w:rPr>
        <w:t xml:space="preserve">10 </w:t>
      </w:r>
      <w:r>
        <w:rPr>
          <w:rFonts w:hint="eastAsia" w:ascii="宋体" w:hAnsi="Times New Roman" w:eastAsia="宋体" w:cs="Times New Roman"/>
          <w:b w:val="0"/>
          <w:bCs/>
          <w:kern w:val="2"/>
          <w:sz w:val="21"/>
          <w:szCs w:val="21"/>
          <w:lang w:val="en-US" w:eastAsia="zh-CN" w:bidi="ar-SA"/>
        </w:rPr>
        <w:t xml:space="preserve"> 危化品安全管理应符合下列要求：</w:t>
      </w:r>
    </w:p>
    <w:p w14:paraId="73F2CE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施工现场单独设置油漆、化工材料库房，按品种、规格存放在干燥、通风、阴凉的库房内，严格与火源、电源隔离。</w:t>
      </w:r>
    </w:p>
    <w:p w14:paraId="3001B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存放时要保持包装完整及密封，码放位置要平稳、牢固，防止倾斜与碰撞;材料要保证先进先出，严格控制保质期。</w:t>
      </w:r>
    </w:p>
    <w:p w14:paraId="2F18B2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库房应有严格的放火措施，悬挂放火标志，配备防火器材。</w:t>
      </w:r>
    </w:p>
    <w:p w14:paraId="7274ED20">
      <w:pPr>
        <w:ind w:firstLine="0" w:firstLineChars="0"/>
        <w:rPr>
          <w:rFonts w:hint="default"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1 </w:t>
      </w:r>
      <w:r>
        <w:rPr>
          <w:rFonts w:hint="eastAsia" w:ascii="宋体" w:hAnsi="Times New Roman" w:eastAsia="宋体" w:cs="Times New Roman"/>
          <w:b w:val="0"/>
          <w:bCs/>
          <w:kern w:val="2"/>
          <w:sz w:val="21"/>
          <w:szCs w:val="21"/>
          <w:lang w:val="en-US" w:eastAsia="zh-CN" w:bidi="ar-SA"/>
        </w:rPr>
        <w:t xml:space="preserve"> 易爆气体安全管理应符合下列要求：</w:t>
      </w:r>
    </w:p>
    <w:p w14:paraId="38297B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现场应单独存放易爆气体，要求有封闭门、有锁、通风良好的存放位置。</w:t>
      </w:r>
    </w:p>
    <w:p w14:paraId="333F7F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不同种类气体存放时要保证安全距离，不得混放。</w:t>
      </w:r>
    </w:p>
    <w:p w14:paraId="02865B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存放地点悬挂防火标志，并在附近设置消防器材。</w:t>
      </w:r>
    </w:p>
    <w:p w14:paraId="5133EBA4">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2 </w:t>
      </w:r>
      <w:r>
        <w:rPr>
          <w:rFonts w:hint="eastAsia" w:ascii="宋体" w:hAnsi="Times New Roman" w:eastAsia="宋体" w:cs="Times New Roman"/>
          <w:b w:val="0"/>
          <w:bCs/>
          <w:kern w:val="2"/>
          <w:sz w:val="21"/>
          <w:szCs w:val="21"/>
          <w:lang w:val="en-US" w:eastAsia="zh-CN" w:bidi="ar-SA"/>
        </w:rPr>
        <w:t xml:space="preserve"> 吊装作业安全管理应符合现行标准《建筑施工起重吊装工程安全技术规范》JGJ 276的有关规定，并应符合下列要求：</w:t>
      </w:r>
    </w:p>
    <w:p w14:paraId="7B66A08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对于制冰主机及桶泵等大型设备吊装应编制专项方案。对于采用非常规起重设备、方法，且单件起吊重量≥100kN或单件起重量≥300kN的，应进行专家论证。</w:t>
      </w:r>
    </w:p>
    <w:p w14:paraId="231BE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吊装作业应设专人指挥，多机抬吊时应服从统一指挥，协调作业。</w:t>
      </w:r>
    </w:p>
    <w:p w14:paraId="668BFD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吊装使用的吊装带必须满足设备荷载，并应有供吊车行走的安全路线。</w:t>
      </w:r>
    </w:p>
    <w:p w14:paraId="46300866">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11.0.1</w:t>
      </w:r>
      <w:r>
        <w:rPr>
          <w:rFonts w:hint="eastAsia" w:cs="Times New Roman"/>
          <w:b w:val="0"/>
          <w:bCs/>
          <w:kern w:val="2"/>
          <w:sz w:val="21"/>
          <w:szCs w:val="21"/>
          <w:lang w:val="en-US" w:eastAsia="zh-CN" w:bidi="ar-SA"/>
        </w:rPr>
        <w:t xml:space="preserve">3 </w:t>
      </w:r>
      <w:r>
        <w:rPr>
          <w:rFonts w:hint="eastAsia" w:ascii="宋体" w:hAnsi="Times New Roman" w:eastAsia="宋体" w:cs="Times New Roman"/>
          <w:b w:val="0"/>
          <w:bCs/>
          <w:kern w:val="2"/>
          <w:sz w:val="21"/>
          <w:szCs w:val="21"/>
          <w:lang w:val="en-US" w:eastAsia="zh-CN" w:bidi="ar-SA"/>
        </w:rPr>
        <w:t xml:space="preserve"> 绿色施工应符合现行标准《建筑工程绿色施工规范》GB/T 50905的有关规定，并应符合下列规定：</w:t>
      </w:r>
    </w:p>
    <w:p w14:paraId="2FCDC70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对施工涉及的可能对环境造成影响的制冷剂应进行合理回收，避免随意排放和处置。</w:t>
      </w:r>
    </w:p>
    <w:p w14:paraId="6B8626F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left"/>
        <w:textAlignment w:val="auto"/>
        <w:rPr>
          <w:rFonts w:hint="eastAsia" w:ascii="宋体" w:hAnsi="宋体" w:eastAsia="宋体" w:cs="宋体"/>
          <w:b/>
          <w:bCs w:val="0"/>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对冷冻机油等化学品采取有效措施，在储存和使用中，防止跑、冒、滴、漏等现象发生。</w:t>
      </w:r>
    </w:p>
    <w:p w14:paraId="557A182A">
      <w:pPr>
        <w:rPr>
          <w:rFonts w:hint="eastAsia" w:ascii="宋体" w:hAnsi="宋体" w:eastAsia="宋体" w:cs="宋体"/>
          <w:b/>
          <w:bCs w:val="0"/>
          <w:color w:val="auto"/>
        </w:rPr>
      </w:pPr>
      <w:r>
        <w:rPr>
          <w:rFonts w:hint="eastAsia" w:ascii="宋体" w:hAnsi="宋体" w:eastAsia="宋体" w:cs="宋体"/>
          <w:b/>
          <w:bCs w:val="0"/>
          <w:color w:val="auto"/>
        </w:rPr>
        <w:br w:type="page"/>
      </w:r>
    </w:p>
    <w:p w14:paraId="373E1FE6">
      <w:pPr>
        <w:keepNext w:val="0"/>
        <w:keepLines w:val="0"/>
        <w:pageBreakBefore w:val="0"/>
        <w:widowControl w:val="0"/>
        <w:kinsoku/>
        <w:wordWrap/>
        <w:overflowPunct/>
        <w:topLinePunct w:val="0"/>
        <w:autoSpaceDE/>
        <w:autoSpaceDN/>
        <w:bidi w:val="0"/>
        <w:adjustRightInd/>
        <w:snapToGrid w:val="0"/>
        <w:spacing w:before="469" w:beforeLines="150" w:after="469" w:afterLines="150"/>
        <w:ind w:left="0" w:leftChars="0" w:firstLine="0" w:firstLineChars="0"/>
        <w:jc w:val="center"/>
        <w:textAlignment w:val="auto"/>
        <w:outlineLvl w:val="0"/>
        <w:rPr>
          <w:rFonts w:hint="eastAsia" w:ascii="黑体" w:hAnsi="黑体" w:eastAsia="黑体" w:cs="Times New Roman"/>
          <w:bCs w:val="0"/>
          <w:kern w:val="44"/>
          <w:sz w:val="21"/>
          <w:szCs w:val="20"/>
          <w:lang w:val="en-US" w:eastAsia="zh-CN" w:bidi="ar-SA"/>
        </w:rPr>
      </w:pPr>
      <w:bookmarkStart w:id="186" w:name="_Toc3727"/>
      <w:r>
        <w:rPr>
          <w:rFonts w:hint="eastAsia" w:ascii="黑体" w:hAnsi="黑体" w:eastAsia="黑体" w:cs="Times New Roman"/>
          <w:bCs w:val="0"/>
          <w:kern w:val="44"/>
          <w:sz w:val="21"/>
          <w:szCs w:val="20"/>
          <w:lang w:val="en-US" w:eastAsia="zh-CN" w:bidi="ar-SA"/>
        </w:rPr>
        <w:t>12  工程验收及交付</w:t>
      </w:r>
      <w:bookmarkEnd w:id="17"/>
      <w:bookmarkEnd w:id="18"/>
      <w:bookmarkEnd w:id="186"/>
    </w:p>
    <w:p w14:paraId="6F4AB166">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87" w:name="_Toc6738"/>
      <w:bookmarkStart w:id="188" w:name="_Toc28560"/>
      <w:bookmarkStart w:id="189" w:name="_Toc2208"/>
      <w:r>
        <w:rPr>
          <w:rFonts w:hint="eastAsia" w:ascii="黑体" w:hAnsi="黑体" w:eastAsia="黑体" w:cs="黑体"/>
          <w:b w:val="0"/>
          <w:bCs w:val="0"/>
          <w:kern w:val="0"/>
          <w:sz w:val="21"/>
          <w:szCs w:val="21"/>
          <w:lang w:val="en-US" w:eastAsia="zh-CN" w:bidi="ar-SA"/>
        </w:rPr>
        <w:t>12.1  工程质量验收划分</w:t>
      </w:r>
      <w:bookmarkEnd w:id="187"/>
      <w:bookmarkEnd w:id="188"/>
      <w:bookmarkEnd w:id="189"/>
    </w:p>
    <w:p w14:paraId="59D20F8D">
      <w:pPr>
        <w:ind w:firstLine="0" w:firstLineChars="0"/>
        <w:rPr>
          <w:rFonts w:hint="eastAsia" w:ascii="宋体" w:hAnsi="Times New Roman" w:eastAsia="宋体" w:cs="Times New Roman"/>
          <w:b w:val="0"/>
          <w:bCs/>
          <w:kern w:val="2"/>
          <w:sz w:val="21"/>
          <w:szCs w:val="21"/>
          <w:lang w:val="en-US" w:eastAsia="zh-CN" w:bidi="ar-SA"/>
        </w:rPr>
      </w:pPr>
      <w:bookmarkStart w:id="190" w:name="_Toc6635"/>
      <w:bookmarkStart w:id="191" w:name="_Toc21297"/>
      <w:r>
        <w:rPr>
          <w:rFonts w:hint="eastAsia" w:ascii="宋体" w:hAnsi="Times New Roman" w:eastAsia="宋体" w:cs="Times New Roman"/>
          <w:b w:val="0"/>
          <w:bCs/>
          <w:kern w:val="2"/>
          <w:sz w:val="21"/>
          <w:szCs w:val="21"/>
          <w:lang w:val="en-US" w:eastAsia="zh-CN" w:bidi="ar-SA"/>
        </w:rPr>
        <w:t xml:space="preserve">12.1.1 </w:t>
      </w:r>
      <w:bookmarkStart w:id="192" w:name="_Hlk44761360"/>
      <w:r>
        <w:rPr>
          <w:rFonts w:hint="eastAsia" w:ascii="宋体" w:hAnsi="Times New Roman" w:eastAsia="宋体" w:cs="Times New Roman"/>
          <w:b w:val="0"/>
          <w:bCs/>
          <w:kern w:val="2"/>
          <w:sz w:val="21"/>
          <w:szCs w:val="21"/>
          <w:lang w:val="en-US" w:eastAsia="zh-CN" w:bidi="ar-SA"/>
        </w:rPr>
        <w:t>制冰系统</w:t>
      </w:r>
      <w:bookmarkEnd w:id="192"/>
      <w:r>
        <w:rPr>
          <w:rFonts w:hint="eastAsia" w:ascii="宋体" w:hAnsi="Times New Roman" w:eastAsia="宋体" w:cs="Times New Roman"/>
          <w:b w:val="0"/>
          <w:bCs/>
          <w:kern w:val="2"/>
          <w:sz w:val="21"/>
          <w:szCs w:val="21"/>
          <w:lang w:val="en-US" w:eastAsia="zh-CN" w:bidi="ar-SA"/>
        </w:rPr>
        <w:t>工程按一个子单位工程考虑。施工质量验收应划分为分部工程和分项工程。制冰系统</w:t>
      </w:r>
      <w:bookmarkStart w:id="193" w:name="_Hlk44761438"/>
      <w:r>
        <w:rPr>
          <w:rFonts w:hint="eastAsia" w:ascii="宋体" w:hAnsi="Times New Roman" w:eastAsia="宋体" w:cs="Times New Roman"/>
          <w:b w:val="0"/>
          <w:bCs/>
          <w:kern w:val="2"/>
          <w:sz w:val="21"/>
          <w:szCs w:val="21"/>
          <w:lang w:val="en-US" w:eastAsia="zh-CN" w:bidi="ar-SA"/>
        </w:rPr>
        <w:t>工程合格验收的前提条件为工程所属分部工程的验收应全数合格。</w:t>
      </w:r>
      <w:bookmarkEnd w:id="193"/>
    </w:p>
    <w:p w14:paraId="5A06A8CC">
      <w:pPr>
        <w:ind w:firstLine="0" w:firstLineChars="0"/>
        <w:rPr>
          <w:rFonts w:ascii="宋体" w:hAnsi="宋体"/>
          <w:szCs w:val="21"/>
        </w:rPr>
      </w:pPr>
      <w:r>
        <w:rPr>
          <w:rFonts w:hint="eastAsia" w:ascii="宋体" w:hAnsi="Times New Roman" w:eastAsia="宋体" w:cs="Times New Roman"/>
          <w:b w:val="0"/>
          <w:bCs/>
          <w:kern w:val="2"/>
          <w:sz w:val="21"/>
          <w:szCs w:val="21"/>
          <w:lang w:val="en-US" w:eastAsia="zh-CN" w:bidi="ar-SA"/>
        </w:rPr>
        <w:t>12.1.2 制冰系统工程施工质量的验收，应根据工程的实际情况按分部工程与分项工程划分，共分为7个分部工程，见表12.1.2。</w:t>
      </w:r>
    </w:p>
    <w:p w14:paraId="5894C316">
      <w:pPr>
        <w:pStyle w:val="2"/>
        <w:snapToGrid w:val="0"/>
        <w:spacing w:after="0"/>
        <w:ind w:left="0" w:leftChars="0" w:firstLine="0"/>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表 12.1.2    分部工程与分项工程划分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566"/>
        <w:gridCol w:w="4784"/>
      </w:tblGrid>
      <w:tr w14:paraId="149F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top w:val="single" w:color="auto" w:sz="12" w:space="0"/>
              <w:left w:val="single" w:color="auto" w:sz="12" w:space="0"/>
            </w:tcBorders>
          </w:tcPr>
          <w:p w14:paraId="4A36A442">
            <w:pPr>
              <w:pStyle w:val="4"/>
              <w:keepNext w:val="0"/>
              <w:keepLines w:val="0"/>
              <w:suppressLineNumbers w:val="0"/>
              <w:spacing w:before="0" w:beforeAutospacing="0" w:after="0" w:afterAutospacing="0"/>
              <w:ind w:left="0" w:right="0"/>
              <w:rPr>
                <w:rFonts w:hint="eastAsia" w:eastAsia="宋体"/>
                <w:b/>
                <w:bCs/>
                <w:color w:val="auto"/>
                <w:sz w:val="18"/>
                <w:szCs w:val="18"/>
                <w:vertAlign w:val="baseline"/>
                <w:lang w:val="en-US" w:eastAsia="zh-CN"/>
              </w:rPr>
            </w:pPr>
            <w:r>
              <w:rPr>
                <w:rFonts w:hint="eastAsia"/>
                <w:b w:val="0"/>
                <w:bCs w:val="0"/>
                <w:color w:val="auto"/>
                <w:sz w:val="18"/>
                <w:szCs w:val="18"/>
                <w:vertAlign w:val="baseline"/>
                <w:lang w:val="en-US" w:eastAsia="zh-CN"/>
              </w:rPr>
              <w:t>序号</w:t>
            </w:r>
          </w:p>
        </w:tc>
        <w:tc>
          <w:tcPr>
            <w:tcW w:w="2566" w:type="dxa"/>
            <w:tcBorders>
              <w:top w:val="single" w:color="auto" w:sz="12" w:space="0"/>
            </w:tcBorders>
          </w:tcPr>
          <w:p w14:paraId="184DACBD">
            <w:pPr>
              <w:pStyle w:val="4"/>
              <w:keepNext w:val="0"/>
              <w:keepLines w:val="0"/>
              <w:suppressLineNumbers w:val="0"/>
              <w:spacing w:before="0" w:beforeAutospacing="0" w:after="0" w:afterAutospacing="0"/>
              <w:ind w:left="0" w:right="0"/>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分部工程</w:t>
            </w:r>
          </w:p>
        </w:tc>
        <w:tc>
          <w:tcPr>
            <w:tcW w:w="4784" w:type="dxa"/>
            <w:tcBorders>
              <w:top w:val="single" w:color="auto" w:sz="12" w:space="0"/>
              <w:right w:val="single" w:color="auto" w:sz="12" w:space="0"/>
            </w:tcBorders>
          </w:tcPr>
          <w:p w14:paraId="639994B8">
            <w:pPr>
              <w:pStyle w:val="4"/>
              <w:keepNext w:val="0"/>
              <w:keepLines w:val="0"/>
              <w:suppressLineNumbers w:val="0"/>
              <w:spacing w:before="0" w:beforeAutospacing="0" w:after="0" w:afterAutospacing="0"/>
              <w:ind w:left="0" w:right="0"/>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分项工程</w:t>
            </w:r>
          </w:p>
        </w:tc>
      </w:tr>
      <w:tr w14:paraId="0EFC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5D4F1AC9">
            <w:pPr>
              <w:pStyle w:val="4"/>
              <w:keepNext w:val="0"/>
              <w:keepLines w:val="0"/>
              <w:suppressLineNumbers w:val="0"/>
              <w:spacing w:before="0" w:beforeAutospacing="0" w:after="0" w:afterAutospacing="0"/>
              <w:ind w:left="0" w:right="0"/>
              <w:jc w:val="center"/>
              <w:rPr>
                <w:rFonts w:hint="eastAsia" w:eastAsia="宋体"/>
                <w:b/>
                <w:bCs/>
                <w:color w:val="auto"/>
                <w:sz w:val="18"/>
                <w:szCs w:val="18"/>
                <w:vertAlign w:val="baseline"/>
                <w:lang w:val="en-US" w:eastAsia="zh-CN"/>
              </w:rPr>
            </w:pPr>
            <w:r>
              <w:rPr>
                <w:rFonts w:hint="eastAsia"/>
                <w:b/>
                <w:bCs/>
                <w:color w:val="auto"/>
                <w:sz w:val="18"/>
                <w:szCs w:val="18"/>
                <w:vertAlign w:val="baseline"/>
                <w:lang w:val="en-US" w:eastAsia="zh-CN"/>
              </w:rPr>
              <w:t>1</w:t>
            </w:r>
          </w:p>
        </w:tc>
        <w:tc>
          <w:tcPr>
            <w:tcW w:w="2566" w:type="dxa"/>
            <w:vAlign w:val="center"/>
          </w:tcPr>
          <w:p w14:paraId="1987175E">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冰池构造</w:t>
            </w:r>
          </w:p>
        </w:tc>
        <w:tc>
          <w:tcPr>
            <w:tcW w:w="4784" w:type="dxa"/>
            <w:tcBorders>
              <w:right w:val="single" w:color="auto" w:sz="12" w:space="0"/>
            </w:tcBorders>
            <w:vAlign w:val="center"/>
          </w:tcPr>
          <w:p w14:paraId="65FFB3B0">
            <w:pPr>
              <w:pStyle w:val="4"/>
              <w:keepNext w:val="0"/>
              <w:keepLines w:val="0"/>
              <w:suppressLineNumbers w:val="0"/>
              <w:spacing w:before="0" w:beforeAutospacing="0" w:after="0" w:afterAutospacing="0"/>
              <w:ind w:left="0" w:right="0"/>
              <w:jc w:val="both"/>
              <w:rPr>
                <w:rFonts w:hint="default" w:eastAsia="宋体"/>
                <w:b/>
                <w:bCs/>
                <w:color w:val="auto"/>
                <w:sz w:val="18"/>
                <w:szCs w:val="18"/>
                <w:vertAlign w:val="baseline"/>
                <w:lang w:val="en-US" w:eastAsia="zh-CN"/>
              </w:rPr>
            </w:pPr>
            <w:r>
              <w:rPr>
                <w:rFonts w:hint="eastAsia"/>
                <w:b w:val="0"/>
                <w:bCs w:val="0"/>
                <w:color w:val="auto"/>
                <w:sz w:val="18"/>
                <w:szCs w:val="18"/>
                <w:vertAlign w:val="baseline"/>
              </w:rPr>
              <w:t>加热层，保温层，膜层，防水层，找平层</w:t>
            </w:r>
            <w:r>
              <w:rPr>
                <w:rFonts w:hint="eastAsia"/>
                <w:b w:val="0"/>
                <w:bCs w:val="0"/>
                <w:color w:val="auto"/>
                <w:sz w:val="18"/>
                <w:szCs w:val="18"/>
                <w:vertAlign w:val="baseline"/>
                <w:lang w:val="en-US" w:eastAsia="zh-CN"/>
              </w:rPr>
              <w:t>及防水</w:t>
            </w:r>
            <w:r>
              <w:rPr>
                <w:rFonts w:hint="eastAsia"/>
                <w:b w:val="0"/>
                <w:bCs w:val="0"/>
                <w:color w:val="auto"/>
                <w:sz w:val="18"/>
                <w:szCs w:val="18"/>
                <w:vertAlign w:val="baseline"/>
              </w:rPr>
              <w:t>保护</w:t>
            </w:r>
            <w:r>
              <w:rPr>
                <w:rFonts w:hint="eastAsia"/>
                <w:b w:val="0"/>
                <w:bCs w:val="0"/>
                <w:color w:val="auto"/>
                <w:sz w:val="18"/>
                <w:szCs w:val="18"/>
                <w:vertAlign w:val="baseline"/>
                <w:lang w:val="en-US" w:eastAsia="zh-CN"/>
              </w:rPr>
              <w:t>层</w:t>
            </w:r>
            <w:r>
              <w:rPr>
                <w:rFonts w:hint="eastAsia"/>
                <w:b w:val="0"/>
                <w:bCs w:val="0"/>
                <w:color w:val="auto"/>
                <w:sz w:val="18"/>
                <w:szCs w:val="18"/>
                <w:vertAlign w:val="baseline"/>
              </w:rPr>
              <w:t>，冰板</w:t>
            </w:r>
            <w:r>
              <w:rPr>
                <w:rFonts w:hint="eastAsia"/>
                <w:b w:val="0"/>
                <w:bCs w:val="0"/>
                <w:color w:val="auto"/>
                <w:sz w:val="18"/>
                <w:szCs w:val="18"/>
                <w:vertAlign w:val="baseline"/>
                <w:lang w:val="en-US" w:eastAsia="zh-CN"/>
              </w:rPr>
              <w:t>制冷层</w:t>
            </w:r>
            <w:r>
              <w:rPr>
                <w:rFonts w:hint="eastAsia"/>
                <w:b w:val="0"/>
                <w:bCs w:val="0"/>
                <w:color w:val="auto"/>
                <w:sz w:val="18"/>
                <w:szCs w:val="18"/>
                <w:vertAlign w:val="baseline"/>
              </w:rPr>
              <w:t>，装配式制冰</w:t>
            </w:r>
            <w:r>
              <w:rPr>
                <w:rFonts w:hint="eastAsia"/>
                <w:b w:val="0"/>
                <w:bCs w:val="0"/>
                <w:color w:val="auto"/>
                <w:sz w:val="18"/>
                <w:szCs w:val="18"/>
                <w:vertAlign w:val="baseline"/>
                <w:lang w:val="en-US" w:eastAsia="zh-CN"/>
              </w:rPr>
              <w:t>板</w:t>
            </w:r>
            <w:r>
              <w:rPr>
                <w:rFonts w:hint="eastAsia"/>
                <w:b w:val="0"/>
                <w:bCs w:val="0"/>
                <w:color w:val="auto"/>
                <w:sz w:val="18"/>
                <w:szCs w:val="18"/>
                <w:vertAlign w:val="baseline"/>
              </w:rPr>
              <w:t>，排水沟等附属构筑物</w:t>
            </w:r>
            <w:r>
              <w:rPr>
                <w:rFonts w:hint="eastAsia"/>
                <w:b w:val="0"/>
                <w:bCs w:val="0"/>
                <w:color w:val="auto"/>
                <w:sz w:val="18"/>
                <w:szCs w:val="18"/>
                <w:vertAlign w:val="baseline"/>
                <w:lang w:eastAsia="zh-CN"/>
              </w:rPr>
              <w:t>，</w:t>
            </w:r>
            <w:r>
              <w:rPr>
                <w:rFonts w:hint="eastAsia"/>
                <w:b w:val="0"/>
                <w:bCs w:val="0"/>
                <w:color w:val="auto"/>
                <w:sz w:val="18"/>
                <w:szCs w:val="18"/>
                <w:vertAlign w:val="baseline"/>
                <w:lang w:val="en-US" w:eastAsia="zh-CN"/>
              </w:rPr>
              <w:t>冰场界墙</w:t>
            </w:r>
          </w:p>
        </w:tc>
      </w:tr>
      <w:tr w14:paraId="1B05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64D3154B">
            <w:pPr>
              <w:pStyle w:val="4"/>
              <w:keepNext w:val="0"/>
              <w:keepLines w:val="0"/>
              <w:suppressLineNumbers w:val="0"/>
              <w:spacing w:before="0" w:beforeAutospacing="0" w:after="0" w:afterAutospacing="0"/>
              <w:ind w:left="0" w:right="0"/>
              <w:jc w:val="center"/>
              <w:rPr>
                <w:rFonts w:hint="eastAsia" w:eastAsia="宋体"/>
                <w:b/>
                <w:bCs/>
                <w:color w:val="auto"/>
                <w:sz w:val="18"/>
                <w:szCs w:val="18"/>
                <w:vertAlign w:val="baseline"/>
                <w:lang w:val="en-US" w:eastAsia="zh-CN"/>
              </w:rPr>
            </w:pPr>
            <w:r>
              <w:rPr>
                <w:rFonts w:hint="eastAsia"/>
                <w:b/>
                <w:bCs/>
                <w:color w:val="auto"/>
                <w:sz w:val="18"/>
                <w:szCs w:val="18"/>
                <w:vertAlign w:val="baseline"/>
                <w:lang w:val="en-US" w:eastAsia="zh-CN"/>
              </w:rPr>
              <w:t>2</w:t>
            </w:r>
          </w:p>
        </w:tc>
        <w:tc>
          <w:tcPr>
            <w:tcW w:w="2566" w:type="dxa"/>
            <w:vAlign w:val="center"/>
          </w:tcPr>
          <w:p w14:paraId="18C6F308">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制冰系统</w:t>
            </w:r>
          </w:p>
        </w:tc>
        <w:tc>
          <w:tcPr>
            <w:tcW w:w="4784" w:type="dxa"/>
            <w:tcBorders>
              <w:right w:val="single" w:color="auto" w:sz="12" w:space="0"/>
            </w:tcBorders>
            <w:vAlign w:val="center"/>
          </w:tcPr>
          <w:p w14:paraId="1D992CB8">
            <w:pPr>
              <w:pStyle w:val="4"/>
              <w:keepNext w:val="0"/>
              <w:keepLines w:val="0"/>
              <w:suppressLineNumbers w:val="0"/>
              <w:spacing w:before="0" w:beforeAutospacing="0" w:after="0" w:afterAutospacing="0"/>
              <w:ind w:left="0" w:right="0"/>
              <w:jc w:val="both"/>
              <w:rPr>
                <w:rFonts w:hint="eastAsia" w:eastAsia="宋体"/>
                <w:b/>
                <w:bCs/>
                <w:color w:val="auto"/>
                <w:sz w:val="18"/>
                <w:szCs w:val="18"/>
                <w:vertAlign w:val="baseline"/>
                <w:lang w:val="en-US" w:eastAsia="zh-CN"/>
              </w:rPr>
            </w:pPr>
            <w:r>
              <w:rPr>
                <w:rFonts w:hint="eastAsia"/>
                <w:b w:val="0"/>
                <w:bCs w:val="0"/>
                <w:color w:val="auto"/>
                <w:sz w:val="18"/>
                <w:szCs w:val="18"/>
                <w:vertAlign w:val="baseline"/>
                <w:lang w:val="en-US" w:eastAsia="zh-CN"/>
              </w:rPr>
              <w:t>制冰管道安装，制冰设备安装，防腐与绝热，系统试运行，</w:t>
            </w:r>
            <w:r>
              <w:rPr>
                <w:rFonts w:hint="eastAsia" w:ascii="宋体" w:hAnsi="宋体" w:cs="宋体"/>
                <w:b w:val="0"/>
                <w:bCs/>
                <w:color w:val="auto"/>
                <w:sz w:val="18"/>
                <w:szCs w:val="18"/>
              </w:rPr>
              <w:t>制</w:t>
            </w:r>
            <w:r>
              <w:rPr>
                <w:rFonts w:hint="eastAsia" w:hAnsi="宋体" w:cs="宋体"/>
                <w:b w:val="0"/>
                <w:bCs/>
                <w:color w:val="auto"/>
                <w:sz w:val="18"/>
                <w:szCs w:val="18"/>
                <w:lang w:val="en-US" w:eastAsia="zh-CN"/>
              </w:rPr>
              <w:t>冰</w:t>
            </w:r>
            <w:r>
              <w:rPr>
                <w:rFonts w:hint="eastAsia" w:ascii="宋体" w:hAnsi="宋体" w:cs="宋体"/>
                <w:b w:val="0"/>
                <w:bCs/>
                <w:color w:val="auto"/>
                <w:sz w:val="18"/>
                <w:szCs w:val="18"/>
              </w:rPr>
              <w:t>系统运行</w:t>
            </w:r>
            <w:r>
              <w:rPr>
                <w:rFonts w:hint="eastAsia" w:hAnsi="宋体" w:cs="宋体"/>
                <w:b w:val="0"/>
                <w:bCs/>
                <w:color w:val="auto"/>
                <w:sz w:val="18"/>
                <w:szCs w:val="18"/>
                <w:lang w:val="en-US" w:eastAsia="zh-CN"/>
              </w:rPr>
              <w:t>调试</w:t>
            </w:r>
          </w:p>
        </w:tc>
      </w:tr>
      <w:tr w14:paraId="79A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6D371C7A">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3</w:t>
            </w:r>
          </w:p>
        </w:tc>
        <w:tc>
          <w:tcPr>
            <w:tcW w:w="2566" w:type="dxa"/>
            <w:vAlign w:val="center"/>
          </w:tcPr>
          <w:p w14:paraId="3B7837CE">
            <w:pPr>
              <w:pStyle w:val="4"/>
              <w:keepNext w:val="0"/>
              <w:keepLines w:val="0"/>
              <w:suppressLineNumbers w:val="0"/>
              <w:spacing w:before="0" w:beforeAutospacing="0" w:after="0" w:afterAutospacing="0"/>
              <w:ind w:left="0" w:right="0"/>
              <w:jc w:val="center"/>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给排水系统</w:t>
            </w:r>
          </w:p>
        </w:tc>
        <w:tc>
          <w:tcPr>
            <w:tcW w:w="4784" w:type="dxa"/>
            <w:tcBorders>
              <w:right w:val="single" w:color="auto" w:sz="12" w:space="0"/>
            </w:tcBorders>
            <w:vAlign w:val="center"/>
          </w:tcPr>
          <w:p w14:paraId="18EBD00C">
            <w:pPr>
              <w:pStyle w:val="4"/>
              <w:keepNext w:val="0"/>
              <w:keepLines w:val="0"/>
              <w:suppressLineNumbers w:val="0"/>
              <w:spacing w:before="0" w:beforeAutospacing="0" w:after="0" w:afterAutospacing="0"/>
              <w:ind w:left="0" w:right="0"/>
              <w:jc w:val="both"/>
              <w:rPr>
                <w:rFonts w:hint="default" w:eastAsia="宋体"/>
                <w:b/>
                <w:bCs/>
                <w:color w:val="auto"/>
                <w:sz w:val="18"/>
                <w:szCs w:val="18"/>
                <w:vertAlign w:val="baseline"/>
                <w:lang w:val="en-US" w:eastAsia="zh-CN"/>
              </w:rPr>
            </w:pPr>
            <w:r>
              <w:rPr>
                <w:rFonts w:hint="eastAsia"/>
                <w:b w:val="0"/>
                <w:bCs w:val="0"/>
                <w:color w:val="auto"/>
                <w:sz w:val="18"/>
                <w:szCs w:val="18"/>
                <w:vertAlign w:val="baseline"/>
                <w:lang w:val="en-US" w:eastAsia="zh-CN"/>
              </w:rPr>
              <w:t>管道及附件安装，设备安装，给排水系统调试</w:t>
            </w:r>
          </w:p>
        </w:tc>
      </w:tr>
      <w:tr w14:paraId="0065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6FCDFB8A">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4</w:t>
            </w:r>
          </w:p>
        </w:tc>
        <w:tc>
          <w:tcPr>
            <w:tcW w:w="2566" w:type="dxa"/>
            <w:vAlign w:val="center"/>
          </w:tcPr>
          <w:p w14:paraId="5023D96B">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除湿系统</w:t>
            </w:r>
          </w:p>
        </w:tc>
        <w:tc>
          <w:tcPr>
            <w:tcW w:w="4784" w:type="dxa"/>
            <w:tcBorders>
              <w:right w:val="single" w:color="auto" w:sz="12" w:space="0"/>
            </w:tcBorders>
            <w:vAlign w:val="center"/>
          </w:tcPr>
          <w:p w14:paraId="138D29A3">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除湿管道安装，除湿设备安装，系统调试</w:t>
            </w:r>
          </w:p>
        </w:tc>
      </w:tr>
      <w:tr w14:paraId="5D15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4B33C943">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5</w:t>
            </w:r>
          </w:p>
        </w:tc>
        <w:tc>
          <w:tcPr>
            <w:tcW w:w="2566" w:type="dxa"/>
            <w:vAlign w:val="center"/>
          </w:tcPr>
          <w:p w14:paraId="04382F73">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事故排风系统</w:t>
            </w:r>
          </w:p>
        </w:tc>
        <w:tc>
          <w:tcPr>
            <w:tcW w:w="4784" w:type="dxa"/>
            <w:tcBorders>
              <w:right w:val="single" w:color="auto" w:sz="12" w:space="0"/>
            </w:tcBorders>
            <w:vAlign w:val="center"/>
          </w:tcPr>
          <w:p w14:paraId="3C8AD656">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管道及部件安装，设备安装，事故排风系统调试</w:t>
            </w:r>
          </w:p>
        </w:tc>
      </w:tr>
      <w:tr w14:paraId="7308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tcBorders>
            <w:vAlign w:val="center"/>
          </w:tcPr>
          <w:p w14:paraId="6691655F">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6</w:t>
            </w:r>
          </w:p>
        </w:tc>
        <w:tc>
          <w:tcPr>
            <w:tcW w:w="2566" w:type="dxa"/>
            <w:vAlign w:val="center"/>
          </w:tcPr>
          <w:p w14:paraId="257E8008">
            <w:pPr>
              <w:pStyle w:val="4"/>
              <w:keepNext w:val="0"/>
              <w:keepLines w:val="0"/>
              <w:suppressLineNumbers w:val="0"/>
              <w:spacing w:before="0" w:beforeAutospacing="0" w:after="0" w:afterAutospacing="0"/>
              <w:ind w:left="0" w:right="0"/>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电气系统</w:t>
            </w:r>
          </w:p>
        </w:tc>
        <w:tc>
          <w:tcPr>
            <w:tcW w:w="4784" w:type="dxa"/>
            <w:tcBorders>
              <w:right w:val="single" w:color="auto" w:sz="12" w:space="0"/>
            </w:tcBorders>
            <w:vAlign w:val="center"/>
          </w:tcPr>
          <w:p w14:paraId="0BD96F50">
            <w:pPr>
              <w:pStyle w:val="4"/>
              <w:keepNext w:val="0"/>
              <w:keepLines w:val="0"/>
              <w:suppressLineNumbers w:val="0"/>
              <w:spacing w:before="0" w:beforeAutospacing="0" w:after="0" w:afterAutospacing="0"/>
              <w:ind w:left="0" w:right="0"/>
              <w:jc w:val="both"/>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成套配电箱、柜安装，母线槽安装，槽盒安装，导管敷设，线缆敷设，执行机构连接，等电位联结，系统调试</w:t>
            </w:r>
          </w:p>
        </w:tc>
      </w:tr>
      <w:tr w14:paraId="2350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Borders>
              <w:left w:val="single" w:color="auto" w:sz="12" w:space="0"/>
              <w:bottom w:val="single" w:color="auto" w:sz="12" w:space="0"/>
            </w:tcBorders>
            <w:vAlign w:val="center"/>
          </w:tcPr>
          <w:p w14:paraId="75808112">
            <w:pPr>
              <w:pStyle w:val="4"/>
              <w:keepNext w:val="0"/>
              <w:keepLines w:val="0"/>
              <w:suppressLineNumbers w:val="0"/>
              <w:spacing w:before="0" w:beforeAutospacing="0" w:after="0" w:afterAutospacing="0"/>
              <w:ind w:left="0" w:right="0"/>
              <w:jc w:val="center"/>
              <w:rPr>
                <w:rFonts w:hint="default"/>
                <w:b/>
                <w:bCs/>
                <w:color w:val="auto"/>
                <w:sz w:val="18"/>
                <w:szCs w:val="18"/>
                <w:vertAlign w:val="baseline"/>
                <w:lang w:val="en-US" w:eastAsia="zh-CN"/>
              </w:rPr>
            </w:pPr>
            <w:r>
              <w:rPr>
                <w:rFonts w:hint="eastAsia"/>
                <w:b/>
                <w:bCs/>
                <w:color w:val="auto"/>
                <w:sz w:val="18"/>
                <w:szCs w:val="18"/>
                <w:vertAlign w:val="baseline"/>
                <w:lang w:val="en-US" w:eastAsia="zh-CN"/>
              </w:rPr>
              <w:t>7</w:t>
            </w:r>
          </w:p>
        </w:tc>
        <w:tc>
          <w:tcPr>
            <w:tcW w:w="2566" w:type="dxa"/>
            <w:tcBorders>
              <w:bottom w:val="single" w:color="auto" w:sz="12" w:space="0"/>
            </w:tcBorders>
            <w:vAlign w:val="center"/>
          </w:tcPr>
          <w:p w14:paraId="69E68DEE">
            <w:pPr>
              <w:pStyle w:val="4"/>
              <w:keepNext w:val="0"/>
              <w:keepLines w:val="0"/>
              <w:suppressLineNumbers w:val="0"/>
              <w:spacing w:before="0" w:beforeAutospacing="0" w:after="0" w:afterAutospacing="0"/>
              <w:ind w:left="0" w:right="0"/>
              <w:jc w:val="center"/>
              <w:rPr>
                <w:rFonts w:hint="eastAsia"/>
                <w:b w:val="0"/>
                <w:bCs/>
                <w:color w:val="auto"/>
                <w:sz w:val="18"/>
                <w:szCs w:val="18"/>
                <w:vertAlign w:val="baseline"/>
                <w:lang w:val="en-US" w:eastAsia="zh-CN"/>
              </w:rPr>
            </w:pPr>
            <w:r>
              <w:rPr>
                <w:rFonts w:hint="eastAsia" w:ascii="宋体" w:hAnsi="宋体" w:cs="宋体"/>
                <w:b w:val="0"/>
                <w:bCs/>
                <w:color w:val="auto"/>
                <w:sz w:val="18"/>
                <w:szCs w:val="18"/>
              </w:rPr>
              <w:t>自动化监控系统</w:t>
            </w:r>
          </w:p>
        </w:tc>
        <w:tc>
          <w:tcPr>
            <w:tcW w:w="4784" w:type="dxa"/>
            <w:tcBorders>
              <w:bottom w:val="single" w:color="auto" w:sz="12" w:space="0"/>
              <w:right w:val="single" w:color="auto" w:sz="12" w:space="0"/>
            </w:tcBorders>
            <w:vAlign w:val="center"/>
          </w:tcPr>
          <w:p w14:paraId="5C95E013">
            <w:pPr>
              <w:pStyle w:val="4"/>
              <w:keepNext w:val="0"/>
              <w:keepLines w:val="0"/>
              <w:suppressLineNumbers w:val="0"/>
              <w:spacing w:before="0" w:beforeAutospacing="0" w:after="0" w:afterAutospacing="0"/>
              <w:ind w:left="0" w:right="0"/>
              <w:jc w:val="both"/>
              <w:rPr>
                <w:rFonts w:hint="default" w:eastAsia="宋体"/>
                <w:b w:val="0"/>
                <w:bCs/>
                <w:color w:val="auto"/>
                <w:sz w:val="18"/>
                <w:szCs w:val="18"/>
                <w:vertAlign w:val="baseline"/>
                <w:lang w:val="en-US" w:eastAsia="zh-CN"/>
              </w:rPr>
            </w:pPr>
            <w:r>
              <w:rPr>
                <w:rFonts w:hint="eastAsia" w:ascii="宋体" w:hAnsi="宋体" w:cs="宋体"/>
                <w:b w:val="0"/>
                <w:bCs/>
                <w:color w:val="auto"/>
                <w:sz w:val="18"/>
                <w:szCs w:val="18"/>
              </w:rPr>
              <w:t>传感器安装，智能化集成系统安装</w:t>
            </w:r>
            <w:r>
              <w:rPr>
                <w:rFonts w:hint="eastAsia" w:hAnsi="宋体" w:cs="宋体"/>
                <w:b w:val="0"/>
                <w:bCs/>
                <w:color w:val="auto"/>
                <w:sz w:val="18"/>
                <w:szCs w:val="18"/>
                <w:lang w:eastAsia="zh-CN"/>
              </w:rPr>
              <w:t>，</w:t>
            </w:r>
            <w:r>
              <w:rPr>
                <w:rFonts w:hint="eastAsia" w:hAnsi="宋体" w:cs="宋体"/>
                <w:b w:val="0"/>
                <w:bCs/>
                <w:color w:val="auto"/>
                <w:sz w:val="18"/>
                <w:szCs w:val="18"/>
                <w:lang w:val="en-US" w:eastAsia="zh-CN"/>
              </w:rPr>
              <w:t>自动化监控系统调试</w:t>
            </w:r>
          </w:p>
        </w:tc>
      </w:tr>
      <w:bookmarkEnd w:id="190"/>
      <w:bookmarkEnd w:id="191"/>
    </w:tbl>
    <w:p w14:paraId="3E7F4653">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sz w:val="24"/>
          <w:szCs w:val="24"/>
        </w:rPr>
      </w:pPr>
      <w:bookmarkStart w:id="194" w:name="_Toc174"/>
      <w:bookmarkStart w:id="195" w:name="_Toc32311"/>
      <w:bookmarkStart w:id="196" w:name="_Toc10997"/>
      <w:bookmarkStart w:id="197" w:name="_Toc10987"/>
      <w:bookmarkStart w:id="198" w:name="_Toc8530"/>
      <w:bookmarkStart w:id="199" w:name="_Toc25086"/>
      <w:bookmarkStart w:id="200" w:name="_Toc13583"/>
      <w:r>
        <w:rPr>
          <w:rFonts w:hint="eastAsia" w:ascii="黑体" w:hAnsi="黑体" w:eastAsia="黑体" w:cs="黑体"/>
          <w:b w:val="0"/>
          <w:bCs w:val="0"/>
          <w:kern w:val="0"/>
          <w:sz w:val="21"/>
          <w:szCs w:val="21"/>
          <w:lang w:val="en-US" w:eastAsia="zh-CN" w:bidi="ar-SA"/>
        </w:rPr>
        <w:t>12.2  施工质量验收的程序及组织</w:t>
      </w:r>
      <w:bookmarkEnd w:id="194"/>
      <w:bookmarkEnd w:id="195"/>
      <w:bookmarkEnd w:id="196"/>
      <w:bookmarkEnd w:id="197"/>
    </w:p>
    <w:p w14:paraId="2E472F4D">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12.2.1 </w:t>
      </w:r>
      <w:bookmarkStart w:id="201" w:name="_Hlk44567394"/>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制冰系统工程</w:t>
      </w:r>
      <w:bookmarkEnd w:id="201"/>
      <w:r>
        <w:rPr>
          <w:rFonts w:hint="eastAsia" w:ascii="宋体" w:hAnsi="Times New Roman" w:eastAsia="宋体" w:cs="Times New Roman"/>
          <w:b w:val="0"/>
          <w:bCs/>
          <w:kern w:val="2"/>
          <w:sz w:val="21"/>
          <w:szCs w:val="21"/>
          <w:lang w:val="en-US" w:eastAsia="zh-CN" w:bidi="ar-SA"/>
        </w:rPr>
        <w:t>施工质量验收应按检验批、分项工程、分部工程、单位工程顺序逐级进行验收。</w:t>
      </w:r>
    </w:p>
    <w:p w14:paraId="3712763A">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检验批、分项工程应在施工单位自检合格的基础上，由施工单位向监理单位提出报验申请，由监理工程师组织施工单位项目专业技术负责人进行验收，并填写验收记录。</w:t>
      </w:r>
    </w:p>
    <w:p w14:paraId="1EE8784D">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分部工程应在各分项工程验收合格的基础上，由施工单位向监理单位提出报验申请，由总监理工程师组织监理、设计、施工等有关单位质量技术负责人进行验收，并填写验收记录。</w:t>
      </w:r>
    </w:p>
    <w:p w14:paraId="0058031C">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12.2.4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单位（子单位）工程的验收应在各分部工程验收合格的基础上，由施工单位向监理单位提出报验申请，由建设单位项目负责人组织监理、设计、施工单位等项目负责人及质量技术负责人进行验收，并填写验收记录。</w:t>
      </w:r>
    </w:p>
    <w:p w14:paraId="47025C4E">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0"/>
          <w:sz w:val="21"/>
          <w:szCs w:val="21"/>
          <w:lang w:val="en-US" w:eastAsia="zh-CN" w:bidi="ar-SA"/>
        </w:rPr>
      </w:pPr>
      <w:bookmarkStart w:id="202" w:name="_Toc14615"/>
      <w:bookmarkStart w:id="203" w:name="_Toc11792"/>
      <w:bookmarkStart w:id="204" w:name="_Toc14058"/>
      <w:r>
        <w:rPr>
          <w:rFonts w:hint="eastAsia" w:ascii="黑体" w:hAnsi="黑体" w:eastAsia="黑体" w:cs="黑体"/>
          <w:b w:val="0"/>
          <w:bCs w:val="0"/>
          <w:kern w:val="0"/>
          <w:sz w:val="21"/>
          <w:szCs w:val="21"/>
          <w:lang w:val="en-US" w:eastAsia="zh-CN" w:bidi="ar-SA"/>
        </w:rPr>
        <w:t>12.3  工程验收要求及资料</w:t>
      </w:r>
      <w:bookmarkEnd w:id="202"/>
      <w:bookmarkEnd w:id="203"/>
      <w:bookmarkEnd w:id="204"/>
    </w:p>
    <w:p w14:paraId="67DFCBDC">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12.3.1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制冷系统安装、试运转合格、冰板表面温度降到设计要求，并稳定运行后，方可办理工程验收。</w:t>
      </w:r>
    </w:p>
    <w:p w14:paraId="25B4711F">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12.3.2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工程验收时制冷系统所有安全保护装置的调试和保护参数设置、手动和自动控制装置的调试和控制参数设置、中央级监控管理系统的调试和名项参数设置等调试工作应完成并符合设计要求。</w:t>
      </w:r>
    </w:p>
    <w:p w14:paraId="6243F383">
      <w:pPr>
        <w:ind w:firstLine="0" w:firstLineChars="0"/>
        <w:rPr>
          <w:rFonts w:hint="eastAsia" w:ascii="宋体" w:hAnsi="宋体" w:eastAsia="宋体" w:cs="宋体"/>
          <w:color w:val="auto"/>
          <w:szCs w:val="21"/>
          <w:lang w:eastAsia="zh-CN"/>
        </w:rPr>
      </w:pPr>
      <w:r>
        <w:rPr>
          <w:rFonts w:hint="eastAsia" w:ascii="宋体" w:hAnsi="Times New Roman" w:eastAsia="宋体" w:cs="Times New Roman"/>
          <w:b w:val="0"/>
          <w:bCs/>
          <w:kern w:val="2"/>
          <w:sz w:val="21"/>
          <w:szCs w:val="21"/>
          <w:lang w:val="en-US" w:eastAsia="zh-CN" w:bidi="ar-SA"/>
        </w:rPr>
        <w:t xml:space="preserve">12.3.3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工程验收时应根据系统实际情况提供以下施工技术资料：</w:t>
      </w:r>
    </w:p>
    <w:p w14:paraId="005309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设备开箱检查记录及设备技术文件，设备出厂合格证明各类检测报告等；进口材料设备中文安装使用说明书和性能检测报告，相应报关手续；</w:t>
      </w:r>
    </w:p>
    <w:p w14:paraId="30C505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制冷系统用阀门、过滤器、自控元件及仪表等出厂合格证、检验记录或调试合格记录等；</w:t>
      </w:r>
    </w:p>
    <w:p w14:paraId="28CCA6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主要材料的材质检测报告及证明文件</w:t>
      </w:r>
      <w:r>
        <w:rPr>
          <w:rFonts w:hint="eastAsia" w:hAnsi="宋体" w:cs="宋体"/>
          <w:b w:val="0"/>
          <w:bCs w:val="0"/>
          <w:kern w:val="2"/>
          <w:sz w:val="21"/>
          <w:szCs w:val="21"/>
          <w:lang w:val="en-US" w:eastAsia="zh-CN" w:bidi="ar-SA"/>
        </w:rPr>
        <w:t>。</w:t>
      </w:r>
    </w:p>
    <w:p w14:paraId="7240099D">
      <w:pPr>
        <w:pStyle w:val="4"/>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12.4  数字化交付</w:t>
      </w:r>
      <w:bookmarkEnd w:id="198"/>
      <w:bookmarkEnd w:id="199"/>
      <w:bookmarkEnd w:id="200"/>
    </w:p>
    <w:p w14:paraId="14C7FD65">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12.4.1</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合同约定需要进行数字化交付的工程，应根据合同约定进行数字化交付。</w:t>
      </w:r>
    </w:p>
    <w:p w14:paraId="58831D57">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12.4.2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在各模型交付阶段，应根据合同约定提交能精确表达相关施工信息的施工模型。</w:t>
      </w:r>
    </w:p>
    <w:p w14:paraId="38084C7B">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12.4.3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交付阶段分为施工图深化、施工管理、竣工验收三个阶段，施工图深化阶段的模型应满足作为现场施工依据的需求；施工管理阶段的模型应满足施工各项工作管理的需求，确保模型对施工的指导作用；竣工验收阶段的模型应满足竣工验收和下一步进行归档数据整理及后期运维管理的需求。</w:t>
      </w:r>
    </w:p>
    <w:p w14:paraId="7389274F">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 xml:space="preserve">12.4.4 </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竣工模型的交付应符合下列规定：</w:t>
      </w:r>
    </w:p>
    <w:p w14:paraId="72CAC8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交付物包括模型、构件库和说明书。</w:t>
      </w:r>
    </w:p>
    <w:p w14:paraId="40F71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  BIM构件库文件应根据项目的实际运维需求建立，且支持独立编辑和修改。</w:t>
      </w:r>
    </w:p>
    <w:p w14:paraId="262A09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交付说明书应包含模型系统简介、模型架构、构件精细度交付信息选用表、交付格式说明、项目分区、设备清单、模型查阅与修改方法等。</w:t>
      </w:r>
    </w:p>
    <w:p w14:paraId="779CC5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模型的交付格式应根据运维软件的需要，由交付双方协商确定。未指定运维软件时，运维模型应提供不少于两种常见格式，并保持信息的完整性。</w:t>
      </w:r>
    </w:p>
    <w:p w14:paraId="2E5FEC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4"/>
        </w:rPr>
      </w:pPr>
      <w:r>
        <w:rPr>
          <w:rFonts w:hint="eastAsia" w:ascii="宋体" w:hAnsi="宋体" w:eastAsia="宋体" w:cs="宋体"/>
          <w:b w:val="0"/>
          <w:bCs w:val="0"/>
          <w:kern w:val="2"/>
          <w:sz w:val="21"/>
          <w:szCs w:val="21"/>
          <w:lang w:val="en-US" w:eastAsia="zh-CN" w:bidi="ar-SA"/>
        </w:rPr>
        <w:t>5</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 xml:space="preserve"> 施工阶段的模型交付给运维时，应根据运维需求，对模型进行信息精简。</w:t>
      </w:r>
    </w:p>
    <w:p w14:paraId="691B4414">
      <w:pPr>
        <w:ind w:firstLine="0" w:firstLineChars="0"/>
        <w:rPr>
          <w:rFonts w:hint="eastAsia" w:ascii="宋体" w:hAnsi="Times New Roman" w:eastAsia="宋体" w:cs="Times New Roman"/>
          <w:b w:val="0"/>
          <w:bCs/>
          <w:kern w:val="2"/>
          <w:sz w:val="21"/>
          <w:szCs w:val="21"/>
          <w:lang w:val="en-US" w:eastAsia="zh-CN" w:bidi="ar-SA"/>
        </w:rPr>
      </w:pPr>
      <w:r>
        <w:rPr>
          <w:rFonts w:hint="eastAsia" w:ascii="宋体" w:hAnsi="Times New Roman" w:eastAsia="宋体" w:cs="Times New Roman"/>
          <w:b w:val="0"/>
          <w:bCs/>
          <w:kern w:val="2"/>
          <w:sz w:val="21"/>
          <w:szCs w:val="21"/>
          <w:lang w:val="en-US" w:eastAsia="zh-CN" w:bidi="ar-SA"/>
        </w:rPr>
        <w:t>12.4.5</w:t>
      </w:r>
      <w:r>
        <w:rPr>
          <w:rFonts w:hint="eastAsia" w:cs="Times New Roman"/>
          <w:b w:val="0"/>
          <w:bCs/>
          <w:kern w:val="2"/>
          <w:sz w:val="21"/>
          <w:szCs w:val="21"/>
          <w:lang w:val="en-US" w:eastAsia="zh-CN" w:bidi="ar-SA"/>
        </w:rPr>
        <w:t xml:space="preserve"> </w:t>
      </w:r>
      <w:r>
        <w:rPr>
          <w:rFonts w:hint="eastAsia" w:ascii="宋体" w:hAnsi="Times New Roman" w:eastAsia="宋体" w:cs="Times New Roman"/>
          <w:b w:val="0"/>
          <w:bCs/>
          <w:kern w:val="2"/>
          <w:sz w:val="21"/>
          <w:szCs w:val="21"/>
          <w:lang w:val="en-US" w:eastAsia="zh-CN" w:bidi="ar-SA"/>
        </w:rPr>
        <w:t xml:space="preserve"> 运维交付模型中的信息应包含但不限于系列：</w:t>
      </w:r>
    </w:p>
    <w:p w14:paraId="7FA0C2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1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设计相关类信息：基本信息（设备名称、型号、规格）、技术参数信息、材质信息、类型信息、清单、图纸等。</w:t>
      </w:r>
    </w:p>
    <w:p w14:paraId="7ABA50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2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施工相关类信息：主要是现场安装信息、相对位置信息等。</w:t>
      </w:r>
    </w:p>
    <w:p w14:paraId="15DCF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3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采购相关类信息：产品信息、厂商技术信息、供应商信息等。</w:t>
      </w:r>
    </w:p>
    <w:p w14:paraId="4A5E59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4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运维相关类信息：设备管理信息、维保信息、人员及工单信息。</w:t>
      </w:r>
    </w:p>
    <w:p w14:paraId="2158C8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sz w:val="24"/>
        </w:rPr>
      </w:pPr>
      <w:r>
        <w:rPr>
          <w:rFonts w:hint="eastAsia" w:ascii="宋体" w:hAnsi="宋体" w:eastAsia="宋体" w:cs="宋体"/>
          <w:b w:val="0"/>
          <w:bCs w:val="0"/>
          <w:kern w:val="2"/>
          <w:sz w:val="21"/>
          <w:szCs w:val="21"/>
          <w:lang w:val="en-US" w:eastAsia="zh-CN" w:bidi="ar-SA"/>
        </w:rPr>
        <w:t xml:space="preserve">5 </w:t>
      </w:r>
      <w:r>
        <w:rPr>
          <w:rFonts w:hint="eastAsia" w:hAnsi="宋体" w:cs="宋体"/>
          <w:b w:val="0"/>
          <w:bCs w:val="0"/>
          <w:kern w:val="2"/>
          <w:sz w:val="21"/>
          <w:szCs w:val="21"/>
          <w:lang w:val="en-US" w:eastAsia="zh-CN" w:bidi="ar-SA"/>
        </w:rPr>
        <w:t xml:space="preserve"> </w:t>
      </w:r>
      <w:r>
        <w:rPr>
          <w:rFonts w:hint="eastAsia" w:ascii="宋体" w:hAnsi="宋体" w:eastAsia="宋体" w:cs="宋体"/>
          <w:b w:val="0"/>
          <w:bCs w:val="0"/>
          <w:kern w:val="2"/>
          <w:sz w:val="21"/>
          <w:szCs w:val="21"/>
          <w:lang w:val="en-US" w:eastAsia="zh-CN" w:bidi="ar-SA"/>
        </w:rPr>
        <w:t>模型中的构件几何信息等级与构件非几何信息应由运维交付双方进行确定，宜采用BIM技术进行运维管理。</w:t>
      </w:r>
      <w:r>
        <w:rPr>
          <w:rFonts w:hint="eastAsia" w:ascii="宋体" w:hAnsi="宋体" w:cs="宋体"/>
          <w:bCs/>
          <w:sz w:val="24"/>
        </w:rPr>
        <w:t xml:space="preserve"> </w:t>
      </w:r>
    </w:p>
    <w:p w14:paraId="78D58251">
      <w:pPr>
        <w:rPr>
          <w:rFonts w:hint="eastAsia"/>
          <w:lang w:val="en-US" w:eastAsia="zh-CN"/>
        </w:rPr>
      </w:pPr>
      <w:r>
        <w:rPr>
          <w:rFonts w:hint="eastAsia"/>
          <w:lang w:val="en-US" w:eastAsia="zh-CN"/>
        </w:rPr>
        <w:br w:type="page"/>
      </w:r>
    </w:p>
    <w:p w14:paraId="434611C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color w:val="auto"/>
          <w:sz w:val="21"/>
          <w:szCs w:val="21"/>
          <w:lang w:val="en-US" w:eastAsia="zh-CN"/>
        </w:rPr>
      </w:pPr>
      <w:bookmarkStart w:id="205" w:name="_Toc21221"/>
      <w:bookmarkStart w:id="206" w:name="_Toc20782"/>
      <w:bookmarkStart w:id="207" w:name="_Toc6"/>
      <w:r>
        <w:rPr>
          <w:rFonts w:hint="eastAsia" w:ascii="黑体" w:hAnsi="黑体" w:eastAsia="黑体" w:cs="黑体"/>
          <w:b w:val="0"/>
          <w:bCs/>
          <w:color w:val="auto"/>
          <w:sz w:val="21"/>
          <w:szCs w:val="21"/>
          <w:lang w:val="en-US" w:eastAsia="zh-CN"/>
        </w:rPr>
        <w:t>附录A  标准</w:t>
      </w:r>
      <w:r>
        <w:rPr>
          <w:rFonts w:hint="eastAsia" w:ascii="黑体" w:hAnsi="黑体" w:eastAsia="黑体" w:cs="黑体"/>
          <w:b w:val="0"/>
          <w:bCs/>
          <w:color w:val="auto"/>
          <w:sz w:val="21"/>
          <w:szCs w:val="21"/>
        </w:rPr>
        <w:t>冰</w:t>
      </w:r>
      <w:r>
        <w:rPr>
          <w:rFonts w:hint="eastAsia" w:ascii="黑体" w:hAnsi="黑体" w:eastAsia="黑体" w:cs="黑体"/>
          <w:b w:val="0"/>
          <w:bCs/>
          <w:color w:val="auto"/>
          <w:sz w:val="21"/>
          <w:szCs w:val="21"/>
          <w:lang w:val="en-US" w:eastAsia="zh-CN"/>
        </w:rPr>
        <w:t>球</w:t>
      </w:r>
      <w:r>
        <w:rPr>
          <w:rFonts w:hint="eastAsia" w:ascii="黑体" w:hAnsi="黑体" w:eastAsia="黑体" w:cs="黑体"/>
          <w:b w:val="0"/>
          <w:bCs/>
          <w:color w:val="auto"/>
          <w:sz w:val="21"/>
          <w:szCs w:val="21"/>
        </w:rPr>
        <w:t>场设置及划线</w:t>
      </w:r>
      <w:r>
        <w:rPr>
          <w:rFonts w:hint="eastAsia" w:ascii="黑体" w:hAnsi="黑体" w:eastAsia="黑体" w:cs="黑体"/>
          <w:b w:val="0"/>
          <w:bCs/>
          <w:color w:val="auto"/>
          <w:sz w:val="21"/>
          <w:szCs w:val="21"/>
          <w:lang w:val="en-US" w:eastAsia="zh-CN"/>
        </w:rPr>
        <w:t>参考</w:t>
      </w:r>
      <w:bookmarkEnd w:id="205"/>
    </w:p>
    <w:p w14:paraId="629D3D8E">
      <w:pPr>
        <w:pStyle w:val="2"/>
        <w:ind w:left="0" w:leftChars="0" w:firstLine="0" w:firstLineChars="0"/>
        <w:rPr>
          <w:rFonts w:hint="eastAsia" w:hAnsi="宋体" w:cs="宋体"/>
          <w:sz w:val="21"/>
          <w:szCs w:val="21"/>
          <w:lang w:val="en-US" w:eastAsia="zh-CN" w:bidi="ar-SA"/>
        </w:rPr>
      </w:pPr>
      <w:r>
        <w:rPr>
          <w:rFonts w:hint="eastAsia" w:hAnsi="宋体" w:cs="宋体"/>
          <w:sz w:val="21"/>
          <w:szCs w:val="21"/>
          <w:lang w:val="en-US" w:eastAsia="zh-CN" w:bidi="ar-SA"/>
        </w:rPr>
        <w:t>A.0.1  标准冰球场界墙应满足国际冰联官方赛事标准，当无明确要求时，冰场设置及划线可参照下列要求（具体尺寸参考图A.0.1）：</w:t>
      </w:r>
    </w:p>
    <w:p w14:paraId="62C3AA90">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1  国际比赛冰场规格采用长60-61m、宽30m、角圆弧半径为8.5m的场地；一侧的界墙外设有两个独立的队员席，对面边线界墙外设裁判席和受罚席。</w:t>
      </w:r>
    </w:p>
    <w:p w14:paraId="2FFF9431">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2  冰球场除场地标记外，全部冰面和界墙内壁应为白色。</w:t>
      </w:r>
    </w:p>
    <w:p w14:paraId="1E20918A">
      <w:pPr>
        <w:pStyle w:val="2"/>
        <w:ind w:left="0" w:leftChars="0" w:firstLine="420" w:firstLineChars="200"/>
        <w:rPr>
          <w:rFonts w:hint="eastAsia" w:hAnsi="宋体" w:cs="宋体"/>
          <w:sz w:val="21"/>
          <w:szCs w:val="21"/>
          <w:lang w:val="en-US" w:eastAsia="zh-CN" w:bidi="ar-SA"/>
        </w:rPr>
      </w:pPr>
      <w:r>
        <w:rPr>
          <w:rFonts w:hint="eastAsia" w:hAnsi="宋体" w:cs="宋体"/>
          <w:sz w:val="21"/>
          <w:szCs w:val="21"/>
          <w:lang w:val="en-US" w:eastAsia="zh-CN" w:bidi="ar-SA"/>
        </w:rPr>
        <w:t>3  球门线施划要求：应在冰场两端，各距端墙4m，横贯冰场并延伸到边线界墙，画出宽5cm的两条平行红线为球门线。</w:t>
      </w:r>
    </w:p>
    <w:p w14:paraId="11C95FA6">
      <w:pPr>
        <w:pStyle w:val="2"/>
        <w:ind w:left="0" w:leftChars="0" w:firstLine="420" w:firstLineChars="200"/>
        <w:rPr>
          <w:rFonts w:hint="eastAsia" w:hAnsi="宋体" w:eastAsia="宋体" w:cs="宋体"/>
          <w:sz w:val="21"/>
          <w:szCs w:val="21"/>
          <w:lang w:val="en-US" w:eastAsia="zh-CN" w:bidi="ar-SA"/>
        </w:rPr>
      </w:pPr>
      <w:r>
        <w:rPr>
          <w:rFonts w:hint="eastAsia" w:hAnsi="宋体" w:cs="宋体"/>
          <w:sz w:val="21"/>
          <w:szCs w:val="21"/>
          <w:lang w:val="en-US" w:eastAsia="zh-CN" w:bidi="ar-SA"/>
        </w:rPr>
        <w:t>4  在中区和两端区设有8个直径为60cm的争球点和5个半径为4.5m的争球圈。</w:t>
      </w:r>
    </w:p>
    <w:p w14:paraId="6EF27323">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pPr>
      <w:r>
        <w:drawing>
          <wp:inline distT="0" distB="0" distL="114300" distR="114300">
            <wp:extent cx="8085455" cy="4669155"/>
            <wp:effectExtent l="0" t="0" r="1714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rot="16200000">
                      <a:off x="0" y="0"/>
                      <a:ext cx="8085455" cy="4669155"/>
                    </a:xfrm>
                    <a:prstGeom prst="rect">
                      <a:avLst/>
                    </a:prstGeom>
                    <a:noFill/>
                    <a:ln>
                      <a:noFill/>
                    </a:ln>
                  </pic:spPr>
                </pic:pic>
              </a:graphicData>
            </a:graphic>
          </wp:inline>
        </w:drawing>
      </w:r>
    </w:p>
    <w:p w14:paraId="330F2525">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pPr>
      <w:r>
        <w:rPr>
          <w:rFonts w:hint="eastAsia" w:ascii="黑体" w:hAnsi="黑体" w:eastAsia="黑体" w:cs="黑体"/>
          <w:b w:val="0"/>
          <w:bCs/>
          <w:color w:val="auto"/>
          <w:sz w:val="21"/>
          <w:szCs w:val="21"/>
          <w:lang w:val="en-US" w:eastAsia="zh-CN"/>
        </w:rPr>
        <w:t>图A.0.1 标准</w:t>
      </w:r>
      <w:r>
        <w:rPr>
          <w:rFonts w:hint="eastAsia" w:ascii="黑体" w:hAnsi="黑体" w:eastAsia="黑体" w:cs="黑体"/>
          <w:b w:val="0"/>
          <w:bCs/>
          <w:color w:val="auto"/>
          <w:sz w:val="21"/>
          <w:szCs w:val="21"/>
        </w:rPr>
        <w:t>冰场设置及划线</w:t>
      </w:r>
      <w:r>
        <w:rPr>
          <w:rFonts w:hint="eastAsia" w:ascii="黑体" w:hAnsi="黑体" w:eastAsia="黑体" w:cs="黑体"/>
          <w:b w:val="0"/>
          <w:bCs/>
          <w:color w:val="auto"/>
          <w:sz w:val="21"/>
          <w:szCs w:val="21"/>
          <w:lang w:val="en-US" w:eastAsia="zh-CN"/>
        </w:rPr>
        <w:t>详图</w:t>
      </w:r>
      <w:r>
        <w:rPr>
          <w:rFonts w:hint="eastAsia" w:ascii="宋体" w:hAnsi="宋体" w:eastAsia="宋体" w:cs="宋体"/>
          <w:b/>
          <w:bCs w:val="0"/>
        </w:rPr>
        <w:br w:type="page"/>
      </w:r>
    </w:p>
    <w:p w14:paraId="1CBDAE55">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b w:val="0"/>
          <w:bCs/>
          <w:color w:val="auto"/>
          <w:sz w:val="21"/>
          <w:szCs w:val="21"/>
          <w:lang w:val="en-US" w:eastAsia="zh-CN"/>
        </w:rPr>
      </w:pPr>
      <w:bookmarkStart w:id="208" w:name="_Toc9660"/>
      <w:r>
        <w:rPr>
          <w:rFonts w:hint="eastAsia" w:ascii="黑体" w:hAnsi="黑体" w:eastAsia="黑体" w:cs="黑体"/>
          <w:b w:val="0"/>
          <w:bCs/>
          <w:color w:val="auto"/>
          <w:sz w:val="21"/>
          <w:szCs w:val="21"/>
          <w:lang w:val="en-US" w:eastAsia="zh-CN"/>
        </w:rPr>
        <w:t>附录B  非标小型冰球场场界墙参考做法</w:t>
      </w:r>
      <w:bookmarkEnd w:id="208"/>
    </w:p>
    <w:p w14:paraId="644237B4">
      <w:pPr>
        <w:pStyle w:val="2"/>
        <w:ind w:left="0" w:leftChars="0" w:firstLine="0" w:firstLineChars="0"/>
        <w:rPr>
          <w:rFonts w:hint="eastAsia" w:hAnsi="宋体" w:cs="宋体"/>
          <w:sz w:val="21"/>
          <w:szCs w:val="21"/>
          <w:lang w:val="en-US" w:eastAsia="zh-CN" w:bidi="ar-SA"/>
        </w:rPr>
      </w:pPr>
      <w:r>
        <w:rPr>
          <w:rFonts w:hint="eastAsia" w:hAnsi="宋体" w:cs="宋体"/>
          <w:sz w:val="21"/>
          <w:szCs w:val="21"/>
          <w:lang w:val="en-US" w:eastAsia="zh-CN" w:bidi="ar-SA"/>
        </w:rPr>
        <w:t>B.0.1  非标准小型并球场界墙可参考图B.0.1做法。</w:t>
      </w:r>
    </w:p>
    <w:p w14:paraId="04B5CBC2">
      <w:pPr>
        <w:ind w:firstLine="0" w:firstLineChars="0"/>
        <w:jc w:val="center"/>
        <w:rPr>
          <w:rFonts w:hAnsi="宋体"/>
        </w:rPr>
      </w:pPr>
      <w:r>
        <w:drawing>
          <wp:inline distT="0" distB="0" distL="114300" distR="114300">
            <wp:extent cx="3749040" cy="4325620"/>
            <wp:effectExtent l="0" t="0" r="381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749040" cy="4325620"/>
                    </a:xfrm>
                    <a:prstGeom prst="rect">
                      <a:avLst/>
                    </a:prstGeom>
                    <a:noFill/>
                    <a:ln>
                      <a:noFill/>
                    </a:ln>
                  </pic:spPr>
                </pic:pic>
              </a:graphicData>
            </a:graphic>
          </wp:inline>
        </w:drawing>
      </w:r>
    </w:p>
    <w:p w14:paraId="4985E254">
      <w:pPr>
        <w:ind w:left="0" w:leftChars="0" w:firstLine="0" w:firstLineChars="0"/>
        <w:jc w:val="center"/>
        <w:rPr>
          <w:rFonts w:hint="eastAsia" w:ascii="宋体" w:hAnsi="宋体" w:eastAsia="宋体" w:cs="宋体"/>
          <w:b/>
          <w:bCs w:val="0"/>
        </w:rPr>
      </w:pPr>
      <w:r>
        <w:rPr>
          <w:rFonts w:hint="eastAsia" w:hAnsi="宋体" w:cs="宋体"/>
          <w:b/>
          <w:bCs w:val="0"/>
          <w:lang w:val="en-US" w:eastAsia="zh-CN"/>
        </w:rPr>
        <w:t xml:space="preserve">图B.0.1 </w:t>
      </w:r>
      <w:r>
        <w:rPr>
          <w:rFonts w:hint="eastAsia" w:ascii="黑体" w:hAnsi="黑体" w:eastAsia="黑体" w:cs="黑体"/>
          <w:b w:val="0"/>
          <w:bCs/>
          <w:color w:val="auto"/>
          <w:sz w:val="21"/>
          <w:szCs w:val="21"/>
          <w:lang w:val="en-US" w:eastAsia="zh-CN"/>
        </w:rPr>
        <w:t>非标小型冰球场场界墙常规做法详图</w:t>
      </w:r>
      <w:r>
        <w:rPr>
          <w:rFonts w:hint="eastAsia" w:ascii="宋体" w:hAnsi="宋体" w:eastAsia="宋体" w:cs="宋体"/>
          <w:b/>
          <w:bCs w:val="0"/>
        </w:rPr>
        <w:br w:type="page"/>
      </w:r>
    </w:p>
    <w:p w14:paraId="037D1821">
      <w:pPr>
        <w:keepNext w:val="0"/>
        <w:keepLines w:val="0"/>
        <w:pageBreakBefore w:val="0"/>
        <w:widowControl w:val="0"/>
        <w:tabs>
          <w:tab w:val="left" w:pos="19"/>
        </w:tabs>
        <w:kinsoku/>
        <w:wordWrap/>
        <w:overflowPunct/>
        <w:topLinePunct w:val="0"/>
        <w:autoSpaceDE/>
        <w:autoSpaceDN/>
        <w:bidi w:val="0"/>
        <w:adjustRightInd/>
        <w:snapToGrid/>
        <w:spacing w:line="360" w:lineRule="auto"/>
        <w:ind w:firstLine="0" w:firstLineChars="0"/>
        <w:jc w:val="center"/>
        <w:textAlignment w:val="auto"/>
        <w:outlineLvl w:val="0"/>
        <w:rPr>
          <w:rFonts w:hint="eastAsia"/>
          <w:b/>
          <w:sz w:val="30"/>
        </w:rPr>
      </w:pPr>
      <w:bookmarkStart w:id="209" w:name="_Toc559"/>
      <w:r>
        <w:rPr>
          <w:rFonts w:hint="eastAsia"/>
          <w:b/>
          <w:sz w:val="30"/>
        </w:rPr>
        <w:t>本</w:t>
      </w:r>
      <w:r>
        <w:rPr>
          <w:rFonts w:hint="eastAsia"/>
          <w:b/>
          <w:color w:val="auto"/>
          <w:sz w:val="30"/>
        </w:rPr>
        <w:t>规程</w:t>
      </w:r>
      <w:r>
        <w:rPr>
          <w:rFonts w:hint="eastAsia"/>
          <w:b/>
          <w:sz w:val="30"/>
        </w:rPr>
        <w:t>用词说明</w:t>
      </w:r>
      <w:bookmarkEnd w:id="209"/>
    </w:p>
    <w:p w14:paraId="6790C8FB">
      <w:pPr>
        <w:pStyle w:val="2"/>
        <w:rPr>
          <w:rFonts w:hint="eastAsia"/>
        </w:rPr>
      </w:pPr>
    </w:p>
    <w:p w14:paraId="14D99651">
      <w:pPr>
        <w:tabs>
          <w:tab w:val="left" w:pos="19"/>
        </w:tabs>
        <w:spacing w:line="360" w:lineRule="auto"/>
        <w:jc w:val="left"/>
        <w:rPr>
          <w:rFonts w:hint="eastAsia"/>
          <w:sz w:val="24"/>
        </w:rPr>
      </w:pPr>
      <w:r>
        <w:rPr>
          <w:b w:val="0"/>
          <w:bCs w:val="0"/>
          <w:sz w:val="24"/>
        </w:rPr>
        <w:t>1</w:t>
      </w:r>
      <w:r>
        <w:rPr>
          <w:rFonts w:hint="eastAsia"/>
          <w:b/>
          <w:bCs/>
          <w:sz w:val="24"/>
        </w:rPr>
        <w:t xml:space="preserve"> </w:t>
      </w:r>
      <w:r>
        <w:rPr>
          <w:rFonts w:hint="eastAsia"/>
          <w:sz w:val="24"/>
        </w:rPr>
        <w:t xml:space="preserve"> 为便于在执行本</w:t>
      </w:r>
      <w:r>
        <w:rPr>
          <w:rFonts w:hint="eastAsia"/>
          <w:color w:val="auto"/>
          <w:sz w:val="24"/>
        </w:rPr>
        <w:t>规程</w:t>
      </w:r>
      <w:r>
        <w:rPr>
          <w:rFonts w:hint="eastAsia"/>
          <w:sz w:val="24"/>
        </w:rPr>
        <w:t>条文时区别对待，对要求严格程度不同的用词说明如下：</w:t>
      </w:r>
    </w:p>
    <w:p w14:paraId="591E99B4">
      <w:pPr>
        <w:tabs>
          <w:tab w:val="left" w:pos="19"/>
        </w:tabs>
        <w:spacing w:line="360" w:lineRule="auto"/>
        <w:ind w:firstLine="480" w:firstLineChars="200"/>
        <w:jc w:val="left"/>
        <w:rPr>
          <w:rFonts w:hint="eastAsia"/>
          <w:sz w:val="24"/>
        </w:rPr>
      </w:pPr>
      <w:r>
        <w:rPr>
          <w:rFonts w:hint="eastAsia"/>
          <w:sz w:val="24"/>
        </w:rPr>
        <w:t>1）表示很严格，非这样做不可的：</w:t>
      </w:r>
    </w:p>
    <w:p w14:paraId="7AA2002A">
      <w:pPr>
        <w:tabs>
          <w:tab w:val="left" w:pos="19"/>
        </w:tabs>
        <w:spacing w:line="360" w:lineRule="auto"/>
        <w:ind w:firstLine="859" w:firstLineChars="358"/>
        <w:jc w:val="left"/>
        <w:rPr>
          <w:rFonts w:hint="eastAsia"/>
          <w:sz w:val="24"/>
        </w:rPr>
      </w:pPr>
      <w:r>
        <w:rPr>
          <w:rFonts w:hint="eastAsia"/>
          <w:sz w:val="24"/>
        </w:rPr>
        <w:t>正面词采用“必须</w:t>
      </w:r>
      <w:r>
        <w:rPr>
          <w:rFonts w:hint="eastAsia"/>
          <w:spacing w:val="120"/>
          <w:sz w:val="24"/>
        </w:rPr>
        <w:t>”</w:t>
      </w:r>
      <w:r>
        <w:rPr>
          <w:rFonts w:hint="eastAsia"/>
          <w:sz w:val="24"/>
        </w:rPr>
        <w:t>，反面词采用“严禁</w:t>
      </w:r>
      <w:r>
        <w:rPr>
          <w:rFonts w:hint="eastAsia"/>
          <w:spacing w:val="120"/>
          <w:sz w:val="24"/>
        </w:rPr>
        <w:t>”；</w:t>
      </w:r>
    </w:p>
    <w:p w14:paraId="2D0AEE1B">
      <w:pPr>
        <w:tabs>
          <w:tab w:val="left" w:pos="19"/>
        </w:tabs>
        <w:spacing w:line="360" w:lineRule="auto"/>
        <w:ind w:firstLine="480" w:firstLineChars="200"/>
        <w:jc w:val="left"/>
        <w:rPr>
          <w:rFonts w:hint="eastAsia"/>
          <w:sz w:val="24"/>
        </w:rPr>
      </w:pPr>
      <w:r>
        <w:rPr>
          <w:rFonts w:hint="eastAsia"/>
          <w:sz w:val="24"/>
        </w:rPr>
        <w:t>2）表示严格，在正常情况下均应这样做的：</w:t>
      </w:r>
    </w:p>
    <w:p w14:paraId="64CEC470">
      <w:pPr>
        <w:tabs>
          <w:tab w:val="left" w:pos="19"/>
        </w:tabs>
        <w:spacing w:line="360" w:lineRule="auto"/>
        <w:ind w:firstLine="799" w:firstLineChars="333"/>
        <w:jc w:val="left"/>
        <w:rPr>
          <w:rFonts w:hint="eastAsia"/>
          <w:sz w:val="24"/>
        </w:rPr>
      </w:pPr>
      <w:r>
        <w:rPr>
          <w:rFonts w:hint="eastAsia"/>
          <w:sz w:val="24"/>
        </w:rPr>
        <w:t>正面词采用“应</w:t>
      </w:r>
      <w:r>
        <w:rPr>
          <w:rFonts w:hint="eastAsia"/>
          <w:spacing w:val="120"/>
          <w:sz w:val="24"/>
        </w:rPr>
        <w:t>”</w:t>
      </w:r>
      <w:r>
        <w:rPr>
          <w:rFonts w:hint="eastAsia"/>
          <w:sz w:val="24"/>
        </w:rPr>
        <w:t>，反面词采用“不应”或“不得</w:t>
      </w:r>
      <w:r>
        <w:rPr>
          <w:rFonts w:hint="eastAsia"/>
          <w:spacing w:val="120"/>
          <w:sz w:val="24"/>
        </w:rPr>
        <w:t>”；</w:t>
      </w:r>
    </w:p>
    <w:p w14:paraId="64DE46C3">
      <w:pPr>
        <w:tabs>
          <w:tab w:val="left" w:pos="19"/>
        </w:tabs>
        <w:spacing w:line="360" w:lineRule="auto"/>
        <w:ind w:firstLine="480" w:firstLineChars="200"/>
        <w:jc w:val="left"/>
        <w:rPr>
          <w:rFonts w:hint="eastAsia"/>
          <w:sz w:val="24"/>
        </w:rPr>
      </w:pPr>
      <w:r>
        <w:rPr>
          <w:rFonts w:hint="eastAsia"/>
          <w:sz w:val="24"/>
        </w:rPr>
        <w:t>3）表示</w:t>
      </w:r>
      <w:r>
        <w:rPr>
          <w:rFonts w:hint="eastAsia" w:ascii="宋体" w:hAnsi="宋体"/>
          <w:sz w:val="24"/>
        </w:rPr>
        <w:t>允</w:t>
      </w:r>
      <w:r>
        <w:rPr>
          <w:rFonts w:hint="eastAsia"/>
          <w:sz w:val="24"/>
        </w:rPr>
        <w:t>许稍有选择，在条件许可时首先这样做的：</w:t>
      </w:r>
    </w:p>
    <w:p w14:paraId="0CD007DA">
      <w:pPr>
        <w:tabs>
          <w:tab w:val="left" w:pos="19"/>
        </w:tabs>
        <w:spacing w:line="360" w:lineRule="auto"/>
        <w:ind w:firstLine="859" w:firstLineChars="358"/>
        <w:jc w:val="left"/>
        <w:rPr>
          <w:rFonts w:hint="eastAsia"/>
          <w:spacing w:val="120"/>
          <w:sz w:val="24"/>
        </w:rPr>
      </w:pPr>
      <w:r>
        <w:rPr>
          <w:rFonts w:hint="eastAsia"/>
          <w:sz w:val="24"/>
        </w:rPr>
        <w:t>正面词采用“宜</w:t>
      </w:r>
      <w:r>
        <w:rPr>
          <w:rFonts w:hint="eastAsia"/>
          <w:spacing w:val="120"/>
          <w:sz w:val="24"/>
        </w:rPr>
        <w:t>”</w:t>
      </w:r>
      <w:r>
        <w:rPr>
          <w:rFonts w:hint="eastAsia"/>
          <w:sz w:val="24"/>
        </w:rPr>
        <w:t>，反面词采用“不宜</w:t>
      </w:r>
      <w:r>
        <w:rPr>
          <w:rFonts w:hint="eastAsia"/>
          <w:spacing w:val="120"/>
          <w:sz w:val="24"/>
        </w:rPr>
        <w:t>”；</w:t>
      </w:r>
    </w:p>
    <w:p w14:paraId="7F98E786">
      <w:pPr>
        <w:tabs>
          <w:tab w:val="left" w:pos="19"/>
        </w:tabs>
        <w:spacing w:line="360" w:lineRule="auto"/>
        <w:ind w:firstLine="480" w:firstLineChars="200"/>
        <w:jc w:val="left"/>
        <w:rPr>
          <w:rFonts w:hint="eastAsia"/>
          <w:spacing w:val="120"/>
          <w:sz w:val="24"/>
        </w:rPr>
      </w:pPr>
      <w:r>
        <w:rPr>
          <w:rFonts w:hint="eastAsia"/>
          <w:sz w:val="24"/>
        </w:rPr>
        <w:t>4）表示有选择，在一定条件下可以这样做的，可采用“可”。</w:t>
      </w:r>
    </w:p>
    <w:p w14:paraId="32663E5E">
      <w:pPr>
        <w:jc w:val="left"/>
        <w:rPr>
          <w:rFonts w:hint="eastAsia" w:ascii="黑体" w:hAnsi="黑体" w:eastAsia="黑体" w:cs="黑体"/>
          <w:b w:val="0"/>
          <w:bCs/>
          <w:sz w:val="21"/>
          <w:szCs w:val="21"/>
        </w:rPr>
      </w:pPr>
      <w:r>
        <w:rPr>
          <w:b w:val="0"/>
          <w:bCs w:val="0"/>
          <w:sz w:val="24"/>
        </w:rPr>
        <w:t>2</w:t>
      </w:r>
      <w:r>
        <w:rPr>
          <w:rFonts w:hint="eastAsia"/>
          <w:sz w:val="24"/>
        </w:rPr>
        <w:t xml:space="preserve">  条文中指明应按其他有关标准执行的写法为：“应符合……的规定”或“应按……执行”。</w:t>
      </w:r>
      <w:r>
        <w:rPr>
          <w:rFonts w:hint="eastAsia" w:ascii="黑体" w:hAnsi="黑体" w:eastAsia="黑体" w:cs="黑体"/>
          <w:b w:val="0"/>
          <w:bCs/>
          <w:sz w:val="21"/>
          <w:szCs w:val="21"/>
        </w:rPr>
        <w:br w:type="page"/>
      </w:r>
    </w:p>
    <w:p w14:paraId="758A5FB0">
      <w:pPr>
        <w:pStyle w:val="5"/>
        <w:keepNext/>
        <w:keepLines/>
        <w:pageBreakBefore w:val="0"/>
        <w:widowControl w:val="0"/>
        <w:kinsoku/>
        <w:wordWrap/>
        <w:overflowPunct/>
        <w:topLinePunct w:val="0"/>
        <w:autoSpaceDE/>
        <w:autoSpaceDN/>
        <w:bidi w:val="0"/>
        <w:adjustRightInd/>
        <w:snapToGrid w:val="0"/>
        <w:spacing w:before="469" w:beforeLines="150" w:after="469" w:afterLines="150" w:line="240" w:lineRule="auto"/>
        <w:ind w:firstLine="0" w:firstLineChars="0"/>
        <w:textAlignment w:val="auto"/>
        <w:rPr>
          <w:rFonts w:hint="eastAsia" w:ascii="宋体" w:hAnsi="宋体" w:eastAsia="宋体" w:cs="宋体"/>
        </w:rPr>
      </w:pPr>
      <w:bookmarkStart w:id="210" w:name="_Toc6560"/>
      <w:r>
        <w:rPr>
          <w:rFonts w:hint="eastAsia" w:ascii="黑体" w:hAnsi="黑体" w:eastAsia="黑体" w:cs="黑体"/>
          <w:b w:val="0"/>
          <w:bCs/>
          <w:sz w:val="21"/>
          <w:szCs w:val="21"/>
        </w:rPr>
        <w:t>引用标准名录</w:t>
      </w:r>
      <w:bookmarkEnd w:id="206"/>
      <w:bookmarkEnd w:id="207"/>
      <w:bookmarkEnd w:id="210"/>
    </w:p>
    <w:p w14:paraId="3CC09A2E">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《自动化仪表工程施工及质量验收规范》GB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50093</w:t>
      </w:r>
    </w:p>
    <w:p w14:paraId="6260B111">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《工业设备及管道绝热工程施工规范》GB 50126</w:t>
      </w:r>
    </w:p>
    <w:p w14:paraId="7D24DE0F">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《工业金属管道工程施工质量验收规范》GB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50184</w:t>
      </w:r>
    </w:p>
    <w:p w14:paraId="18EE1A43">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《建设工程施工现场供用电安全规范》GB 50194</w:t>
      </w:r>
    </w:p>
    <w:p w14:paraId="153C6397">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default" w:ascii="宋体" w:hAnsi="宋体" w:eastAsia="宋体" w:cs="宋体"/>
          <w:b w:val="0"/>
          <w:bCs w:val="0"/>
          <w:color w:val="auto"/>
          <w:kern w:val="2"/>
          <w:sz w:val="21"/>
          <w:szCs w:val="21"/>
          <w:lang w:val="en-US" w:eastAsia="zh-CN" w:bidi="ar-SA"/>
        </w:rPr>
      </w:pPr>
      <w:r>
        <w:rPr>
          <w:rFonts w:hint="eastAsia" w:hAnsi="宋体" w:cs="宋体"/>
          <w:b w:val="0"/>
          <w:bCs w:val="0"/>
          <w:color w:val="auto"/>
          <w:sz w:val="21"/>
          <w:szCs w:val="21"/>
          <w:lang w:val="en-US" w:eastAsia="zh-CN"/>
        </w:rPr>
        <w:t>《地下防水工程质量验收规范》GB 50208</w:t>
      </w:r>
    </w:p>
    <w:p w14:paraId="35F53832">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《工业金属管道工程施工规范》GB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50235</w:t>
      </w:r>
    </w:p>
    <w:p w14:paraId="34894002">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《现场设备、工业管道焊接工程施工规范》GB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50236</w:t>
      </w:r>
    </w:p>
    <w:p w14:paraId="353C1241">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《建筑给水排水及采暖工程施工质量验收规范》GB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50242</w:t>
      </w:r>
    </w:p>
    <w:p w14:paraId="2AD1D9D2">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《通风与空调工程施工质量验收规范》GB</w:t>
      </w:r>
      <w:r>
        <w:rPr>
          <w:rFonts w:hint="eastAsia" w:hAnsi="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50</w:t>
      </w:r>
      <w:r>
        <w:rPr>
          <w:rFonts w:hint="eastAsia" w:ascii="宋体" w:hAnsi="宋体" w:eastAsia="宋体" w:cs="宋体"/>
          <w:b w:val="0"/>
          <w:bCs w:val="0"/>
          <w:color w:val="auto"/>
          <w:sz w:val="21"/>
          <w:szCs w:val="21"/>
        </w:rPr>
        <w:t>243</w:t>
      </w:r>
    </w:p>
    <w:p w14:paraId="46F81BC7">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《风机、压缩机、泵设备安装工程施工及验收规范》GB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50275</w:t>
      </w:r>
    </w:p>
    <w:p w14:paraId="0D694F44">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《建筑电气工程施工质量验收规范》GB 50303</w:t>
      </w:r>
    </w:p>
    <w:p w14:paraId="7F0ED47E">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《智能建筑工程质量验收规范》GB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50339</w:t>
      </w:r>
    </w:p>
    <w:p w14:paraId="2F38912A">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ascii="宋体" w:hAnsi="Times New Roman" w:eastAsia="宋体" w:cs="Times New Roman"/>
          <w:b w:val="0"/>
          <w:bCs/>
          <w:color w:val="auto"/>
          <w:kern w:val="2"/>
          <w:sz w:val="21"/>
          <w:szCs w:val="21"/>
          <w:lang w:val="en-US" w:eastAsia="zh-CN" w:bidi="ar-SA"/>
        </w:rPr>
        <w:t>《智能建筑工程施工规范》GB</w:t>
      </w:r>
      <w:r>
        <w:rPr>
          <w:rFonts w:hint="eastAsia" w:cs="Times New Roman"/>
          <w:b w:val="0"/>
          <w:bCs/>
          <w:color w:val="auto"/>
          <w:kern w:val="2"/>
          <w:sz w:val="21"/>
          <w:szCs w:val="21"/>
          <w:lang w:val="en-US" w:eastAsia="zh-CN" w:bidi="ar-SA"/>
        </w:rPr>
        <w:t xml:space="preserve"> </w:t>
      </w:r>
      <w:r>
        <w:rPr>
          <w:rFonts w:hint="eastAsia" w:ascii="宋体" w:hAnsi="Times New Roman" w:eastAsia="宋体" w:cs="Times New Roman"/>
          <w:b w:val="0"/>
          <w:bCs/>
          <w:color w:val="auto"/>
          <w:kern w:val="2"/>
          <w:sz w:val="21"/>
          <w:szCs w:val="21"/>
          <w:lang w:val="en-US" w:eastAsia="zh-CN" w:bidi="ar-SA"/>
        </w:rPr>
        <w:t>50606</w:t>
      </w:r>
    </w:p>
    <w:p w14:paraId="56B02EE2">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Times New Roman" w:eastAsia="宋体" w:cs="Times New Roman"/>
          <w:bCs/>
          <w:color w:val="auto"/>
          <w:kern w:val="2"/>
          <w:sz w:val="21"/>
          <w:szCs w:val="21"/>
          <w:lang w:val="en-US" w:eastAsia="zh-CN" w:bidi="ar"/>
        </w:rPr>
      </w:pPr>
      <w:r>
        <w:rPr>
          <w:rFonts w:hint="eastAsia" w:ascii="宋体" w:hAnsi="Times New Roman" w:eastAsia="宋体" w:cs="Times New Roman"/>
          <w:bCs/>
          <w:color w:val="auto"/>
          <w:kern w:val="2"/>
          <w:sz w:val="21"/>
          <w:szCs w:val="21"/>
          <w:lang w:val="en-US" w:eastAsia="zh-CN" w:bidi="ar"/>
        </w:rPr>
        <w:t>《工业设备及管道防腐蚀工程施工规范》GB</w:t>
      </w:r>
      <w:r>
        <w:rPr>
          <w:rFonts w:hint="eastAsia" w:cs="Times New Roman"/>
          <w:bCs/>
          <w:color w:val="auto"/>
          <w:kern w:val="2"/>
          <w:sz w:val="21"/>
          <w:szCs w:val="21"/>
          <w:lang w:val="en-US" w:eastAsia="zh-CN" w:bidi="ar"/>
        </w:rPr>
        <w:t xml:space="preserve"> </w:t>
      </w:r>
      <w:r>
        <w:rPr>
          <w:rFonts w:hint="eastAsia" w:ascii="宋体" w:hAnsi="Times New Roman" w:eastAsia="宋体" w:cs="Times New Roman"/>
          <w:bCs/>
          <w:color w:val="auto"/>
          <w:kern w:val="2"/>
          <w:sz w:val="21"/>
          <w:szCs w:val="21"/>
          <w:lang w:val="en-US" w:eastAsia="zh-CN" w:bidi="ar"/>
        </w:rPr>
        <w:t>50726</w:t>
      </w:r>
    </w:p>
    <w:p w14:paraId="226A8BA7">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《通风与空调工程施工规范》GB</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50738</w:t>
      </w:r>
    </w:p>
    <w:p w14:paraId="658EE644">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《压力管道规范——工业管道》GB/T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20801</w:t>
      </w:r>
    </w:p>
    <w:p w14:paraId="09D6D746">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《高纯二氧化碳》GB/T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23938</w:t>
      </w:r>
    </w:p>
    <w:p w14:paraId="7010B992">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ascii="宋体" w:hAnsi="Times New Roman" w:eastAsia="宋体" w:cs="Times New Roman"/>
          <w:b w:val="0"/>
          <w:bCs/>
          <w:color w:val="auto"/>
          <w:kern w:val="2"/>
          <w:sz w:val="21"/>
          <w:szCs w:val="21"/>
          <w:lang w:val="en-US" w:eastAsia="zh-CN" w:bidi="ar-SA"/>
        </w:rPr>
        <w:t>《智能传感器 第5部分：检查和例行试验方法》GB</w:t>
      </w:r>
      <w:r>
        <w:rPr>
          <w:rFonts w:hint="eastAsia" w:cs="Times New Roman"/>
          <w:b w:val="0"/>
          <w:bCs/>
          <w:color w:val="auto"/>
          <w:kern w:val="2"/>
          <w:sz w:val="21"/>
          <w:szCs w:val="21"/>
          <w:lang w:val="en-US" w:eastAsia="zh-CN" w:bidi="ar-SA"/>
        </w:rPr>
        <w:t xml:space="preserve"> </w:t>
      </w:r>
      <w:r>
        <w:rPr>
          <w:rFonts w:hint="eastAsia" w:ascii="宋体" w:hAnsi="Times New Roman" w:eastAsia="宋体" w:cs="Times New Roman"/>
          <w:b w:val="0"/>
          <w:bCs/>
          <w:color w:val="auto"/>
          <w:kern w:val="2"/>
          <w:sz w:val="21"/>
          <w:szCs w:val="21"/>
          <w:lang w:val="en-US" w:eastAsia="zh-CN" w:bidi="ar-SA"/>
        </w:rPr>
        <w:t>33905.5</w:t>
      </w:r>
    </w:p>
    <w:p w14:paraId="63FCD658">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《施工现场临时用电安全技术规范》JGJ 46 </w:t>
      </w:r>
    </w:p>
    <w:p w14:paraId="0FD2C339">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《建筑施工安全检查标准》JGJ 59  </w:t>
      </w:r>
    </w:p>
    <w:p w14:paraId="26D6F619">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《建筑施工高处作业安全技术规范》JGJ 80    </w:t>
      </w:r>
    </w:p>
    <w:p w14:paraId="029554DB">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outlineLvl w:val="9"/>
        <w:rPr>
          <w:rFonts w:hint="eastAsia"/>
          <w:b w:val="0"/>
          <w:bCs w:val="0"/>
          <w:lang w:val="en-US" w:eastAsia="zh-CN"/>
        </w:rPr>
      </w:pPr>
      <w:r>
        <w:rPr>
          <w:rFonts w:hint="eastAsia" w:ascii="宋体" w:hAnsi="宋体" w:eastAsia="宋体" w:cs="宋体"/>
          <w:b w:val="0"/>
          <w:bCs w:val="0"/>
          <w:color w:val="auto"/>
          <w:sz w:val="21"/>
          <w:szCs w:val="21"/>
        </w:rPr>
        <w:t>《建筑施工起重吊装工程安全技术规范》JGJ 276</w:t>
      </w:r>
    </w:p>
    <w:p w14:paraId="009E2795">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《承压设备无损检测》NB/T</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47013</w:t>
      </w:r>
    </w:p>
    <w:p w14:paraId="5E503A46">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《安全阀安全技术监察规程》TSG ZF001</w:t>
      </w:r>
    </w:p>
    <w:p w14:paraId="7966E637">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color w:val="auto"/>
          <w:sz w:val="21"/>
          <w:szCs w:val="21"/>
        </w:rPr>
      </w:pPr>
      <w:r>
        <w:rPr>
          <w:rFonts w:hint="eastAsia" w:hAnsi="宋体" w:cs="宋体"/>
          <w:b w:val="0"/>
          <w:bCs/>
          <w:color w:val="auto"/>
          <w:sz w:val="21"/>
          <w:szCs w:val="21"/>
          <w:lang w:eastAsia="zh-CN"/>
        </w:rPr>
        <w:t>《固定式压力容器安全技术监察规程》TSG</w:t>
      </w:r>
      <w:r>
        <w:rPr>
          <w:rFonts w:hint="eastAsia" w:hAnsi="宋体" w:cs="宋体"/>
          <w:b w:val="0"/>
          <w:bCs/>
          <w:color w:val="auto"/>
          <w:sz w:val="21"/>
          <w:szCs w:val="21"/>
          <w:lang w:val="en-US" w:eastAsia="zh-CN"/>
        </w:rPr>
        <w:t xml:space="preserve"> 21</w:t>
      </w:r>
    </w:p>
    <w:p w14:paraId="5C03A1AB">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《压力管道安全技术监察规程-工业管道篇》TSG</w:t>
      </w:r>
      <w:r>
        <w:rPr>
          <w:rFonts w:hint="eastAsia"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D0001</w:t>
      </w:r>
    </w:p>
    <w:p w14:paraId="33D14B1F">
      <w:pPr>
        <w:rPr>
          <w:rFonts w:hint="eastAsia"/>
          <w:b w:val="0"/>
          <w:bCs w:val="0"/>
          <w:lang w:val="en-US" w:eastAsia="zh-CN"/>
        </w:rPr>
      </w:pPr>
      <w:r>
        <w:rPr>
          <w:rFonts w:hint="eastAsia"/>
          <w:b w:val="0"/>
          <w:bCs w:val="0"/>
          <w:lang w:val="en-US" w:eastAsia="zh-CN"/>
        </w:rPr>
        <w:br w:type="page"/>
      </w:r>
    </w:p>
    <w:p w14:paraId="14FEE0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sz w:val="32"/>
          <w:szCs w:val="32"/>
        </w:rPr>
      </w:pPr>
      <w:bookmarkStart w:id="211" w:name="_Toc444505406"/>
      <w:r>
        <w:rPr>
          <w:rFonts w:hint="eastAsia" w:eastAsia="黑体"/>
          <w:sz w:val="32"/>
          <w:szCs w:val="32"/>
        </w:rPr>
        <w:t>北京市地方标准</w:t>
      </w:r>
    </w:p>
    <w:p w14:paraId="613599C3">
      <w:pPr>
        <w:keepNext w:val="0"/>
        <w:keepLines w:val="0"/>
        <w:pageBreakBefore w:val="0"/>
        <w:widowControl w:val="0"/>
        <w:kinsoku/>
        <w:wordWrap/>
        <w:overflowPunct/>
        <w:topLinePunct w:val="0"/>
        <w:autoSpaceDE/>
        <w:autoSpaceDN/>
        <w:bidi w:val="0"/>
        <w:adjustRightInd/>
        <w:snapToGrid/>
        <w:ind w:firstLine="0" w:firstLineChars="0"/>
        <w:textAlignment w:val="auto"/>
        <w:rPr>
          <w:sz w:val="36"/>
          <w:szCs w:val="36"/>
        </w:rPr>
      </w:pPr>
    </w:p>
    <w:p w14:paraId="1E9096FA">
      <w:pPr>
        <w:pStyle w:val="2"/>
        <w:rPr>
          <w:sz w:val="36"/>
          <w:szCs w:val="36"/>
        </w:rPr>
      </w:pPr>
    </w:p>
    <w:p w14:paraId="65B2339C">
      <w:pPr>
        <w:pStyle w:val="4"/>
      </w:pPr>
    </w:p>
    <w:p w14:paraId="3BE50BEE">
      <w:pPr>
        <w:ind w:firstLine="0" w:firstLineChars="0"/>
        <w:jc w:val="center"/>
        <w:rPr>
          <w:rFonts w:hint="default" w:ascii="宋体" w:hAnsi="黑体" w:eastAsia="黑体" w:cs="宋体"/>
          <w:sz w:val="44"/>
          <w:szCs w:val="44"/>
          <w:lang w:val="en-US" w:eastAsia="zh-CN"/>
        </w:rPr>
      </w:pPr>
      <w:r>
        <w:rPr>
          <w:rFonts w:hint="eastAsia" w:ascii="宋体" w:hAnsi="黑体" w:eastAsia="黑体" w:cs="宋体"/>
          <w:sz w:val="44"/>
          <w:szCs w:val="44"/>
          <w:lang w:val="en-US" w:eastAsia="zh-CN"/>
        </w:rPr>
        <w:t>人工冰场施工技术规程</w:t>
      </w:r>
    </w:p>
    <w:p w14:paraId="4A2887D7">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Technical specification for construction of artificial ice rink</w:t>
      </w:r>
    </w:p>
    <w:p w14:paraId="6DE85C35">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p>
    <w:p w14:paraId="7C7C5926">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p>
    <w:p w14:paraId="12377E3B">
      <w:pPr>
        <w:keepNext w:val="0"/>
        <w:keepLines w:val="0"/>
        <w:pageBreakBefore w:val="0"/>
        <w:widowControl w:val="0"/>
        <w:kinsoku/>
        <w:wordWrap/>
        <w:overflowPunct/>
        <w:topLinePunct w:val="0"/>
        <w:autoSpaceDE/>
        <w:autoSpaceDN/>
        <w:bidi w:val="0"/>
        <w:adjustRightInd/>
        <w:snapToGrid/>
        <w:spacing w:line="324" w:lineRule="auto"/>
        <w:ind w:firstLine="0" w:firstLineChars="0"/>
        <w:jc w:val="center"/>
        <w:textAlignment w:val="auto"/>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DB11/T X X X－202 X</w:t>
      </w:r>
      <w:bookmarkStart w:id="212" w:name="_Toc522572175"/>
      <w:bookmarkStart w:id="213" w:name="_Toc522577896"/>
      <w:bookmarkStart w:id="214" w:name="_Toc26720849"/>
      <w:bookmarkStart w:id="215" w:name="_Toc522571779"/>
      <w:bookmarkStart w:id="216" w:name="_Toc455493303"/>
      <w:bookmarkStart w:id="217" w:name="_Toc28100853"/>
      <w:bookmarkStart w:id="218" w:name="_Toc44445386"/>
      <w:bookmarkStart w:id="219" w:name="_Toc455492785"/>
      <w:bookmarkStart w:id="220" w:name="_Toc44442465"/>
      <w:bookmarkStart w:id="221" w:name="_Toc528332905"/>
      <w:bookmarkStart w:id="222" w:name="_Toc29065977"/>
      <w:bookmarkStart w:id="223" w:name="_Toc40856339"/>
      <w:bookmarkStart w:id="224" w:name="_Toc9525984"/>
      <w:bookmarkStart w:id="225" w:name="_Toc36623550"/>
      <w:bookmarkStart w:id="226" w:name="_Toc522577937"/>
      <w:bookmarkStart w:id="227" w:name="_Toc9092390"/>
      <w:bookmarkStart w:id="228" w:name="_Toc44442075"/>
    </w:p>
    <w:p w14:paraId="7DF00B8E">
      <w:pPr>
        <w:keepNext w:val="0"/>
        <w:keepLines w:val="0"/>
        <w:pageBreakBefore w:val="0"/>
        <w:widowControl w:val="0"/>
        <w:kinsoku/>
        <w:wordWrap/>
        <w:overflowPunct/>
        <w:topLinePunct w:val="0"/>
        <w:autoSpaceDE/>
        <w:autoSpaceDN/>
        <w:bidi w:val="0"/>
        <w:adjustRightInd/>
        <w:snapToGrid/>
        <w:spacing w:before="326" w:beforeLines="100" w:after="326" w:afterLines="100"/>
        <w:ind w:firstLine="0" w:firstLineChars="0"/>
        <w:jc w:val="center"/>
        <w:textAlignment w:val="auto"/>
        <w:outlineLvl w:val="0"/>
        <w:rPr>
          <w:rFonts w:hint="eastAsia" w:eastAsia="黑体"/>
          <w:sz w:val="44"/>
          <w:szCs w:val="44"/>
        </w:rPr>
      </w:pPr>
      <w:bookmarkStart w:id="229" w:name="_Toc2527"/>
    </w:p>
    <w:p w14:paraId="15AC0ACB">
      <w:pPr>
        <w:keepNext w:val="0"/>
        <w:keepLines w:val="0"/>
        <w:pageBreakBefore w:val="0"/>
        <w:widowControl w:val="0"/>
        <w:kinsoku/>
        <w:wordWrap/>
        <w:overflowPunct/>
        <w:topLinePunct w:val="0"/>
        <w:autoSpaceDE/>
        <w:autoSpaceDN/>
        <w:bidi w:val="0"/>
        <w:adjustRightInd/>
        <w:snapToGrid/>
        <w:spacing w:before="326" w:beforeLines="100" w:after="326" w:afterLines="100"/>
        <w:ind w:firstLine="0" w:firstLineChars="0"/>
        <w:jc w:val="center"/>
        <w:textAlignment w:val="auto"/>
        <w:outlineLvl w:val="0"/>
        <w:rPr>
          <w:rFonts w:hint="eastAsia" w:eastAsia="黑体"/>
          <w:sz w:val="44"/>
          <w:szCs w:val="44"/>
        </w:rPr>
      </w:pPr>
      <w:r>
        <w:rPr>
          <w:rFonts w:hint="eastAsia" w:eastAsia="黑体"/>
          <w:sz w:val="44"/>
          <w:szCs w:val="44"/>
        </w:rPr>
        <w:t>条文说明</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AA93B69">
      <w:pPr>
        <w:rPr>
          <w:rFonts w:hint="eastAsia" w:eastAsia="黑体"/>
          <w:sz w:val="44"/>
          <w:szCs w:val="44"/>
        </w:rPr>
      </w:pPr>
      <w:r>
        <w:rPr>
          <w:rFonts w:hint="eastAsia" w:eastAsia="黑体"/>
          <w:sz w:val="44"/>
          <w:szCs w:val="44"/>
        </w:rPr>
        <w:br w:type="page"/>
      </w:r>
    </w:p>
    <w:p w14:paraId="3FBD878C">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rPr>
      </w:pPr>
      <w:bookmarkStart w:id="230" w:name="_Toc7840"/>
      <w:bookmarkStart w:id="231" w:name="_Toc45394998"/>
      <w:bookmarkStart w:id="232" w:name="_Toc71710409"/>
      <w:bookmarkStart w:id="233" w:name="_Toc25990"/>
      <w:bookmarkStart w:id="234" w:name="_Toc13550"/>
      <w:bookmarkStart w:id="235" w:name="_Toc15653"/>
      <w:bookmarkStart w:id="236" w:name="_Toc45394511"/>
      <w:bookmarkStart w:id="237" w:name="_Toc54266421"/>
      <w:bookmarkStart w:id="238" w:name="_Toc12988"/>
      <w:bookmarkStart w:id="239" w:name="_Toc18721"/>
      <w:bookmarkStart w:id="240" w:name="_Toc73115866"/>
      <w:bookmarkStart w:id="241" w:name="_Toc45554884"/>
      <w:bookmarkStart w:id="242" w:name="_Toc73117525"/>
      <w:bookmarkStart w:id="243" w:name="_Toc18136"/>
      <w:bookmarkStart w:id="244" w:name="_Toc44442076"/>
      <w:bookmarkStart w:id="245" w:name="_Toc25805"/>
      <w:bookmarkStart w:id="246" w:name="_Toc36622158"/>
      <w:bookmarkStart w:id="247" w:name="_Toc71709560"/>
      <w:bookmarkStart w:id="248" w:name="_Toc19829"/>
      <w:bookmarkStart w:id="249" w:name="_Toc40856340"/>
      <w:bookmarkStart w:id="250" w:name="_Toc16608"/>
      <w:r>
        <w:rPr>
          <w:rFonts w:hint="eastAsia" w:ascii="黑体" w:hAnsi="黑体" w:eastAsia="黑体" w:cs="Times New Roman"/>
          <w:bCs w:val="0"/>
          <w:sz w:val="21"/>
          <w:szCs w:val="20"/>
        </w:rPr>
        <w:t>1  总  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992B79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 xml:space="preserve">1.0.1  </w:t>
      </w:r>
      <w:r>
        <w:rPr>
          <w:rFonts w:hint="eastAsia" w:ascii="宋体" w:hAnsi="宋体" w:eastAsia="宋体" w:cs="宋体"/>
          <w:b w:val="0"/>
          <w:bCs w:val="0"/>
          <w:sz w:val="21"/>
          <w:szCs w:val="21"/>
          <w:highlight w:val="none"/>
        </w:rPr>
        <w:t>人工冰场施工过程中并无</w:t>
      </w:r>
      <w:r>
        <w:rPr>
          <w:rFonts w:hint="eastAsia" w:ascii="宋体" w:hAnsi="宋体" w:eastAsia="宋体" w:cs="宋体"/>
          <w:b w:val="0"/>
          <w:bCs w:val="0"/>
          <w:sz w:val="21"/>
          <w:szCs w:val="21"/>
          <w:highlight w:val="none"/>
          <w:lang w:val="en-US" w:eastAsia="zh-CN"/>
        </w:rPr>
        <w:t>针对性</w:t>
      </w:r>
      <w:r>
        <w:rPr>
          <w:rFonts w:hint="eastAsia" w:ascii="宋体" w:hAnsi="宋体" w:eastAsia="宋体" w:cs="宋体"/>
          <w:b w:val="0"/>
          <w:bCs w:val="0"/>
          <w:sz w:val="21"/>
          <w:szCs w:val="21"/>
          <w:highlight w:val="none"/>
        </w:rPr>
        <w:t>施工技术规程予以指导，只能借助其他标准、规程。因此制定本规程对人工冰场工程各个工作阶段提出要求。</w:t>
      </w:r>
    </w:p>
    <w:p w14:paraId="7AED0A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highlight w:val="none"/>
          <w:lang w:val="en-US" w:eastAsia="zh-CN"/>
        </w:rPr>
        <w:t xml:space="preserve">1.0.2  </w:t>
      </w:r>
      <w:r>
        <w:rPr>
          <w:rFonts w:hint="eastAsia" w:ascii="宋体" w:hAnsi="宋体" w:eastAsia="宋体" w:cs="宋体"/>
          <w:sz w:val="21"/>
          <w:szCs w:val="21"/>
        </w:rPr>
        <w:t>本条规定了适用范围为新建、</w:t>
      </w:r>
      <w:r>
        <w:rPr>
          <w:rFonts w:hint="eastAsia" w:ascii="宋体" w:hAnsi="宋体" w:eastAsia="宋体" w:cs="宋体"/>
          <w:sz w:val="21"/>
          <w:szCs w:val="21"/>
          <w:lang w:val="en-US" w:eastAsia="zh-CN"/>
        </w:rPr>
        <w:t>改建</w:t>
      </w:r>
      <w:r>
        <w:rPr>
          <w:rFonts w:hint="eastAsia" w:ascii="宋体" w:hAnsi="宋体" w:eastAsia="宋体" w:cs="宋体"/>
          <w:sz w:val="21"/>
          <w:szCs w:val="21"/>
        </w:rPr>
        <w:t>人工冰场的施工及验。</w:t>
      </w:r>
    </w:p>
    <w:p w14:paraId="306C8A73">
      <w:pPr>
        <w:pStyle w:val="2"/>
        <w:widowControl/>
        <w:spacing w:before="0" w:beforeAutospacing="0" w:after="0" w:afterAutospacing="0"/>
        <w:ind w:left="0" w:leftChars="0" w:right="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1.0.3  </w:t>
      </w:r>
      <w:r>
        <w:rPr>
          <w:rFonts w:hint="eastAsia" w:ascii="宋体" w:hAnsi="宋体" w:eastAsia="宋体" w:cs="宋体"/>
          <w:sz w:val="21"/>
          <w:szCs w:val="21"/>
          <w:lang w:eastAsia="zh-CN"/>
        </w:rPr>
        <w:t>人工冰场施工较其他普通建筑施工技术条件复杂</w:t>
      </w:r>
      <w:r>
        <w:rPr>
          <w:rFonts w:hint="eastAsia" w:ascii="宋体" w:hAnsi="宋体" w:eastAsia="宋体" w:cs="宋体"/>
          <w:sz w:val="21"/>
          <w:szCs w:val="21"/>
          <w:lang w:val="en-US"/>
        </w:rPr>
        <w:t>,</w:t>
      </w:r>
      <w:r>
        <w:rPr>
          <w:rFonts w:hint="eastAsia" w:ascii="宋体" w:hAnsi="宋体" w:eastAsia="宋体" w:cs="宋体"/>
          <w:sz w:val="21"/>
          <w:szCs w:val="21"/>
          <w:lang w:eastAsia="zh-CN"/>
        </w:rPr>
        <w:t>综合性强</w:t>
      </w:r>
      <w:r>
        <w:rPr>
          <w:rFonts w:hint="eastAsia" w:ascii="宋体" w:hAnsi="宋体" w:eastAsia="宋体" w:cs="宋体"/>
          <w:sz w:val="21"/>
          <w:szCs w:val="21"/>
          <w:lang w:val="en-US"/>
        </w:rPr>
        <w:t>,</w:t>
      </w:r>
      <w:r>
        <w:rPr>
          <w:rFonts w:hint="eastAsia" w:ascii="宋体" w:hAnsi="宋体" w:eastAsia="宋体" w:cs="宋体"/>
          <w:sz w:val="21"/>
          <w:szCs w:val="21"/>
          <w:lang w:eastAsia="zh-CN"/>
        </w:rPr>
        <w:t>涉及面广。国家对人工制冷制定了若干国家标准</w:t>
      </w:r>
      <w:r>
        <w:rPr>
          <w:rFonts w:hint="eastAsia" w:ascii="宋体" w:hAnsi="宋体" w:eastAsia="宋体" w:cs="宋体"/>
          <w:sz w:val="21"/>
          <w:szCs w:val="21"/>
          <w:lang w:val="en-US"/>
        </w:rPr>
        <w:t>,</w:t>
      </w:r>
      <w:r>
        <w:rPr>
          <w:rFonts w:hint="eastAsia" w:ascii="宋体" w:hAnsi="宋体" w:eastAsia="宋体" w:cs="宋体"/>
          <w:sz w:val="21"/>
          <w:szCs w:val="21"/>
          <w:lang w:eastAsia="zh-CN"/>
        </w:rPr>
        <w:t>本标准内容不可能包括所有的规定。因此</w:t>
      </w:r>
      <w:r>
        <w:rPr>
          <w:rFonts w:hint="eastAsia" w:ascii="宋体" w:hAnsi="宋体" w:eastAsia="宋体" w:cs="宋体"/>
          <w:sz w:val="21"/>
          <w:szCs w:val="21"/>
          <w:lang w:val="en-US"/>
        </w:rPr>
        <w:t>,</w:t>
      </w:r>
      <w:r>
        <w:rPr>
          <w:rFonts w:hint="eastAsia" w:ascii="宋体" w:hAnsi="宋体" w:eastAsia="宋体" w:cs="宋体"/>
          <w:sz w:val="21"/>
          <w:szCs w:val="21"/>
          <w:lang w:eastAsia="zh-CN"/>
        </w:rPr>
        <w:t>在人工冰场施工时</w:t>
      </w:r>
      <w:r>
        <w:rPr>
          <w:rFonts w:hint="eastAsia" w:ascii="宋体" w:hAnsi="宋体" w:eastAsia="宋体" w:cs="宋体"/>
          <w:sz w:val="21"/>
          <w:szCs w:val="21"/>
          <w:lang w:val="en-US"/>
        </w:rPr>
        <w:t>,</w:t>
      </w:r>
      <w:r>
        <w:rPr>
          <w:rFonts w:hint="eastAsia" w:ascii="宋体" w:hAnsi="宋体" w:eastAsia="宋体" w:cs="宋体"/>
          <w:sz w:val="21"/>
          <w:szCs w:val="21"/>
          <w:lang w:eastAsia="zh-CN"/>
        </w:rPr>
        <w:t>要将本标准和其他有关国家标准配合使用。</w:t>
      </w:r>
    </w:p>
    <w:p w14:paraId="47FD479C">
      <w:pPr>
        <w:rPr>
          <w:rFonts w:hAnsi="宋体" w:cs="宋体"/>
          <w:lang w:eastAsia="zh-CN"/>
        </w:rPr>
      </w:pPr>
      <w:r>
        <w:rPr>
          <w:rFonts w:hAnsi="宋体" w:cs="宋体"/>
          <w:lang w:eastAsia="zh-CN"/>
        </w:rPr>
        <w:br w:type="page"/>
      </w:r>
    </w:p>
    <w:p w14:paraId="2B2BCCAC">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eastAsia="zh-CN"/>
        </w:rPr>
      </w:pPr>
      <w:bookmarkStart w:id="251" w:name="_Toc13540"/>
      <w:bookmarkStart w:id="252" w:name="_Toc24943"/>
      <w:bookmarkStart w:id="253" w:name="_Toc14738"/>
      <w:bookmarkStart w:id="254" w:name="_Toc4187"/>
      <w:bookmarkStart w:id="255" w:name="_Toc73115868"/>
      <w:bookmarkStart w:id="256" w:name="_Toc73117527"/>
      <w:bookmarkStart w:id="257" w:name="_Toc71709562"/>
      <w:bookmarkStart w:id="258" w:name="_Toc21586"/>
      <w:bookmarkStart w:id="259" w:name="_Toc17803"/>
      <w:bookmarkStart w:id="260" w:name="_Toc6062"/>
      <w:bookmarkStart w:id="261" w:name="_Toc6791"/>
      <w:bookmarkStart w:id="262" w:name="_Toc54266423"/>
      <w:bookmarkStart w:id="263" w:name="_Toc71710411"/>
      <w:r>
        <w:rPr>
          <w:rFonts w:hint="eastAsia" w:ascii="黑体" w:hAnsi="黑体" w:eastAsia="黑体" w:cs="Times New Roman"/>
          <w:bCs w:val="0"/>
          <w:sz w:val="21"/>
          <w:szCs w:val="20"/>
        </w:rPr>
        <w:t>3  基本规定</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36442CEE">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3.0.1  </w:t>
      </w:r>
      <w:r>
        <w:rPr>
          <w:rFonts w:hint="eastAsia" w:ascii="宋体" w:hAnsi="宋体" w:eastAsia="宋体" w:cs="宋体"/>
          <w:b w:val="0"/>
          <w:bCs w:val="0"/>
          <w:kern w:val="2"/>
          <w:sz w:val="21"/>
          <w:szCs w:val="21"/>
          <w:lang w:val="en-US" w:eastAsia="zh-CN" w:bidi="ar"/>
        </w:rPr>
        <w:t>人工冰场工程专业性较强，施工企业应具备相应的施工技术水平。</w:t>
      </w:r>
    </w:p>
    <w:p w14:paraId="2C1F74A4">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施工现场要求具有相应的施工技术标准，包括国家及地方颁布的现行标准、规范，行业及企业标准，经审批的施工组织设计或方案等。</w:t>
      </w:r>
    </w:p>
    <w:p w14:paraId="41173851">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所有施工技术管理措施的落实，施工质量的最终结果是否符合施工计划目标，还要靠有效的质量责任制度和管理制度来保证。加强制度建设，用行之有效的管理制度来约束施工人员的行为是提高工程管理水平、加强施工队伍建设的根本所在和重中之重。施工单位要建立相应的管理制度来保证工程目标的实现。</w:t>
      </w:r>
    </w:p>
    <w:p w14:paraId="528C10FB">
      <w:pPr>
        <w:keepNext w:val="0"/>
        <w:keepLines w:val="0"/>
        <w:pageBreakBefore w:val="0"/>
        <w:widowControl/>
        <w:suppressLineNumbers w:val="0"/>
        <w:kinsoku/>
        <w:wordWrap/>
        <w:overflowPunct/>
        <w:topLinePunct w:val="0"/>
        <w:autoSpaceDE/>
        <w:autoSpaceDN/>
        <w:bidi w:val="0"/>
        <w:adjustRightInd/>
        <w:jc w:val="left"/>
        <w:textAlignment w:val="auto"/>
        <w:rPr>
          <w:b w:val="0"/>
          <w:bCs w:val="0"/>
          <w:sz w:val="21"/>
          <w:szCs w:val="21"/>
        </w:rPr>
      </w:pPr>
      <w:r>
        <w:rPr>
          <w:rFonts w:hint="eastAsia" w:ascii="宋体" w:hAnsi="宋体" w:eastAsia="宋体" w:cs="宋体"/>
          <w:b w:val="0"/>
          <w:bCs w:val="0"/>
          <w:kern w:val="2"/>
          <w:sz w:val="21"/>
          <w:szCs w:val="21"/>
          <w:lang w:val="en-US" w:eastAsia="zh-CN" w:bidi="ar"/>
        </w:rPr>
        <w:t>建筑安装施工技术标准、质量管理体系和工程质量控制和检验制度三者结合，缺一不可，共同组成了施工现场的质量保证体系。</w:t>
      </w:r>
    </w:p>
    <w:p w14:paraId="2AB826C8">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3.0.2  </w:t>
      </w:r>
      <w:r>
        <w:rPr>
          <w:rFonts w:hint="eastAsia" w:ascii="宋体" w:hAnsi="宋体" w:eastAsia="宋体" w:cs="宋体"/>
          <w:b w:val="0"/>
          <w:bCs w:val="0"/>
          <w:kern w:val="2"/>
          <w:sz w:val="21"/>
          <w:szCs w:val="21"/>
          <w:lang w:val="en-US" w:eastAsia="zh-CN" w:bidi="ar"/>
        </w:rPr>
        <w:t>施工图深化设计是对原施工图的补充和完善，也是施工图变更的一种形式，所以应经过原设计单位确认。</w:t>
      </w:r>
    </w:p>
    <w:p w14:paraId="1DB4CE15">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420" w:firstLineChars="20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施工图发生变更时必须按照设计单位签章后下发的设计变更通知单施工。施工中，施工图的变更是不可避免的，但不能任意改动施工图，如改动必须经过设计单位同意。</w:t>
      </w:r>
    </w:p>
    <w:p w14:paraId="58A432D3">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3.0.3  </w:t>
      </w:r>
      <w:r>
        <w:rPr>
          <w:rFonts w:hint="eastAsia" w:ascii="宋体" w:hAnsi="宋体" w:eastAsia="宋体" w:cs="宋体"/>
          <w:b w:val="0"/>
          <w:bCs w:val="0"/>
          <w:kern w:val="2"/>
          <w:sz w:val="21"/>
          <w:szCs w:val="21"/>
          <w:lang w:val="en-US" w:eastAsia="zh-CN" w:bidi="ar"/>
        </w:rPr>
        <w:t>设计交底及施工图会审是工程施工前的一项技术工作，由建设单位、监理、设计和施工单位有关人员共同参加。通过设计交底和施工图审查，可以有效解决施工图本身以及施工图中各工种之间存在的问题，设计交底及施工图会审记录可以作为以后办理变更洽商的依据，也是工程结算依据之一。</w:t>
      </w:r>
    </w:p>
    <w:p w14:paraId="2D6FF49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3.0.4  </w:t>
      </w:r>
      <w:r>
        <w:rPr>
          <w:rFonts w:hint="eastAsia" w:ascii="宋体" w:hAnsi="宋体" w:eastAsia="宋体" w:cs="宋体"/>
          <w:b w:val="0"/>
          <w:bCs w:val="0"/>
          <w:kern w:val="2"/>
          <w:sz w:val="21"/>
          <w:szCs w:val="21"/>
          <w:lang w:val="en-US" w:eastAsia="zh-CN" w:bidi="ar"/>
        </w:rPr>
        <w:t>本条强调了施工组织设计(方案)的重要性。施工组织设计(方案)未被批准不能进行施工。单位技术负责人是指工程施工合同单位的技术负责人，而不是施工项目的技术负责人。技术交底通常按照工程施工的规模、难易程度等情况，在不同层次的施工人员范围内进行，技术交底的内容与深度也各不相同。</w:t>
      </w:r>
    </w:p>
    <w:p w14:paraId="75E244FD">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420" w:firstLineChars="20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技术交底一般分为设计交底、施工组织设计(施工方案)交底、专项施工方案交底、分项工程施工技术交底、四新技术交底和设计变更技术交底。本条强调的是分项工程施工技术交底，也就是专业工长向各作业班组长和各工种作业人员进行技术交底，是技术交底的重要环节。</w:t>
      </w:r>
    </w:p>
    <w:p w14:paraId="02B61E62">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leftChars="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3.0.5  </w:t>
      </w:r>
      <w:r>
        <w:rPr>
          <w:rFonts w:hint="eastAsia" w:ascii="宋体" w:hAnsi="宋体" w:eastAsia="宋体" w:cs="宋体"/>
          <w:b w:val="0"/>
          <w:bCs w:val="0"/>
          <w:kern w:val="2"/>
          <w:sz w:val="21"/>
          <w:szCs w:val="21"/>
          <w:lang w:val="en-US" w:eastAsia="zh-CN" w:bidi="ar"/>
        </w:rPr>
        <w:t>工程中采用的新技术、新设备、新材料、新工艺，因为没有相应的标准可以依据，应采取慎重的态度对待。在人工冰场工程施工安装中应当遵守国家制定的关于“四新”技术应用的一些规定。当施工中采用新的施工工艺或本单位首次使用的施工工艺时，为了能熟练掌握施工操作内容，施工前应对施工人员进行详细的技术交底，并制定专项技术方案，保证该施工工艺的贯彻落实。</w:t>
      </w:r>
    </w:p>
    <w:p w14:paraId="708B34ED">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hAnsi="宋体" w:cs="宋体"/>
          <w:b w:val="0"/>
          <w:bCs w:val="0"/>
          <w:sz w:val="21"/>
          <w:szCs w:val="21"/>
          <w:lang w:val="en-US" w:eastAsia="zh-CN"/>
        </w:rPr>
        <w:t xml:space="preserve">3.0.6  </w:t>
      </w:r>
      <w:r>
        <w:rPr>
          <w:rFonts w:hint="eastAsia" w:ascii="宋体" w:hAnsi="宋体" w:eastAsia="宋体" w:cs="宋体"/>
          <w:b w:val="0"/>
          <w:bCs w:val="0"/>
          <w:kern w:val="2"/>
          <w:sz w:val="21"/>
          <w:szCs w:val="21"/>
          <w:lang w:val="en-US" w:eastAsia="zh-CN" w:bidi="ar"/>
        </w:rPr>
        <w:t>产品技术文件是指材料与设备的使用技术要求等文件，是材料与设备生产企业配套供应的质量证明文件。在选择材料与设备时，应按设计要求的技术参数进行选择，同时应满足现行国家标准的要求。有些材料与设备，行业主管部门也出台了相应的产品技术标准，所以，在选用上，也要符合该产品技术标准的规定。</w:t>
      </w:r>
    </w:p>
    <w:p w14:paraId="654DEB3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3.0.7  </w:t>
      </w:r>
      <w:r>
        <w:rPr>
          <w:rFonts w:hint="eastAsia" w:ascii="宋体" w:hAnsi="宋体" w:eastAsia="宋体" w:cs="宋体"/>
          <w:b w:val="0"/>
          <w:bCs w:val="0"/>
          <w:kern w:val="2"/>
          <w:sz w:val="21"/>
          <w:szCs w:val="21"/>
          <w:lang w:val="en-US" w:eastAsia="zh-CN" w:bidi="ar"/>
        </w:rPr>
        <w:t>本条说明如下:</w:t>
      </w:r>
    </w:p>
    <w:p w14:paraId="5959DD2C">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1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本条所指材料包括工程中使用的材料、成品、半成品及构配件等。</w:t>
      </w:r>
    </w:p>
    <w:p w14:paraId="5AC2B772">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2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质量证明文件是指产品合格证、质量合格证、检验报告、试验报告、产品生产许可证和质量保证书等的总称。</w:t>
      </w:r>
    </w:p>
    <w:p w14:paraId="5EE0D325">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3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材料、设备应有产品出厂合格证及相应检验报告。</w:t>
      </w:r>
    </w:p>
    <w:p w14:paraId="232F2303">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4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压力表、温度计、湿度计、流量计(表)、 传感器等应有产品合格证和有效检测报告。</w:t>
      </w:r>
    </w:p>
    <w:p w14:paraId="432D82A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right="0" w:firstLine="420" w:firstLineChars="200"/>
        <w:jc w:val="left"/>
        <w:textAlignment w:val="auto"/>
        <w:rPr>
          <w:rFonts w:hAnsi="宋体" w:cs="宋体"/>
          <w:b w:val="0"/>
          <w:bCs w:val="0"/>
          <w:sz w:val="21"/>
          <w:szCs w:val="21"/>
          <w:lang w:val="en-US"/>
        </w:rPr>
      </w:pPr>
      <w:r>
        <w:rPr>
          <w:rFonts w:hint="eastAsia" w:ascii="宋体" w:hAnsi="宋体" w:eastAsia="宋体" w:cs="宋体"/>
          <w:b w:val="0"/>
          <w:bCs w:val="0"/>
          <w:kern w:val="2"/>
          <w:sz w:val="21"/>
          <w:szCs w:val="21"/>
          <w:lang w:val="en-US" w:eastAsia="zh-CN" w:bidi="ar"/>
        </w:rPr>
        <w:t xml:space="preserve">5 </w:t>
      </w:r>
      <w:r>
        <w:rPr>
          <w:rFonts w:hint="eastAsia" w:hAnsi="宋体" w:cs="宋体"/>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主要设备应有中文安装使用说明书。</w:t>
      </w:r>
    </w:p>
    <w:p w14:paraId="0D859B4A">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3.0.8  </w:t>
      </w:r>
      <w:r>
        <w:rPr>
          <w:rFonts w:hint="eastAsia" w:ascii="宋体" w:hAnsi="宋体" w:eastAsia="宋体" w:cs="宋体"/>
          <w:b w:val="0"/>
          <w:bCs w:val="0"/>
          <w:kern w:val="2"/>
          <w:sz w:val="21"/>
          <w:szCs w:val="21"/>
          <w:lang w:val="en-US" w:eastAsia="zh-CN" w:bidi="ar"/>
        </w:rPr>
        <w:t>本条强调材料与设备进场时，施工单位应自行检验，合格后才能报请监理工程师(建设单位代表)验收。同时强调，工程中使用的所有材料与设备，均应经监理工程师(建设单位代表)验收合格。</w:t>
      </w:r>
    </w:p>
    <w:p w14:paraId="1CB48B35">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b w:val="0"/>
          <w:bCs w:val="0"/>
          <w:sz w:val="21"/>
          <w:szCs w:val="21"/>
          <w:lang w:val="en-US"/>
        </w:rPr>
      </w:pPr>
      <w:r>
        <w:rPr>
          <w:rFonts w:hint="eastAsia" w:hAnsi="宋体" w:cs="宋体"/>
          <w:b w:val="0"/>
          <w:bCs w:val="0"/>
          <w:sz w:val="21"/>
          <w:szCs w:val="21"/>
          <w:lang w:val="en-US" w:eastAsia="zh-CN"/>
        </w:rPr>
        <w:t xml:space="preserve">3.0.9  </w:t>
      </w:r>
      <w:r>
        <w:rPr>
          <w:rFonts w:hint="eastAsia" w:ascii="宋体" w:hAnsi="宋体" w:eastAsia="宋体" w:cs="宋体"/>
          <w:b w:val="0"/>
          <w:bCs w:val="0"/>
          <w:kern w:val="2"/>
          <w:sz w:val="21"/>
          <w:szCs w:val="21"/>
          <w:lang w:val="en-US" w:eastAsia="zh-CN" w:bidi="ar"/>
        </w:rPr>
        <w:t>本条对人工冰场工程设备安装的质量提出了具体要求。在制冷系统中,一些大型机器和设备，为适应运输要求,要解体装箱运输,然后到现场安装时再加以组装。故本条对整个制冷系统所涉及的机器、设备、管道、管件、阀门、自控元件、仪表、涂料及绝热材料等安装要素的质量提出了具体要求。</w:t>
      </w:r>
    </w:p>
    <w:p w14:paraId="0A1E7C8D">
      <w:pPr>
        <w:pStyle w:val="13"/>
        <w:keepNext w:val="0"/>
        <w:keepLines w:val="0"/>
        <w:pageBreakBefore w:val="0"/>
        <w:widowControl w:val="0"/>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0" w:firstLineChars="0"/>
        <w:jc w:val="left"/>
        <w:textAlignment w:val="auto"/>
        <w:rPr>
          <w:rFonts w:hAnsi="宋体" w:cs="宋体"/>
          <w:lang w:val="en-US"/>
        </w:rPr>
      </w:pPr>
      <w:r>
        <w:rPr>
          <w:rFonts w:hint="eastAsia" w:hAnsi="宋体" w:cs="宋体"/>
          <w:b w:val="0"/>
          <w:bCs w:val="0"/>
          <w:sz w:val="21"/>
          <w:szCs w:val="21"/>
          <w:lang w:val="en-US" w:eastAsia="zh-CN"/>
        </w:rPr>
        <w:t xml:space="preserve">3.0.10  </w:t>
      </w:r>
      <w:r>
        <w:rPr>
          <w:rFonts w:hint="eastAsia" w:ascii="宋体" w:hAnsi="宋体" w:eastAsia="宋体" w:cs="宋体"/>
          <w:b w:val="0"/>
          <w:bCs w:val="0"/>
          <w:kern w:val="2"/>
          <w:sz w:val="21"/>
          <w:szCs w:val="21"/>
          <w:lang w:val="en-US" w:eastAsia="zh-CN" w:bidi="ar"/>
        </w:rPr>
        <w:t>系统检测与试验、试运行与调试是技术性很高又比较复杂的一项工作，要求施工单位在检测与试验、试运行与调试前编制技术方案，并经审查批准，审查流程同施工组织设计(方案)。</w:t>
      </w:r>
    </w:p>
    <w:p w14:paraId="06876930">
      <w:pPr>
        <w:rPr>
          <w:rFonts w:hint="default" w:hAnsi="宋体" w:eastAsia="宋体" w:cs="宋体"/>
          <w:b/>
          <w:bCs/>
          <w:lang w:val="en-US" w:eastAsia="zh-CN"/>
        </w:rPr>
      </w:pPr>
      <w:r>
        <w:rPr>
          <w:rFonts w:hint="default" w:hAnsi="宋体" w:eastAsia="宋体" w:cs="宋体"/>
          <w:b/>
          <w:bCs/>
          <w:lang w:val="en-US" w:eastAsia="zh-CN"/>
        </w:rPr>
        <w:br w:type="page"/>
      </w:r>
    </w:p>
    <w:p w14:paraId="1015DD1D">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264" w:name="_Toc7202"/>
      <w:bookmarkStart w:id="265" w:name="_Toc7044"/>
      <w:bookmarkStart w:id="266" w:name="_Toc3164"/>
      <w:bookmarkStart w:id="267" w:name="_Toc4120"/>
      <w:r>
        <w:rPr>
          <w:rFonts w:hint="eastAsia" w:ascii="黑体" w:hAnsi="黑体" w:eastAsia="黑体" w:cs="Times New Roman"/>
          <w:bCs w:val="0"/>
          <w:sz w:val="21"/>
          <w:szCs w:val="20"/>
          <w:lang w:val="en-US"/>
        </w:rPr>
        <w:t xml:space="preserve">4  </w:t>
      </w:r>
      <w:r>
        <w:rPr>
          <w:rFonts w:hint="eastAsia" w:ascii="黑体" w:hAnsi="黑体" w:eastAsia="黑体" w:cs="Times New Roman"/>
          <w:bCs w:val="0"/>
          <w:sz w:val="21"/>
          <w:szCs w:val="20"/>
          <w:lang w:eastAsia="zh-CN"/>
        </w:rPr>
        <w:t>冰池构造施工</w:t>
      </w:r>
      <w:bookmarkEnd w:id="264"/>
      <w:bookmarkEnd w:id="265"/>
      <w:bookmarkEnd w:id="266"/>
      <w:bookmarkEnd w:id="267"/>
    </w:p>
    <w:p w14:paraId="3971E787">
      <w:pPr>
        <w:pStyle w:val="6"/>
        <w:widowControl/>
        <w:spacing w:before="240" w:beforeLines="100" w:beforeAutospacing="0" w:after="240" w:afterLines="100" w:afterAutospacing="0" w:line="360" w:lineRule="auto"/>
        <w:ind w:left="0" w:right="0" w:firstLine="0" w:firstLineChars="0"/>
        <w:rPr>
          <w:rFonts w:hint="default"/>
          <w:lang w:val="en-US" w:eastAsia="zh-CN"/>
        </w:rPr>
      </w:pPr>
      <w:bookmarkStart w:id="268" w:name="_Toc3302"/>
      <w:bookmarkStart w:id="269" w:name="_Toc14952"/>
      <w:bookmarkStart w:id="270" w:name="_Toc29041"/>
      <w:bookmarkStart w:id="271" w:name="_Toc8997"/>
      <w:r>
        <w:rPr>
          <w:rFonts w:hint="eastAsia" w:ascii="黑体" w:hAnsi="黑体" w:eastAsia="黑体" w:cs="黑体"/>
          <w:b w:val="0"/>
          <w:bCs w:val="0"/>
          <w:kern w:val="0"/>
          <w:sz w:val="21"/>
          <w:szCs w:val="21"/>
          <w:lang w:val="en-US" w:eastAsia="zh-CN" w:bidi="ar-SA"/>
        </w:rPr>
        <w:t>4.3  保温层</w:t>
      </w:r>
      <w:bookmarkEnd w:id="268"/>
      <w:bookmarkEnd w:id="269"/>
      <w:bookmarkEnd w:id="270"/>
      <w:bookmarkEnd w:id="271"/>
    </w:p>
    <w:p w14:paraId="20FD6F22">
      <w:pPr>
        <w:keepNext w:val="0"/>
        <w:keepLines w:val="0"/>
        <w:widowControl w:val="0"/>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4.3.1  应根据保温板材类型执行相应的现行国家标准进行复试。材料进场后应进行观察、尺量检查，核查系统及组成材料的产品合格证、出厂检验报告等出厂证明文件，有效期内的型式检验报告，以及现场检验相关报告。</w:t>
      </w:r>
    </w:p>
    <w:p w14:paraId="2EFB7EF0">
      <w:pPr>
        <w:pStyle w:val="6"/>
        <w:widowControl/>
        <w:spacing w:before="240" w:beforeLines="100" w:beforeAutospacing="0" w:after="240" w:afterLines="100" w:afterAutospacing="0" w:line="360" w:lineRule="auto"/>
        <w:ind w:left="0" w:right="0" w:firstLine="0" w:firstLineChars="0"/>
        <w:rPr>
          <w:sz w:val="24"/>
          <w:szCs w:val="24"/>
          <w:lang w:val="en-US"/>
        </w:rPr>
      </w:pPr>
      <w:bookmarkStart w:id="272" w:name="_Toc11528"/>
      <w:bookmarkStart w:id="273" w:name="_Toc31642"/>
      <w:bookmarkStart w:id="274" w:name="_Toc10764"/>
      <w:bookmarkStart w:id="275" w:name="_Toc10099"/>
      <w:r>
        <w:rPr>
          <w:rFonts w:hint="eastAsia" w:ascii="黑体" w:hAnsi="黑体" w:eastAsia="黑体" w:cs="黑体"/>
          <w:b w:val="0"/>
          <w:bCs w:val="0"/>
          <w:kern w:val="0"/>
          <w:sz w:val="21"/>
          <w:szCs w:val="21"/>
          <w:lang w:val="en-US" w:eastAsia="zh-CN" w:bidi="ar-SA"/>
        </w:rPr>
        <w:t>4.5  防水层</w:t>
      </w:r>
      <w:bookmarkEnd w:id="272"/>
      <w:bookmarkEnd w:id="273"/>
      <w:bookmarkEnd w:id="274"/>
      <w:bookmarkEnd w:id="275"/>
    </w:p>
    <w:p w14:paraId="35B48FAC">
      <w:pPr>
        <w:keepNext w:val="0"/>
        <w:keepLines w:val="0"/>
        <w:widowControl w:val="0"/>
        <w:suppressLineNumbers w:val="0"/>
        <w:snapToGrid w:val="0"/>
        <w:spacing w:before="0" w:beforeAutospacing="0" w:after="0" w:afterAutospacing="0" w:line="360" w:lineRule="auto"/>
        <w:ind w:left="0" w:right="0" w:firstLine="0" w:firstLineChars="0"/>
        <w:jc w:val="left"/>
        <w:rPr>
          <w:rFonts w:hAnsi="宋体" w:cs="宋体"/>
          <w:lang w:val="en-US"/>
        </w:rPr>
      </w:pPr>
      <w:r>
        <w:rPr>
          <w:rFonts w:hint="eastAsia" w:ascii="宋体" w:hAnsi="宋体" w:eastAsia="宋体" w:cs="宋体"/>
          <w:b w:val="0"/>
          <w:bCs w:val="0"/>
          <w:kern w:val="0"/>
          <w:sz w:val="21"/>
          <w:szCs w:val="21"/>
          <w:lang w:val="en-US" w:eastAsia="zh-CN" w:bidi="ar-SA"/>
        </w:rPr>
        <w:t xml:space="preserve">4.5.2 </w:t>
      </w:r>
      <w:r>
        <w:rPr>
          <w:rFonts w:hint="eastAsia" w:hAnsi="宋体" w:cs="宋体"/>
          <w:b w:val="0"/>
          <w:bCs w:val="0"/>
          <w:kern w:val="0"/>
          <w:sz w:val="21"/>
          <w:szCs w:val="21"/>
          <w:lang w:val="en-US" w:eastAsia="zh-CN" w:bidi="ar-SA"/>
        </w:rPr>
        <w:t xml:space="preserve"> </w:t>
      </w:r>
      <w:r>
        <w:rPr>
          <w:rFonts w:hint="eastAsia" w:ascii="宋体" w:hAnsi="宋体" w:eastAsia="宋体" w:cs="宋体"/>
          <w:b w:val="0"/>
          <w:bCs w:val="0"/>
          <w:kern w:val="0"/>
          <w:sz w:val="21"/>
          <w:szCs w:val="21"/>
          <w:lang w:val="en-US" w:eastAsia="zh-CN" w:bidi="ar-SA"/>
        </w:rPr>
        <w:t>卷材及其配套材料应符合设计要求，供应商应提供其产品合格证、产品性能检测报告及材料进场检验报告。</w:t>
      </w:r>
    </w:p>
    <w:p w14:paraId="32BEC9F6">
      <w:pPr>
        <w:rPr>
          <w:rFonts w:hint="default"/>
          <w:lang w:val="en-US" w:eastAsia="zh-CN"/>
        </w:rPr>
      </w:pPr>
      <w:r>
        <w:rPr>
          <w:rFonts w:hint="default"/>
          <w:lang w:val="en-US" w:eastAsia="zh-CN"/>
        </w:rPr>
        <w:br w:type="page"/>
      </w:r>
    </w:p>
    <w:p w14:paraId="656EF2AF">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276" w:name="_Toc20052"/>
      <w:bookmarkStart w:id="277" w:name="_Toc12294"/>
      <w:bookmarkStart w:id="278" w:name="_Toc23834"/>
      <w:bookmarkStart w:id="279" w:name="_Toc8875"/>
      <w:r>
        <w:rPr>
          <w:rFonts w:hint="eastAsia" w:ascii="黑体" w:hAnsi="黑体" w:eastAsia="黑体" w:cs="Times New Roman"/>
          <w:bCs w:val="0"/>
          <w:sz w:val="21"/>
          <w:szCs w:val="20"/>
          <w:lang w:val="en-US" w:eastAsia="zh-CN"/>
        </w:rPr>
        <w:t>5  制冰系统安装</w:t>
      </w:r>
      <w:bookmarkEnd w:id="276"/>
      <w:bookmarkEnd w:id="277"/>
      <w:bookmarkEnd w:id="278"/>
      <w:bookmarkEnd w:id="279"/>
    </w:p>
    <w:p w14:paraId="45C2DDD3">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0" w:name="_Toc28805"/>
      <w:bookmarkStart w:id="281" w:name="_Toc23598"/>
      <w:bookmarkStart w:id="282" w:name="_Toc30206"/>
      <w:bookmarkStart w:id="283" w:name="_Toc5341"/>
      <w:r>
        <w:rPr>
          <w:rFonts w:hint="eastAsia" w:ascii="黑体" w:hAnsi="黑体" w:eastAsia="黑体" w:cs="黑体"/>
          <w:b w:val="0"/>
          <w:bCs w:val="0"/>
          <w:kern w:val="0"/>
          <w:sz w:val="21"/>
          <w:szCs w:val="21"/>
          <w:lang w:val="en-US" w:eastAsia="zh-CN" w:bidi="ar-SA"/>
        </w:rPr>
        <w:t>5.1  一般规定</w:t>
      </w:r>
      <w:bookmarkEnd w:id="280"/>
      <w:bookmarkEnd w:id="281"/>
      <w:bookmarkEnd w:id="282"/>
      <w:bookmarkEnd w:id="283"/>
    </w:p>
    <w:p w14:paraId="017D2B39">
      <w:pPr>
        <w:pStyle w:val="4"/>
        <w:keepNext w:val="0"/>
        <w:keepLines w:val="0"/>
        <w:pageBreakBefore w:val="0"/>
        <w:widowControl w:val="0"/>
        <w:kinsoku/>
        <w:wordWrap/>
        <w:overflowPunct/>
        <w:topLinePunct w:val="0"/>
        <w:autoSpaceDE/>
        <w:autoSpaceDN/>
        <w:bidi w:val="0"/>
        <w:adjustRightInd/>
        <w:snapToGrid/>
        <w:jc w:val="left"/>
        <w:textAlignment w:val="auto"/>
        <w:rPr>
          <w:rFonts w:hint="default"/>
          <w:b w:val="0"/>
          <w:bCs w:val="0"/>
          <w:sz w:val="21"/>
          <w:szCs w:val="21"/>
          <w:lang w:val="en-US" w:eastAsia="zh-CN"/>
        </w:rPr>
      </w:pPr>
      <w:r>
        <w:rPr>
          <w:rFonts w:hint="eastAsia" w:ascii="宋体" w:hAnsi="宋体" w:eastAsia="宋体" w:cs="Times New Roman"/>
          <w:b w:val="0"/>
          <w:bCs w:val="0"/>
          <w:kern w:val="2"/>
          <w:sz w:val="21"/>
          <w:szCs w:val="21"/>
          <w:lang w:val="en-US" w:eastAsia="zh-CN" w:bidi="ar"/>
        </w:rPr>
        <w:t xml:space="preserve">5.1.2、5.1.3 </w:t>
      </w:r>
      <w:r>
        <w:rPr>
          <w:rFonts w:hint="eastAsia" w:hAnsi="宋体" w:cs="Times New Roman"/>
          <w:b w:val="0"/>
          <w:bCs w:val="0"/>
          <w:kern w:val="2"/>
          <w:sz w:val="21"/>
          <w:szCs w:val="21"/>
          <w:lang w:val="en-US" w:eastAsia="zh-CN" w:bidi="ar"/>
        </w:rPr>
        <w:t xml:space="preserve"> </w:t>
      </w:r>
      <w:r>
        <w:rPr>
          <w:rFonts w:hint="eastAsia" w:ascii="宋体" w:hAnsi="宋体" w:eastAsia="宋体" w:cs="Times New Roman"/>
          <w:b w:val="0"/>
          <w:bCs w:val="0"/>
          <w:kern w:val="2"/>
          <w:sz w:val="21"/>
          <w:szCs w:val="21"/>
          <w:lang w:val="en-US" w:eastAsia="zh-CN" w:bidi="ar"/>
        </w:rPr>
        <w:t>明确了制冷管道安装所应具备的条件，以及如何同配套的土建工程、设备安装工程进行正确的衔接，安装所用的原、辅料应满足哪些要求</w:t>
      </w:r>
      <w:r>
        <w:rPr>
          <w:rFonts w:hint="eastAsia" w:ascii="宋体" w:hAnsi="Times New Roman"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乙二醇溶液与锌易产生化学反应,加速管道腐蚀,因此本条规定不应使用镀锌管道和配件。</w:t>
      </w:r>
    </w:p>
    <w:p w14:paraId="3722DD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Ansi="宋体"/>
          <w:b w:val="0"/>
          <w:bCs w:val="0"/>
          <w:sz w:val="21"/>
          <w:szCs w:val="21"/>
          <w:lang w:val="en-US"/>
        </w:rPr>
      </w:pPr>
      <w:r>
        <w:rPr>
          <w:rFonts w:hint="eastAsia" w:hAnsi="宋体" w:cs="宋体"/>
          <w:b w:val="0"/>
          <w:bCs w:val="0"/>
          <w:sz w:val="21"/>
          <w:szCs w:val="21"/>
          <w:lang w:val="en-US" w:eastAsia="zh-CN"/>
        </w:rPr>
        <w:t xml:space="preserve">5.1.4  </w:t>
      </w:r>
      <w:r>
        <w:rPr>
          <w:rFonts w:hint="eastAsia" w:ascii="宋体" w:hAnsi="宋体" w:eastAsia="宋体" w:cs="Times New Roman"/>
          <w:b w:val="0"/>
          <w:bCs w:val="0"/>
          <w:kern w:val="2"/>
          <w:sz w:val="21"/>
          <w:szCs w:val="21"/>
          <w:lang w:val="en-US" w:eastAsia="zh-CN" w:bidi="ar"/>
        </w:rPr>
        <w:t>本条的目的是开箱清点工作应由安装单位和建设单位有关人员在场进行。按条文规定作好开箱检查记录，如有缺、损件应由建设单位去解决；安装需要的机具、零部件、专用检具，移交安装单位保管，待工程验收时归还。不需要的部分及备件等，由建设单位保管。随机技术文件由使用说明书、合格证明书和装箱清单等组成。</w:t>
      </w:r>
    </w:p>
    <w:p w14:paraId="7E3EAE08">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left"/>
        <w:textAlignment w:val="auto"/>
        <w:rPr>
          <w:rFonts w:cs="宋体"/>
          <w:b w:val="0"/>
          <w:bCs w:val="0"/>
          <w:sz w:val="21"/>
          <w:szCs w:val="21"/>
          <w:lang w:val="en-US"/>
        </w:rPr>
      </w:pPr>
      <w:r>
        <w:rPr>
          <w:rFonts w:hint="eastAsia" w:ascii="宋体" w:hAnsi="Times New Roman" w:eastAsia="宋体" w:cs="Times New Roman"/>
          <w:b w:val="0"/>
          <w:bCs w:val="0"/>
          <w:kern w:val="2"/>
          <w:sz w:val="21"/>
          <w:szCs w:val="21"/>
          <w:lang w:val="en-US" w:eastAsia="zh-CN" w:bidi="ar"/>
        </w:rPr>
        <w:t>5.1.5  管道内有压力、制冷剂未清理干净时如果进行焊接作业,不仅不能保障焊接质量,还易引发制冷剂燃烧等安全事故。</w:t>
      </w:r>
    </w:p>
    <w:p w14:paraId="7B84B747">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4" w:name="_Toc28389"/>
      <w:bookmarkStart w:id="285" w:name="_Toc27008"/>
      <w:bookmarkStart w:id="286" w:name="_Toc9869"/>
      <w:bookmarkStart w:id="287" w:name="_Toc6034"/>
      <w:r>
        <w:rPr>
          <w:rFonts w:hint="eastAsia" w:ascii="黑体" w:hAnsi="黑体" w:eastAsia="黑体" w:cs="黑体"/>
          <w:b w:val="0"/>
          <w:bCs w:val="0"/>
          <w:kern w:val="0"/>
          <w:sz w:val="21"/>
          <w:szCs w:val="21"/>
          <w:lang w:val="en-US" w:eastAsia="zh-CN" w:bidi="ar-SA"/>
        </w:rPr>
        <w:t>5.2  制冰管道安装</w:t>
      </w:r>
      <w:bookmarkEnd w:id="284"/>
      <w:bookmarkEnd w:id="285"/>
      <w:bookmarkEnd w:id="286"/>
      <w:bookmarkEnd w:id="287"/>
    </w:p>
    <w:p w14:paraId="210514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5.2.1  本条规定是为确保管道支、吊架制作质量，对施工单位所作的必要提示。</w:t>
      </w:r>
    </w:p>
    <w:p w14:paraId="0B8AD9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default" w:hAnsi="宋体" w:cs="宋体"/>
          <w:b w:val="0"/>
          <w:bCs w:val="0"/>
          <w:sz w:val="21"/>
          <w:szCs w:val="21"/>
          <w:lang w:val="en-US" w:eastAsia="zh-CN"/>
        </w:rPr>
      </w:pPr>
      <w:r>
        <w:rPr>
          <w:rFonts w:hint="eastAsia" w:hAnsi="宋体" w:cs="宋体"/>
          <w:b w:val="0"/>
          <w:bCs w:val="0"/>
          <w:sz w:val="21"/>
          <w:szCs w:val="21"/>
          <w:lang w:val="en-US" w:eastAsia="zh-CN"/>
        </w:rPr>
        <w:t>5.2.2  管道元件及其材料应当按其供货批量或逐件提供盖有制造单位质量检验章的产品质量证明文件。实行监督检验的压力管道元件,还应当提供特种设备检验检测机构出具的监督检验证书。质量证明文件中的性能数据主要指化学成分、力学性能、耐腐蚀性能、交货状态、质量等级等材料性能指标以及相应的检验试验结果(如无损检测、理化性能试验、耐压试验、型式试验等)。保证不锈钢及有色金属不受污染，又作出“不得与碳素钢、低合金钢接触”的规定。</w:t>
      </w:r>
    </w:p>
    <w:p w14:paraId="546943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5.2.3  近年来,随着现场施工机械化程度的提高、现场工厂化预制条件的改善,管道加工预制深度不断提高,管道预制工作量加大,对预制完毕的管段进行质量验收是必不可少的一道程序。加强管道预制的验收要求,通过对预制质量的控制,有效地保证安装质量。</w:t>
      </w:r>
    </w:p>
    <w:p w14:paraId="396A61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对焊缝位置的规定主要是防止焊缝过于集中形成应力叠加,以免造成焊接接头破坏的隐患,并考虑因位置障碍影响焊工施焊和热处理工作的进行。在焊缝上开孔会使焊缝应力状态恶化，所以本条规定当在焊缝及其边缘上开孔或开孔补强时,开孔边缘应避开焊缝缺陷位置，并对开孔附近的焊缝进行检测。</w:t>
      </w:r>
    </w:p>
    <w:p w14:paraId="56A822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管道内部清洁是施工质量好坏的重要标志，是投料试车一次成功的关键前提之一。预制完毕的管段，无论在存放期间还是运输过程中,外部脏物都容易进入管内，经常发生管道内部不干净而影响试车进程和产品质量。所以预制完毕的管段一定要保证内部清洁，并及时封闭管口。</w:t>
      </w:r>
    </w:p>
    <w:p w14:paraId="2B63A2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近年来,随着现场施工机械化程度的提高、现场工厂化预制条件的改善,管道加工预制深度不断提高,管道预制工作量加大,对预制完毕的管段进行质量验收是必不可少的一道程序。加强管道预制的验收要求,通过对预制质量的控制,有效地保证安装质量。</w:t>
      </w:r>
    </w:p>
    <w:p w14:paraId="22C04F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对焊缝位置的规定主要是防止焊缝过于集中形成应力叠加,以免造成焊接接头破坏的隐患,并考虑因位置障碍影响焊工施焊和热处理工作的进行。在焊缝上开孔会使焊缝应力状态恶化，所以本条规定当在焊缝及其边缘上开孔或开孔补强时,开孔边缘应避开焊缝缺陷位置，并对开孔附近的焊缝进行检测。</w:t>
      </w:r>
    </w:p>
    <w:p w14:paraId="7531B3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5.2.4  本条对蒸发（搁架）排管的制作与安装的精度提出了可供操作的具体要求。</w:t>
      </w:r>
    </w:p>
    <w:p w14:paraId="1C0D3C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5.2.6  具有上密封结构的阀门主要有闸阀、截止阀等。上密封试验的步骤：封闭阀门进、出口,松开填料压盖,将阀门打开并使上密封关闭,向腔内充满试验介质,逐渐加压到试验压力,达到保压规定时间后,无渗漏为合格。</w:t>
      </w:r>
    </w:p>
    <w:p w14:paraId="73B8B5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hAnsi="宋体" w:cs="宋体"/>
          <w:b w:val="0"/>
          <w:bCs w:val="0"/>
          <w:sz w:val="21"/>
          <w:szCs w:val="21"/>
          <w:lang w:val="en-US" w:eastAsia="zh-CN"/>
        </w:rPr>
      </w:pPr>
      <w:r>
        <w:rPr>
          <w:rFonts w:hint="eastAsia" w:hAnsi="宋体" w:cs="宋体"/>
          <w:b w:val="0"/>
          <w:bCs w:val="0"/>
          <w:sz w:val="21"/>
          <w:szCs w:val="21"/>
          <w:lang w:val="en-US" w:eastAsia="zh-CN"/>
        </w:rPr>
        <w:t>在设计无特殊要求的情况下,本条规定阀门试验统一以洁净水为介质,主要考虑了现场施工条件、环保和安全等因素。对不锈钢阀门,当以水为介质进行试验时,应严格控制水中的氯离子含量,以防止产生应力腐蚀。</w:t>
      </w:r>
    </w:p>
    <w:p w14:paraId="3A82AF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Ansi="宋体" w:cs="宋体"/>
          <w:lang w:val="en-US"/>
        </w:rPr>
      </w:pPr>
      <w:r>
        <w:rPr>
          <w:rFonts w:hint="eastAsia" w:hAnsi="宋体" w:cs="宋体"/>
          <w:b w:val="0"/>
          <w:bCs w:val="0"/>
          <w:sz w:val="21"/>
          <w:szCs w:val="21"/>
          <w:lang w:val="en-US" w:eastAsia="zh-CN"/>
        </w:rPr>
        <w:t>5.2.7  安装在高大容器上的压力表，为方便操作人员观察，其压力表盘可向前倾斜15°安装；安装在压力波动较大的设备或管道上的压力表，其导压管应采取减振或隔离措施；压力表的导压管上不得连接有其他用途的管道。</w:t>
      </w:r>
    </w:p>
    <w:p w14:paraId="4A90D9AE">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88" w:name="_Toc12621"/>
      <w:bookmarkStart w:id="289" w:name="_Toc18666"/>
      <w:bookmarkStart w:id="290" w:name="_Toc27587"/>
      <w:bookmarkStart w:id="291" w:name="_Toc8028"/>
      <w:r>
        <w:rPr>
          <w:rFonts w:hint="eastAsia" w:ascii="黑体" w:hAnsi="黑体" w:eastAsia="黑体" w:cs="黑体"/>
          <w:b w:val="0"/>
          <w:bCs w:val="0"/>
          <w:kern w:val="0"/>
          <w:sz w:val="21"/>
          <w:szCs w:val="21"/>
          <w:lang w:val="en-US" w:eastAsia="zh-CN" w:bidi="ar-SA"/>
        </w:rPr>
        <w:t>5.3  制冰设备安装</w:t>
      </w:r>
      <w:bookmarkEnd w:id="288"/>
      <w:bookmarkEnd w:id="289"/>
      <w:bookmarkEnd w:id="290"/>
      <w:bookmarkEnd w:id="291"/>
    </w:p>
    <w:p w14:paraId="3ED33F55">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5.3.4  本条对制冷机组与制冷附属设备安装的一般项目验收质量做了规定。不论是容积式制冷设备,还是吸收式制冷设备,它们对机体的水平度、垂直度等安装质量都有严格的要求，否则会给机组的运行带来不良影响。</w:t>
      </w:r>
    </w:p>
    <w:p w14:paraId="00D3D2B9">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另外，条文还对减振器的安装位置、压缩量和防止水平位移做了规定。当采用SD等减振垫片时,与基座的连接处应有钢板衬垫。</w:t>
      </w:r>
    </w:p>
    <w:p w14:paraId="2EBD10A8">
      <w:pPr>
        <w:pStyle w:val="13"/>
        <w:keepNext w:val="0"/>
        <w:keepLines w:val="0"/>
        <w:widowControl w:val="0"/>
        <w:suppressLineNumbers w:val="0"/>
        <w:spacing w:before="0" w:beforeAutospacing="0" w:after="120" w:afterAutospacing="0" w:line="360" w:lineRule="auto"/>
        <w:ind w:left="0" w:leftChars="0" w:right="0" w:firstLine="0" w:firstLineChars="0"/>
        <w:jc w:val="both"/>
        <w:rPr>
          <w:b/>
          <w:bCs/>
          <w:lang w:val="en-US"/>
        </w:rPr>
      </w:pPr>
      <w:r>
        <w:rPr>
          <w:rFonts w:hint="eastAsia" w:ascii="宋体" w:hAnsi="宋体" w:eastAsia="宋体" w:cs="宋体"/>
          <w:b w:val="0"/>
          <w:bCs w:val="0"/>
          <w:kern w:val="2"/>
          <w:sz w:val="21"/>
          <w:szCs w:val="21"/>
          <w:lang w:val="en-US" w:eastAsia="zh-CN" w:bidi="ar-SA"/>
        </w:rPr>
        <w:t>5.3.6  垫木应经过防腐处理的目的是防止垫木在压力作用下,在低温、高湿、冰冻的环境中外表面和内部腐烂、开裂。</w:t>
      </w:r>
    </w:p>
    <w:p w14:paraId="7FA9001B">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92" w:name="_Toc18599"/>
      <w:bookmarkStart w:id="293" w:name="_Toc21355"/>
      <w:bookmarkStart w:id="294" w:name="_Toc13651"/>
      <w:bookmarkStart w:id="295" w:name="_Toc15337"/>
      <w:r>
        <w:rPr>
          <w:rFonts w:hint="eastAsia" w:ascii="黑体" w:hAnsi="黑体" w:eastAsia="黑体" w:cs="黑体"/>
          <w:b w:val="0"/>
          <w:bCs w:val="0"/>
          <w:kern w:val="0"/>
          <w:sz w:val="21"/>
          <w:szCs w:val="21"/>
          <w:lang w:val="en-US" w:eastAsia="zh-CN" w:bidi="ar-SA"/>
        </w:rPr>
        <w:t>5.4  制冰系统检测与试验</w:t>
      </w:r>
      <w:bookmarkEnd w:id="292"/>
      <w:bookmarkEnd w:id="293"/>
      <w:bookmarkEnd w:id="294"/>
      <w:bookmarkEnd w:id="295"/>
    </w:p>
    <w:p w14:paraId="43033637">
      <w:pPr>
        <w:pStyle w:val="4"/>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5.4.3  本条规定管路系统吹扫排污,应采用干燥的压缩空气或氮气，为的是控制管内的流速不致过大，又能满足管路清洁、安全施工的目的。管路吹扫的合格标准为将靶标置于出口,5min目测无污物。</w:t>
      </w:r>
    </w:p>
    <w:p w14:paraId="746BBCC1">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5.4.5  气压试验应选用无毒无害、性质稳定的介质，干燥空气、氮气为适宜试验介质。</w:t>
      </w:r>
    </w:p>
    <w:p w14:paraId="7FB90FDD">
      <w:pPr>
        <w:pStyle w:val="13"/>
        <w:keepNext w:val="0"/>
        <w:keepLines w:val="0"/>
        <w:widowControl w:val="0"/>
        <w:suppressLineNumbers w:val="0"/>
        <w:spacing w:before="0" w:beforeAutospacing="0" w:after="0" w:afterAutospacing="0" w:line="360" w:lineRule="auto"/>
        <w:ind w:left="0" w:right="0" w:firstLine="0" w:firstLineChars="0"/>
        <w:jc w:val="both"/>
        <w:rPr>
          <w:rFonts w:hAnsi="宋体"/>
          <w:b w:val="0"/>
          <w:bCs w:val="0"/>
          <w:lang w:val="en-US"/>
        </w:rPr>
      </w:pPr>
      <w:r>
        <w:rPr>
          <w:rFonts w:hint="eastAsia" w:ascii="宋体" w:hAnsi="宋体" w:eastAsia="宋体" w:cs="宋体"/>
          <w:b w:val="0"/>
          <w:bCs w:val="0"/>
          <w:kern w:val="2"/>
          <w:sz w:val="21"/>
          <w:szCs w:val="21"/>
          <w:lang w:val="en-US" w:eastAsia="zh-CN" w:bidi="ar-SA"/>
        </w:rPr>
        <w:t>气压试验有释放能量的危险，必须特别注意使气压试验时脆性破坏的机会减至最低程度，所以规定要事先进行预试验，试验时采取装有超压泄放装置等安全措施。压力值均为表压。</w:t>
      </w:r>
    </w:p>
    <w:p w14:paraId="65AD7FC6">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296" w:name="_Toc6754"/>
      <w:bookmarkStart w:id="297" w:name="_Toc30220"/>
      <w:bookmarkStart w:id="298" w:name="_Toc22222"/>
      <w:bookmarkStart w:id="299" w:name="_Toc2648"/>
      <w:r>
        <w:rPr>
          <w:rFonts w:hint="eastAsia" w:ascii="黑体" w:hAnsi="黑体" w:eastAsia="黑体" w:cs="黑体"/>
          <w:b w:val="0"/>
          <w:bCs w:val="0"/>
          <w:kern w:val="0"/>
          <w:sz w:val="21"/>
          <w:szCs w:val="21"/>
          <w:lang w:val="en-US" w:eastAsia="zh-CN" w:bidi="ar-SA"/>
        </w:rPr>
        <w:t>5.5  防腐与绝热</w:t>
      </w:r>
      <w:bookmarkEnd w:id="296"/>
      <w:bookmarkEnd w:id="297"/>
      <w:bookmarkEnd w:id="298"/>
      <w:bookmarkEnd w:id="299"/>
    </w:p>
    <w:p w14:paraId="22CD8AEA">
      <w:pPr>
        <w:pStyle w:val="4"/>
        <w:jc w:val="both"/>
        <w:rPr>
          <w:rFonts w:hint="default" w:ascii="宋体" w:hAnsi="宋体" w:eastAsia="宋体" w:cs="宋体"/>
          <w:b w:val="0"/>
          <w:bCs/>
          <w:kern w:val="2"/>
          <w:sz w:val="24"/>
          <w:szCs w:val="24"/>
          <w:lang w:val="en-US" w:eastAsia="zh-CN" w:bidi="ar"/>
        </w:rPr>
      </w:pPr>
      <w:r>
        <w:rPr>
          <w:rFonts w:hint="eastAsia" w:ascii="宋体" w:hAnsi="宋体" w:eastAsia="宋体" w:cs="宋体"/>
          <w:b w:val="0"/>
          <w:bCs w:val="0"/>
          <w:kern w:val="2"/>
          <w:sz w:val="21"/>
          <w:szCs w:val="21"/>
          <w:lang w:val="en-US" w:eastAsia="zh-CN" w:bidi="ar-SA"/>
        </w:rPr>
        <w:t>5.5.5  阀门、过滤器在使用过程中往往需要检查和维护,埋人设备的保冷层内将影响这些工作的进行,因此要求按设计要求预留保冷层厚度。</w:t>
      </w:r>
    </w:p>
    <w:p w14:paraId="35547490">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00" w:name="_Toc29104"/>
      <w:bookmarkStart w:id="301" w:name="_Toc17130"/>
      <w:bookmarkStart w:id="302" w:name="_Toc17961"/>
      <w:bookmarkStart w:id="303" w:name="_Toc26868"/>
      <w:r>
        <w:rPr>
          <w:rFonts w:hint="eastAsia" w:ascii="黑体" w:hAnsi="黑体" w:eastAsia="黑体" w:cs="黑体"/>
          <w:b w:val="0"/>
          <w:bCs w:val="0"/>
          <w:kern w:val="0"/>
          <w:sz w:val="21"/>
          <w:szCs w:val="21"/>
          <w:lang w:val="en-US" w:eastAsia="zh-CN" w:bidi="ar-SA"/>
        </w:rPr>
        <w:t>5.6  制冰系统运行调试</w:t>
      </w:r>
      <w:bookmarkEnd w:id="300"/>
      <w:bookmarkEnd w:id="301"/>
      <w:bookmarkEnd w:id="302"/>
      <w:bookmarkEnd w:id="303"/>
    </w:p>
    <w:p w14:paraId="286D50C0">
      <w:pPr>
        <w:pStyle w:val="4"/>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5.6.1-4  为避免制冷剂计算用量误差，制冷剂应分此充注。首次充注宜按设计文件规定量的70%左右进行充注，待系统运行一段时间后，根据制冷系统各设备的液位，再补充制冷剂，直至制冷系统在设计工况稳定工作。</w:t>
      </w:r>
    </w:p>
    <w:p w14:paraId="5C1EB999">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5.6.1-6  卤代烃及其混合物制冷剂是破坏臭氧层物质或温室气体，目前已经受到国际环保公约和国内法规的限制，因此在制冷系统需排空维修时,应使用专用制冷剂回收装置,将系统中剩余的制冷剂回收。</w:t>
      </w:r>
    </w:p>
    <w:p w14:paraId="78110623">
      <w:pPr>
        <w:pStyle w:val="13"/>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5.6.3-1  </w:t>
      </w:r>
      <w:r>
        <w:rPr>
          <w:rFonts w:hint="default" w:ascii="宋体" w:hAnsi="宋体" w:eastAsia="宋体" w:cs="宋体"/>
          <w:b w:val="0"/>
          <w:bCs w:val="0"/>
          <w:kern w:val="2"/>
          <w:sz w:val="21"/>
          <w:szCs w:val="21"/>
          <w:lang w:val="en-US" w:eastAsia="zh-CN" w:bidi="ar-SA"/>
        </w:rPr>
        <w:t>对于多机头并联制冷压缩机组，逐台带负荷试运转不仅指每台制冷压缩机组都应带负荷试运转，而且每台机组内的每个机头都应带负荷试运转。</w:t>
      </w:r>
    </w:p>
    <w:p w14:paraId="66EF91E6">
      <w:pPr>
        <w:keepNext w:val="0"/>
        <w:keepLines w:val="0"/>
        <w:widowControl w:val="0"/>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5.6.3-2  冷库降温可在制冷系统试运转合格后进行,也可以同步进行。</w:t>
      </w:r>
    </w:p>
    <w:p w14:paraId="297AE470">
      <w:pPr>
        <w:rPr>
          <w:rFonts w:hint="eastAsia" w:ascii="宋体" w:hAnsi="宋体" w:eastAsia="宋体" w:cs="Times New Roman"/>
          <w:kern w:val="2"/>
          <w:sz w:val="24"/>
          <w:szCs w:val="24"/>
          <w:lang w:val="en-US" w:eastAsia="zh-CN" w:bidi="ar"/>
        </w:rPr>
      </w:pPr>
      <w:r>
        <w:rPr>
          <w:rFonts w:hint="eastAsia" w:ascii="宋体" w:hAnsi="宋体" w:eastAsia="宋体" w:cs="Times New Roman"/>
          <w:kern w:val="2"/>
          <w:sz w:val="24"/>
          <w:szCs w:val="24"/>
          <w:lang w:val="en-US" w:eastAsia="zh-CN" w:bidi="ar"/>
        </w:rPr>
        <w:br w:type="page"/>
      </w:r>
    </w:p>
    <w:p w14:paraId="6841F7E0">
      <w:pPr>
        <w:pStyle w:val="5"/>
        <w:pageBreakBefore/>
        <w:widowControl/>
        <w:numPr>
          <w:ilvl w:val="0"/>
          <w:numId w:val="0"/>
        </w:numPr>
        <w:spacing w:before="489" w:beforeLines="150" w:after="489" w:afterLines="150" w:line="240" w:lineRule="auto"/>
        <w:ind w:firstLine="0" w:firstLineChars="0"/>
        <w:rPr>
          <w:rFonts w:hint="eastAsia" w:ascii="黑体" w:hAnsi="黑体" w:eastAsia="黑体" w:cs="Times New Roman"/>
          <w:bCs w:val="0"/>
          <w:sz w:val="21"/>
          <w:szCs w:val="20"/>
          <w:lang w:val="en-US"/>
        </w:rPr>
      </w:pPr>
      <w:bookmarkStart w:id="304" w:name="_Toc3199"/>
      <w:bookmarkStart w:id="305" w:name="_Toc13623"/>
      <w:bookmarkStart w:id="306" w:name="_Toc3286"/>
      <w:bookmarkStart w:id="307" w:name="_Toc10088"/>
      <w:r>
        <w:rPr>
          <w:rFonts w:hint="eastAsia" w:ascii="黑体" w:hAnsi="黑体" w:eastAsia="黑体" w:cs="Times New Roman"/>
          <w:bCs w:val="0"/>
          <w:sz w:val="21"/>
          <w:szCs w:val="20"/>
          <w:lang w:val="en-US" w:eastAsia="zh-CN"/>
        </w:rPr>
        <w:t>6  给水排水系统安装</w:t>
      </w:r>
      <w:bookmarkEnd w:id="304"/>
      <w:bookmarkEnd w:id="305"/>
      <w:bookmarkEnd w:id="306"/>
      <w:bookmarkEnd w:id="307"/>
    </w:p>
    <w:p w14:paraId="35864D1A">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08" w:name="_Toc18879"/>
      <w:bookmarkStart w:id="309" w:name="_Toc13741"/>
      <w:bookmarkStart w:id="310" w:name="_Toc16762"/>
      <w:bookmarkStart w:id="311" w:name="_Toc29671"/>
      <w:r>
        <w:rPr>
          <w:rFonts w:hint="eastAsia" w:ascii="黑体" w:hAnsi="黑体" w:eastAsia="黑体" w:cs="黑体"/>
          <w:b w:val="0"/>
          <w:bCs w:val="0"/>
          <w:kern w:val="0"/>
          <w:sz w:val="21"/>
          <w:szCs w:val="21"/>
          <w:lang w:val="en-US" w:eastAsia="zh-CN" w:bidi="ar-SA"/>
        </w:rPr>
        <w:t>6.2  管道及附件安装</w:t>
      </w:r>
      <w:bookmarkEnd w:id="308"/>
      <w:bookmarkEnd w:id="309"/>
      <w:bookmarkEnd w:id="310"/>
      <w:bookmarkEnd w:id="311"/>
    </w:p>
    <w:p w14:paraId="6830FDF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b w:val="0"/>
          <w:bCs w:val="0"/>
          <w:sz w:val="21"/>
          <w:szCs w:val="21"/>
          <w:lang w:val="en-US"/>
        </w:rPr>
      </w:pPr>
      <w:r>
        <w:rPr>
          <w:rFonts w:hint="eastAsia" w:cs="宋体"/>
          <w:b w:val="0"/>
          <w:bCs w:val="0"/>
          <w:kern w:val="2"/>
          <w:sz w:val="21"/>
          <w:szCs w:val="21"/>
          <w:lang w:val="en-US" w:eastAsia="zh-CN" w:bidi="ar"/>
        </w:rPr>
        <w:t xml:space="preserve">6.2.1-1  </w:t>
      </w:r>
      <w:r>
        <w:rPr>
          <w:rFonts w:hint="eastAsia" w:ascii="宋体" w:hAnsi="Times New Roman" w:eastAsia="宋体" w:cs="宋体"/>
          <w:b w:val="0"/>
          <w:bCs w:val="0"/>
          <w:kern w:val="2"/>
          <w:sz w:val="21"/>
          <w:szCs w:val="21"/>
          <w:lang w:val="en-US" w:eastAsia="zh-CN" w:bidi="ar"/>
        </w:rPr>
        <w:t>加热层热水管道盘管在填充层内隐蔽敷设，一旦发生泄漏，将难以处理，本条规定的目的在于消除隐患。</w:t>
      </w:r>
    </w:p>
    <w:p w14:paraId="5B4D4305">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6.2.1-2 </w:t>
      </w:r>
      <w:r>
        <w:rPr>
          <w:rFonts w:hint="eastAsia" w:ascii="宋体" w:hAnsi="宋体" w:eastAsia="宋体" w:cs="宋体"/>
          <w:b w:val="0"/>
          <w:bCs w:val="0"/>
          <w:snapToGrid w:val="0"/>
          <w:kern w:val="2"/>
          <w:sz w:val="21"/>
          <w:szCs w:val="21"/>
          <w:lang w:val="en-US" w:eastAsia="zh-CN" w:bidi="ar"/>
        </w:rPr>
        <w:t xml:space="preserve"> 盘管出现硬折弯情况，会使水流通面积减小，并可能导致管材损坏，弯曲时应予以注意，曲率半径不应小于本条规定。</w:t>
      </w:r>
    </w:p>
    <w:p w14:paraId="0EA7B94E">
      <w:pPr>
        <w:pStyle w:val="4"/>
        <w:keepNext w:val="0"/>
        <w:keepLines w:val="0"/>
        <w:pageBreakBefore w:val="0"/>
        <w:widowControl w:val="0"/>
        <w:kinsoku/>
        <w:wordWrap/>
        <w:overflowPunct/>
        <w:topLinePunct w:val="0"/>
        <w:autoSpaceDE/>
        <w:autoSpaceDN/>
        <w:bidi w:val="0"/>
        <w:adjustRightInd/>
        <w:jc w:val="left"/>
        <w:textAlignment w:val="auto"/>
        <w:rPr>
          <w:rFonts w:hint="default"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 xml:space="preserve">6.2.1-4  </w:t>
      </w:r>
      <w:r>
        <w:rPr>
          <w:rFonts w:hint="eastAsia" w:ascii="宋体" w:hAnsi="Times New Roman" w:eastAsia="宋体" w:cs="宋体"/>
          <w:b w:val="0"/>
          <w:bCs w:val="0"/>
          <w:kern w:val="2"/>
          <w:sz w:val="21"/>
          <w:szCs w:val="21"/>
          <w:lang w:val="en-US" w:eastAsia="zh-CN" w:bidi="ar"/>
        </w:rPr>
        <w:t>隐蔽前对盘管进行水压试验，检验其应具备的承压能力和严密性，以确保系统正常运行。</w:t>
      </w:r>
    </w:p>
    <w:p w14:paraId="12C40C6C">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6.2.2-2  </w:t>
      </w:r>
      <w:r>
        <w:rPr>
          <w:rFonts w:hint="eastAsia" w:ascii="宋体" w:hAnsi="宋体" w:eastAsia="宋体" w:cs="宋体"/>
          <w:b w:val="0"/>
          <w:bCs w:val="0"/>
          <w:snapToGrid w:val="0"/>
          <w:kern w:val="2"/>
          <w:sz w:val="21"/>
          <w:szCs w:val="21"/>
          <w:lang w:val="en-US" w:eastAsia="zh-CN" w:bidi="ar"/>
        </w:rPr>
        <w:t>盘管就位后，试验用水无法排出管道，因此在吊装前应完成试验。</w:t>
      </w:r>
    </w:p>
    <w:p w14:paraId="22B20F6F">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6.2.</w:t>
      </w:r>
      <w:r>
        <w:rPr>
          <w:rFonts w:hint="eastAsia" w:cs="宋体"/>
          <w:b w:val="0"/>
          <w:bCs w:val="0"/>
          <w:kern w:val="2"/>
          <w:sz w:val="21"/>
          <w:szCs w:val="21"/>
          <w:lang w:val="en-US" w:eastAsia="zh-CN" w:bidi="ar"/>
        </w:rPr>
        <w:t>3-1</w:t>
      </w:r>
      <w:r>
        <w:rPr>
          <w:rFonts w:hint="eastAsia" w:ascii="宋体" w:hAnsi="宋体" w:eastAsia="宋体" w:cs="宋体"/>
          <w:b w:val="0"/>
          <w:bCs w:val="0"/>
          <w:kern w:val="2"/>
          <w:sz w:val="21"/>
          <w:szCs w:val="21"/>
          <w:lang w:val="en-US" w:eastAsia="zh-CN" w:bidi="ar"/>
        </w:rPr>
        <w:t xml:space="preserve">  </w:t>
      </w:r>
      <w:r>
        <w:rPr>
          <w:rFonts w:hint="eastAsia" w:ascii="宋体" w:hAnsi="宋体" w:eastAsia="宋体" w:cs="宋体"/>
          <w:b w:val="0"/>
          <w:bCs w:val="0"/>
          <w:snapToGrid w:val="0"/>
          <w:kern w:val="2"/>
          <w:sz w:val="21"/>
          <w:szCs w:val="21"/>
          <w:lang w:val="en-US" w:eastAsia="zh-CN" w:bidi="ar"/>
        </w:rPr>
        <w:t>预留做法应严格执行，防止影响后期使用。</w:t>
      </w:r>
    </w:p>
    <w:p w14:paraId="7258A131">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kern w:val="2"/>
          <w:sz w:val="21"/>
          <w:szCs w:val="21"/>
          <w:lang w:val="en-US" w:eastAsia="zh-CN" w:bidi="ar"/>
        </w:rPr>
        <w:t xml:space="preserve">6.2.6  </w:t>
      </w:r>
      <w:r>
        <w:rPr>
          <w:rFonts w:hint="eastAsia" w:ascii="宋体" w:hAnsi="宋体" w:eastAsia="宋体" w:cs="宋体"/>
          <w:b w:val="0"/>
          <w:bCs w:val="0"/>
          <w:snapToGrid w:val="0"/>
          <w:kern w:val="2"/>
          <w:sz w:val="21"/>
          <w:szCs w:val="21"/>
          <w:lang w:val="en-US" w:eastAsia="zh-CN" w:bidi="ar"/>
        </w:rPr>
        <w:t>系统安装完毕，管道保温前进行水压试验，主要是防止运行后漏水不易发现和返修。</w:t>
      </w:r>
    </w:p>
    <w:p w14:paraId="3534B21C">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b w:val="0"/>
          <w:bCs w:val="0"/>
          <w:sz w:val="21"/>
          <w:szCs w:val="21"/>
          <w:lang w:val="en-US"/>
        </w:rPr>
      </w:pPr>
      <w:r>
        <w:rPr>
          <w:rFonts w:hint="eastAsia" w:ascii="宋体" w:hAnsi="宋体" w:eastAsia="宋体" w:cs="宋体"/>
          <w:b w:val="0"/>
          <w:bCs w:val="0"/>
          <w:snapToGrid w:val="0"/>
          <w:kern w:val="2"/>
          <w:sz w:val="21"/>
          <w:szCs w:val="21"/>
          <w:lang w:val="en-US" w:eastAsia="zh-CN" w:bidi="ar"/>
        </w:rPr>
        <w:t>6.2.7  为保证使用功能，室内供水系统在竣工后或交付使用前必须进行冲洗、通水。</w:t>
      </w:r>
    </w:p>
    <w:p w14:paraId="68A53949">
      <w:pPr>
        <w:pStyle w:val="1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60" w:lineRule="auto"/>
        <w:ind w:left="0" w:right="0" w:firstLine="0" w:firstLineChars="0"/>
        <w:jc w:val="left"/>
        <w:textAlignment w:val="auto"/>
        <w:rPr>
          <w:rFonts w:hint="eastAsia" w:ascii="宋体" w:hAnsi="宋体" w:eastAsia="宋体" w:cs="宋体"/>
          <w:snapToGrid w:val="0"/>
          <w:kern w:val="2"/>
          <w:sz w:val="24"/>
          <w:szCs w:val="24"/>
          <w:lang w:val="en-US" w:eastAsia="zh-CN" w:bidi="ar"/>
        </w:rPr>
      </w:pPr>
      <w:r>
        <w:rPr>
          <w:rFonts w:hint="eastAsia" w:ascii="宋体" w:hAnsi="宋体" w:eastAsia="宋体" w:cs="宋体"/>
          <w:b w:val="0"/>
          <w:bCs w:val="0"/>
          <w:snapToGrid w:val="0"/>
          <w:kern w:val="2"/>
          <w:sz w:val="21"/>
          <w:szCs w:val="21"/>
          <w:lang w:val="en-US" w:eastAsia="zh-CN" w:bidi="ar"/>
        </w:rPr>
        <w:t>6.2.8  通球率必须达到100%。</w:t>
      </w:r>
    </w:p>
    <w:p w14:paraId="6C9953A9">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12" w:name="_Toc13094"/>
      <w:bookmarkStart w:id="313" w:name="_Toc29959"/>
      <w:bookmarkStart w:id="314" w:name="_Toc8779"/>
      <w:bookmarkStart w:id="315" w:name="_Toc16029"/>
      <w:r>
        <w:rPr>
          <w:rFonts w:hint="eastAsia" w:ascii="黑体" w:hAnsi="黑体" w:eastAsia="黑体" w:cs="黑体"/>
          <w:b w:val="0"/>
          <w:bCs w:val="0"/>
          <w:kern w:val="0"/>
          <w:sz w:val="21"/>
          <w:szCs w:val="21"/>
          <w:lang w:val="en-US" w:eastAsia="zh-CN" w:bidi="ar-SA"/>
        </w:rPr>
        <w:t>6.3  设备安装</w:t>
      </w:r>
      <w:bookmarkEnd w:id="312"/>
      <w:bookmarkEnd w:id="313"/>
      <w:bookmarkEnd w:id="314"/>
      <w:bookmarkEnd w:id="315"/>
    </w:p>
    <w:p w14:paraId="5595B6DD">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default" w:cs="宋体"/>
          <w:b w:val="0"/>
          <w:bCs w:val="0"/>
          <w:kern w:val="2"/>
          <w:sz w:val="21"/>
          <w:szCs w:val="21"/>
          <w:lang w:val="en-US" w:eastAsia="zh-CN" w:bidi="ar"/>
        </w:rPr>
      </w:pPr>
      <w:r>
        <w:rPr>
          <w:rFonts w:hint="eastAsia" w:cs="宋体"/>
          <w:b w:val="0"/>
          <w:bCs w:val="0"/>
          <w:kern w:val="2"/>
          <w:sz w:val="21"/>
          <w:szCs w:val="21"/>
          <w:lang w:val="en-US" w:eastAsia="zh-CN" w:bidi="ar"/>
        </w:rPr>
        <w:t>6.3.1  为保证设备基础质量，对设备就位前的混凝土强度、坐标、标高、尺寸和螺栓孔位置按设计要求进行控制。</w:t>
      </w:r>
    </w:p>
    <w:p w14:paraId="32ACE399">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6.3.2  水箱溢流管、泄放管设置应引至排水地点附近是满足排水方便，不得与排水管直接连接，一定要断开是防止排水系统污染或细菌污染水箱水质。</w:t>
      </w:r>
    </w:p>
    <w:p w14:paraId="637CAC97">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bCs w:val="0"/>
          <w:lang w:val="en-US"/>
        </w:rPr>
      </w:pPr>
      <w:r>
        <w:rPr>
          <w:rFonts w:hint="eastAsia" w:cs="宋体"/>
          <w:b w:val="0"/>
          <w:bCs w:val="0"/>
          <w:kern w:val="2"/>
          <w:sz w:val="21"/>
          <w:szCs w:val="21"/>
          <w:lang w:val="en-US" w:eastAsia="zh-CN" w:bidi="ar"/>
        </w:rPr>
        <w:t>6.3.3  敞口水箱是无压的，作满水试验检验其是否渗漏即可。而密闭水箱(罐)是与系统连在一起的，其水压试验应于系统相一致。</w:t>
      </w:r>
    </w:p>
    <w:p w14:paraId="5DCE26AF">
      <w:pPr>
        <w:rPr>
          <w:rFonts w:hint="default" w:ascii="宋体" w:hAnsi="宋体" w:eastAsia="宋体" w:cs="宋体"/>
          <w:b w:val="0"/>
          <w:bCs/>
          <w:kern w:val="2"/>
          <w:sz w:val="24"/>
          <w:szCs w:val="24"/>
          <w:lang w:val="en-US" w:eastAsia="zh-CN" w:bidi="ar"/>
        </w:rPr>
      </w:pPr>
      <w:r>
        <w:rPr>
          <w:rFonts w:hint="default" w:ascii="宋体" w:hAnsi="宋体" w:eastAsia="宋体" w:cs="宋体"/>
          <w:b w:val="0"/>
          <w:bCs/>
          <w:kern w:val="2"/>
          <w:sz w:val="24"/>
          <w:szCs w:val="24"/>
          <w:lang w:val="en-US" w:eastAsia="zh-CN" w:bidi="ar"/>
        </w:rPr>
        <w:br w:type="page"/>
      </w:r>
    </w:p>
    <w:p w14:paraId="66899581">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eastAsia" w:ascii="黑体" w:hAnsi="黑体" w:eastAsia="黑体" w:cs="Times New Roman"/>
          <w:bCs w:val="0"/>
          <w:sz w:val="21"/>
          <w:szCs w:val="20"/>
          <w:lang w:val="en-US"/>
        </w:rPr>
      </w:pPr>
      <w:bookmarkStart w:id="316" w:name="_Toc4096"/>
      <w:bookmarkStart w:id="317" w:name="_Toc3887"/>
      <w:bookmarkStart w:id="318" w:name="_Toc14316"/>
      <w:bookmarkStart w:id="319" w:name="_Toc11810"/>
      <w:r>
        <w:rPr>
          <w:rFonts w:hint="eastAsia" w:ascii="黑体" w:hAnsi="黑体" w:eastAsia="黑体" w:cs="Times New Roman"/>
          <w:bCs w:val="0"/>
          <w:sz w:val="21"/>
          <w:szCs w:val="20"/>
          <w:lang w:val="en-US" w:eastAsia="zh-CN"/>
        </w:rPr>
        <w:t>8  事故排风系统安装</w:t>
      </w:r>
      <w:bookmarkEnd w:id="316"/>
      <w:bookmarkEnd w:id="317"/>
      <w:bookmarkEnd w:id="318"/>
      <w:bookmarkEnd w:id="319"/>
    </w:p>
    <w:p w14:paraId="6ED38F4F">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20" w:name="_Toc28175"/>
      <w:bookmarkStart w:id="321" w:name="_Toc12612"/>
      <w:bookmarkStart w:id="322" w:name="_Toc32565"/>
      <w:bookmarkStart w:id="323" w:name="_Toc1210"/>
      <w:r>
        <w:rPr>
          <w:rFonts w:hint="eastAsia" w:ascii="黑体" w:hAnsi="黑体" w:eastAsia="黑体" w:cs="黑体"/>
          <w:b w:val="0"/>
          <w:bCs w:val="0"/>
          <w:kern w:val="0"/>
          <w:sz w:val="21"/>
          <w:szCs w:val="21"/>
          <w:lang w:val="en-US" w:eastAsia="zh-CN" w:bidi="ar-SA"/>
        </w:rPr>
        <w:t>8.1  一般规定</w:t>
      </w:r>
      <w:bookmarkEnd w:id="320"/>
      <w:bookmarkEnd w:id="321"/>
      <w:bookmarkEnd w:id="322"/>
      <w:bookmarkEnd w:id="323"/>
    </w:p>
    <w:p w14:paraId="243C9203">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8.1.1  事故通风是保证安全生产和保障人民生命安全的一项必要的措施。对生产、工艺过程中可能突然放散有害气体的建筑物,在设计中均应设置事故排风系统。</w:t>
      </w:r>
    </w:p>
    <w:p w14:paraId="43BCDC4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8.1.2  经反复讨论,认为现行行业标准《化工供暖通风与空气调节设计规范》HG/T20698中确定的事故通风计算方法值得借鉴,且能湍足各行业使用的需要,因此规定厂房以6m高度为限:当房间高度小于或等于6m时,按房间实际体积计算；当房间高度大于6m时,按6m的空间体积计算。通过合理布置吸风口,可以让事故通风系统发挥最大的作用。</w:t>
      </w:r>
    </w:p>
    <w:p w14:paraId="3D1FAD1D">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8.1.3  经反复讨论,认为现行行业标准《化工供暖通风与空气调节设计规范》HG/T20698中确定的事故通风计算方法值得借鉴,且能湍足各行业使用的需要,因此规定厂房以6m高度为限:当房间高度小于或等于6m时,按房间实际体积计算；当房间高度大于6m时,按6m的空间体积计算。通过合理布置吸风口,可以让事故通风系统发挥最大的作用。</w:t>
      </w:r>
    </w:p>
    <w:p w14:paraId="7FA15234">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8.1.4  本条是关于事故通风吸风口、排风口位置的规定。事故通风吸风口的位置应有利于有毒、有爆炸危险气体在扩散前排出,并避免形成通风死角。事故排风口的布置是从安全角度考虑的,为的是防止系统投入运行时排出的有毒及爆炸性气体危及人身安全和由于气流短路时进风空气质量造成影响。</w:t>
      </w:r>
    </w:p>
    <w:p w14:paraId="4E26AB6A">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8.1.5  随着技术的进步,事故通风系统的启动或停止不能仅依赖于人为发现、人为控制,条件具备时应当引人自动控制系统，以增加其可靠性。</w:t>
      </w:r>
    </w:p>
    <w:p w14:paraId="32F4D6E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b w:val="0"/>
          <w:bCs w:val="0"/>
          <w:lang w:val="en-US"/>
        </w:rPr>
      </w:pPr>
      <w:r>
        <w:rPr>
          <w:rFonts w:hint="eastAsia" w:cs="宋体"/>
          <w:b w:val="0"/>
          <w:bCs w:val="0"/>
          <w:kern w:val="2"/>
          <w:sz w:val="21"/>
          <w:szCs w:val="21"/>
          <w:lang w:val="en-US" w:eastAsia="zh-CN" w:bidi="ar"/>
        </w:rPr>
        <w:t>8.1.6  所有通风系统均应考虑风量的平衡,有排风、有进风,才能保证气流通畅。设计中遇到过设有事故排风系统却不具备自然进风的情况，因此特别增加本条而予以强调。</w:t>
      </w:r>
    </w:p>
    <w:p w14:paraId="705A1C7E">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24" w:name="_Toc2594"/>
      <w:bookmarkStart w:id="325" w:name="_Toc17323"/>
      <w:bookmarkStart w:id="326" w:name="_Toc23806"/>
      <w:bookmarkStart w:id="327" w:name="_Toc28276"/>
      <w:r>
        <w:rPr>
          <w:rFonts w:hint="eastAsia" w:ascii="黑体" w:hAnsi="黑体" w:eastAsia="黑体" w:cs="黑体"/>
          <w:b w:val="0"/>
          <w:bCs w:val="0"/>
          <w:kern w:val="0"/>
          <w:sz w:val="21"/>
          <w:szCs w:val="21"/>
          <w:lang w:val="en-US" w:eastAsia="zh-CN" w:bidi="ar-SA"/>
        </w:rPr>
        <w:t>8.2  管道及部件安装</w:t>
      </w:r>
      <w:bookmarkEnd w:id="324"/>
      <w:bookmarkEnd w:id="325"/>
      <w:bookmarkEnd w:id="326"/>
      <w:bookmarkEnd w:id="327"/>
    </w:p>
    <w:p w14:paraId="5902C66B">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8.2.1  本条对风管系统支、吊架安装质量的验收要求作了规定。风管安装后,还应立即对其进行调整,以避免出现支、吊架受力不匀或风管局部变形。</w:t>
      </w:r>
    </w:p>
    <w:p w14:paraId="1763561C">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8.2.2-1  风管内严禁其他管线穿越是为保证风管系统的安全使用而规定的。无论是电、水或气体管线,均应遵守。</w:t>
      </w:r>
    </w:p>
    <w:p w14:paraId="2A1A4816">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8.2.2-3  风管系统的室外管道,当无其他可依靠结构固定时,宜采用拉索等金属固定件进行固定,但不得固定在防雷电的避雷针或避雷网上。拉索等金属固定件与避雷针或避雷网相连接，当雷电来临时,可能使风管系统成为带电体和导电体,危及整个设备系统的安全使用。为了保证风管系统的安全使用,故条文做出如此规定。</w:t>
      </w:r>
    </w:p>
    <w:p w14:paraId="02AE85FD">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8.2.2-4  防火、防爆的墙体或楼板是建筑物防止火灾扩散的安全防护结构，当风管穿越时不得破坏其相应的性能。本条规定当风管穿越时,墙体或楼板上必须设置钢制防护套管,并规定其钢板厚度不应小于1.6mm,风管与防护套管之间应采用不燃柔性材料封堵严密,不燃柔性材料宜为矿棉或岩棉,以保证其相应的结构强度和可靠阻火功能。</w:t>
      </w:r>
    </w:p>
    <w:p w14:paraId="341FD578">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8.2.3  本条规定了风管系统安装后必须进行严密性的检测。风管系统的严密性测试是根据通风与空调工程发展需要而决定的，它与国际上技术先进国家的标准要求基本相一致。</w:t>
      </w:r>
    </w:p>
    <w:p w14:paraId="2FEC662A">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8.2.4  本条对风口安装的基本质量要求做了规定。风口安装质量应以连接的严密性和观感的舒适、美观为主。</w:t>
      </w:r>
    </w:p>
    <w:p w14:paraId="768A751E">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val="0"/>
          <w:bCs w:val="0"/>
          <w:lang w:val="en-US"/>
        </w:rPr>
      </w:pPr>
      <w:r>
        <w:rPr>
          <w:rFonts w:hint="eastAsia" w:cs="宋体"/>
          <w:b w:val="0"/>
          <w:bCs w:val="0"/>
          <w:kern w:val="2"/>
          <w:sz w:val="21"/>
          <w:szCs w:val="21"/>
          <w:lang w:val="en-US" w:eastAsia="zh-CN" w:bidi="ar"/>
        </w:rPr>
        <w:t>8.2.6  本条对风管系统中消声器及消声静压箱相对于风管,重量大,不宜由风管来承受,故强调独立设置支、吊架。</w:t>
      </w:r>
    </w:p>
    <w:p w14:paraId="2CE42A29">
      <w:pPr>
        <w:pStyle w:val="6"/>
        <w:widowControl/>
        <w:spacing w:before="240" w:beforeLines="100" w:beforeAutospacing="0" w:after="240" w:afterLines="100" w:afterAutospacing="0" w:line="360" w:lineRule="auto"/>
        <w:ind w:left="0" w:right="0" w:firstLine="0" w:firstLineChars="0"/>
        <w:rPr>
          <w:sz w:val="24"/>
          <w:szCs w:val="24"/>
          <w:lang w:val="en-US"/>
        </w:rPr>
      </w:pPr>
      <w:bookmarkStart w:id="328" w:name="_Toc26646"/>
      <w:bookmarkStart w:id="329" w:name="_Toc16303"/>
      <w:bookmarkStart w:id="330" w:name="_Toc2475"/>
      <w:bookmarkStart w:id="331" w:name="_Toc32562"/>
      <w:r>
        <w:rPr>
          <w:rFonts w:hint="eastAsia" w:ascii="黑体" w:hAnsi="黑体" w:eastAsia="黑体" w:cs="黑体"/>
          <w:b w:val="0"/>
          <w:bCs w:val="0"/>
          <w:kern w:val="0"/>
          <w:sz w:val="21"/>
          <w:szCs w:val="21"/>
          <w:lang w:val="en-US" w:eastAsia="zh-CN" w:bidi="ar-SA"/>
        </w:rPr>
        <w:t>8.3  设备安装</w:t>
      </w:r>
      <w:bookmarkEnd w:id="328"/>
      <w:bookmarkEnd w:id="329"/>
      <w:bookmarkEnd w:id="330"/>
      <w:bookmarkEnd w:id="331"/>
    </w:p>
    <w:p w14:paraId="41BDB8DF">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8.3.1-1  本条规定了风机及风机箱安装验收的主控项目内容。工程现场对风机叶轮安装的质量和平衡性的检查,最有效、粗略的方法就是盘动叶轮,观察它的转动情况，如不停留在同一个位置,则说明相对平衡。</w:t>
      </w:r>
    </w:p>
    <w:p w14:paraId="197D4353">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8.3.1-3  风机设有减振台座落地安装时,由于运行振动会造成位移,因此条文规定应采取防止设备水平位移的措施。</w:t>
      </w:r>
    </w:p>
    <w:p w14:paraId="7D8AF58C">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8.3.1-4  悬挂安装的风机,在运行的时候会产生持续的振动,处理不当会由于金属疲劳而断裂，可能造成事故,因此规定应符合设计要求。</w:t>
      </w:r>
    </w:p>
    <w:p w14:paraId="2455FD13">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8.3.1-6  风机机壳承受额外的负担,易产生变形而危及其正常的运行，故条文规定与之相连的风管与阀件应设独立支、吊架。</w:t>
      </w:r>
    </w:p>
    <w:p w14:paraId="0F8E203F">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lang w:val="en-US"/>
        </w:rPr>
      </w:pPr>
      <w:r>
        <w:rPr>
          <w:rFonts w:hint="eastAsia" w:cs="宋体"/>
          <w:b w:val="0"/>
          <w:bCs w:val="0"/>
          <w:kern w:val="2"/>
          <w:sz w:val="21"/>
          <w:szCs w:val="21"/>
          <w:lang w:val="en-US" w:eastAsia="zh-CN" w:bidi="ar"/>
        </w:rPr>
        <w:t>8.3.1-7  为防止风机对人的意外伤害,本条是对通风机传动装置的外露部分及敞开的孔口应采取保护性措施的规定。</w:t>
      </w:r>
    </w:p>
    <w:p w14:paraId="633240F5">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32" w:name="_Toc8762"/>
      <w:bookmarkStart w:id="333" w:name="_Toc6863"/>
      <w:bookmarkStart w:id="334" w:name="_Toc6214"/>
      <w:bookmarkStart w:id="335" w:name="_Toc27805"/>
      <w:r>
        <w:rPr>
          <w:rFonts w:hint="eastAsia" w:ascii="黑体" w:hAnsi="黑体" w:eastAsia="黑体" w:cs="黑体"/>
          <w:b w:val="0"/>
          <w:bCs w:val="0"/>
          <w:kern w:val="0"/>
          <w:sz w:val="21"/>
          <w:szCs w:val="21"/>
          <w:lang w:val="en-US" w:eastAsia="zh-CN" w:bidi="ar-SA"/>
        </w:rPr>
        <w:t>8.4  事故排风系统调试</w:t>
      </w:r>
      <w:bookmarkEnd w:id="332"/>
      <w:bookmarkEnd w:id="333"/>
      <w:bookmarkEnd w:id="334"/>
      <w:bookmarkEnd w:id="335"/>
    </w:p>
    <w:p w14:paraId="0B3FE54A">
      <w:pPr>
        <w:ind w:left="0" w:leftChars="0" w:firstLine="0" w:firstLineChars="0"/>
        <w:rPr>
          <w:rFonts w:hint="default" w:hAnsi="宋体" w:eastAsia="宋体" w:cs="宋体"/>
          <w:b/>
          <w:bCs/>
          <w:lang w:val="en-US" w:eastAsia="zh-CN"/>
        </w:rPr>
      </w:pPr>
      <w:r>
        <w:rPr>
          <w:rFonts w:hint="eastAsia" w:ascii="宋体" w:hAnsi="Times New Roman" w:eastAsia="宋体" w:cs="宋体"/>
          <w:b w:val="0"/>
          <w:bCs w:val="0"/>
          <w:kern w:val="2"/>
          <w:sz w:val="21"/>
          <w:szCs w:val="21"/>
          <w:lang w:val="en-US" w:eastAsia="zh-CN" w:bidi="ar"/>
        </w:rPr>
        <w:t>8.4.2  机房内的送风机及排风机与二氧化碳防泄漏保护监测系统连接，可以即时有效的改善机房内的空气环境，通常应确保受保护区域内的氧气浓度处于安全的</w:t>
      </w:r>
      <w:r>
        <w:rPr>
          <w:rFonts w:hint="default" w:ascii="宋体" w:hAnsi="Times New Roman" w:eastAsia="宋体" w:cs="宋体"/>
          <w:b w:val="0"/>
          <w:bCs w:val="0"/>
          <w:kern w:val="2"/>
          <w:sz w:val="21"/>
          <w:szCs w:val="21"/>
          <w:lang w:val="en-US" w:eastAsia="zh-CN" w:bidi="ar"/>
        </w:rPr>
        <w:t>19.5%~23.5%</w:t>
      </w:r>
      <w:r>
        <w:rPr>
          <w:rFonts w:hint="eastAsia" w:ascii="宋体" w:hAnsi="Times New Roman" w:eastAsia="宋体" w:cs="宋体"/>
          <w:b w:val="0"/>
          <w:bCs w:val="0"/>
          <w:kern w:val="2"/>
          <w:sz w:val="21"/>
          <w:szCs w:val="21"/>
          <w:lang w:val="en-US" w:eastAsia="zh-CN" w:bidi="ar"/>
        </w:rPr>
        <w:t>，二氧化碳浓度低于</w:t>
      </w:r>
      <w:r>
        <w:rPr>
          <w:rFonts w:hint="default" w:ascii="宋体" w:hAnsi="Times New Roman" w:eastAsia="宋体" w:cs="宋体"/>
          <w:b w:val="0"/>
          <w:bCs w:val="0"/>
          <w:kern w:val="2"/>
          <w:sz w:val="21"/>
          <w:szCs w:val="21"/>
          <w:lang w:val="en-US" w:eastAsia="zh-CN" w:bidi="ar"/>
        </w:rPr>
        <w:t>1000ppm</w:t>
      </w:r>
      <w:r>
        <w:rPr>
          <w:rFonts w:hint="eastAsia" w:ascii="宋体" w:hAnsi="Times New Roman" w:eastAsia="宋体" w:cs="宋体"/>
          <w:b w:val="0"/>
          <w:bCs w:val="0"/>
          <w:kern w:val="2"/>
          <w:sz w:val="21"/>
          <w:szCs w:val="21"/>
          <w:lang w:val="en-US" w:eastAsia="zh-CN" w:bidi="ar"/>
        </w:rPr>
        <w:t>。</w:t>
      </w:r>
      <w:r>
        <w:rPr>
          <w:rFonts w:hint="default" w:hAnsi="宋体" w:eastAsia="宋体" w:cs="宋体"/>
          <w:b/>
          <w:bCs/>
          <w:lang w:val="en-US" w:eastAsia="zh-CN"/>
        </w:rPr>
        <w:br w:type="page"/>
      </w:r>
    </w:p>
    <w:p w14:paraId="63504FB8">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default" w:ascii="黑体" w:hAnsi="黑体" w:eastAsia="黑体" w:cs="Times New Roman"/>
          <w:bCs w:val="0"/>
          <w:sz w:val="21"/>
          <w:szCs w:val="20"/>
          <w:lang w:val="en-US"/>
        </w:rPr>
      </w:pPr>
      <w:bookmarkStart w:id="336" w:name="_Toc7097"/>
      <w:bookmarkStart w:id="337" w:name="_Toc7101"/>
      <w:bookmarkStart w:id="338" w:name="_Toc28189"/>
      <w:bookmarkStart w:id="339" w:name="_Toc6057"/>
      <w:r>
        <w:rPr>
          <w:rFonts w:hint="eastAsia" w:ascii="黑体" w:hAnsi="黑体" w:eastAsia="黑体" w:cs="Times New Roman"/>
          <w:bCs w:val="0"/>
          <w:sz w:val="21"/>
          <w:szCs w:val="20"/>
          <w:lang w:val="en-US"/>
        </w:rPr>
        <w:t xml:space="preserve">9 </w:t>
      </w:r>
      <w:r>
        <w:rPr>
          <w:rFonts w:hint="default" w:ascii="黑体" w:hAnsi="黑体" w:eastAsia="黑体" w:cs="Times New Roman"/>
          <w:bCs w:val="0"/>
          <w:sz w:val="21"/>
          <w:szCs w:val="20"/>
          <w:lang w:val="en-US"/>
        </w:rPr>
        <w:t xml:space="preserve"> </w:t>
      </w:r>
      <w:r>
        <w:rPr>
          <w:rFonts w:hint="eastAsia" w:ascii="黑体" w:hAnsi="黑体" w:eastAsia="黑体" w:cs="Times New Roman"/>
          <w:bCs w:val="0"/>
          <w:sz w:val="21"/>
          <w:szCs w:val="20"/>
          <w:lang w:val="en-US" w:eastAsia="zh-CN"/>
        </w:rPr>
        <w:t>电气系统安装</w:t>
      </w:r>
      <w:bookmarkEnd w:id="336"/>
      <w:bookmarkEnd w:id="337"/>
      <w:bookmarkEnd w:id="338"/>
      <w:bookmarkEnd w:id="339"/>
    </w:p>
    <w:p w14:paraId="2DEC9667">
      <w:pPr>
        <w:pStyle w:val="6"/>
        <w:widowControl/>
        <w:spacing w:before="240" w:beforeLines="100" w:beforeAutospacing="0" w:after="240" w:afterLines="100" w:afterAutospacing="0" w:line="360" w:lineRule="auto"/>
        <w:ind w:left="0" w:right="0" w:firstLine="0" w:firstLineChars="0"/>
        <w:rPr>
          <w:rFonts w:hint="default" w:ascii="Times New Roman" w:hAnsi="Times New Roman" w:cs="宋体"/>
          <w:sz w:val="24"/>
          <w:szCs w:val="28"/>
          <w:lang w:val="en-US"/>
        </w:rPr>
      </w:pPr>
      <w:bookmarkStart w:id="340" w:name="_Toc16499"/>
      <w:bookmarkStart w:id="341" w:name="_Toc3579"/>
      <w:bookmarkStart w:id="342" w:name="_Toc17208"/>
      <w:bookmarkStart w:id="343" w:name="_Toc2962"/>
      <w:r>
        <w:rPr>
          <w:rFonts w:hint="eastAsia" w:ascii="黑体" w:hAnsi="黑体" w:eastAsia="黑体" w:cs="黑体"/>
          <w:b w:val="0"/>
          <w:bCs w:val="0"/>
          <w:kern w:val="0"/>
          <w:sz w:val="21"/>
          <w:szCs w:val="21"/>
          <w:lang w:val="en-US" w:eastAsia="zh-CN" w:bidi="ar-SA"/>
        </w:rPr>
        <w:t xml:space="preserve">9.5 </w:t>
      </w:r>
      <w:r>
        <w:rPr>
          <w:rFonts w:hint="default" w:ascii="黑体" w:hAnsi="黑体" w:eastAsia="黑体" w:cs="黑体"/>
          <w:b w:val="0"/>
          <w:bCs w:val="0"/>
          <w:kern w:val="0"/>
          <w:sz w:val="21"/>
          <w:szCs w:val="21"/>
          <w:lang w:val="en-US" w:eastAsia="zh-CN" w:bidi="ar-SA"/>
        </w:rPr>
        <w:t xml:space="preserve"> </w:t>
      </w:r>
      <w:r>
        <w:rPr>
          <w:rFonts w:hint="eastAsia" w:ascii="黑体" w:hAnsi="黑体" w:eastAsia="黑体" w:cs="黑体"/>
          <w:b w:val="0"/>
          <w:bCs w:val="0"/>
          <w:kern w:val="0"/>
          <w:sz w:val="21"/>
          <w:szCs w:val="21"/>
          <w:lang w:val="en-US" w:eastAsia="zh-CN" w:bidi="ar-SA"/>
        </w:rPr>
        <w:t>系统调试</w:t>
      </w:r>
      <w:bookmarkEnd w:id="340"/>
      <w:bookmarkEnd w:id="341"/>
      <w:bookmarkEnd w:id="342"/>
      <w:bookmarkEnd w:id="343"/>
    </w:p>
    <w:p w14:paraId="4C0351D0">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9.5.5-2  电动机的空载电流一般为额定电流的30%(指异步电动机)以下，机身的温升经2h空载试运行不会太高，电动机空载运行是指设备不投料状态下的运行，重点是考核机械装配质量，尤其要注意噪声是否太大或有异常撞击声响。此外，要检查轴承的温度是否正常，如滚动轴承润滑脂填充量过多,会导致轴承温度过高且试运行中温度上升急剧。但由于电动机起动瞬时电流要比额定电流大，有的达6倍～8倍,虽然空载(设备不投料)无负荷,但因被拖动的设备转动惯量大(如风机等)，起动电流衰减的速度慢、时间长，为防止因起动频繁造成电动机线圈过热，故规定连续起动的时间间隔。</w:t>
      </w:r>
    </w:p>
    <w:p w14:paraId="352C51C9">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9.5.3  试运行时要检测有关仪表的指示，并作记录，对照电气设备的铭牌标示值检查是否超标,以判定试运行是否正常。</w:t>
      </w:r>
    </w:p>
    <w:p w14:paraId="2A31375C">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ascii="宋体" w:hAnsi="宋体" w:eastAsia="宋体" w:cs="宋体"/>
          <w:b w:val="0"/>
          <w:bCs/>
          <w:color w:val="auto"/>
          <w:kern w:val="2"/>
          <w:sz w:val="24"/>
          <w:szCs w:val="24"/>
          <w:lang w:val="en-US" w:eastAsia="zh-CN" w:bidi="ar"/>
        </w:rPr>
      </w:pPr>
      <w:r>
        <w:rPr>
          <w:rFonts w:hint="eastAsia" w:cs="宋体"/>
          <w:b w:val="0"/>
          <w:bCs w:val="0"/>
          <w:kern w:val="2"/>
          <w:sz w:val="21"/>
          <w:szCs w:val="21"/>
          <w:lang w:val="en-US" w:eastAsia="zh-CN" w:bidi="ar"/>
        </w:rPr>
        <w:t>9.5.4  电动执行机构的动作方向，在手动或点动时已经确认与工艺装置要求一致，但在联动试运行时，仍需仔细检查，否则工艺的工况会出现不正常,有的会诱发安全事故。</w:t>
      </w:r>
    </w:p>
    <w:p w14:paraId="4A683FE8">
      <w:pPr>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br w:type="page"/>
      </w:r>
    </w:p>
    <w:p w14:paraId="24C22C18">
      <w:pPr>
        <w:pStyle w:val="5"/>
        <w:keepNext/>
        <w:keepLines/>
        <w:pageBreakBefore w:val="0"/>
        <w:widowControl w:val="0"/>
        <w:kinsoku/>
        <w:wordWrap/>
        <w:overflowPunct/>
        <w:topLinePunct w:val="0"/>
        <w:autoSpaceDE/>
        <w:autoSpaceDN/>
        <w:bidi w:val="0"/>
        <w:adjustRightInd/>
        <w:snapToGrid w:val="0"/>
        <w:spacing w:before="469" w:beforeLines="150" w:after="469" w:afterLines="150" w:line="360" w:lineRule="auto"/>
        <w:ind w:firstLine="0" w:firstLineChars="0"/>
        <w:textAlignment w:val="auto"/>
        <w:outlineLvl w:val="0"/>
        <w:rPr>
          <w:rFonts w:ascii="宋体" w:hAnsi="宋体" w:cs="宋体"/>
          <w:bCs w:val="0"/>
          <w:color w:val="auto"/>
        </w:rPr>
      </w:pPr>
      <w:bookmarkStart w:id="344" w:name="_Toc29994"/>
      <w:bookmarkStart w:id="345" w:name="_Toc13780"/>
      <w:bookmarkStart w:id="346" w:name="_Toc30374"/>
      <w:bookmarkStart w:id="347" w:name="_Toc18274"/>
      <w:r>
        <w:rPr>
          <w:rFonts w:hint="eastAsia" w:ascii="黑体" w:hAnsi="黑体" w:eastAsia="黑体" w:cs="Times New Roman"/>
          <w:bCs w:val="0"/>
          <w:sz w:val="21"/>
          <w:szCs w:val="20"/>
          <w:lang w:val="en-US"/>
        </w:rPr>
        <w:t xml:space="preserve">10 </w:t>
      </w:r>
      <w:r>
        <w:rPr>
          <w:rFonts w:hint="eastAsia" w:ascii="黑体" w:hAnsi="黑体" w:eastAsia="黑体" w:cs="Times New Roman"/>
          <w:bCs w:val="0"/>
          <w:sz w:val="21"/>
          <w:szCs w:val="20"/>
          <w:lang w:val="en-US" w:eastAsia="zh-CN"/>
        </w:rPr>
        <w:t xml:space="preserve"> </w:t>
      </w:r>
      <w:r>
        <w:rPr>
          <w:rFonts w:hint="eastAsia" w:ascii="黑体" w:hAnsi="黑体" w:eastAsia="黑体" w:cs="Times New Roman"/>
          <w:bCs w:val="0"/>
          <w:sz w:val="21"/>
          <w:szCs w:val="20"/>
          <w:lang w:val="en-US"/>
        </w:rPr>
        <w:t>自动化监控系统安装</w:t>
      </w:r>
      <w:bookmarkEnd w:id="344"/>
      <w:bookmarkEnd w:id="345"/>
      <w:bookmarkEnd w:id="346"/>
      <w:bookmarkEnd w:id="347"/>
    </w:p>
    <w:p w14:paraId="2E576677">
      <w:pPr>
        <w:pStyle w:val="6"/>
        <w:keepNext/>
        <w:keepLines/>
        <w:pageBreakBefore w:val="0"/>
        <w:widowControl w:val="0"/>
        <w:kinsoku/>
        <w:wordWrap/>
        <w:overflowPunct/>
        <w:topLinePunct w:val="0"/>
        <w:autoSpaceDE/>
        <w:autoSpaceDN/>
        <w:bidi w:val="0"/>
        <w:adjustRightInd/>
        <w:snapToGrid w:val="0"/>
        <w:spacing w:before="313" w:beforeLines="100" w:after="313" w:afterLines="100" w:line="360" w:lineRule="auto"/>
        <w:ind w:firstLine="0" w:firstLineChars="0"/>
        <w:textAlignment w:val="auto"/>
        <w:rPr>
          <w:rFonts w:hint="eastAsia" w:ascii="宋体" w:hAnsi="宋体" w:eastAsia="宋体" w:cs="宋体"/>
          <w:color w:val="auto"/>
          <w:sz w:val="24"/>
          <w:szCs w:val="24"/>
          <w:lang w:val="en-US" w:eastAsia="zh-CN"/>
        </w:rPr>
      </w:pPr>
      <w:bookmarkStart w:id="348" w:name="_Toc32218"/>
      <w:bookmarkStart w:id="349" w:name="_Toc6323"/>
      <w:bookmarkStart w:id="350" w:name="_Toc25229"/>
      <w:bookmarkStart w:id="351" w:name="_Toc9404"/>
      <w:r>
        <w:rPr>
          <w:rFonts w:hint="eastAsia" w:ascii="黑体" w:hAnsi="黑体" w:eastAsia="黑体" w:cs="黑体"/>
          <w:b w:val="0"/>
          <w:bCs w:val="0"/>
          <w:kern w:val="0"/>
          <w:sz w:val="21"/>
          <w:szCs w:val="21"/>
          <w:lang w:val="en-US" w:eastAsia="zh-CN" w:bidi="ar-SA"/>
        </w:rPr>
        <w:t>10.4 系统调试</w:t>
      </w:r>
      <w:bookmarkEnd w:id="348"/>
      <w:bookmarkEnd w:id="349"/>
      <w:bookmarkEnd w:id="350"/>
      <w:bookmarkEnd w:id="351"/>
    </w:p>
    <w:p w14:paraId="7DB655BF">
      <w:pPr>
        <w:ind w:left="0" w:leftChars="0" w:firstLine="0" w:firstLineChars="0"/>
        <w:rPr>
          <w:rFonts w:hint="eastAsia" w:ascii="宋体" w:hAnsi="宋体" w:eastAsia="宋体" w:cs="宋体"/>
          <w:b/>
          <w:bCs w:val="0"/>
          <w:lang w:val="en-US"/>
        </w:rPr>
      </w:pPr>
      <w:r>
        <w:rPr>
          <w:rFonts w:hint="eastAsia" w:ascii="宋体" w:hAnsi="Times New Roman" w:eastAsia="宋体" w:cs="宋体"/>
          <w:b w:val="0"/>
          <w:bCs w:val="0"/>
          <w:kern w:val="2"/>
          <w:sz w:val="21"/>
          <w:szCs w:val="21"/>
          <w:lang w:val="en-US" w:eastAsia="zh-CN" w:bidi="ar"/>
        </w:rPr>
        <w:t>10.4.6  如高低压保护、液位保护、过流、过载、缺相、欠过压、相序保护等，接线是否正确均为典型的运行及报警状态。</w:t>
      </w:r>
      <w:r>
        <w:rPr>
          <w:rFonts w:hint="eastAsia" w:ascii="宋体" w:hAnsi="宋体" w:eastAsia="宋体" w:cs="宋体"/>
          <w:b/>
          <w:bCs w:val="0"/>
          <w:lang w:val="en-US"/>
        </w:rPr>
        <w:br w:type="page"/>
      </w:r>
    </w:p>
    <w:p w14:paraId="405BAA23">
      <w:pPr>
        <w:pStyle w:val="5"/>
        <w:keepNext/>
        <w:keepLines/>
        <w:pageBreakBefore w:val="0"/>
        <w:widowControl/>
        <w:kinsoku/>
        <w:wordWrap/>
        <w:overflowPunct/>
        <w:topLinePunct w:val="0"/>
        <w:autoSpaceDE/>
        <w:autoSpaceDN/>
        <w:bidi w:val="0"/>
        <w:adjustRightInd/>
        <w:snapToGrid/>
        <w:spacing w:before="469" w:beforeLines="150" w:after="469" w:afterLines="150"/>
        <w:ind w:left="0" w:firstLine="0" w:firstLineChars="0"/>
        <w:textAlignment w:val="auto"/>
        <w:rPr>
          <w:rFonts w:hint="eastAsia" w:ascii="宋体" w:hAnsi="宋体" w:eastAsia="宋体" w:cs="宋体"/>
          <w:b/>
          <w:bCs w:val="0"/>
          <w:lang w:val="en-US"/>
        </w:rPr>
      </w:pPr>
      <w:bookmarkStart w:id="352" w:name="_Toc14551"/>
      <w:bookmarkStart w:id="353" w:name="_Toc16716"/>
      <w:bookmarkStart w:id="354" w:name="_Toc23440"/>
      <w:bookmarkStart w:id="355" w:name="_Toc20093"/>
      <w:r>
        <w:rPr>
          <w:rFonts w:hint="eastAsia" w:ascii="黑体" w:hAnsi="黑体" w:eastAsia="黑体" w:cs="Times New Roman"/>
          <w:bCs w:val="0"/>
          <w:sz w:val="21"/>
          <w:szCs w:val="20"/>
          <w:lang w:val="en-US"/>
        </w:rPr>
        <w:t xml:space="preserve">12  </w:t>
      </w:r>
      <w:r>
        <w:rPr>
          <w:rFonts w:hint="eastAsia" w:ascii="黑体" w:hAnsi="黑体" w:eastAsia="黑体" w:cs="Times New Roman"/>
          <w:bCs w:val="0"/>
          <w:sz w:val="21"/>
          <w:szCs w:val="20"/>
          <w:lang w:val="en-US" w:eastAsia="zh-CN"/>
        </w:rPr>
        <w:t>工程验收及交付</w:t>
      </w:r>
      <w:bookmarkEnd w:id="352"/>
      <w:bookmarkEnd w:id="353"/>
      <w:bookmarkEnd w:id="354"/>
      <w:bookmarkEnd w:id="355"/>
    </w:p>
    <w:p w14:paraId="4848E0C3">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56" w:name="_Toc14165"/>
      <w:bookmarkStart w:id="357" w:name="_Toc11765"/>
      <w:bookmarkStart w:id="358" w:name="_Toc23453"/>
      <w:bookmarkStart w:id="359" w:name="_Toc6502"/>
      <w:r>
        <w:rPr>
          <w:rFonts w:hint="eastAsia" w:ascii="黑体" w:hAnsi="黑体" w:eastAsia="黑体" w:cs="黑体"/>
          <w:b w:val="0"/>
          <w:bCs w:val="0"/>
          <w:kern w:val="0"/>
          <w:sz w:val="21"/>
          <w:szCs w:val="21"/>
          <w:lang w:val="en-US" w:eastAsia="zh-CN" w:bidi="ar-SA"/>
        </w:rPr>
        <w:t>12.2 施工质量验收的程序及组织</w:t>
      </w:r>
      <w:bookmarkEnd w:id="356"/>
      <w:bookmarkEnd w:id="357"/>
      <w:bookmarkEnd w:id="358"/>
      <w:bookmarkEnd w:id="359"/>
    </w:p>
    <w:p w14:paraId="107671E3">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12.2.1  验收时，将建筑工程划分为检验批、分项工程、分部工程、单位工程的方式已被采纳和接受，在建筑工程验收过程中应用情况良好，本次修订继续执行该划分方法。 </w:t>
      </w:r>
    </w:p>
    <w:p w14:paraId="7ED38410">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12.2.2  检验批验收是建筑工程施工质量验收的最基本层次，是单位工程质量验收的基础，所有检验批均应由专业监理工程师组织验收。验收前，施工单位应完成自检，对存在的问题自行整改处理，然后申请专业监理工程师组织验收。 </w:t>
      </w:r>
    </w:p>
    <w:p w14:paraId="618E3DF0">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分项工程由若干个检验批组成，也是单位工程质量验收的基础。验收时在专业监理工程师组织下，可由施工单位项目技术负责人对所有检验批记录进行汇总，核查无误后报专业监理工程师审查，确认符合要求后，由项目专业技术负责人在分项工程质量验收记录中签字，然后由专业监理工程师签字通过验收。 </w:t>
      </w:r>
    </w:p>
    <w:p w14:paraId="7F2DCF4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在分项工程验收中，如果对检验批验收结论有怀疑或异议时，应进行相应的现场检查核实。</w:t>
      </w:r>
    </w:p>
    <w:p w14:paraId="171C3234">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 xml:space="preserve">12.2.3  参加验收的人员，除指定的人员必须参加验收外，允许其他相关人员共同参加验收。 </w:t>
      </w:r>
    </w:p>
    <w:p w14:paraId="0D104096">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由于各施工单位的机构和岗位设置不同，施工单位技术、质量负责人允许是两位人员，也可以是一位人员。</w:t>
      </w:r>
    </w:p>
    <w:p w14:paraId="5F9A68E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color w:val="000000"/>
          <w:kern w:val="0"/>
          <w:sz w:val="21"/>
          <w:szCs w:val="21"/>
          <w:lang w:val="en-US" w:bidi="ar"/>
        </w:rPr>
      </w:pPr>
      <w:r>
        <w:rPr>
          <w:rFonts w:hint="eastAsia" w:cs="宋体"/>
          <w:b w:val="0"/>
          <w:bCs w:val="0"/>
          <w:kern w:val="2"/>
          <w:sz w:val="21"/>
          <w:szCs w:val="21"/>
          <w:lang w:val="en-US" w:eastAsia="zh-CN" w:bidi="ar"/>
        </w:rPr>
        <w:t>12.2.4  单位（子单位）工程完工后，分包单位应对所承包的工程项目进行自检，并应按本标准规定的程序进行验收。验收时，总包单位应派人参加。分包单位应将所分包工程的质量控制资料整理完整，并移交给总包单位。</w:t>
      </w:r>
    </w:p>
    <w:p w14:paraId="3020E1DB">
      <w:pPr>
        <w:pStyle w:val="6"/>
        <w:widowControl/>
        <w:spacing w:before="240" w:beforeLines="100" w:beforeAutospacing="0" w:after="240" w:afterLines="100" w:afterAutospacing="0" w:line="360" w:lineRule="auto"/>
        <w:ind w:left="0" w:right="0" w:firstLine="0" w:firstLineChars="0"/>
        <w:rPr>
          <w:rFonts w:hint="eastAsia" w:ascii="黑体" w:hAnsi="黑体" w:eastAsia="黑体" w:cs="黑体"/>
          <w:b w:val="0"/>
          <w:bCs w:val="0"/>
          <w:kern w:val="0"/>
          <w:sz w:val="21"/>
          <w:szCs w:val="21"/>
          <w:lang w:val="en-US" w:eastAsia="zh-CN" w:bidi="ar-SA"/>
        </w:rPr>
      </w:pPr>
      <w:bookmarkStart w:id="360" w:name="_Toc15275"/>
      <w:bookmarkStart w:id="361" w:name="_Toc2999"/>
      <w:bookmarkStart w:id="362" w:name="_Toc32023"/>
      <w:bookmarkStart w:id="363" w:name="_Toc29054"/>
      <w:r>
        <w:rPr>
          <w:rFonts w:hint="eastAsia" w:ascii="黑体" w:hAnsi="黑体" w:eastAsia="黑体" w:cs="黑体"/>
          <w:b w:val="0"/>
          <w:bCs w:val="0"/>
          <w:kern w:val="0"/>
          <w:sz w:val="21"/>
          <w:szCs w:val="21"/>
          <w:lang w:val="en-US" w:eastAsia="zh-CN" w:bidi="ar-SA"/>
        </w:rPr>
        <w:t>12.3 工程验收要求及资料</w:t>
      </w:r>
      <w:bookmarkEnd w:id="360"/>
      <w:bookmarkEnd w:id="361"/>
      <w:bookmarkEnd w:id="362"/>
      <w:bookmarkEnd w:id="363"/>
    </w:p>
    <w:p w14:paraId="1E57DFB1">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int="eastAsia" w:cs="宋体"/>
          <w:b w:val="0"/>
          <w:bCs w:val="0"/>
          <w:kern w:val="2"/>
          <w:sz w:val="21"/>
          <w:szCs w:val="21"/>
          <w:lang w:val="en-US" w:eastAsia="zh-CN" w:bidi="ar"/>
        </w:rPr>
      </w:pPr>
      <w:r>
        <w:rPr>
          <w:rFonts w:hint="eastAsia" w:cs="宋体"/>
          <w:b w:val="0"/>
          <w:bCs w:val="0"/>
          <w:kern w:val="2"/>
          <w:sz w:val="21"/>
          <w:szCs w:val="21"/>
          <w:lang w:val="en-US" w:eastAsia="zh-CN" w:bidi="ar"/>
        </w:rPr>
        <w:t>12.3.2  截止阀开关状态，节流阀开启度都属于手动控制装置的调试范围。</w:t>
      </w:r>
    </w:p>
    <w:p w14:paraId="03C11BE0">
      <w:pPr>
        <w:pStyle w:val="2"/>
        <w:keepNext w:val="0"/>
        <w:keepLines w:val="0"/>
        <w:pageBreakBefore w:val="0"/>
        <w:widowControl w:val="0"/>
        <w:kinsoku/>
        <w:wordWrap/>
        <w:overflowPunct/>
        <w:topLinePunct w:val="0"/>
        <w:autoSpaceDE/>
        <w:autoSpaceDN/>
        <w:bidi w:val="0"/>
        <w:adjustRightInd/>
        <w:spacing w:before="0" w:after="0"/>
        <w:ind w:left="0" w:leftChars="0" w:firstLine="0" w:firstLineChars="0"/>
        <w:jc w:val="left"/>
        <w:textAlignment w:val="auto"/>
        <w:rPr>
          <w:rFonts w:hAnsi="宋体" w:cs="宋体"/>
          <w:b/>
          <w:bCs/>
          <w:szCs w:val="21"/>
          <w:lang w:val="en-US"/>
        </w:rPr>
      </w:pPr>
      <w:r>
        <w:rPr>
          <w:rFonts w:hint="eastAsia" w:cs="宋体"/>
          <w:b w:val="0"/>
          <w:bCs w:val="0"/>
          <w:kern w:val="2"/>
          <w:sz w:val="21"/>
          <w:szCs w:val="21"/>
          <w:lang w:val="en-US" w:eastAsia="zh-CN" w:bidi="ar"/>
        </w:rPr>
        <w:t>12.3.3-3  “主要材料”包括但不限于管道、管件、型钢、制冷剂、保冷材料、防腐材料等，“各种证明文件”包括但不限于材质报告、检验报告等。</w:t>
      </w:r>
    </w:p>
    <w:p w14:paraId="7CF93E7F">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4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机器、设备基础复检记录及预留孔洞、预埋件的复检记录；</w:t>
      </w:r>
    </w:p>
    <w:p w14:paraId="46E8F32C">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5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隐蔽工程施工记录及验收文件；</w:t>
      </w:r>
    </w:p>
    <w:p w14:paraId="243F2602">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6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管道焊接记录和检验记录；</w:t>
      </w:r>
    </w:p>
    <w:p w14:paraId="6C170424">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7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设备安装工序施工记录；</w:t>
      </w:r>
    </w:p>
    <w:p w14:paraId="6E914BC1">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8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制</w:t>
      </w:r>
      <w:r>
        <w:rPr>
          <w:rFonts w:hint="eastAsia" w:hAnsi="宋体" w:cs="宋体"/>
          <w:b w:val="0"/>
          <w:bCs w:val="0"/>
          <w:sz w:val="21"/>
          <w:szCs w:val="21"/>
          <w:lang w:val="en-US" w:eastAsia="zh-CN"/>
        </w:rPr>
        <w:t>冰</w:t>
      </w:r>
      <w:r>
        <w:rPr>
          <w:rFonts w:hint="eastAsia" w:ascii="宋体" w:hAnsi="宋体" w:cs="宋体"/>
          <w:b w:val="0"/>
          <w:bCs w:val="0"/>
          <w:sz w:val="21"/>
          <w:szCs w:val="21"/>
        </w:rPr>
        <w:t>系统吹扫、排污工作记录；</w:t>
      </w:r>
    </w:p>
    <w:p w14:paraId="428A87F7">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 xml:space="preserve">9 </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制</w:t>
      </w:r>
      <w:r>
        <w:rPr>
          <w:rFonts w:hint="eastAsia" w:hAnsi="宋体" w:cs="宋体"/>
          <w:b w:val="0"/>
          <w:bCs w:val="0"/>
          <w:sz w:val="21"/>
          <w:szCs w:val="21"/>
          <w:lang w:val="en-US" w:eastAsia="zh-CN"/>
        </w:rPr>
        <w:t>冰</w:t>
      </w:r>
      <w:r>
        <w:rPr>
          <w:rFonts w:hint="eastAsia" w:ascii="宋体" w:hAnsi="宋体" w:cs="宋体"/>
          <w:b w:val="0"/>
          <w:bCs w:val="0"/>
          <w:sz w:val="21"/>
          <w:szCs w:val="21"/>
        </w:rPr>
        <w:t>系统强度严密性试验和真空度试验记录；</w:t>
      </w:r>
    </w:p>
    <w:p w14:paraId="32C8C2D4">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10</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制冷剂充注和制冷系统试运转工作记录；</w:t>
      </w:r>
    </w:p>
    <w:p w14:paraId="6E0D9178">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11</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设计修改通知单，竣工图；</w:t>
      </w:r>
    </w:p>
    <w:p w14:paraId="0F42F690">
      <w:pPr>
        <w:snapToGrid w:val="0"/>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rPr>
        <w:t>12</w:t>
      </w:r>
      <w:r>
        <w:rPr>
          <w:rFonts w:hint="eastAsia" w:hAnsi="宋体" w:cs="宋体"/>
          <w:b w:val="0"/>
          <w:bCs w:val="0"/>
          <w:sz w:val="21"/>
          <w:szCs w:val="21"/>
          <w:lang w:val="en-US" w:eastAsia="zh-CN"/>
        </w:rPr>
        <w:t xml:space="preserve"> </w:t>
      </w:r>
      <w:r>
        <w:rPr>
          <w:rFonts w:hint="eastAsia" w:ascii="宋体" w:hAnsi="宋体" w:cs="宋体"/>
          <w:b w:val="0"/>
          <w:bCs w:val="0"/>
          <w:sz w:val="21"/>
          <w:szCs w:val="21"/>
        </w:rPr>
        <w:t xml:space="preserve"> 竣工报告及其他</w:t>
      </w:r>
      <w:r>
        <w:rPr>
          <w:rFonts w:hint="eastAsia" w:hAnsi="宋体" w:cs="宋体"/>
          <w:b w:val="0"/>
          <w:bCs w:val="0"/>
          <w:sz w:val="21"/>
          <w:szCs w:val="21"/>
          <w:lang w:val="en-US" w:eastAsia="zh-CN"/>
        </w:rPr>
        <w:t>验收</w:t>
      </w:r>
      <w:r>
        <w:rPr>
          <w:rFonts w:hint="eastAsia" w:ascii="宋体" w:hAnsi="宋体" w:cs="宋体"/>
          <w:b w:val="0"/>
          <w:bCs w:val="0"/>
          <w:sz w:val="21"/>
          <w:szCs w:val="21"/>
        </w:rPr>
        <w:t>资料。</w:t>
      </w:r>
    </w:p>
    <w:p w14:paraId="0E956909">
      <w:pPr>
        <w:pStyle w:val="13"/>
        <w:keepNext w:val="0"/>
        <w:keepLines w:val="0"/>
        <w:widowControl w:val="0"/>
        <w:suppressLineNumbers w:val="0"/>
        <w:spacing w:before="0" w:beforeAutospacing="0" w:after="0" w:afterAutospacing="0" w:line="360" w:lineRule="auto"/>
        <w:ind w:left="0" w:right="0" w:firstLine="0" w:firstLineChars="0"/>
        <w:jc w:val="both"/>
        <w:rPr>
          <w:rFonts w:hint="default" w:ascii="宋体" w:hAnsi="宋体" w:eastAsia="宋体" w:cs="宋体"/>
          <w:b w:val="0"/>
          <w:bCs/>
          <w:color w:val="auto"/>
          <w:kern w:val="2"/>
          <w:sz w:val="24"/>
          <w:szCs w:val="24"/>
          <w:lang w:val="en-US" w:eastAsia="zh-CN" w:bidi="ar"/>
        </w:rPr>
      </w:pPr>
    </w:p>
    <w:p w14:paraId="469894AB">
      <w:pPr>
        <w:pStyle w:val="2"/>
        <w:rPr>
          <w:lang w:val="en-US"/>
        </w:rPr>
      </w:pPr>
    </w:p>
    <w:p w14:paraId="320315A5">
      <w:pPr>
        <w:pStyle w:val="4"/>
        <w:jc w:val="both"/>
        <w:rPr>
          <w:rFonts w:hint="default" w:ascii="宋体" w:hAnsi="宋体" w:eastAsia="宋体" w:cs="宋体"/>
          <w:b w:val="0"/>
          <w:bCs/>
          <w:kern w:val="2"/>
          <w:sz w:val="24"/>
          <w:szCs w:val="24"/>
          <w:lang w:val="en-US" w:eastAsia="zh-CN" w:bidi="ar"/>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lotter">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TSong-Ligh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86E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4F1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0D3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BCD4">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E297">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2D0">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B0735">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1B0735">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91F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4DF4">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MWZhNWVjODE1ZDMzNGMzNDNkZjIxOWY1NzMxMjkifQ=="/>
    <w:docVar w:name="KSO_WPS_MARK_KEY" w:val="2f391bff-44e2-41cf-a7da-dfc08f262619"/>
  </w:docVars>
  <w:rsids>
    <w:rsidRoot w:val="005961B1"/>
    <w:rsid w:val="00007E0E"/>
    <w:rsid w:val="00013B87"/>
    <w:rsid w:val="0001455E"/>
    <w:rsid w:val="0001602A"/>
    <w:rsid w:val="000403BB"/>
    <w:rsid w:val="0004165C"/>
    <w:rsid w:val="000419F8"/>
    <w:rsid w:val="00047540"/>
    <w:rsid w:val="00055C6F"/>
    <w:rsid w:val="00061429"/>
    <w:rsid w:val="00063DD0"/>
    <w:rsid w:val="000659C9"/>
    <w:rsid w:val="0006661D"/>
    <w:rsid w:val="00073A8A"/>
    <w:rsid w:val="00074349"/>
    <w:rsid w:val="00075E70"/>
    <w:rsid w:val="0008103A"/>
    <w:rsid w:val="00084AE2"/>
    <w:rsid w:val="000859EB"/>
    <w:rsid w:val="000A2367"/>
    <w:rsid w:val="000A4F32"/>
    <w:rsid w:val="000A596F"/>
    <w:rsid w:val="000A6EC5"/>
    <w:rsid w:val="000B486E"/>
    <w:rsid w:val="000C2852"/>
    <w:rsid w:val="000C4ABC"/>
    <w:rsid w:val="000D09B6"/>
    <w:rsid w:val="000E781E"/>
    <w:rsid w:val="000F01E6"/>
    <w:rsid w:val="000F22A8"/>
    <w:rsid w:val="000F3FEB"/>
    <w:rsid w:val="000F49CD"/>
    <w:rsid w:val="000F4F10"/>
    <w:rsid w:val="001007A2"/>
    <w:rsid w:val="0010342C"/>
    <w:rsid w:val="001164CC"/>
    <w:rsid w:val="00125DC4"/>
    <w:rsid w:val="0014306B"/>
    <w:rsid w:val="0015253D"/>
    <w:rsid w:val="001633B6"/>
    <w:rsid w:val="001708A5"/>
    <w:rsid w:val="00177E5D"/>
    <w:rsid w:val="00182DE4"/>
    <w:rsid w:val="001935B8"/>
    <w:rsid w:val="001A4089"/>
    <w:rsid w:val="001A41E3"/>
    <w:rsid w:val="001A6D7B"/>
    <w:rsid w:val="001B3582"/>
    <w:rsid w:val="001B4172"/>
    <w:rsid w:val="001B49C5"/>
    <w:rsid w:val="001B7953"/>
    <w:rsid w:val="001B7B72"/>
    <w:rsid w:val="001C25C4"/>
    <w:rsid w:val="001C40BB"/>
    <w:rsid w:val="001C478C"/>
    <w:rsid w:val="001C74C5"/>
    <w:rsid w:val="001D11C1"/>
    <w:rsid w:val="001D4061"/>
    <w:rsid w:val="001D4F94"/>
    <w:rsid w:val="001D51CC"/>
    <w:rsid w:val="001D5244"/>
    <w:rsid w:val="001D6290"/>
    <w:rsid w:val="001E1278"/>
    <w:rsid w:val="001E169E"/>
    <w:rsid w:val="001E3FC9"/>
    <w:rsid w:val="001E6B3F"/>
    <w:rsid w:val="001E7C1E"/>
    <w:rsid w:val="001F3162"/>
    <w:rsid w:val="001F634A"/>
    <w:rsid w:val="0020407E"/>
    <w:rsid w:val="00204DF9"/>
    <w:rsid w:val="00206992"/>
    <w:rsid w:val="00210F95"/>
    <w:rsid w:val="00212421"/>
    <w:rsid w:val="00212832"/>
    <w:rsid w:val="00213808"/>
    <w:rsid w:val="00215CDD"/>
    <w:rsid w:val="00215D91"/>
    <w:rsid w:val="00217C8B"/>
    <w:rsid w:val="00225FEF"/>
    <w:rsid w:val="00226E18"/>
    <w:rsid w:val="0024363C"/>
    <w:rsid w:val="0024586E"/>
    <w:rsid w:val="00260193"/>
    <w:rsid w:val="0026088E"/>
    <w:rsid w:val="00261429"/>
    <w:rsid w:val="0026621E"/>
    <w:rsid w:val="00274047"/>
    <w:rsid w:val="00280CC0"/>
    <w:rsid w:val="00282F8D"/>
    <w:rsid w:val="002852BB"/>
    <w:rsid w:val="0029155F"/>
    <w:rsid w:val="00296AF9"/>
    <w:rsid w:val="002A0184"/>
    <w:rsid w:val="002B22B1"/>
    <w:rsid w:val="002B53FF"/>
    <w:rsid w:val="002B5567"/>
    <w:rsid w:val="002D0818"/>
    <w:rsid w:val="002D1329"/>
    <w:rsid w:val="002D39DA"/>
    <w:rsid w:val="002D6368"/>
    <w:rsid w:val="002D6ACD"/>
    <w:rsid w:val="002F0106"/>
    <w:rsid w:val="002F6FC3"/>
    <w:rsid w:val="0030192F"/>
    <w:rsid w:val="00303BA3"/>
    <w:rsid w:val="0030679D"/>
    <w:rsid w:val="003253C9"/>
    <w:rsid w:val="00331009"/>
    <w:rsid w:val="003330E4"/>
    <w:rsid w:val="003356ED"/>
    <w:rsid w:val="00337BEC"/>
    <w:rsid w:val="0034632C"/>
    <w:rsid w:val="0035393C"/>
    <w:rsid w:val="003656C8"/>
    <w:rsid w:val="0036705A"/>
    <w:rsid w:val="00371BE1"/>
    <w:rsid w:val="003757ED"/>
    <w:rsid w:val="00377B10"/>
    <w:rsid w:val="00381C95"/>
    <w:rsid w:val="00382AEA"/>
    <w:rsid w:val="003835CB"/>
    <w:rsid w:val="00393DF5"/>
    <w:rsid w:val="00397226"/>
    <w:rsid w:val="003978DD"/>
    <w:rsid w:val="003A5A1F"/>
    <w:rsid w:val="003A6CF4"/>
    <w:rsid w:val="003B76AF"/>
    <w:rsid w:val="003B7B3A"/>
    <w:rsid w:val="003C0058"/>
    <w:rsid w:val="003C6413"/>
    <w:rsid w:val="003C7589"/>
    <w:rsid w:val="003C7BEF"/>
    <w:rsid w:val="003D2EB2"/>
    <w:rsid w:val="003D426A"/>
    <w:rsid w:val="003D5AC0"/>
    <w:rsid w:val="003E34B1"/>
    <w:rsid w:val="003F4B33"/>
    <w:rsid w:val="004044D6"/>
    <w:rsid w:val="00410405"/>
    <w:rsid w:val="00410A9A"/>
    <w:rsid w:val="00420BCD"/>
    <w:rsid w:val="004214D8"/>
    <w:rsid w:val="00437979"/>
    <w:rsid w:val="00455765"/>
    <w:rsid w:val="00455B6A"/>
    <w:rsid w:val="00457961"/>
    <w:rsid w:val="00465C60"/>
    <w:rsid w:val="00467F31"/>
    <w:rsid w:val="00470ECE"/>
    <w:rsid w:val="004717D9"/>
    <w:rsid w:val="004728BB"/>
    <w:rsid w:val="00474280"/>
    <w:rsid w:val="004779EC"/>
    <w:rsid w:val="00482EBA"/>
    <w:rsid w:val="00485F09"/>
    <w:rsid w:val="004923D9"/>
    <w:rsid w:val="004A45D2"/>
    <w:rsid w:val="004B027F"/>
    <w:rsid w:val="004B1E90"/>
    <w:rsid w:val="004B55C0"/>
    <w:rsid w:val="004B7F7E"/>
    <w:rsid w:val="004C05A9"/>
    <w:rsid w:val="004C06C1"/>
    <w:rsid w:val="004C22F6"/>
    <w:rsid w:val="004C2BC5"/>
    <w:rsid w:val="004D6BEF"/>
    <w:rsid w:val="004E25DD"/>
    <w:rsid w:val="004E4230"/>
    <w:rsid w:val="004F00F2"/>
    <w:rsid w:val="004F4A48"/>
    <w:rsid w:val="004F7BC2"/>
    <w:rsid w:val="005032CB"/>
    <w:rsid w:val="005157D3"/>
    <w:rsid w:val="00515C83"/>
    <w:rsid w:val="005375C6"/>
    <w:rsid w:val="0054535D"/>
    <w:rsid w:val="00547389"/>
    <w:rsid w:val="00547A1F"/>
    <w:rsid w:val="0056016A"/>
    <w:rsid w:val="00561976"/>
    <w:rsid w:val="0056454D"/>
    <w:rsid w:val="00565419"/>
    <w:rsid w:val="00566013"/>
    <w:rsid w:val="00581BA2"/>
    <w:rsid w:val="00582B48"/>
    <w:rsid w:val="00594097"/>
    <w:rsid w:val="005961B1"/>
    <w:rsid w:val="005A02CC"/>
    <w:rsid w:val="005A2432"/>
    <w:rsid w:val="005A3924"/>
    <w:rsid w:val="005A4229"/>
    <w:rsid w:val="005A6C46"/>
    <w:rsid w:val="005B0336"/>
    <w:rsid w:val="005B4809"/>
    <w:rsid w:val="005C26CB"/>
    <w:rsid w:val="005C34C1"/>
    <w:rsid w:val="005C6FF7"/>
    <w:rsid w:val="005D02EC"/>
    <w:rsid w:val="005D0A60"/>
    <w:rsid w:val="005D2080"/>
    <w:rsid w:val="005D45BC"/>
    <w:rsid w:val="005D7250"/>
    <w:rsid w:val="005E1FFD"/>
    <w:rsid w:val="005E41A4"/>
    <w:rsid w:val="005E776A"/>
    <w:rsid w:val="005F20F2"/>
    <w:rsid w:val="005F21F4"/>
    <w:rsid w:val="005F51CC"/>
    <w:rsid w:val="00600C7C"/>
    <w:rsid w:val="0060255D"/>
    <w:rsid w:val="00605125"/>
    <w:rsid w:val="0061065F"/>
    <w:rsid w:val="00610D0E"/>
    <w:rsid w:val="00611375"/>
    <w:rsid w:val="00621515"/>
    <w:rsid w:val="006219FB"/>
    <w:rsid w:val="00634AEB"/>
    <w:rsid w:val="006367CF"/>
    <w:rsid w:val="0064279C"/>
    <w:rsid w:val="00644A94"/>
    <w:rsid w:val="00651187"/>
    <w:rsid w:val="00655FF2"/>
    <w:rsid w:val="006633F0"/>
    <w:rsid w:val="00664053"/>
    <w:rsid w:val="006667EB"/>
    <w:rsid w:val="00666C3D"/>
    <w:rsid w:val="00676D97"/>
    <w:rsid w:val="00682AD6"/>
    <w:rsid w:val="006946D7"/>
    <w:rsid w:val="00697224"/>
    <w:rsid w:val="006A7D12"/>
    <w:rsid w:val="006B14FD"/>
    <w:rsid w:val="006B586D"/>
    <w:rsid w:val="006B5EFB"/>
    <w:rsid w:val="006E377D"/>
    <w:rsid w:val="006E4D82"/>
    <w:rsid w:val="006F15D8"/>
    <w:rsid w:val="006F2DF0"/>
    <w:rsid w:val="007000AB"/>
    <w:rsid w:val="007018BA"/>
    <w:rsid w:val="00701CC3"/>
    <w:rsid w:val="007040CB"/>
    <w:rsid w:val="007069AE"/>
    <w:rsid w:val="00707BE7"/>
    <w:rsid w:val="00711835"/>
    <w:rsid w:val="00713105"/>
    <w:rsid w:val="007149C3"/>
    <w:rsid w:val="0072458C"/>
    <w:rsid w:val="00726701"/>
    <w:rsid w:val="007308ED"/>
    <w:rsid w:val="0073663B"/>
    <w:rsid w:val="00736AD4"/>
    <w:rsid w:val="00737B6C"/>
    <w:rsid w:val="00741938"/>
    <w:rsid w:val="00754D63"/>
    <w:rsid w:val="00755EB4"/>
    <w:rsid w:val="007567A1"/>
    <w:rsid w:val="00760D73"/>
    <w:rsid w:val="00761B7C"/>
    <w:rsid w:val="00763324"/>
    <w:rsid w:val="00764C32"/>
    <w:rsid w:val="007659D9"/>
    <w:rsid w:val="007804A7"/>
    <w:rsid w:val="007808EC"/>
    <w:rsid w:val="00785D9E"/>
    <w:rsid w:val="00794233"/>
    <w:rsid w:val="007C297B"/>
    <w:rsid w:val="007C44F5"/>
    <w:rsid w:val="007C564E"/>
    <w:rsid w:val="007C5D93"/>
    <w:rsid w:val="007D485A"/>
    <w:rsid w:val="007E46FE"/>
    <w:rsid w:val="007F18D2"/>
    <w:rsid w:val="007F376A"/>
    <w:rsid w:val="007F4705"/>
    <w:rsid w:val="007F6BE1"/>
    <w:rsid w:val="00806791"/>
    <w:rsid w:val="00812267"/>
    <w:rsid w:val="00812F3E"/>
    <w:rsid w:val="008141B3"/>
    <w:rsid w:val="00814C1B"/>
    <w:rsid w:val="00817E06"/>
    <w:rsid w:val="008247C2"/>
    <w:rsid w:val="00827BFB"/>
    <w:rsid w:val="0083337D"/>
    <w:rsid w:val="0083394F"/>
    <w:rsid w:val="008357E0"/>
    <w:rsid w:val="008413DC"/>
    <w:rsid w:val="00841FED"/>
    <w:rsid w:val="008465B1"/>
    <w:rsid w:val="008605FA"/>
    <w:rsid w:val="00860A11"/>
    <w:rsid w:val="00864A7D"/>
    <w:rsid w:val="00871D75"/>
    <w:rsid w:val="00873EBC"/>
    <w:rsid w:val="008774D1"/>
    <w:rsid w:val="00880899"/>
    <w:rsid w:val="00883F70"/>
    <w:rsid w:val="008850D9"/>
    <w:rsid w:val="00886710"/>
    <w:rsid w:val="00887E57"/>
    <w:rsid w:val="00890C7C"/>
    <w:rsid w:val="00893BB3"/>
    <w:rsid w:val="00895321"/>
    <w:rsid w:val="00895C1F"/>
    <w:rsid w:val="008A5A5D"/>
    <w:rsid w:val="008A605C"/>
    <w:rsid w:val="008C264B"/>
    <w:rsid w:val="008C3E31"/>
    <w:rsid w:val="008D027C"/>
    <w:rsid w:val="008D0776"/>
    <w:rsid w:val="008D3686"/>
    <w:rsid w:val="008D768E"/>
    <w:rsid w:val="008E37EA"/>
    <w:rsid w:val="008F2219"/>
    <w:rsid w:val="008F3D9B"/>
    <w:rsid w:val="008F6906"/>
    <w:rsid w:val="00906E19"/>
    <w:rsid w:val="009102C1"/>
    <w:rsid w:val="009126FE"/>
    <w:rsid w:val="00912B2B"/>
    <w:rsid w:val="00912C25"/>
    <w:rsid w:val="00915587"/>
    <w:rsid w:val="0093106F"/>
    <w:rsid w:val="00931205"/>
    <w:rsid w:val="009337EC"/>
    <w:rsid w:val="009363AC"/>
    <w:rsid w:val="00943210"/>
    <w:rsid w:val="009443AB"/>
    <w:rsid w:val="00963FB9"/>
    <w:rsid w:val="00966107"/>
    <w:rsid w:val="009B094F"/>
    <w:rsid w:val="009B317D"/>
    <w:rsid w:val="009B7C37"/>
    <w:rsid w:val="009C3FCF"/>
    <w:rsid w:val="009D1616"/>
    <w:rsid w:val="009D3EDF"/>
    <w:rsid w:val="009D7F8E"/>
    <w:rsid w:val="009F64B4"/>
    <w:rsid w:val="00A0103F"/>
    <w:rsid w:val="00A114D4"/>
    <w:rsid w:val="00A1167B"/>
    <w:rsid w:val="00A161B2"/>
    <w:rsid w:val="00A24F61"/>
    <w:rsid w:val="00A433D5"/>
    <w:rsid w:val="00A57329"/>
    <w:rsid w:val="00A611E5"/>
    <w:rsid w:val="00A61590"/>
    <w:rsid w:val="00A62472"/>
    <w:rsid w:val="00A65622"/>
    <w:rsid w:val="00A67903"/>
    <w:rsid w:val="00A67CB5"/>
    <w:rsid w:val="00A73ED6"/>
    <w:rsid w:val="00A74E86"/>
    <w:rsid w:val="00A752CF"/>
    <w:rsid w:val="00A765B5"/>
    <w:rsid w:val="00A86CA6"/>
    <w:rsid w:val="00A87017"/>
    <w:rsid w:val="00A87E2E"/>
    <w:rsid w:val="00A87E82"/>
    <w:rsid w:val="00A94740"/>
    <w:rsid w:val="00A979A2"/>
    <w:rsid w:val="00AA1AFF"/>
    <w:rsid w:val="00AA51A5"/>
    <w:rsid w:val="00AA5A3A"/>
    <w:rsid w:val="00AA6072"/>
    <w:rsid w:val="00AB271D"/>
    <w:rsid w:val="00AC3A39"/>
    <w:rsid w:val="00AC550B"/>
    <w:rsid w:val="00AC5FC4"/>
    <w:rsid w:val="00AD4B63"/>
    <w:rsid w:val="00B014D8"/>
    <w:rsid w:val="00B01A65"/>
    <w:rsid w:val="00B069D6"/>
    <w:rsid w:val="00B107D4"/>
    <w:rsid w:val="00B12ED8"/>
    <w:rsid w:val="00B13FC8"/>
    <w:rsid w:val="00B16162"/>
    <w:rsid w:val="00B2290D"/>
    <w:rsid w:val="00B22B36"/>
    <w:rsid w:val="00B35E09"/>
    <w:rsid w:val="00B44889"/>
    <w:rsid w:val="00B501D7"/>
    <w:rsid w:val="00B512A9"/>
    <w:rsid w:val="00B56B10"/>
    <w:rsid w:val="00B57DDA"/>
    <w:rsid w:val="00B605F8"/>
    <w:rsid w:val="00B611C4"/>
    <w:rsid w:val="00B756E1"/>
    <w:rsid w:val="00B76102"/>
    <w:rsid w:val="00B76156"/>
    <w:rsid w:val="00B761A5"/>
    <w:rsid w:val="00B768A0"/>
    <w:rsid w:val="00B94F67"/>
    <w:rsid w:val="00BA642E"/>
    <w:rsid w:val="00BA71DD"/>
    <w:rsid w:val="00BB01E5"/>
    <w:rsid w:val="00BB2A9E"/>
    <w:rsid w:val="00BB2CE1"/>
    <w:rsid w:val="00BB3829"/>
    <w:rsid w:val="00BB3F6C"/>
    <w:rsid w:val="00BB5302"/>
    <w:rsid w:val="00BB5C52"/>
    <w:rsid w:val="00BE1148"/>
    <w:rsid w:val="00BE32ED"/>
    <w:rsid w:val="00BE3E81"/>
    <w:rsid w:val="00BE75B7"/>
    <w:rsid w:val="00BF008C"/>
    <w:rsid w:val="00BF25CC"/>
    <w:rsid w:val="00C02396"/>
    <w:rsid w:val="00C028E5"/>
    <w:rsid w:val="00C03B8F"/>
    <w:rsid w:val="00C05F30"/>
    <w:rsid w:val="00C177B0"/>
    <w:rsid w:val="00C31476"/>
    <w:rsid w:val="00C3769A"/>
    <w:rsid w:val="00C41850"/>
    <w:rsid w:val="00C42D40"/>
    <w:rsid w:val="00C5778E"/>
    <w:rsid w:val="00C57E5D"/>
    <w:rsid w:val="00C6386A"/>
    <w:rsid w:val="00C66FF8"/>
    <w:rsid w:val="00C74110"/>
    <w:rsid w:val="00C77DC6"/>
    <w:rsid w:val="00C84145"/>
    <w:rsid w:val="00C8637E"/>
    <w:rsid w:val="00C94F74"/>
    <w:rsid w:val="00C9607C"/>
    <w:rsid w:val="00CA00EA"/>
    <w:rsid w:val="00CA14B5"/>
    <w:rsid w:val="00CA15F1"/>
    <w:rsid w:val="00CA2C0A"/>
    <w:rsid w:val="00CA3C95"/>
    <w:rsid w:val="00CA70D6"/>
    <w:rsid w:val="00CB1DCD"/>
    <w:rsid w:val="00CB4574"/>
    <w:rsid w:val="00CC3148"/>
    <w:rsid w:val="00CC3992"/>
    <w:rsid w:val="00CC495B"/>
    <w:rsid w:val="00CE002C"/>
    <w:rsid w:val="00CE07E4"/>
    <w:rsid w:val="00CE0D0D"/>
    <w:rsid w:val="00CE2D48"/>
    <w:rsid w:val="00CE423A"/>
    <w:rsid w:val="00CE5B3E"/>
    <w:rsid w:val="00CF1E52"/>
    <w:rsid w:val="00D009AC"/>
    <w:rsid w:val="00D1191C"/>
    <w:rsid w:val="00D142A7"/>
    <w:rsid w:val="00D1705A"/>
    <w:rsid w:val="00D17104"/>
    <w:rsid w:val="00D17713"/>
    <w:rsid w:val="00D17F61"/>
    <w:rsid w:val="00D205F4"/>
    <w:rsid w:val="00D20810"/>
    <w:rsid w:val="00D23D0F"/>
    <w:rsid w:val="00D31B4D"/>
    <w:rsid w:val="00D359AC"/>
    <w:rsid w:val="00D37037"/>
    <w:rsid w:val="00D37713"/>
    <w:rsid w:val="00D45A18"/>
    <w:rsid w:val="00D57A4D"/>
    <w:rsid w:val="00D7045B"/>
    <w:rsid w:val="00D72A86"/>
    <w:rsid w:val="00D72E8A"/>
    <w:rsid w:val="00D74730"/>
    <w:rsid w:val="00D74A67"/>
    <w:rsid w:val="00D9525A"/>
    <w:rsid w:val="00DA10C1"/>
    <w:rsid w:val="00DA2A07"/>
    <w:rsid w:val="00DA4F5E"/>
    <w:rsid w:val="00DA6FC2"/>
    <w:rsid w:val="00DA72B4"/>
    <w:rsid w:val="00DB2CAA"/>
    <w:rsid w:val="00DB346E"/>
    <w:rsid w:val="00DB7C3F"/>
    <w:rsid w:val="00DD2552"/>
    <w:rsid w:val="00DD5529"/>
    <w:rsid w:val="00DD66F2"/>
    <w:rsid w:val="00DE705B"/>
    <w:rsid w:val="00DF051B"/>
    <w:rsid w:val="00DF1D31"/>
    <w:rsid w:val="00DF4EAD"/>
    <w:rsid w:val="00E01538"/>
    <w:rsid w:val="00E028FD"/>
    <w:rsid w:val="00E03ED2"/>
    <w:rsid w:val="00E13F79"/>
    <w:rsid w:val="00E32663"/>
    <w:rsid w:val="00E34E4E"/>
    <w:rsid w:val="00E3502B"/>
    <w:rsid w:val="00E42EB9"/>
    <w:rsid w:val="00E4377E"/>
    <w:rsid w:val="00E46402"/>
    <w:rsid w:val="00E465C2"/>
    <w:rsid w:val="00E53411"/>
    <w:rsid w:val="00E561BF"/>
    <w:rsid w:val="00E631E6"/>
    <w:rsid w:val="00E8217F"/>
    <w:rsid w:val="00E84F68"/>
    <w:rsid w:val="00E96D45"/>
    <w:rsid w:val="00E97A0B"/>
    <w:rsid w:val="00EB3756"/>
    <w:rsid w:val="00EB5C14"/>
    <w:rsid w:val="00EC21F5"/>
    <w:rsid w:val="00ED0939"/>
    <w:rsid w:val="00ED4C44"/>
    <w:rsid w:val="00EE2192"/>
    <w:rsid w:val="00EF0BB6"/>
    <w:rsid w:val="00EF1A1B"/>
    <w:rsid w:val="00EF1C4B"/>
    <w:rsid w:val="00EF5F1E"/>
    <w:rsid w:val="00F02C1E"/>
    <w:rsid w:val="00F07D51"/>
    <w:rsid w:val="00F205FB"/>
    <w:rsid w:val="00F243D5"/>
    <w:rsid w:val="00F250A7"/>
    <w:rsid w:val="00F335D5"/>
    <w:rsid w:val="00F37E86"/>
    <w:rsid w:val="00F41DE3"/>
    <w:rsid w:val="00F52709"/>
    <w:rsid w:val="00F62CFC"/>
    <w:rsid w:val="00F648B2"/>
    <w:rsid w:val="00F70035"/>
    <w:rsid w:val="00F72CD4"/>
    <w:rsid w:val="00F778A3"/>
    <w:rsid w:val="00F81010"/>
    <w:rsid w:val="00F868F0"/>
    <w:rsid w:val="00F94037"/>
    <w:rsid w:val="00F97377"/>
    <w:rsid w:val="00FA12F7"/>
    <w:rsid w:val="00FA57F1"/>
    <w:rsid w:val="00FB1A0F"/>
    <w:rsid w:val="00FC0A0D"/>
    <w:rsid w:val="00FC54AC"/>
    <w:rsid w:val="00FC7B39"/>
    <w:rsid w:val="00FD17E3"/>
    <w:rsid w:val="00FD54FD"/>
    <w:rsid w:val="00FE0532"/>
    <w:rsid w:val="00FE5388"/>
    <w:rsid w:val="00FF0F99"/>
    <w:rsid w:val="00FF2CCC"/>
    <w:rsid w:val="00FF6D57"/>
    <w:rsid w:val="010D6379"/>
    <w:rsid w:val="01294ADF"/>
    <w:rsid w:val="01C725F7"/>
    <w:rsid w:val="027164D8"/>
    <w:rsid w:val="02C2223C"/>
    <w:rsid w:val="0452442C"/>
    <w:rsid w:val="061B65BC"/>
    <w:rsid w:val="0695100B"/>
    <w:rsid w:val="071A149F"/>
    <w:rsid w:val="071C3C20"/>
    <w:rsid w:val="074A3B33"/>
    <w:rsid w:val="08A756A4"/>
    <w:rsid w:val="09002112"/>
    <w:rsid w:val="092F2ACB"/>
    <w:rsid w:val="0A27069E"/>
    <w:rsid w:val="0AB90257"/>
    <w:rsid w:val="0AF12519"/>
    <w:rsid w:val="0B316DB7"/>
    <w:rsid w:val="0B4E29D3"/>
    <w:rsid w:val="0BB407F2"/>
    <w:rsid w:val="0BD05CF1"/>
    <w:rsid w:val="0C083FBC"/>
    <w:rsid w:val="0CB832EC"/>
    <w:rsid w:val="0CBC0B3E"/>
    <w:rsid w:val="0D605732"/>
    <w:rsid w:val="0D8A5FF1"/>
    <w:rsid w:val="0D8B4AF4"/>
    <w:rsid w:val="0DEA1BCB"/>
    <w:rsid w:val="0E262D42"/>
    <w:rsid w:val="0EFA1506"/>
    <w:rsid w:val="0F9E06D7"/>
    <w:rsid w:val="0FFA5F4E"/>
    <w:rsid w:val="1146497F"/>
    <w:rsid w:val="118E693E"/>
    <w:rsid w:val="11AC3595"/>
    <w:rsid w:val="12CB416E"/>
    <w:rsid w:val="135875D7"/>
    <w:rsid w:val="1382085D"/>
    <w:rsid w:val="14E46FA8"/>
    <w:rsid w:val="14F37F0A"/>
    <w:rsid w:val="151C4634"/>
    <w:rsid w:val="156F6E5A"/>
    <w:rsid w:val="163065E9"/>
    <w:rsid w:val="16A21E5B"/>
    <w:rsid w:val="16FE3432"/>
    <w:rsid w:val="173477B8"/>
    <w:rsid w:val="17725D64"/>
    <w:rsid w:val="17E95D3E"/>
    <w:rsid w:val="18B93191"/>
    <w:rsid w:val="18C059D0"/>
    <w:rsid w:val="18C4126B"/>
    <w:rsid w:val="18C8173D"/>
    <w:rsid w:val="18E40145"/>
    <w:rsid w:val="19736250"/>
    <w:rsid w:val="1983774C"/>
    <w:rsid w:val="198E0970"/>
    <w:rsid w:val="19E6347B"/>
    <w:rsid w:val="1A1D6E85"/>
    <w:rsid w:val="1AC5013C"/>
    <w:rsid w:val="1AED0985"/>
    <w:rsid w:val="1AF65FF2"/>
    <w:rsid w:val="1B6F79C0"/>
    <w:rsid w:val="1BF95931"/>
    <w:rsid w:val="1C1710D0"/>
    <w:rsid w:val="1C2E0728"/>
    <w:rsid w:val="1C725757"/>
    <w:rsid w:val="1C821221"/>
    <w:rsid w:val="1C8E3164"/>
    <w:rsid w:val="1C940F54"/>
    <w:rsid w:val="1D2251D7"/>
    <w:rsid w:val="1D272F4F"/>
    <w:rsid w:val="1D570900"/>
    <w:rsid w:val="1DB00010"/>
    <w:rsid w:val="1DB90FAE"/>
    <w:rsid w:val="1E733088"/>
    <w:rsid w:val="1EA87079"/>
    <w:rsid w:val="1F29737B"/>
    <w:rsid w:val="1F4B1A55"/>
    <w:rsid w:val="1F7E03C6"/>
    <w:rsid w:val="1F990AB9"/>
    <w:rsid w:val="1FB52F60"/>
    <w:rsid w:val="1FD476E5"/>
    <w:rsid w:val="20A15D31"/>
    <w:rsid w:val="20BF5379"/>
    <w:rsid w:val="20E26732"/>
    <w:rsid w:val="210668C5"/>
    <w:rsid w:val="210A342D"/>
    <w:rsid w:val="21321E92"/>
    <w:rsid w:val="21680B85"/>
    <w:rsid w:val="21AC584E"/>
    <w:rsid w:val="21D430AF"/>
    <w:rsid w:val="21E533F6"/>
    <w:rsid w:val="21E9672E"/>
    <w:rsid w:val="23DA1D97"/>
    <w:rsid w:val="2400212D"/>
    <w:rsid w:val="24390D5F"/>
    <w:rsid w:val="245B6F27"/>
    <w:rsid w:val="2482005D"/>
    <w:rsid w:val="24BB5C18"/>
    <w:rsid w:val="25333A00"/>
    <w:rsid w:val="2569612A"/>
    <w:rsid w:val="25E67EDB"/>
    <w:rsid w:val="26B216A8"/>
    <w:rsid w:val="26EF0040"/>
    <w:rsid w:val="272D0695"/>
    <w:rsid w:val="27743B51"/>
    <w:rsid w:val="27871052"/>
    <w:rsid w:val="27DF235E"/>
    <w:rsid w:val="283006CB"/>
    <w:rsid w:val="288C4846"/>
    <w:rsid w:val="29211041"/>
    <w:rsid w:val="29407B01"/>
    <w:rsid w:val="29F42372"/>
    <w:rsid w:val="2A253F15"/>
    <w:rsid w:val="2A2A24C6"/>
    <w:rsid w:val="2B24619F"/>
    <w:rsid w:val="2C0577FC"/>
    <w:rsid w:val="2C5628E1"/>
    <w:rsid w:val="2C672743"/>
    <w:rsid w:val="2C764495"/>
    <w:rsid w:val="2C8E59C0"/>
    <w:rsid w:val="2CBF5187"/>
    <w:rsid w:val="2CEF58A4"/>
    <w:rsid w:val="2D296F1A"/>
    <w:rsid w:val="2D3300A2"/>
    <w:rsid w:val="2D4E36E0"/>
    <w:rsid w:val="2D9C36B9"/>
    <w:rsid w:val="2DA20F16"/>
    <w:rsid w:val="2E1134FF"/>
    <w:rsid w:val="2E8F7DC1"/>
    <w:rsid w:val="2E922DC8"/>
    <w:rsid w:val="2ED40A4E"/>
    <w:rsid w:val="2FF67B04"/>
    <w:rsid w:val="30664425"/>
    <w:rsid w:val="30B55C11"/>
    <w:rsid w:val="30C00584"/>
    <w:rsid w:val="31007280"/>
    <w:rsid w:val="310D69D1"/>
    <w:rsid w:val="3118172F"/>
    <w:rsid w:val="3166211D"/>
    <w:rsid w:val="31BA4361"/>
    <w:rsid w:val="320707A3"/>
    <w:rsid w:val="326B5DC6"/>
    <w:rsid w:val="328238D1"/>
    <w:rsid w:val="32CE0BDE"/>
    <w:rsid w:val="352D221A"/>
    <w:rsid w:val="357C2BAF"/>
    <w:rsid w:val="35CB3D0A"/>
    <w:rsid w:val="35F971A6"/>
    <w:rsid w:val="36D06DE0"/>
    <w:rsid w:val="36EE7787"/>
    <w:rsid w:val="3736499D"/>
    <w:rsid w:val="37621B4F"/>
    <w:rsid w:val="379469AA"/>
    <w:rsid w:val="37AF74CB"/>
    <w:rsid w:val="38023F81"/>
    <w:rsid w:val="384F12BC"/>
    <w:rsid w:val="38AF73EA"/>
    <w:rsid w:val="38CF17FB"/>
    <w:rsid w:val="38EA5729"/>
    <w:rsid w:val="39452648"/>
    <w:rsid w:val="3A540487"/>
    <w:rsid w:val="3A914986"/>
    <w:rsid w:val="3AB17641"/>
    <w:rsid w:val="3AD1189A"/>
    <w:rsid w:val="3AF73D95"/>
    <w:rsid w:val="3B920B18"/>
    <w:rsid w:val="3CA14DDB"/>
    <w:rsid w:val="3E0C0434"/>
    <w:rsid w:val="3E4864CC"/>
    <w:rsid w:val="3EE15E23"/>
    <w:rsid w:val="3F492620"/>
    <w:rsid w:val="3F6C3C2D"/>
    <w:rsid w:val="3F780536"/>
    <w:rsid w:val="3F7D41E7"/>
    <w:rsid w:val="3FB5285C"/>
    <w:rsid w:val="40797DC8"/>
    <w:rsid w:val="408941E1"/>
    <w:rsid w:val="408B24EB"/>
    <w:rsid w:val="40AB0497"/>
    <w:rsid w:val="40AB493B"/>
    <w:rsid w:val="40DE6ABE"/>
    <w:rsid w:val="41053770"/>
    <w:rsid w:val="410A1661"/>
    <w:rsid w:val="41475C22"/>
    <w:rsid w:val="41742F7F"/>
    <w:rsid w:val="41B8730F"/>
    <w:rsid w:val="41C745B5"/>
    <w:rsid w:val="41EC662B"/>
    <w:rsid w:val="421A3479"/>
    <w:rsid w:val="429F0584"/>
    <w:rsid w:val="42C74ECB"/>
    <w:rsid w:val="42E67EAC"/>
    <w:rsid w:val="43546ED4"/>
    <w:rsid w:val="44403C9E"/>
    <w:rsid w:val="44630D8A"/>
    <w:rsid w:val="44E73A68"/>
    <w:rsid w:val="45306499"/>
    <w:rsid w:val="45570BED"/>
    <w:rsid w:val="45763769"/>
    <w:rsid w:val="45953E45"/>
    <w:rsid w:val="461B0315"/>
    <w:rsid w:val="466F114F"/>
    <w:rsid w:val="47050DE4"/>
    <w:rsid w:val="472E597E"/>
    <w:rsid w:val="475B3CBC"/>
    <w:rsid w:val="48C7216D"/>
    <w:rsid w:val="48FD5F50"/>
    <w:rsid w:val="496343A4"/>
    <w:rsid w:val="49DA3B9B"/>
    <w:rsid w:val="4AEF235E"/>
    <w:rsid w:val="4B043897"/>
    <w:rsid w:val="4B7C58D7"/>
    <w:rsid w:val="4C62006A"/>
    <w:rsid w:val="4CA14182"/>
    <w:rsid w:val="4D5B3DF2"/>
    <w:rsid w:val="4DBF22CB"/>
    <w:rsid w:val="4E1C2A8C"/>
    <w:rsid w:val="4E7D64B2"/>
    <w:rsid w:val="4EBA6413"/>
    <w:rsid w:val="4F0B73F0"/>
    <w:rsid w:val="4F7A6896"/>
    <w:rsid w:val="4F8B6B08"/>
    <w:rsid w:val="4FC2367C"/>
    <w:rsid w:val="4FC44BBD"/>
    <w:rsid w:val="4FF33517"/>
    <w:rsid w:val="5064466C"/>
    <w:rsid w:val="50832E29"/>
    <w:rsid w:val="50A57116"/>
    <w:rsid w:val="50BE2CBD"/>
    <w:rsid w:val="50C67F99"/>
    <w:rsid w:val="51030882"/>
    <w:rsid w:val="51C24FC4"/>
    <w:rsid w:val="52452AE1"/>
    <w:rsid w:val="524C0A72"/>
    <w:rsid w:val="529B31B8"/>
    <w:rsid w:val="530668ED"/>
    <w:rsid w:val="536037AF"/>
    <w:rsid w:val="539B25ED"/>
    <w:rsid w:val="547B63CF"/>
    <w:rsid w:val="55161382"/>
    <w:rsid w:val="55236D3E"/>
    <w:rsid w:val="553E35E4"/>
    <w:rsid w:val="56590FBF"/>
    <w:rsid w:val="5699213A"/>
    <w:rsid w:val="56A018BD"/>
    <w:rsid w:val="56D949DE"/>
    <w:rsid w:val="56FC74F2"/>
    <w:rsid w:val="573A5A75"/>
    <w:rsid w:val="578F43AF"/>
    <w:rsid w:val="57AB343D"/>
    <w:rsid w:val="57F304F5"/>
    <w:rsid w:val="58100AFE"/>
    <w:rsid w:val="59A76F22"/>
    <w:rsid w:val="59E152CA"/>
    <w:rsid w:val="5A1F399D"/>
    <w:rsid w:val="5A211258"/>
    <w:rsid w:val="5C2E3E7A"/>
    <w:rsid w:val="5CB40E14"/>
    <w:rsid w:val="5D030D32"/>
    <w:rsid w:val="5D0A091D"/>
    <w:rsid w:val="5DFC1EDA"/>
    <w:rsid w:val="5E2C6C63"/>
    <w:rsid w:val="5E580F5B"/>
    <w:rsid w:val="5F5024DD"/>
    <w:rsid w:val="5FA54FB1"/>
    <w:rsid w:val="5FBE6556"/>
    <w:rsid w:val="5FC01D30"/>
    <w:rsid w:val="5FCD57DA"/>
    <w:rsid w:val="5FDC58CF"/>
    <w:rsid w:val="601E438A"/>
    <w:rsid w:val="60402552"/>
    <w:rsid w:val="60434716"/>
    <w:rsid w:val="605821D7"/>
    <w:rsid w:val="606A16DC"/>
    <w:rsid w:val="609455CA"/>
    <w:rsid w:val="60FA6BA5"/>
    <w:rsid w:val="6105554A"/>
    <w:rsid w:val="6175594D"/>
    <w:rsid w:val="618D5FBE"/>
    <w:rsid w:val="61CF0426"/>
    <w:rsid w:val="61E90BB1"/>
    <w:rsid w:val="627A6223"/>
    <w:rsid w:val="62CC4571"/>
    <w:rsid w:val="62E573E1"/>
    <w:rsid w:val="63251ED3"/>
    <w:rsid w:val="63CF256B"/>
    <w:rsid w:val="63CF467D"/>
    <w:rsid w:val="64230F6E"/>
    <w:rsid w:val="64414AEB"/>
    <w:rsid w:val="64775963"/>
    <w:rsid w:val="649C2186"/>
    <w:rsid w:val="651B17E0"/>
    <w:rsid w:val="651E19A7"/>
    <w:rsid w:val="65465512"/>
    <w:rsid w:val="655B2F90"/>
    <w:rsid w:val="6589499B"/>
    <w:rsid w:val="659D02DA"/>
    <w:rsid w:val="65B5753E"/>
    <w:rsid w:val="65C40887"/>
    <w:rsid w:val="65DA1B9B"/>
    <w:rsid w:val="65FD6132"/>
    <w:rsid w:val="666972ED"/>
    <w:rsid w:val="679D684F"/>
    <w:rsid w:val="67AF1E18"/>
    <w:rsid w:val="67B8307A"/>
    <w:rsid w:val="67F500C6"/>
    <w:rsid w:val="68315C95"/>
    <w:rsid w:val="68991B2C"/>
    <w:rsid w:val="68D82CF7"/>
    <w:rsid w:val="68DE0966"/>
    <w:rsid w:val="69674D00"/>
    <w:rsid w:val="6A336057"/>
    <w:rsid w:val="6A6144E9"/>
    <w:rsid w:val="6AA47B81"/>
    <w:rsid w:val="6BFD25D2"/>
    <w:rsid w:val="6C1A2AA6"/>
    <w:rsid w:val="6C3D775B"/>
    <w:rsid w:val="6C7E6201"/>
    <w:rsid w:val="6D0C3DBC"/>
    <w:rsid w:val="6D920165"/>
    <w:rsid w:val="6D932920"/>
    <w:rsid w:val="6DB03E30"/>
    <w:rsid w:val="6E92169B"/>
    <w:rsid w:val="6F344A1F"/>
    <w:rsid w:val="6F7E13CD"/>
    <w:rsid w:val="6F9D21F1"/>
    <w:rsid w:val="700A317F"/>
    <w:rsid w:val="70BF683C"/>
    <w:rsid w:val="70CB454F"/>
    <w:rsid w:val="711E5AAD"/>
    <w:rsid w:val="72262A49"/>
    <w:rsid w:val="724633D4"/>
    <w:rsid w:val="72D37256"/>
    <w:rsid w:val="730D4025"/>
    <w:rsid w:val="733025D7"/>
    <w:rsid w:val="740025A5"/>
    <w:rsid w:val="742B2BA8"/>
    <w:rsid w:val="752404B1"/>
    <w:rsid w:val="753F5076"/>
    <w:rsid w:val="759E7CFB"/>
    <w:rsid w:val="77D84854"/>
    <w:rsid w:val="78BD69DE"/>
    <w:rsid w:val="7A036672"/>
    <w:rsid w:val="7A155C62"/>
    <w:rsid w:val="7A494E1C"/>
    <w:rsid w:val="7A8D1173"/>
    <w:rsid w:val="7AF650C5"/>
    <w:rsid w:val="7AF97CE2"/>
    <w:rsid w:val="7B9A6D8F"/>
    <w:rsid w:val="7C384B5C"/>
    <w:rsid w:val="7C44702F"/>
    <w:rsid w:val="7CD74092"/>
    <w:rsid w:val="7CE72133"/>
    <w:rsid w:val="7DD65C5E"/>
    <w:rsid w:val="7E2E4E3D"/>
    <w:rsid w:val="7EB136C9"/>
    <w:rsid w:val="7EEF294F"/>
    <w:rsid w:val="7EFB7DCB"/>
    <w:rsid w:val="7FD6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5">
    <w:name w:val="heading 1"/>
    <w:basedOn w:val="1"/>
    <w:next w:val="1"/>
    <w:link w:val="22"/>
    <w:qFormat/>
    <w:uiPriority w:val="0"/>
    <w:pPr>
      <w:keepNext/>
      <w:keepLines/>
      <w:spacing w:before="100" w:after="100"/>
      <w:jc w:val="center"/>
      <w:outlineLvl w:val="0"/>
    </w:pPr>
    <w:rPr>
      <w:rFonts w:ascii="Calibri" w:hAnsi="Calibri" w:eastAsia="黑体"/>
      <w:bCs/>
      <w:kern w:val="44"/>
      <w:sz w:val="28"/>
      <w:szCs w:val="44"/>
    </w:rPr>
  </w:style>
  <w:style w:type="paragraph" w:styleId="6">
    <w:name w:val="heading 2"/>
    <w:basedOn w:val="1"/>
    <w:next w:val="1"/>
    <w:link w:val="25"/>
    <w:unhideWhenUsed/>
    <w:qFormat/>
    <w:uiPriority w:val="9"/>
    <w:pPr>
      <w:keepNext/>
      <w:keepLines/>
      <w:snapToGrid w:val="0"/>
      <w:spacing w:before="240" w:after="240" w:line="416" w:lineRule="auto"/>
      <w:ind w:firstLine="640"/>
      <w:jc w:val="center"/>
      <w:outlineLvl w:val="1"/>
    </w:pPr>
    <w:rPr>
      <w:rFonts w:hAnsi="宋体" w:cs="宋体"/>
      <w:b/>
      <w:bCs/>
      <w:sz w:val="28"/>
      <w:szCs w:val="28"/>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link w:val="24"/>
    <w:semiHidden/>
    <w:unhideWhenUsed/>
    <w:qFormat/>
    <w:uiPriority w:val="99"/>
    <w:pPr>
      <w:keepNext w:val="0"/>
      <w:keepLines w:val="0"/>
      <w:widowControl w:val="0"/>
      <w:suppressLineNumbers w:val="0"/>
      <w:spacing w:before="0" w:beforeAutospacing="0" w:after="120" w:afterAutospacing="0" w:line="360" w:lineRule="auto"/>
      <w:ind w:left="420" w:leftChars="200" w:right="0" w:firstLine="420" w:firstLineChars="200"/>
      <w:jc w:val="both"/>
    </w:pPr>
    <w:rPr>
      <w:rFonts w:hint="eastAsia" w:ascii="宋体" w:hAnsi="Times New Roman" w:eastAsia="宋体" w:cs="Times New Roman"/>
      <w:kern w:val="2"/>
      <w:sz w:val="24"/>
      <w:szCs w:val="24"/>
      <w:lang w:val="en-US" w:eastAsia="zh-CN" w:bidi="ar"/>
    </w:rPr>
  </w:style>
  <w:style w:type="paragraph" w:styleId="3">
    <w:name w:val="Body Text Indent"/>
    <w:basedOn w:val="1"/>
    <w:link w:val="23"/>
    <w:semiHidden/>
    <w:unhideWhenUsed/>
    <w:qFormat/>
    <w:uiPriority w:val="99"/>
    <w:pPr>
      <w:spacing w:after="120"/>
      <w:ind w:left="420" w:leftChars="200"/>
    </w:pPr>
  </w:style>
  <w:style w:type="paragraph" w:styleId="4">
    <w:name w:val="Body Text"/>
    <w:basedOn w:val="1"/>
    <w:link w:val="33"/>
    <w:qFormat/>
    <w:uiPriority w:val="0"/>
    <w:pPr>
      <w:spacing w:line="360" w:lineRule="auto"/>
      <w:ind w:firstLine="0" w:firstLineChars="0"/>
      <w:jc w:val="center"/>
    </w:pPr>
    <w:rPr>
      <w:b/>
    </w:rPr>
  </w:style>
  <w:style w:type="paragraph" w:styleId="8">
    <w:name w:val="annotation text"/>
    <w:basedOn w:val="1"/>
    <w:qFormat/>
    <w:uiPriority w:val="0"/>
    <w:pPr>
      <w:jc w:val="left"/>
    </w:pPr>
  </w:style>
  <w:style w:type="paragraph" w:styleId="9">
    <w:name w:val="footer"/>
    <w:basedOn w:val="1"/>
    <w:link w:val="21"/>
    <w:unhideWhenUsed/>
    <w:qFormat/>
    <w:uiPriority w:val="99"/>
    <w:pPr>
      <w:tabs>
        <w:tab w:val="center" w:pos="4153"/>
        <w:tab w:val="right" w:pos="8306"/>
      </w:tabs>
      <w:spacing w:line="240" w:lineRule="atLeas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0"/>
    <w:pPr>
      <w:spacing w:before="100" w:beforeLines="0" w:beforeAutospacing="1" w:after="100" w:afterLines="0" w:afterAutospacing="1"/>
      <w:jc w:val="left"/>
    </w:pPr>
    <w:rPr>
      <w:rFonts w:hint="eastAsia" w:ascii="宋体" w:hAnsi="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unhideWhenUsed/>
    <w:qFormat/>
    <w:uiPriority w:val="99"/>
    <w:rPr>
      <w:color w:val="0563C1"/>
      <w:u w:val="single"/>
    </w:rPr>
  </w:style>
  <w:style w:type="character" w:styleId="19">
    <w:name w:val="annotation reference"/>
    <w:basedOn w:val="16"/>
    <w:qFormat/>
    <w:uiPriority w:val="0"/>
    <w:rPr>
      <w:sz w:val="21"/>
      <w:szCs w:val="21"/>
    </w:rPr>
  </w:style>
  <w:style w:type="character" w:customStyle="1" w:styleId="20">
    <w:name w:val="页眉 字符"/>
    <w:basedOn w:val="16"/>
    <w:link w:val="10"/>
    <w:qFormat/>
    <w:uiPriority w:val="99"/>
    <w:rPr>
      <w:rFonts w:ascii="Times New Roman" w:hAnsi="Times New Roman" w:eastAsia="仿宋" w:cs="Times New Roman"/>
      <w:sz w:val="18"/>
      <w:szCs w:val="18"/>
    </w:rPr>
  </w:style>
  <w:style w:type="character" w:customStyle="1" w:styleId="21">
    <w:name w:val="页脚 字符"/>
    <w:basedOn w:val="16"/>
    <w:link w:val="9"/>
    <w:qFormat/>
    <w:uiPriority w:val="99"/>
    <w:rPr>
      <w:rFonts w:ascii="Times New Roman" w:hAnsi="Times New Roman" w:eastAsia="仿宋" w:cs="Times New Roman"/>
      <w:sz w:val="18"/>
      <w:szCs w:val="18"/>
    </w:rPr>
  </w:style>
  <w:style w:type="character" w:customStyle="1" w:styleId="22">
    <w:name w:val="标题 1 字符"/>
    <w:basedOn w:val="16"/>
    <w:link w:val="5"/>
    <w:qFormat/>
    <w:uiPriority w:val="0"/>
    <w:rPr>
      <w:rFonts w:ascii="Calibri" w:hAnsi="Calibri" w:eastAsia="黑体" w:cs="Times New Roman"/>
      <w:bCs/>
      <w:kern w:val="44"/>
      <w:sz w:val="28"/>
      <w:szCs w:val="44"/>
    </w:rPr>
  </w:style>
  <w:style w:type="character" w:customStyle="1" w:styleId="23">
    <w:name w:val="正文文本缩进 字符"/>
    <w:basedOn w:val="16"/>
    <w:link w:val="3"/>
    <w:semiHidden/>
    <w:qFormat/>
    <w:uiPriority w:val="99"/>
    <w:rPr>
      <w:rFonts w:ascii="Times New Roman" w:hAnsi="Times New Roman" w:eastAsia="宋体" w:cs="Times New Roman"/>
      <w:szCs w:val="24"/>
    </w:rPr>
  </w:style>
  <w:style w:type="character" w:customStyle="1" w:styleId="24">
    <w:name w:val="正文文本首行缩进 2 字符"/>
    <w:basedOn w:val="23"/>
    <w:link w:val="2"/>
    <w:semiHidden/>
    <w:qFormat/>
    <w:uiPriority w:val="99"/>
    <w:rPr>
      <w:rFonts w:ascii="Times New Roman" w:hAnsi="Times New Roman" w:eastAsia="宋体" w:cs="Times New Roman"/>
      <w:szCs w:val="24"/>
    </w:rPr>
  </w:style>
  <w:style w:type="character" w:customStyle="1" w:styleId="25">
    <w:name w:val="标题 2 字符"/>
    <w:basedOn w:val="16"/>
    <w:link w:val="6"/>
    <w:qFormat/>
    <w:uiPriority w:val="9"/>
    <w:rPr>
      <w:rFonts w:ascii="宋体" w:hAnsi="宋体" w:eastAsia="宋体" w:cs="宋体"/>
      <w:b/>
      <w:bCs/>
      <w:sz w:val="28"/>
      <w:szCs w:val="28"/>
    </w:rPr>
  </w:style>
  <w:style w:type="paragraph" w:styleId="26">
    <w:name w:val="List Paragraph"/>
    <w:basedOn w:val="1"/>
    <w:qFormat/>
    <w:uiPriority w:val="34"/>
    <w:pPr>
      <w:ind w:firstLine="420"/>
    </w:pPr>
  </w:style>
  <w:style w:type="paragraph" w:customStyle="1" w:styleId="27">
    <w:name w:val="正文2"/>
    <w:basedOn w:val="1"/>
    <w:qFormat/>
    <w:uiPriority w:val="0"/>
    <w:pPr>
      <w:ind w:firstLine="960" w:firstLineChars="200"/>
    </w:pPr>
    <w:rPr>
      <w:rFonts w:ascii="宋体" w:hAnsi="宋体" w:cs="宋体"/>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customStyle="1" w:styleId="31">
    <w:name w:val="表格文字1"/>
    <w:basedOn w:val="1"/>
    <w:next w:val="1"/>
    <w:unhideWhenUsed/>
    <w:qFormat/>
    <w:uiPriority w:val="0"/>
    <w:pPr>
      <w:adjustRightInd w:val="0"/>
      <w:snapToGrid w:val="0"/>
      <w:spacing w:beforeLines="0" w:afterLines="0" w:line="440" w:lineRule="exact"/>
      <w:ind w:left="-78" w:leftChars="-37" w:right="-105" w:rightChars="-50" w:firstLine="200" w:firstLineChars="200"/>
      <w:jc w:val="center"/>
    </w:pPr>
    <w:rPr>
      <w:rFonts w:hint="eastAsia" w:ascii="宋体" w:hAnsi="宋体"/>
      <w:color w:val="000000"/>
      <w:sz w:val="24"/>
      <w:szCs w:val="24"/>
    </w:rPr>
  </w:style>
  <w:style w:type="character" w:customStyle="1" w:styleId="32">
    <w:name w:val="fontstyle01"/>
    <w:basedOn w:val="16"/>
    <w:qFormat/>
    <w:uiPriority w:val="0"/>
    <w:rPr>
      <w:rFonts w:ascii="宋体" w:hAnsi="宋体" w:eastAsia="宋体" w:cs="宋体"/>
      <w:color w:val="000000"/>
      <w:sz w:val="22"/>
      <w:szCs w:val="22"/>
    </w:rPr>
  </w:style>
  <w:style w:type="character" w:customStyle="1" w:styleId="33">
    <w:name w:val="正文文本 字符"/>
    <w:basedOn w:val="16"/>
    <w:link w:val="4"/>
    <w:qFormat/>
    <w:uiPriority w:val="0"/>
    <w:rPr>
      <w:rFonts w:hint="eastAsia" w:ascii="宋体" w:hAnsi="宋体" w:eastAsia="宋体" w:cs="宋体"/>
      <w:b/>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11716</Words>
  <Characters>14712</Characters>
  <Lines>16</Lines>
  <Paragraphs>4</Paragraphs>
  <TotalTime>5</TotalTime>
  <ScaleCrop>false</ScaleCrop>
  <LinksUpToDate>false</LinksUpToDate>
  <CharactersWithSpaces>15991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2022-11-09T06:49:00Z</dcterms:created>
  <dc:creator>cui xinmei</dc:creator>
  <cp:lastModifiedBy>沈锎洋</cp:lastModifiedBy>
  <dcterms:modified xsi:type="dcterms:W3CDTF">2026-01-13T09:57:17Z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AC7AA0E49CF54AD8AC7B47C2B2870519</vt:lpwstr>
  </property>
  <property fmtid="{D5CDD505-2E9C-101B-9397-08002B2CF9AE}" pid="4" name="KSOTemplateDocerSaveRecord">
    <vt:lpwstr>eyJoZGlkIjoiOGVkNDFlN2I1NTdkZmE5NjhjZGE3NDFkMWJmZDlkMjgiLCJ1c2VySWQiOiIxNjU3Mjc0OTIxIn0=</vt:lpwstr>
  </property>
</Properties>
</file>