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sz w:val="44"/>
          <w:szCs w:val="44"/>
        </w:rPr>
      </w:pPr>
      <w:r>
        <w:rPr>
          <w:rFonts w:hint="eastAsia" w:ascii="黑体" w:hAnsi="黑体" w:eastAsia="黑体" w:cs="黑体"/>
          <w:sz w:val="32"/>
          <w:szCs w:val="32"/>
        </w:rPr>
        <w:t>附件3</w:t>
      </w:r>
    </w:p>
    <w:p>
      <w:pPr>
        <w:snapToGrid w:val="0"/>
        <w:spacing w:before="312" w:beforeLines="100" w:after="312" w:afterLine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国务院决定在自由贸易试验区暂时调整适用</w:t>
      </w:r>
      <w:r>
        <w:rPr>
          <w:rFonts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行政法规有关规定目录</w:t>
      </w:r>
    </w:p>
    <w:p/>
    <w:tbl>
      <w:tblPr>
        <w:tblStyle w:val="4"/>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64"/>
        <w:gridCol w:w="1774"/>
        <w:gridCol w:w="4970"/>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blHeader/>
        </w:trPr>
        <w:tc>
          <w:tcPr>
            <w:tcW w:w="664" w:type="dxa"/>
            <w:noWrap w:val="0"/>
            <w:vAlign w:val="center"/>
          </w:tcPr>
          <w:p>
            <w:pPr>
              <w:widowControl/>
              <w:spacing w:line="500" w:lineRule="exact"/>
              <w:jc w:val="center"/>
              <w:textAlignment w:val="center"/>
              <w:rPr>
                <w:rFonts w:ascii="黑体" w:hAnsi="黑体" w:eastAsia="黑体"/>
              </w:rPr>
            </w:pPr>
            <w:r>
              <w:rPr>
                <w:rFonts w:hint="eastAsia" w:ascii="黑体" w:hAnsi="黑体" w:eastAsia="黑体" w:cs="黑体"/>
              </w:rPr>
              <w:t>序号</w:t>
            </w:r>
          </w:p>
        </w:tc>
        <w:tc>
          <w:tcPr>
            <w:tcW w:w="1774" w:type="dxa"/>
            <w:noWrap w:val="0"/>
            <w:vAlign w:val="center"/>
          </w:tcPr>
          <w:p>
            <w:pPr>
              <w:widowControl/>
              <w:spacing w:line="500" w:lineRule="exact"/>
              <w:jc w:val="center"/>
              <w:textAlignment w:val="center"/>
              <w:rPr>
                <w:rFonts w:ascii="黑体" w:hAnsi="黑体" w:eastAsia="黑体"/>
              </w:rPr>
            </w:pPr>
            <w:r>
              <w:rPr>
                <w:rFonts w:hint="eastAsia" w:ascii="黑体" w:hAnsi="黑体" w:eastAsia="黑体" w:cs="黑体"/>
              </w:rPr>
              <w:t>事项名称</w:t>
            </w:r>
          </w:p>
        </w:tc>
        <w:tc>
          <w:tcPr>
            <w:tcW w:w="4970" w:type="dxa"/>
            <w:noWrap w:val="0"/>
            <w:vAlign w:val="center"/>
          </w:tcPr>
          <w:p>
            <w:pPr>
              <w:widowControl/>
              <w:spacing w:line="500" w:lineRule="exact"/>
              <w:jc w:val="center"/>
              <w:textAlignment w:val="center"/>
              <w:rPr>
                <w:rFonts w:ascii="黑体" w:hAnsi="黑体" w:eastAsia="黑体"/>
              </w:rPr>
            </w:pPr>
            <w:r>
              <w:rPr>
                <w:rFonts w:hint="eastAsia" w:ascii="黑体" w:hAnsi="黑体" w:eastAsia="黑体" w:cs="黑体"/>
              </w:rPr>
              <w:t>行政法规规定</w:t>
            </w:r>
          </w:p>
        </w:tc>
        <w:tc>
          <w:tcPr>
            <w:tcW w:w="1631" w:type="dxa"/>
            <w:noWrap w:val="0"/>
            <w:vAlign w:val="center"/>
          </w:tcPr>
          <w:p>
            <w:pPr>
              <w:widowControl/>
              <w:spacing w:line="500" w:lineRule="exact"/>
              <w:jc w:val="center"/>
              <w:textAlignment w:val="center"/>
              <w:rPr>
                <w:rFonts w:ascii="黑体" w:hAnsi="黑体" w:eastAsia="黑体"/>
              </w:rPr>
            </w:pPr>
            <w:r>
              <w:rPr>
                <w:rFonts w:hint="eastAsia" w:ascii="黑体" w:hAnsi="黑体" w:eastAsia="黑体" w:cs="黑体"/>
              </w:rPr>
              <w:t>调整内容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w:t>
            </w:r>
          </w:p>
        </w:tc>
        <w:tc>
          <w:tcPr>
            <w:tcW w:w="1774" w:type="dxa"/>
            <w:noWrap w:val="0"/>
            <w:vAlign w:val="center"/>
          </w:tcPr>
          <w:p>
            <w:pPr>
              <w:widowControl/>
              <w:textAlignment w:val="center"/>
              <w:rPr>
                <w:rFonts w:ascii="仿宋_GB2312" w:hAnsi="仿宋_GB2312" w:eastAsia="仿宋_GB2312" w:cs="仿宋_GB2312"/>
              </w:rPr>
            </w:pPr>
            <w:r>
              <w:rPr>
                <w:rFonts w:hint="eastAsia" w:ascii="仿宋_GB2312" w:hAnsi="仿宋" w:eastAsia="仿宋_GB2312" w:cs="仿宋"/>
              </w:rPr>
              <w:t>实施中等及中等以下学历教育、学前教育、自学考试助学及其他文化教育的民办学校筹设审批</w:t>
            </w:r>
          </w:p>
        </w:tc>
        <w:tc>
          <w:tcPr>
            <w:tcW w:w="4970" w:type="dxa"/>
            <w:vMerge w:val="restart"/>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《中华人民共和国民办教育促进法实施条例》</w:t>
            </w:r>
          </w:p>
          <w:p>
            <w:pPr>
              <w:widowControl/>
              <w:ind w:firstLine="400" w:firstLineChars="200"/>
              <w:rPr>
                <w:rFonts w:ascii="仿宋_GB2312" w:hAnsi="仿宋" w:eastAsia="仿宋_GB2312" w:cs="仿宋_GB2312"/>
              </w:rPr>
            </w:pPr>
            <w:r>
              <w:rPr>
                <w:rFonts w:hint="eastAsia" w:ascii="黑体" w:hAnsi="仿宋" w:eastAsia="黑体" w:cs="仿宋_GB2312"/>
              </w:rPr>
              <w:t xml:space="preserve">第十二条 </w:t>
            </w:r>
            <w:r>
              <w:rPr>
                <w:rFonts w:hint="eastAsia" w:ascii="仿宋_GB2312" w:hAnsi="仿宋" w:eastAsia="仿宋_GB2312" w:cs="仿宋_GB2312"/>
              </w:rPr>
              <w:t xml:space="preserve"> 民办学校的举办者在获得筹设批准书之日起３年内完成筹设的，可以提出正式设立申请。</w:t>
            </w:r>
          </w:p>
        </w:tc>
        <w:tc>
          <w:tcPr>
            <w:tcW w:w="1631" w:type="dxa"/>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2</w:t>
            </w:r>
          </w:p>
        </w:tc>
        <w:tc>
          <w:tcPr>
            <w:tcW w:w="1774" w:type="dxa"/>
            <w:noWrap w:val="0"/>
            <w:vAlign w:val="center"/>
          </w:tcPr>
          <w:p>
            <w:pPr>
              <w:widowControl/>
              <w:textAlignment w:val="center"/>
              <w:rPr>
                <w:rFonts w:ascii="仿宋_GB2312" w:hAnsi="仿宋_GB2312" w:eastAsia="仿宋_GB2312" w:cs="仿宋_GB2312"/>
              </w:rPr>
            </w:pPr>
            <w:r>
              <w:rPr>
                <w:rFonts w:hint="eastAsia" w:ascii="仿宋_GB2312" w:hAnsi="仿宋" w:eastAsia="仿宋_GB2312" w:cs="仿宋"/>
              </w:rPr>
              <w:t>民办普通、高级技工学校筹设审批</w:t>
            </w:r>
          </w:p>
        </w:tc>
        <w:tc>
          <w:tcPr>
            <w:tcW w:w="4970" w:type="dxa"/>
            <w:vMerge w:val="continue"/>
            <w:noWrap w:val="0"/>
            <w:vAlign w:val="center"/>
          </w:tcPr>
          <w:p>
            <w:pPr>
              <w:widowControl/>
              <w:ind w:firstLine="400" w:firstLineChars="200"/>
              <w:textAlignment w:val="center"/>
              <w:rPr>
                <w:rFonts w:ascii="仿宋_GB2312" w:hAnsi="仿宋" w:eastAsia="仿宋_GB2312" w:cs="仿宋_GB2312"/>
              </w:rPr>
            </w:pPr>
          </w:p>
        </w:tc>
        <w:tc>
          <w:tcPr>
            <w:tcW w:w="1631" w:type="dxa"/>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3</w:t>
            </w:r>
          </w:p>
        </w:tc>
        <w:tc>
          <w:tcPr>
            <w:tcW w:w="1774" w:type="dxa"/>
            <w:noWrap w:val="0"/>
            <w:vAlign w:val="center"/>
          </w:tcPr>
          <w:p>
            <w:pPr>
              <w:widowControl/>
              <w:textAlignment w:val="center"/>
              <w:rPr>
                <w:rFonts w:ascii="仿宋_GB2312" w:hAnsi="仿宋" w:eastAsia="仿宋_GB2312" w:cs="仿宋_GB2312"/>
              </w:rPr>
            </w:pPr>
            <w:r>
              <w:rPr>
                <w:rFonts w:hint="eastAsia" w:ascii="仿宋_GB2312" w:hAnsi="仿宋" w:eastAsia="仿宋_GB2312" w:cs="仿宋"/>
              </w:rPr>
              <w:t>民办技师学院筹设审批</w:t>
            </w:r>
          </w:p>
        </w:tc>
        <w:tc>
          <w:tcPr>
            <w:tcW w:w="4970" w:type="dxa"/>
            <w:vMerge w:val="continue"/>
            <w:noWrap w:val="0"/>
            <w:vAlign w:val="center"/>
          </w:tcPr>
          <w:p>
            <w:pPr>
              <w:widowControl/>
              <w:ind w:firstLine="400" w:firstLineChars="200"/>
              <w:textAlignment w:val="center"/>
              <w:rPr>
                <w:rFonts w:ascii="仿宋_GB2312" w:hAnsi="仿宋" w:eastAsia="仿宋_GB2312"/>
              </w:rPr>
            </w:pPr>
          </w:p>
        </w:tc>
        <w:tc>
          <w:tcPr>
            <w:tcW w:w="1631" w:type="dxa"/>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4</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 w:hAnsi="仿宋" w:eastAsia="仿宋"/>
              </w:rPr>
            </w:pPr>
            <w:r>
              <w:rPr>
                <w:rFonts w:hint="eastAsia" w:ascii="仿宋_GB2312" w:hAnsi="仿宋_GB2312" w:eastAsia="仿宋_GB2312" w:cs="仿宋_GB2312"/>
              </w:rPr>
              <w:t>互联网上网服务营业场所信息网络安全审核</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r>
              <w:rPr>
                <w:rFonts w:hint="eastAsia" w:ascii="仿宋_GB2312" w:hAnsi="仿宋" w:eastAsia="仿宋_GB2312"/>
              </w:rPr>
              <w:t>《互联网上网服务营业场所管理条例》</w:t>
            </w:r>
          </w:p>
          <w:p>
            <w:pPr>
              <w:widowControl/>
              <w:ind w:firstLine="400" w:firstLineChars="200"/>
              <w:textAlignment w:val="center"/>
              <w:rPr>
                <w:rFonts w:ascii="仿宋_GB2312" w:hAnsi="仿宋" w:eastAsia="仿宋_GB2312"/>
              </w:rPr>
            </w:pPr>
            <w:r>
              <w:rPr>
                <w:rFonts w:hint="eastAsia" w:ascii="黑体" w:hAnsi="仿宋" w:eastAsia="黑体" w:cs="仿宋_GB2312"/>
              </w:rPr>
              <w:t xml:space="preserve">第十一条第二款  </w:t>
            </w:r>
            <w:r>
              <w:rPr>
                <w:rFonts w:hint="eastAsia" w:ascii="仿宋_GB2312" w:hAnsi="仿宋" w:eastAsia="仿宋_GB2312"/>
              </w:rPr>
              <w:t>申请人完成筹建后，应当向同级公安机关申请信息网络安全审核。公安机关应当自收到申请之日起20个工作日内作出决定；经实地检查并审核合格的，发给批准文件。申请人还应当依照有关消防管理法律法规的规定办理审批手续。</w:t>
            </w:r>
          </w:p>
          <w:p>
            <w:pPr>
              <w:widowControl/>
              <w:ind w:firstLine="400" w:firstLineChars="200"/>
              <w:textAlignment w:val="center"/>
              <w:rPr>
                <w:rFonts w:ascii="仿宋_GB2312" w:hAnsi="仿宋" w:eastAsia="仿宋_GB2312"/>
              </w:rPr>
            </w:pPr>
            <w:r>
              <w:rPr>
                <w:rFonts w:hint="eastAsia" w:ascii="黑体" w:hAnsi="仿宋" w:eastAsia="黑体" w:cs="仿宋_GB2312"/>
              </w:rPr>
              <w:t xml:space="preserve">第三款  </w:t>
            </w:r>
            <w:r>
              <w:rPr>
                <w:rFonts w:hint="eastAsia" w:ascii="仿宋_GB2312" w:hAnsi="仿宋" w:eastAsia="仿宋_GB2312"/>
              </w:rPr>
              <w:t>申请人取得信息网络安全和消防安全批准文件后，向文化行政部门申请最终审核。……</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cs="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5</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rPr>
            </w:pPr>
            <w:r>
              <w:rPr>
                <w:rFonts w:hint="eastAsia" w:ascii="仿宋_GB2312" w:hAnsi="仿宋" w:eastAsia="仿宋_GB2312"/>
              </w:rPr>
              <w:t>从事生活垃圾（含粪便）经营性清扫、收集、运输服务审批</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r>
              <w:rPr>
                <w:rFonts w:hint="eastAsia" w:ascii="仿宋_GB2312" w:hAnsi="仿宋" w:eastAsia="仿宋_GB2312"/>
              </w:rPr>
              <w:t>《国务院对确需保留的行政审批项目设定行政许可的决定》</w:t>
            </w:r>
          </w:p>
          <w:p>
            <w:pPr>
              <w:widowControl/>
              <w:ind w:firstLine="400" w:firstLineChars="200"/>
              <w:textAlignment w:val="center"/>
              <w:rPr>
                <w:rFonts w:ascii="黑体" w:hAnsi="仿宋" w:eastAsia="黑体"/>
              </w:rPr>
            </w:pPr>
            <w:r>
              <w:rPr>
                <w:rFonts w:hint="eastAsia" w:ascii="黑体" w:hAnsi="仿宋" w:eastAsia="黑体"/>
              </w:rPr>
              <w:t>第102项：</w:t>
            </w:r>
            <w:r>
              <w:rPr>
                <w:rFonts w:hint="eastAsia" w:ascii="仿宋_GB2312" w:hAnsi="仿宋" w:eastAsia="仿宋_GB2312"/>
              </w:rPr>
              <w:t>从事城市生活垃圾经营性清扫、收集、运输、处理服务审批。实施机关：所在城市的市人民政府市容环境卫生行政主管部门。</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6</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仿宋_GB2312"/>
              </w:rPr>
            </w:pPr>
          </w:p>
          <w:p>
            <w:pPr>
              <w:widowControl/>
              <w:textAlignment w:val="center"/>
              <w:rPr>
                <w:rFonts w:hint="eastAsia" w:ascii="仿宋_GB2312" w:hAnsi="仿宋_GB2312" w:eastAsia="仿宋_GB2312" w:cs="仿宋_GB2312"/>
              </w:rPr>
            </w:pPr>
          </w:p>
          <w:p>
            <w:pPr>
              <w:widowControl/>
              <w:textAlignment w:val="center"/>
              <w:rPr>
                <w:rFonts w:hint="eastAsia" w:ascii="仿宋_GB2312" w:hAnsi="仿宋_GB2312" w:eastAsia="仿宋_GB2312" w:cs="仿宋_GB2312"/>
              </w:rPr>
            </w:pPr>
            <w:r>
              <w:rPr>
                <w:rFonts w:hint="eastAsia" w:ascii="仿宋_GB2312" w:hAnsi="仿宋_GB2312" w:eastAsia="仿宋_GB2312" w:cs="仿宋_GB2312"/>
              </w:rPr>
              <w:t>国有大型商业银行及其分支机构进入全国银行间债券市场备案</w:t>
            </w:r>
          </w:p>
          <w:p>
            <w:pPr>
              <w:widowControl/>
              <w:textAlignment w:val="center"/>
              <w:rPr>
                <w:rFonts w:ascii="仿宋_GB2312" w:hAnsi="仿宋_GB2312" w:eastAsia="仿宋_GB2312" w:cs="仿宋_GB2312"/>
              </w:rPr>
            </w:pP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《国务院对确需保留的行政审批项目设定行政许可的决定》</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第220项：</w:t>
            </w:r>
            <w:r>
              <w:rPr>
                <w:rFonts w:ascii="仿宋_GB2312" w:hAnsi="仿宋" w:eastAsia="仿宋_GB2312" w:cs="仿宋_GB2312"/>
              </w:rPr>
              <w:t>商业银行、政策性银行、企业集团财务公司、基金管理公司、证券公司、信托投资公司、城乡信用社联社、金融租赁公司进入全国银行间债券市场备案</w:t>
            </w:r>
            <w:r>
              <w:rPr>
                <w:rFonts w:hint="eastAsia" w:ascii="仿宋_GB2312" w:hAnsi="仿宋" w:eastAsia="仿宋_GB2312" w:cs="仿宋_GB2312"/>
              </w:rPr>
              <w:t>。实施机关：人民银行。</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cs="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7</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 w:hAnsi="仿宋" w:eastAsia="仿宋"/>
              </w:rPr>
            </w:pPr>
            <w:r>
              <w:rPr>
                <w:rFonts w:hint="eastAsia" w:ascii="仿宋_GB2312" w:hAnsi="仿宋_GB2312" w:eastAsia="仿宋_GB2312" w:cs="仿宋_GB2312"/>
              </w:rPr>
              <w:t>设立电视剧制作单位审批</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r>
              <w:rPr>
                <w:rFonts w:hint="eastAsia" w:ascii="仿宋_GB2312" w:hAnsi="仿宋" w:eastAsia="仿宋_GB2312" w:cs="仿宋_GB2312"/>
              </w:rPr>
              <w:t>《广播电视管理条例》</w:t>
            </w:r>
          </w:p>
          <w:p>
            <w:pPr>
              <w:widowControl/>
              <w:ind w:firstLine="400" w:firstLineChars="200"/>
              <w:textAlignment w:val="center"/>
              <w:rPr>
                <w:rFonts w:ascii="仿宋_GB2312" w:hAnsi="仿宋_GB2312" w:eastAsia="仿宋_GB2312" w:cs="仿宋_GB2312"/>
              </w:rPr>
            </w:pPr>
            <w:r>
              <w:rPr>
                <w:rFonts w:hint="eastAsia" w:ascii="黑体" w:hAnsi="仿宋" w:eastAsia="黑体" w:cs="仿宋_GB2312"/>
              </w:rPr>
              <w:t xml:space="preserve">第三十五条第一款  </w:t>
            </w:r>
            <w:r>
              <w:rPr>
                <w:rFonts w:hint="eastAsia" w:ascii="仿宋_GB2312" w:hAnsi="仿宋_GB2312" w:eastAsia="仿宋_GB2312" w:cs="仿宋_GB2312"/>
              </w:rPr>
              <w:t>设立电视剧制作单位，应当经国务院广播电视行政部门批准，取得电视剧制作许可证后，方可制作电视剧。</w:t>
            </w:r>
          </w:p>
          <w:p>
            <w:pPr>
              <w:widowControl/>
              <w:ind w:firstLine="400" w:firstLineChars="200"/>
              <w:textAlignment w:val="center"/>
              <w:rPr>
                <w:rFonts w:hint="eastAsia" w:ascii="仿宋_GB2312" w:hAnsi="仿宋_GB2312" w:eastAsia="仿宋_GB2312" w:cs="仿宋_GB2312"/>
              </w:rPr>
            </w:pPr>
            <w:r>
              <w:rPr>
                <w:rFonts w:hint="eastAsia" w:ascii="黑体" w:hAnsi="仿宋" w:eastAsia="黑体" w:cs="仿宋_GB2312"/>
              </w:rPr>
              <w:t xml:space="preserve">第四十八条  </w:t>
            </w:r>
            <w:r>
              <w:rPr>
                <w:rFonts w:ascii="仿宋_GB2312" w:hAnsi="仿宋_GB2312" w:eastAsia="仿宋_GB2312" w:cs="仿宋_GB2312"/>
              </w:rPr>
              <w:t>违反本条例规定，擅自设立广播电视节目制作经营单位或者擅自制作电视剧及其他广播电视节目的，由县级以上人民政府广播电视行政部门予以取缔，没收其从事违法活动的专用工具、设备和节目载体，并处１万元以上５万元以下的罚款。</w:t>
            </w:r>
          </w:p>
          <w:p>
            <w:pPr>
              <w:widowControl/>
              <w:ind w:firstLine="400" w:firstLineChars="200"/>
              <w:textAlignment w:val="center"/>
              <w:rPr>
                <w:rFonts w:ascii="仿宋_GB2312" w:hAnsi="仿宋" w:eastAsia="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8</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_GB2312" w:eastAsia="仿宋_GB2312" w:cs="仿宋_GB2312"/>
              </w:rPr>
            </w:pPr>
            <w:r>
              <w:rPr>
                <w:rFonts w:hint="eastAsia" w:ascii="仿宋_GB2312" w:hAnsi="仿宋_GB2312" w:eastAsia="仿宋_GB2312" w:cs="仿宋_GB2312"/>
              </w:rPr>
              <w:t>医疗机构使用放射性药品（一、二类）许可</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《放射性药品管理办法》</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第二十一条第一款</w:t>
            </w:r>
            <w:r>
              <w:rPr>
                <w:rFonts w:hint="eastAsia" w:ascii="仿宋_GB2312" w:hAnsi="仿宋" w:eastAsia="仿宋_GB2312" w:cs="仿宋_GB2312"/>
              </w:rPr>
              <w:t xml:space="preserve">  医疗单位使用放射性药品，必须符合国家有关放射性同位素安全和防护的规定。所在地的省、自治区、直辖市药品监督管理部门，应当根据医疗单位核医疗技术人员的水平、设备条件，核发相应等级的《放射性药品使用许可证》，无许可证的医疗单位不得临床使用放射性药品。</w:t>
            </w:r>
          </w:p>
          <w:p>
            <w:pPr>
              <w:widowControl/>
              <w:ind w:firstLine="400" w:firstLineChars="200"/>
              <w:textAlignment w:val="center"/>
              <w:rPr>
                <w:rFonts w:hint="eastAsia" w:ascii="仿宋_GB2312" w:hAnsi="仿宋" w:eastAsia="仿宋_GB2312" w:cs="仿宋_GB2312"/>
              </w:rPr>
            </w:pPr>
            <w:r>
              <w:rPr>
                <w:rFonts w:hint="eastAsia" w:ascii="黑体" w:hAnsi="仿宋" w:eastAsia="黑体" w:cs="仿宋_GB2312"/>
              </w:rPr>
              <w:t>第二十三条</w:t>
            </w:r>
            <w:r>
              <w:rPr>
                <w:rFonts w:hint="eastAsia" w:ascii="仿宋_GB2312" w:hAnsi="仿宋" w:eastAsia="仿宋_GB2312" w:cs="仿宋_GB2312"/>
              </w:rPr>
              <w:t xml:space="preserve">  持有《放射性药品使用许可证》的医疗单位，必须负责对使用的放射性药品进行临床质量检验，收集药品不良反应等项工作，并定期向所在地药品监督管理、卫生行政部门报告。由省、自治区、直辖市药品监督管理、卫生行政部门汇总后分别报国务院药品监督管理、卫生行政部门。</w:t>
            </w:r>
          </w:p>
          <w:p>
            <w:pPr>
              <w:widowControl/>
              <w:ind w:firstLine="400" w:firstLineChars="200"/>
              <w:textAlignment w:val="center"/>
              <w:rPr>
                <w:rFonts w:ascii="仿宋_GB2312" w:hAnsi="仿宋" w:eastAsia="仿宋_GB2312" w:cs="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9</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rPr>
            </w:pPr>
            <w:r>
              <w:rPr>
                <w:rFonts w:hint="eastAsia" w:ascii="仿宋_GB2312" w:hAnsi="仿宋" w:eastAsia="仿宋_GB2312" w:cs="仿宋"/>
              </w:rPr>
              <w:t>药品零售企业筹建审批</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rPr>
                <w:rFonts w:ascii="仿宋_GB2312" w:hAnsi="仿宋" w:eastAsia="仿宋_GB2312" w:cs="仿宋"/>
              </w:rPr>
            </w:pPr>
            <w:r>
              <w:rPr>
                <w:rFonts w:hint="eastAsia" w:ascii="仿宋_GB2312" w:hAnsi="仿宋" w:eastAsia="仿宋_GB2312" w:cs="仿宋"/>
              </w:rPr>
              <w:t>《中华人民共和国药品管理法实施条例》</w:t>
            </w:r>
          </w:p>
          <w:p>
            <w:pPr>
              <w:widowControl/>
              <w:ind w:firstLine="400" w:firstLineChars="200"/>
              <w:textAlignment w:val="center"/>
              <w:rPr>
                <w:rFonts w:hint="eastAsia" w:ascii="仿宋_GB2312" w:hAnsi="仿宋" w:eastAsia="仿宋_GB2312" w:cs="仿宋"/>
              </w:rPr>
            </w:pPr>
            <w:r>
              <w:rPr>
                <w:rFonts w:hint="eastAsia" w:ascii="黑体" w:hAnsi="仿宋" w:eastAsia="黑体" w:cs="仿宋"/>
              </w:rPr>
              <w:t>第十二条</w:t>
            </w:r>
            <w:r>
              <w:rPr>
                <w:rFonts w:hint="eastAsia" w:ascii="仿宋_GB2312" w:hAnsi="仿宋" w:eastAsia="仿宋_GB2312" w:cs="仿宋"/>
              </w:rPr>
              <w:t xml:space="preserve">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w:t>
            </w:r>
          </w:p>
          <w:p>
            <w:pPr>
              <w:widowControl/>
              <w:ind w:firstLine="400" w:firstLineChars="200"/>
              <w:textAlignment w:val="center"/>
              <w:rPr>
                <w:rFonts w:ascii="仿宋_GB2312" w:hAnsi="仿宋" w:eastAsia="仿宋_GB2312"/>
              </w:rPr>
            </w:pPr>
          </w:p>
          <w:p>
            <w:pPr>
              <w:widowControl/>
              <w:ind w:firstLine="400" w:firstLineChars="200"/>
              <w:textAlignment w:val="center"/>
              <w:rPr>
                <w:rFonts w:ascii="仿宋_GB2312" w:hAnsi="仿宋" w:eastAsia="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cs="仿宋_GB2312"/>
              </w:rPr>
            </w:pPr>
            <w:r>
              <w:rPr>
                <w:rFonts w:hint="eastAsia" w:ascii="仿宋_GB2312" w:hAnsi="仿宋" w:eastAsia="仿宋_GB2312" w:cs="仿宋_GB2312"/>
              </w:rPr>
              <w:t>药品批发企业筹建审批</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《中华人民共和国药品管理法实施条例》</w:t>
            </w:r>
          </w:p>
          <w:p>
            <w:pPr>
              <w:widowControl/>
              <w:ind w:firstLine="400" w:firstLineChars="200"/>
              <w:textAlignment w:val="center"/>
              <w:rPr>
                <w:rFonts w:hint="eastAsia" w:ascii="仿宋_GB2312" w:hAnsi="仿宋" w:eastAsia="仿宋_GB2312" w:cs="仿宋_GB2312"/>
              </w:rPr>
            </w:pPr>
            <w:r>
              <w:rPr>
                <w:rFonts w:hint="eastAsia" w:ascii="黑体" w:hAnsi="仿宋" w:eastAsia="黑体" w:cs="仿宋_GB2312"/>
              </w:rPr>
              <w:t>第十一条</w:t>
            </w:r>
            <w:r>
              <w:rPr>
                <w:rFonts w:hint="eastAsia" w:ascii="仿宋_GB2312" w:hAnsi="仿宋" w:eastAsia="仿宋_GB2312" w:cs="仿宋_GB2312"/>
              </w:rPr>
              <w:t xml:space="preserve">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w:t>
            </w:r>
          </w:p>
          <w:p>
            <w:pPr>
              <w:widowControl/>
              <w:ind w:firstLine="400" w:firstLineChars="200"/>
              <w:textAlignment w:val="center"/>
              <w:rPr>
                <w:rFonts w:hint="eastAsia" w:ascii="仿宋_GB2312" w:hAnsi="仿宋" w:eastAsia="仿宋_GB2312" w:cs="仿宋_GB2312"/>
              </w:rPr>
            </w:pPr>
          </w:p>
          <w:p>
            <w:pPr>
              <w:widowControl/>
              <w:ind w:firstLine="400" w:firstLineChars="200"/>
              <w:textAlignment w:val="center"/>
              <w:rPr>
                <w:rFonts w:ascii="仿宋_GB2312" w:hAnsi="仿宋" w:eastAsia="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11</w:t>
            </w:r>
          </w:p>
        </w:tc>
        <w:tc>
          <w:tcPr>
            <w:tcW w:w="1774" w:type="dxa"/>
            <w:noWrap w:val="0"/>
            <w:vAlign w:val="center"/>
          </w:tcPr>
          <w:p>
            <w:pPr>
              <w:widowControl/>
              <w:textAlignment w:val="center"/>
              <w:rPr>
                <w:rFonts w:ascii="仿宋_GB2312" w:hAnsi="仿宋" w:eastAsia="仿宋_GB2312" w:cs="仿宋_GB2312"/>
              </w:rPr>
            </w:pPr>
            <w:r>
              <w:rPr>
                <w:rFonts w:hint="eastAsia" w:ascii="仿宋_GB2312" w:hAnsi="仿宋" w:eastAsia="仿宋_GB2312" w:cs="仿宋_GB2312"/>
              </w:rPr>
              <w:t>实施自学考试助学的民办学校设立、变更和终止审批</w:t>
            </w:r>
          </w:p>
        </w:tc>
        <w:tc>
          <w:tcPr>
            <w:tcW w:w="4970" w:type="dxa"/>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《中华人民共和国民办教育促进法实施条例》</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第十八条</w:t>
            </w:r>
            <w:r>
              <w:rPr>
                <w:rFonts w:hint="eastAsia" w:ascii="仿宋_GB2312" w:hAnsi="仿宋" w:eastAsia="仿宋_GB2312" w:cs="仿宋_GB2312"/>
              </w:rPr>
              <w:t xml:space="preserve">  民办学校依照有关法律、行政法规的规定申请登记时，应当向登记机关提交下列材料：</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（一）登记申请书；</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（二）办学许可证；</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（三）拟任法定代表人的身份证明；</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（四）学校章程。</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登记机关应当自收到前款规定的申请材料之日起５个工作日内完成登记程序。</w:t>
            </w:r>
          </w:p>
          <w:p>
            <w:pPr>
              <w:widowControl/>
              <w:ind w:firstLine="400" w:firstLineChars="200"/>
              <w:textAlignment w:val="center"/>
              <w:rPr>
                <w:rFonts w:hint="eastAsia" w:ascii="仿宋_GB2312" w:hAnsi="仿宋" w:eastAsia="仿宋_GB2312" w:cs="仿宋_GB2312"/>
              </w:rPr>
            </w:pPr>
            <w:r>
              <w:rPr>
                <w:rFonts w:hint="eastAsia" w:ascii="黑体" w:hAnsi="仿宋" w:eastAsia="黑体" w:cs="仿宋_GB2312"/>
              </w:rPr>
              <w:t xml:space="preserve">第三十三条 </w:t>
            </w:r>
            <w:r>
              <w:rPr>
                <w:rFonts w:hint="eastAsia" w:ascii="仿宋_GB2312" w:hAnsi="仿宋" w:eastAsia="仿宋_GB2312" w:cs="仿宋_GB2312"/>
              </w:rPr>
              <w:t xml:space="preserve"> 民办学校终止的，由审批机关收回办学许可证，通知登记机关，并予以公告。</w:t>
            </w:r>
          </w:p>
          <w:p>
            <w:pPr>
              <w:widowControl/>
              <w:ind w:firstLine="400" w:firstLineChars="200"/>
              <w:textAlignment w:val="center"/>
              <w:rPr>
                <w:rFonts w:hint="eastAsia" w:ascii="仿宋_GB2312" w:hAnsi="仿宋" w:eastAsia="仿宋_GB2312" w:cs="仿宋_GB2312"/>
              </w:rPr>
            </w:pPr>
          </w:p>
          <w:p>
            <w:pPr>
              <w:widowControl/>
              <w:ind w:firstLine="400" w:firstLineChars="200"/>
              <w:textAlignment w:val="center"/>
              <w:rPr>
                <w:rFonts w:ascii="仿宋_GB2312" w:hAnsi="仿宋" w:eastAsia="仿宋_GB2312" w:cs="仿宋_GB2312"/>
              </w:rPr>
            </w:pPr>
          </w:p>
        </w:tc>
        <w:tc>
          <w:tcPr>
            <w:tcW w:w="1631" w:type="dxa"/>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34" w:hRule="atLeast"/>
        </w:trPr>
        <w:tc>
          <w:tcPr>
            <w:tcW w:w="664" w:type="dxa"/>
            <w:tcBorders>
              <w:top w:val="single" w:color="000000" w:sz="4" w:space="0"/>
              <w:left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rPr>
            </w:pPr>
            <w:r>
              <w:rPr>
                <w:rFonts w:hint="eastAsia" w:ascii="仿宋_GB2312" w:hAnsi="仿宋" w:eastAsia="仿宋_GB2312" w:cs="仿宋_GB2312"/>
              </w:rPr>
              <w:t>公章刻制业特种行业许可证核发</w:t>
            </w:r>
          </w:p>
        </w:tc>
        <w:tc>
          <w:tcPr>
            <w:tcW w:w="4970" w:type="dxa"/>
            <w:vMerge w:val="restart"/>
            <w:tcBorders>
              <w:top w:val="single" w:color="000000" w:sz="4" w:space="0"/>
              <w:left w:val="single" w:color="000000" w:sz="4" w:space="0"/>
              <w:right w:val="single" w:color="000000" w:sz="4" w:space="0"/>
            </w:tcBorders>
            <w:noWrap w:val="0"/>
            <w:vAlign w:val="center"/>
          </w:tcPr>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cs="仿宋_GB2312"/>
              </w:rPr>
              <w:t>《国务院对确需保留的行政审批项目设定行政许可的决定》</w:t>
            </w:r>
          </w:p>
          <w:p>
            <w:pPr>
              <w:widowControl/>
              <w:spacing w:line="300" w:lineRule="exact"/>
              <w:ind w:firstLine="400" w:firstLineChars="200"/>
              <w:textAlignment w:val="center"/>
              <w:rPr>
                <w:rFonts w:ascii="仿宋_GB2312" w:hAnsi="仿宋" w:eastAsia="仿宋_GB2312" w:cs="仿宋_GB2312"/>
              </w:rPr>
            </w:pPr>
            <w:r>
              <w:rPr>
                <w:rFonts w:hint="eastAsia" w:ascii="黑体" w:hAnsi="仿宋" w:eastAsia="黑体" w:cs="仿宋_GB2312"/>
              </w:rPr>
              <w:t>第37项：</w:t>
            </w:r>
            <w:r>
              <w:rPr>
                <w:rFonts w:hint="eastAsia" w:ascii="仿宋_GB2312" w:hAnsi="仿宋" w:eastAsia="仿宋_GB2312" w:cs="仿宋_GB2312"/>
              </w:rPr>
              <w:t>公章刻制业特种行业许可证核发。实施机关：县级以上地方人民政府公安机关。</w:t>
            </w:r>
          </w:p>
          <w:p>
            <w:pPr>
              <w:widowControl/>
              <w:spacing w:line="300" w:lineRule="exact"/>
              <w:ind w:firstLine="400" w:firstLineChars="200"/>
              <w:textAlignment w:val="center"/>
              <w:rPr>
                <w:rFonts w:ascii="仿宋_GB2312" w:hAnsi="仿宋" w:eastAsia="仿宋_GB2312" w:cs="仿宋_GB2312"/>
              </w:rPr>
            </w:pPr>
            <w:r>
              <w:rPr>
                <w:rFonts w:hint="eastAsia" w:ascii="仿宋_GB2312" w:hAnsi="仿宋" w:eastAsia="仿宋_GB2312" w:cs="仿宋_GB2312"/>
              </w:rPr>
              <w:t>《印铸刻字业暂行管理规则》</w:t>
            </w:r>
          </w:p>
          <w:p>
            <w:pPr>
              <w:widowControl/>
              <w:spacing w:line="300" w:lineRule="exact"/>
              <w:ind w:firstLine="400" w:firstLineChars="200"/>
              <w:textAlignment w:val="center"/>
              <w:rPr>
                <w:rFonts w:ascii="仿宋_GB2312" w:hAnsi="仿宋" w:eastAsia="仿宋_GB2312"/>
              </w:rPr>
            </w:pPr>
            <w:r>
              <w:rPr>
                <w:rFonts w:hint="eastAsia" w:ascii="黑体" w:hAnsi="仿宋" w:eastAsia="黑体"/>
              </w:rPr>
              <w:t xml:space="preserve">第三条 </w:t>
            </w:r>
            <w:r>
              <w:rPr>
                <w:rFonts w:hint="eastAsia" w:ascii="仿宋_GB2312" w:hAnsi="仿宋" w:eastAsia="仿宋_GB2312"/>
              </w:rPr>
              <w:t xml:space="preserve"> 凡经营印铸刻字业者，须先向该管市（县）人民政府公安局或分局申请登记，办理以下手续：</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一、详细填写特种营业登记表两份，附申请人最近二寸半身免冠像片三张，并觅具可靠非同业铺保两家。</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二、造具该业股东、职工名册，建筑设备及四邻平面略图（露天刻字摊免缴平面略图）。</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三、将填妥之申请登记表，连同像片、略图、名册等送公安局或分局，经核准发给许可证后，须另向该管工商机关申请，领得营业执照后始准营业。</w:t>
            </w:r>
          </w:p>
          <w:p>
            <w:pPr>
              <w:widowControl/>
              <w:spacing w:line="300" w:lineRule="exact"/>
              <w:ind w:firstLine="400" w:firstLineChars="200"/>
              <w:textAlignment w:val="center"/>
              <w:rPr>
                <w:rFonts w:ascii="仿宋_GB2312" w:hAnsi="仿宋" w:eastAsia="仿宋_GB2312"/>
              </w:rPr>
            </w:pPr>
            <w:r>
              <w:rPr>
                <w:rFonts w:hint="eastAsia" w:ascii="黑体" w:hAnsi="仿宋" w:eastAsia="黑体"/>
              </w:rPr>
              <w:t>第五条</w:t>
            </w:r>
            <w:r>
              <w:rPr>
                <w:rFonts w:hint="eastAsia" w:ascii="仿宋_GB2312" w:hAnsi="仿宋" w:eastAsia="仿宋_GB2312"/>
              </w:rPr>
              <w:t xml:space="preserve">  凡领有许可证之印铸刻字业者，如有更换字号、经理、股东，或迁移、扩充、转业、歇业等情时，均须先经公安局或分局许可后，始得办理其他手续。</w:t>
            </w:r>
          </w:p>
          <w:p>
            <w:pPr>
              <w:widowControl/>
              <w:spacing w:line="300" w:lineRule="exact"/>
              <w:ind w:firstLine="400" w:firstLineChars="200"/>
              <w:textAlignment w:val="center"/>
              <w:rPr>
                <w:rFonts w:ascii="仿宋_GB2312" w:hAnsi="仿宋" w:eastAsia="仿宋_GB2312"/>
              </w:rPr>
            </w:pPr>
            <w:r>
              <w:rPr>
                <w:rFonts w:hint="eastAsia" w:ascii="黑体" w:hAnsi="仿宋" w:eastAsia="黑体"/>
              </w:rPr>
              <w:t xml:space="preserve">第七条  </w:t>
            </w:r>
            <w:r>
              <w:rPr>
                <w:rFonts w:hint="eastAsia" w:ascii="仿宋_GB2312" w:hAnsi="仿宋" w:eastAsia="仿宋_GB2312"/>
              </w:rPr>
              <w:t>营业者有下列情形之一时，得缴销其特种营业许可证，停止其营业。</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一、假借他人名义者。</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二、领取许可证后，无正当理由两月以上未开业者。</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三、无故休业超过一个月以上者。</w:t>
            </w:r>
          </w:p>
          <w:p>
            <w:pPr>
              <w:widowControl/>
              <w:spacing w:line="300" w:lineRule="exact"/>
              <w:ind w:firstLine="400" w:firstLineChars="200"/>
              <w:textAlignment w:val="center"/>
              <w:rPr>
                <w:rFonts w:ascii="仿宋_GB2312" w:hAnsi="仿宋" w:eastAsia="仿宋_GB2312"/>
              </w:rPr>
            </w:pPr>
            <w:r>
              <w:rPr>
                <w:rFonts w:hint="eastAsia" w:ascii="仿宋_GB2312" w:hAnsi="仿宋" w:eastAsia="仿宋_GB2312"/>
              </w:rPr>
              <w:t>四、营业者行踪不明逾两月者。</w:t>
            </w:r>
          </w:p>
        </w:tc>
        <w:tc>
          <w:tcPr>
            <w:tcW w:w="1631" w:type="dxa"/>
            <w:tcBorders>
              <w:top w:val="single" w:color="000000" w:sz="4" w:space="0"/>
              <w:left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33" w:hRule="atLeast"/>
        </w:trPr>
        <w:tc>
          <w:tcPr>
            <w:tcW w:w="664" w:type="dxa"/>
            <w:tcBorders>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仿宋_GB2312" w:hAnsi="仿宋" w:eastAsia="仿宋_GB2312" w:cs="仿宋"/>
              </w:rPr>
            </w:pPr>
            <w:r>
              <w:rPr>
                <w:rFonts w:hint="eastAsia" w:ascii="仿宋_GB2312" w:hAnsi="仿宋" w:eastAsia="仿宋_GB2312" w:cs="仿宋"/>
              </w:rPr>
              <w:t>12</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 w:eastAsia="仿宋_GB2312" w:cs="仿宋_GB2312"/>
              </w:rPr>
            </w:pPr>
            <w:r>
              <w:rPr>
                <w:rFonts w:hint="eastAsia" w:ascii="仿宋_GB2312" w:hAnsi="仿宋" w:eastAsia="仿宋_GB2312" w:cs="仿宋_GB2312"/>
              </w:rPr>
              <w:t>公章刻制业特种行业许可证核发</w:t>
            </w:r>
          </w:p>
        </w:tc>
        <w:tc>
          <w:tcPr>
            <w:tcW w:w="4970"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ind w:firstLine="400" w:firstLineChars="200"/>
              <w:textAlignment w:val="center"/>
              <w:rPr>
                <w:rFonts w:hint="eastAsia" w:ascii="仿宋_GB2312" w:hAnsi="仿宋" w:eastAsia="仿宋_GB2312" w:cs="仿宋_GB2312"/>
              </w:rPr>
            </w:pPr>
          </w:p>
        </w:tc>
        <w:tc>
          <w:tcPr>
            <w:tcW w:w="1631" w:type="dxa"/>
            <w:tcBorders>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仿宋_GB2312" w:hAnsi="仿宋" w:eastAsia="仿宋_GB2312" w:cs="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13</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cs="仿宋"/>
              </w:rPr>
            </w:pPr>
            <w:r>
              <w:rPr>
                <w:rFonts w:hint="eastAsia" w:ascii="仿宋_GB2312" w:hAnsi="仿宋" w:eastAsia="仿宋_GB2312" w:cs="仿宋"/>
              </w:rPr>
              <w:t>社会办医疗机构乙类大型医用设备配置许可</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r>
              <w:rPr>
                <w:rFonts w:hint="eastAsia" w:ascii="仿宋_GB2312" w:hAnsi="仿宋" w:eastAsia="仿宋_GB2312" w:cs="仿宋_GB2312"/>
              </w:rPr>
              <w:t>《医疗器械监督管理条例》</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第三十四条第二款</w:t>
            </w:r>
            <w:r>
              <w:rPr>
                <w:rFonts w:ascii="仿宋_GB2312" w:hAnsi="仿宋" w:eastAsia="仿宋_GB2312" w:cs="仿宋_GB2312"/>
              </w:rPr>
              <w:t xml:space="preserve">  </w:t>
            </w:r>
            <w:r>
              <w:rPr>
                <w:rFonts w:hint="eastAsia" w:ascii="仿宋_GB2312" w:hAnsi="仿宋" w:eastAsia="仿宋_GB2312" w:cs="仿宋_GB2312"/>
              </w:rPr>
              <w:t>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pPr>
              <w:widowControl/>
              <w:ind w:firstLine="400" w:firstLineChars="200"/>
              <w:textAlignment w:val="center"/>
              <w:rPr>
                <w:rFonts w:hint="eastAsia" w:ascii="仿宋_GB2312" w:hAnsi="仿宋" w:eastAsia="仿宋_GB2312"/>
              </w:rPr>
            </w:pPr>
            <w:r>
              <w:rPr>
                <w:rFonts w:hint="eastAsia" w:ascii="黑体" w:hAnsi="仿宋" w:eastAsia="黑体"/>
              </w:rPr>
              <w:t>第六十三条第三款</w:t>
            </w:r>
            <w:r>
              <w:rPr>
                <w:rFonts w:hint="eastAsia" w:ascii="仿宋_GB2312" w:hAnsi="仿宋" w:eastAsia="仿宋_GB2312"/>
              </w:rPr>
              <w:t xml:space="preserve">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p>
            <w:pPr>
              <w:widowControl/>
              <w:ind w:firstLine="400" w:firstLineChars="200"/>
              <w:textAlignment w:val="center"/>
              <w:rPr>
                <w:rFonts w:ascii="仿宋_GB2312" w:hAnsi="仿宋" w:eastAsia="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47" w:hRule="atLeast"/>
        </w:trPr>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14</w:t>
            </w:r>
          </w:p>
        </w:tc>
        <w:tc>
          <w:tcPr>
            <w:tcW w:w="1774" w:type="dxa"/>
            <w:tcBorders>
              <w:top w:val="single" w:color="000000" w:sz="4" w:space="0"/>
              <w:left w:val="single" w:color="000000" w:sz="4" w:space="0"/>
              <w:right w:val="single" w:color="000000" w:sz="4" w:space="0"/>
            </w:tcBorders>
            <w:noWrap w:val="0"/>
            <w:vAlign w:val="center"/>
          </w:tcPr>
          <w:p>
            <w:pPr>
              <w:widowControl/>
              <w:textAlignment w:val="center"/>
              <w:rPr>
                <w:rFonts w:ascii="仿宋_GB2312" w:hAnsi="仿宋" w:eastAsia="仿宋_GB2312" w:cs="仿宋_GB2312"/>
              </w:rPr>
            </w:pPr>
            <w:r>
              <w:rPr>
                <w:rFonts w:hint="eastAsia" w:ascii="仿宋_GB2312" w:hAnsi="仿宋" w:eastAsia="仿宋_GB2312" w:cs="仿宋_GB2312"/>
              </w:rPr>
              <w:t>音乐厅、展览馆、博物馆、美术馆、图书馆、书店、录像厅（室）的公共场所卫生许可</w:t>
            </w:r>
          </w:p>
        </w:tc>
        <w:tc>
          <w:tcPr>
            <w:tcW w:w="4970" w:type="dxa"/>
            <w:vMerge w:val="restart"/>
            <w:tcBorders>
              <w:top w:val="single" w:color="000000" w:sz="4" w:space="0"/>
              <w:left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r>
              <w:rPr>
                <w:rFonts w:hint="eastAsia" w:ascii="仿宋_GB2312" w:hAnsi="仿宋" w:eastAsia="仿宋_GB2312" w:cs="仿宋_GB2312"/>
              </w:rPr>
              <w:t>《公共场所卫生管理条例》</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 xml:space="preserve">第二条 </w:t>
            </w:r>
            <w:r>
              <w:rPr>
                <w:rFonts w:hint="eastAsia" w:ascii="仿宋_GB2312" w:hAnsi="仿宋" w:eastAsia="仿宋_GB2312" w:cs="仿宋_GB2312"/>
              </w:rPr>
              <w:t xml:space="preserve"> 本条例适用于下列公共场所：  </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 xml:space="preserve">（三）影剧院、录像厅（室）、游艺厅（室）、舞厅、音乐厅； </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 xml:space="preserve">…… </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 xml:space="preserve">（五）展览馆、博物馆、美术馆、图书馆； </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（六）商场（店）、书店；</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第四条</w:t>
            </w:r>
            <w:r>
              <w:rPr>
                <w:rFonts w:hint="eastAsia" w:ascii="仿宋_GB2312" w:hAnsi="仿宋" w:eastAsia="仿宋_GB2312" w:cs="仿宋_GB2312"/>
              </w:rPr>
              <w:t xml:space="preserve">  国家对公共场所实行“卫生许可证”制度。</w:t>
            </w:r>
          </w:p>
          <w:p>
            <w:pPr>
              <w:widowControl/>
              <w:ind w:firstLine="400" w:firstLineChars="200"/>
              <w:textAlignment w:val="center"/>
              <w:rPr>
                <w:rFonts w:ascii="仿宋_GB2312" w:hAnsi="仿宋" w:eastAsia="仿宋_GB2312" w:cs="仿宋_GB2312"/>
                <w:highlight w:val="yellow"/>
              </w:rPr>
            </w:pPr>
            <w:r>
              <w:rPr>
                <w:rFonts w:hint="eastAsia" w:ascii="仿宋_GB2312" w:hAnsi="仿宋" w:eastAsia="仿宋_GB2312" w:cs="仿宋_GB2312"/>
              </w:rPr>
              <w:t>“卫生许可证”由县以上卫生行政部门签发。</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第十四条</w:t>
            </w:r>
            <w:r>
              <w:rPr>
                <w:rFonts w:hint="eastAsia" w:ascii="仿宋_GB2312" w:hAnsi="仿宋" w:eastAsia="仿宋_GB2312" w:cs="仿宋_GB2312"/>
              </w:rPr>
              <w:t xml:space="preserve">  凡有下列行为之一的单位或者个人，卫生防疫机构可以根据情节轻重，给予警告、罚款、停业整顿、吊销“卫生许可证”的行政处罚：  </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（四）未取得“卫生许可证”，擅自营业的。</w:t>
            </w:r>
          </w:p>
          <w:p>
            <w:pPr>
              <w:widowControl/>
              <w:ind w:firstLine="400" w:firstLineChars="200"/>
              <w:textAlignment w:val="center"/>
              <w:rPr>
                <w:rFonts w:hint="eastAsia" w:ascii="仿宋_GB2312" w:hAnsi="仿宋" w:eastAsia="仿宋_GB2312" w:cs="仿宋_GB2312"/>
              </w:rPr>
            </w:pPr>
            <w:r>
              <w:rPr>
                <w:rFonts w:hint="eastAsia" w:ascii="仿宋_GB2312" w:hAnsi="仿宋" w:eastAsia="仿宋_GB2312" w:cs="仿宋_GB2312"/>
              </w:rPr>
              <w:t>罚款一律上交国库。</w:t>
            </w:r>
          </w:p>
          <w:p>
            <w:pPr>
              <w:widowControl/>
              <w:ind w:firstLine="400" w:firstLineChars="200"/>
              <w:textAlignment w:val="center"/>
              <w:rPr>
                <w:rFonts w:hint="eastAsia" w:ascii="仿宋_GB2312" w:hAnsi="仿宋" w:eastAsia="仿宋_GB2312" w:cs="仿宋_GB2312"/>
              </w:rPr>
            </w:pPr>
          </w:p>
          <w:p>
            <w:pPr>
              <w:widowControl/>
              <w:ind w:firstLine="400" w:firstLineChars="200"/>
              <w:textAlignment w:val="center"/>
              <w:rPr>
                <w:rFonts w:hint="eastAsia" w:ascii="仿宋_GB2312" w:hAnsi="仿宋" w:eastAsia="仿宋_GB2312" w:cs="仿宋_GB2312"/>
              </w:rPr>
            </w:pPr>
          </w:p>
          <w:p>
            <w:pPr>
              <w:widowControl/>
              <w:ind w:firstLine="400" w:firstLineChars="200"/>
              <w:textAlignment w:val="center"/>
              <w:rPr>
                <w:rFonts w:ascii="仿宋_GB2312" w:hAnsi="仿宋" w:eastAsia="仿宋_GB2312" w:cs="仿宋_GB2312"/>
              </w:rPr>
            </w:pPr>
          </w:p>
        </w:tc>
        <w:tc>
          <w:tcPr>
            <w:tcW w:w="1631" w:type="dxa"/>
            <w:tcBorders>
              <w:top w:val="single" w:color="000000" w:sz="4" w:space="0"/>
              <w:left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46" w:hRule="atLeast"/>
        </w:trPr>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14</w:t>
            </w:r>
          </w:p>
        </w:tc>
        <w:tc>
          <w:tcPr>
            <w:tcW w:w="1774" w:type="dxa"/>
            <w:tcBorders>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cs="仿宋_GB2312"/>
              </w:rPr>
            </w:pPr>
            <w:r>
              <w:rPr>
                <w:rFonts w:hint="eastAsia" w:ascii="仿宋_GB2312" w:hAnsi="仿宋" w:eastAsia="仿宋_GB2312" w:cs="仿宋_GB2312"/>
              </w:rPr>
              <w:t>音乐厅、展览馆、博物馆、美术馆、图书馆、书店、录像厅（室）的公共场所卫生许可</w:t>
            </w:r>
          </w:p>
        </w:tc>
        <w:tc>
          <w:tcPr>
            <w:tcW w:w="4970" w:type="dxa"/>
            <w:vMerge w:val="continue"/>
            <w:tcBorders>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hint="eastAsia" w:ascii="仿宋_GB2312" w:hAnsi="仿宋" w:eastAsia="仿宋_GB2312" w:cs="仿宋_GB2312"/>
              </w:rPr>
            </w:pPr>
          </w:p>
        </w:tc>
        <w:tc>
          <w:tcPr>
            <w:tcW w:w="1631" w:type="dxa"/>
            <w:tcBorders>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仿宋_GB2312" w:hAnsi="仿宋" w:eastAsia="仿宋_GB2312" w:cs="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15</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_GB2312" w:eastAsia="仿宋_GB2312" w:cs="仿宋_GB2312"/>
              </w:rPr>
            </w:pPr>
            <w:r>
              <w:rPr>
                <w:rFonts w:hint="eastAsia" w:ascii="仿宋_GB2312" w:hAnsi="仿宋_GB2312" w:eastAsia="仿宋_GB2312" w:cs="仿宋_GB2312"/>
              </w:rPr>
              <w:t>外资银行分行级以下分支机构（不含分行）设立、变更、终止以及部分业务范围审批</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《中华人民共和国外资银行管理条例》</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 xml:space="preserve">第七条 </w:t>
            </w:r>
            <w:r>
              <w:rPr>
                <w:rFonts w:hint="eastAsia" w:ascii="仿宋_GB2312" w:hAnsi="仿宋" w:eastAsia="仿宋_GB2312" w:cs="仿宋_GB2312"/>
              </w:rPr>
              <w:t xml:space="preserve"> </w:t>
            </w:r>
            <w:r>
              <w:rPr>
                <w:rFonts w:ascii="仿宋_GB2312" w:hAnsi="仿宋" w:eastAsia="仿宋_GB2312" w:cs="仿宋_GB2312"/>
              </w:rPr>
              <w:t>设立外资银行及其分支机构，应当经银行业监督管理机构审查批准。</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 xml:space="preserve">第二十七条第一款 </w:t>
            </w:r>
            <w:r>
              <w:rPr>
                <w:rFonts w:hint="eastAsia" w:ascii="仿宋_GB2312" w:hAnsi="仿宋" w:eastAsia="仿宋_GB2312" w:cs="仿宋_GB2312"/>
              </w:rPr>
              <w:t xml:space="preserve"> </w:t>
            </w:r>
            <w:r>
              <w:rPr>
                <w:rFonts w:ascii="仿宋_GB2312" w:hAnsi="仿宋" w:eastAsia="仿宋_GB2312" w:cs="仿宋_GB2312"/>
              </w:rPr>
              <w:t>外资银行有下列情形之一的，应当经国务院银行业监督管理机构批准，并按照规定提交申请资料，依法向</w:t>
            </w:r>
            <w:r>
              <w:rPr>
                <w:rFonts w:hint="eastAsia" w:ascii="仿宋_GB2312" w:hAnsi="仿宋" w:eastAsia="仿宋_GB2312" w:cs="仿宋_GB2312"/>
              </w:rPr>
              <w:t>市场监督管理部门</w:t>
            </w:r>
            <w:r>
              <w:rPr>
                <w:rFonts w:ascii="仿宋_GB2312" w:hAnsi="仿宋" w:eastAsia="仿宋_GB2312" w:cs="仿宋_GB2312"/>
              </w:rPr>
              <w:t>办理有关登记：</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（一）变更注册资本或者营运资金；</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（二）变更机构名称、营业场所或者办公场所；</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（三）调整业务范围；</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（四）变更股东或者调整股东持股比例；</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（五）修改章程；</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（六）国务院银行业监督管理机构规定的其他情形。</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第六十四条</w:t>
            </w:r>
            <w:r>
              <w:rPr>
                <w:rFonts w:hint="eastAsia" w:ascii="仿宋_GB2312" w:hAnsi="仿宋" w:eastAsia="仿宋_GB2312" w:cs="仿宋_GB2312"/>
              </w:rPr>
              <w:t xml:space="preserve">  </w:t>
            </w:r>
            <w:r>
              <w:rPr>
                <w:rFonts w:ascii="仿宋_GB2312" w:hAnsi="仿宋" w:eastAsia="仿宋_GB2312" w:cs="仿宋_GB2312"/>
              </w:rPr>
              <w:t>外资银行营业性机构有下列情形之一的，由国务院银行业监督管理机构责令改正</w:t>
            </w:r>
            <w:r>
              <w:rPr>
                <w:rFonts w:eastAsia="仿宋_GB2312"/>
              </w:rPr>
              <w:t>，没收违法所得，违法所得</w:t>
            </w:r>
            <w:r>
              <w:rPr>
                <w:rFonts w:hint="eastAsia" w:eastAsia="仿宋_GB2312"/>
              </w:rPr>
              <w:t>50</w:t>
            </w:r>
            <w:r>
              <w:rPr>
                <w:rFonts w:eastAsia="仿宋_GB2312"/>
              </w:rPr>
              <w:t>万元以上的，并处违法所得</w:t>
            </w:r>
            <w:r>
              <w:rPr>
                <w:rFonts w:hint="eastAsia" w:eastAsia="仿宋_GB2312"/>
              </w:rPr>
              <w:t>1</w:t>
            </w:r>
            <w:r>
              <w:rPr>
                <w:rFonts w:eastAsia="仿宋_GB2312"/>
              </w:rPr>
              <w:t>倍以上</w:t>
            </w:r>
            <w:r>
              <w:rPr>
                <w:rFonts w:hint="eastAsia" w:eastAsia="仿宋_GB2312"/>
              </w:rPr>
              <w:t>5</w:t>
            </w:r>
            <w:r>
              <w:rPr>
                <w:rFonts w:eastAsia="仿宋_GB2312"/>
              </w:rPr>
              <w:t>倍以下罚款；没有违法所得或者违法所得不足</w:t>
            </w:r>
            <w:r>
              <w:rPr>
                <w:rFonts w:hint="eastAsia" w:eastAsia="仿宋_GB2312"/>
              </w:rPr>
              <w:t>50</w:t>
            </w:r>
            <w:r>
              <w:rPr>
                <w:rFonts w:eastAsia="仿宋_GB2312"/>
              </w:rPr>
              <w:t>万元的，处</w:t>
            </w:r>
            <w:r>
              <w:rPr>
                <w:rFonts w:hint="eastAsia" w:eastAsia="仿宋_GB2312"/>
              </w:rPr>
              <w:t>50</w:t>
            </w:r>
            <w:r>
              <w:rPr>
                <w:rFonts w:eastAsia="仿宋_GB2312"/>
              </w:rPr>
              <w:t>万元以上</w:t>
            </w:r>
            <w:r>
              <w:rPr>
                <w:rFonts w:hint="eastAsia" w:eastAsia="仿宋_GB2312"/>
              </w:rPr>
              <w:t>200</w:t>
            </w:r>
            <w:r>
              <w:rPr>
                <w:rFonts w:eastAsia="仿宋_GB2312"/>
              </w:rPr>
              <w:t>万元以下罚款；情节特别严重或者逾期不改正的，可以责令停业整顿或者吊销其金融许可</w:t>
            </w:r>
            <w:r>
              <w:rPr>
                <w:rFonts w:ascii="仿宋_GB2312" w:hAnsi="仿宋" w:eastAsia="仿宋_GB2312" w:cs="仿宋_GB2312"/>
              </w:rPr>
              <w:t>证；构成犯罪的，依法追究刑事责任：</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（一）未经批准设立分支机构的；</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（二）未经批准变更、终止的；</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（三）违反规定从事未经批准的业务活动的；</w:t>
            </w:r>
          </w:p>
          <w:p>
            <w:pPr>
              <w:widowControl/>
              <w:ind w:firstLine="400" w:firstLineChars="200"/>
              <w:textAlignment w:val="center"/>
              <w:rPr>
                <w:rFonts w:hint="eastAsia" w:ascii="仿宋_GB2312" w:hAnsi="仿宋" w:eastAsia="仿宋_GB2312" w:cs="仿宋_GB2312"/>
              </w:rPr>
            </w:pPr>
            <w:r>
              <w:rPr>
                <w:rFonts w:ascii="仿宋_GB2312" w:hAnsi="仿宋" w:eastAsia="仿宋_GB2312" w:cs="仿宋_GB2312"/>
              </w:rPr>
              <w:t>（四）违反规定提高或者降低存款利率、贷款利率的。</w:t>
            </w:r>
          </w:p>
          <w:p>
            <w:pPr>
              <w:widowControl/>
              <w:ind w:firstLine="400" w:firstLineChars="200"/>
              <w:textAlignment w:val="center"/>
              <w:rPr>
                <w:rFonts w:hint="eastAsia" w:ascii="仿宋_GB2312" w:hAnsi="仿宋" w:eastAsia="仿宋_GB2312" w:cs="仿宋_GB2312"/>
              </w:rPr>
            </w:pPr>
          </w:p>
          <w:p>
            <w:pPr>
              <w:widowControl/>
              <w:ind w:firstLine="400" w:firstLineChars="200"/>
              <w:textAlignment w:val="center"/>
              <w:rPr>
                <w:rFonts w:hint="eastAsia" w:ascii="仿宋_GB2312" w:hAnsi="仿宋" w:eastAsia="仿宋_GB2312" w:cs="仿宋_GB2312"/>
              </w:rPr>
            </w:pPr>
          </w:p>
          <w:p>
            <w:pPr>
              <w:widowControl/>
              <w:ind w:firstLine="400" w:firstLineChars="200"/>
              <w:textAlignment w:val="center"/>
              <w:rPr>
                <w:rFonts w:ascii="仿宋_GB2312" w:hAnsi="仿宋" w:eastAsia="仿宋_GB2312" w:cs="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7" w:hRule="atLeast"/>
        </w:trPr>
        <w:tc>
          <w:tcPr>
            <w:tcW w:w="664" w:type="dxa"/>
            <w:tcBorders>
              <w:top w:val="single" w:color="000000" w:sz="4" w:space="0"/>
              <w:left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16</w:t>
            </w:r>
          </w:p>
        </w:tc>
        <w:tc>
          <w:tcPr>
            <w:tcW w:w="1774" w:type="dxa"/>
            <w:tcBorders>
              <w:top w:val="single" w:color="000000" w:sz="4" w:space="0"/>
              <w:left w:val="single" w:color="000000" w:sz="4" w:space="0"/>
              <w:right w:val="single" w:color="000000" w:sz="4" w:space="0"/>
            </w:tcBorders>
            <w:noWrap w:val="0"/>
            <w:vAlign w:val="center"/>
          </w:tcPr>
          <w:p>
            <w:pPr>
              <w:widowControl/>
              <w:textAlignment w:val="center"/>
              <w:rPr>
                <w:rFonts w:ascii="仿宋_GB2312" w:hAnsi="仿宋" w:eastAsia="仿宋_GB2312" w:cs="仿宋"/>
              </w:rPr>
            </w:pPr>
            <w:r>
              <w:rPr>
                <w:rFonts w:hint="eastAsia" w:ascii="仿宋_GB2312" w:hAnsi="仿宋" w:eastAsia="仿宋_GB2312" w:cs="仿宋"/>
              </w:rPr>
              <w:t>外资银行分行级以下分支机构（不含分行）高级管理人员任职资格核准</w:t>
            </w:r>
          </w:p>
        </w:tc>
        <w:tc>
          <w:tcPr>
            <w:tcW w:w="4970" w:type="dxa"/>
            <w:tcBorders>
              <w:top w:val="single" w:color="000000" w:sz="4" w:space="0"/>
              <w:left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《中华人民共和国外资银行管理条例》</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第二十六条</w:t>
            </w:r>
            <w:r>
              <w:rPr>
                <w:rFonts w:hint="eastAsia" w:ascii="仿宋_GB2312" w:hAnsi="仿宋" w:eastAsia="仿宋_GB2312" w:cs="仿宋_GB2312"/>
              </w:rPr>
              <w:t xml:space="preserve">  </w:t>
            </w:r>
            <w:r>
              <w:rPr>
                <w:rFonts w:ascii="仿宋_GB2312" w:hAnsi="仿宋" w:eastAsia="仿宋_GB2312" w:cs="仿宋_GB2312"/>
              </w:rPr>
              <w:t>外资银行董事、高级管理人员、首席代表的任职资格应当符合国务院银行业监督管理机构规定的条件，并经国务院银行业监督管理机构核准。</w:t>
            </w:r>
          </w:p>
          <w:p>
            <w:pPr>
              <w:widowControl/>
              <w:ind w:firstLine="400" w:firstLineChars="200"/>
              <w:textAlignment w:val="center"/>
              <w:rPr>
                <w:rFonts w:ascii="仿宋_GB2312" w:hAnsi="仿宋" w:eastAsia="仿宋_GB2312" w:cs="仿宋_GB2312"/>
              </w:rPr>
            </w:pPr>
            <w:r>
              <w:rPr>
                <w:rFonts w:hint="eastAsia" w:ascii="黑体" w:hAnsi="仿宋" w:eastAsia="黑体" w:cs="仿宋_GB2312"/>
              </w:rPr>
              <w:t>第六十五条</w:t>
            </w:r>
            <w:r>
              <w:rPr>
                <w:rFonts w:hint="eastAsia" w:ascii="仿宋_GB2312" w:hAnsi="仿宋" w:eastAsia="仿宋_GB2312" w:cs="仿宋_GB2312"/>
              </w:rPr>
              <w:t xml:space="preserve">  </w:t>
            </w:r>
            <w:r>
              <w:rPr>
                <w:rFonts w:ascii="仿宋_GB2312" w:hAnsi="仿宋" w:eastAsia="仿宋_GB2312" w:cs="仿宋_GB2312"/>
              </w:rPr>
              <w:t>外资银行有下列情形之一的，由国务院银行业监督管理机构责令改正，处</w:t>
            </w:r>
            <w:r>
              <w:rPr>
                <w:rFonts w:hint="eastAsia" w:ascii="仿宋_GB2312" w:hAnsi="仿宋" w:eastAsia="仿宋_GB2312" w:cs="仿宋_GB2312"/>
              </w:rPr>
              <w:t>20</w:t>
            </w:r>
            <w:r>
              <w:rPr>
                <w:rFonts w:ascii="仿宋_GB2312" w:hAnsi="仿宋" w:eastAsia="仿宋_GB2312" w:cs="仿宋_GB2312"/>
              </w:rPr>
              <w:t>万元以上</w:t>
            </w:r>
            <w:r>
              <w:rPr>
                <w:rFonts w:hint="eastAsia" w:ascii="仿宋_GB2312" w:hAnsi="仿宋" w:eastAsia="仿宋_GB2312" w:cs="仿宋_GB2312"/>
              </w:rPr>
              <w:t>50</w:t>
            </w:r>
            <w:r>
              <w:rPr>
                <w:rFonts w:ascii="仿宋_GB2312" w:hAnsi="仿宋" w:eastAsia="仿宋_GB2312" w:cs="仿宋_GB2312"/>
              </w:rPr>
              <w:t>万元以下罚款；情节特别严重或者逾期不改正的，可以责令停业整顿、吊销其金融许可证、撤销代表处；构成犯罪的，依法追究刑事责任：</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w:t>
            </w:r>
          </w:p>
          <w:p>
            <w:pPr>
              <w:widowControl/>
              <w:ind w:firstLine="400" w:firstLineChars="200"/>
              <w:textAlignment w:val="center"/>
              <w:rPr>
                <w:rFonts w:ascii="仿宋_GB2312" w:hAnsi="仿宋" w:eastAsia="仿宋_GB2312" w:cs="仿宋_GB2312"/>
              </w:rPr>
            </w:pPr>
            <w:r>
              <w:rPr>
                <w:rFonts w:ascii="仿宋_GB2312" w:hAnsi="仿宋" w:eastAsia="仿宋_GB2312" w:cs="仿宋_GB2312"/>
              </w:rPr>
              <w:t>（五）未经任职资格核准任命董事、高级管理人员、首席代表的；</w:t>
            </w:r>
          </w:p>
          <w:p>
            <w:pPr>
              <w:widowControl/>
              <w:ind w:firstLine="400" w:firstLineChars="200"/>
              <w:textAlignment w:val="center"/>
              <w:rPr>
                <w:rFonts w:ascii="仿宋_GB2312" w:hAnsi="仿宋" w:eastAsia="仿宋_GB2312" w:cs="仿宋_GB2312"/>
              </w:rPr>
            </w:pPr>
            <w:r>
              <w:rPr>
                <w:rFonts w:hint="eastAsia" w:ascii="仿宋_GB2312" w:hAnsi="仿宋" w:eastAsia="仿宋_GB2312" w:cs="仿宋_GB2312"/>
              </w:rPr>
              <w:t>……</w:t>
            </w:r>
          </w:p>
        </w:tc>
        <w:tc>
          <w:tcPr>
            <w:tcW w:w="1631" w:type="dxa"/>
            <w:tcBorders>
              <w:top w:val="single" w:color="000000" w:sz="4" w:space="0"/>
              <w:left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50" w:hRule="atLeast"/>
        </w:trPr>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17</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cs="仿宋_GB2312"/>
              </w:rPr>
            </w:pPr>
            <w:r>
              <w:rPr>
                <w:rFonts w:hint="eastAsia" w:ascii="仿宋_GB2312" w:hAnsi="仿宋" w:eastAsia="仿宋_GB2312" w:cs="仿宋_GB2312"/>
              </w:rPr>
              <w:t>药品互联网信息服务审批</w:t>
            </w:r>
          </w:p>
        </w:tc>
        <w:tc>
          <w:tcPr>
            <w:tcW w:w="4970" w:type="dxa"/>
            <w:vMerge w:val="restart"/>
            <w:tcBorders>
              <w:top w:val="single" w:color="000000" w:sz="4" w:space="0"/>
              <w:left w:val="single" w:color="000000" w:sz="4" w:space="0"/>
              <w:right w:val="single" w:color="000000" w:sz="4" w:space="0"/>
            </w:tcBorders>
            <w:noWrap w:val="0"/>
            <w:vAlign w:val="center"/>
          </w:tcPr>
          <w:p>
            <w:pPr>
              <w:widowControl/>
              <w:ind w:firstLine="400" w:firstLineChars="200"/>
              <w:textAlignment w:val="center"/>
              <w:rPr>
                <w:rFonts w:hint="eastAsia" w:ascii="仿宋_GB2312" w:hAnsi="仿宋" w:eastAsia="仿宋_GB2312" w:cs="仿宋_GB2312"/>
              </w:rPr>
            </w:pPr>
            <w:r>
              <w:rPr>
                <w:rFonts w:hint="eastAsia" w:ascii="仿宋_GB2312" w:hAnsi="仿宋" w:eastAsia="仿宋_GB2312" w:cs="仿宋_GB2312"/>
              </w:rPr>
              <w:t>《互联网信息服务管理办法》</w:t>
            </w:r>
          </w:p>
          <w:p>
            <w:pPr>
              <w:widowControl/>
              <w:ind w:firstLine="400" w:firstLineChars="200"/>
              <w:textAlignment w:val="center"/>
              <w:rPr>
                <w:rFonts w:ascii="仿宋_GB2312" w:hAnsi="仿宋" w:eastAsia="仿宋_GB2312"/>
              </w:rPr>
            </w:pPr>
          </w:p>
          <w:p>
            <w:pPr>
              <w:widowControl/>
              <w:ind w:firstLine="400" w:firstLineChars="200"/>
              <w:textAlignment w:val="center"/>
              <w:rPr>
                <w:rFonts w:hint="eastAsia" w:ascii="仿宋_GB2312" w:hAnsi="仿宋" w:eastAsia="仿宋_GB2312" w:cs="仿宋_GB2312"/>
              </w:rPr>
            </w:pPr>
            <w:r>
              <w:rPr>
                <w:rFonts w:hint="eastAsia" w:ascii="黑体" w:hAnsi="仿宋" w:eastAsia="黑体" w:cs="仿宋_GB2312"/>
              </w:rPr>
              <w:t xml:space="preserve">第五条 </w:t>
            </w:r>
            <w:r>
              <w:rPr>
                <w:rFonts w:hint="eastAsia" w:ascii="仿宋_GB2312" w:hAnsi="仿宋" w:eastAsia="仿宋_GB2312" w:cs="仿宋_GB2312"/>
              </w:rPr>
              <w:t xml:space="preserve"> 从事新闻、出版、教育、医疗保健、药品和医疗器械等互联网信息服务，依照法律、行政法规以及国家有关规定须经有关主管部门审核同意的，在申请经营许可或者履行备案手续前，应当依法经有关主管部门审核同意。</w:t>
            </w:r>
          </w:p>
          <w:p>
            <w:pPr>
              <w:widowControl/>
              <w:ind w:firstLine="400" w:firstLineChars="200"/>
              <w:textAlignment w:val="center"/>
              <w:rPr>
                <w:rFonts w:ascii="仿宋_GB2312" w:hAnsi="仿宋" w:eastAsia="仿宋_GB2312" w:cs="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18</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rPr>
            </w:pPr>
            <w:r>
              <w:rPr>
                <w:rFonts w:hint="eastAsia" w:ascii="仿宋_GB2312" w:hAnsi="仿宋" w:eastAsia="仿宋_GB2312"/>
              </w:rPr>
              <w:t>医疗器械互联网信息服务审批</w:t>
            </w:r>
          </w:p>
        </w:tc>
        <w:tc>
          <w:tcPr>
            <w:tcW w:w="4970" w:type="dxa"/>
            <w:vMerge w:val="continue"/>
            <w:tcBorders>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19</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cs="仿宋_GB2312"/>
              </w:rPr>
            </w:pPr>
            <w:r>
              <w:rPr>
                <w:rFonts w:hint="eastAsia" w:ascii="仿宋_GB2312" w:hAnsi="仿宋" w:eastAsia="仿宋_GB2312" w:cs="仿宋_GB2312"/>
              </w:rPr>
              <w:t>危险化学品（无储存）经营许可证核发</w:t>
            </w:r>
          </w:p>
        </w:tc>
        <w:tc>
          <w:tcPr>
            <w:tcW w:w="4970" w:type="dxa"/>
            <w:tcBorders>
              <w:left w:val="single" w:color="000000" w:sz="4" w:space="0"/>
              <w:bottom w:val="single" w:color="000000" w:sz="4" w:space="0"/>
              <w:right w:val="single" w:color="000000" w:sz="4" w:space="0"/>
            </w:tcBorders>
            <w:noWrap w:val="0"/>
            <w:vAlign w:val="center"/>
          </w:tcPr>
          <w:p>
            <w:pPr>
              <w:widowControl/>
              <w:ind w:firstLine="400" w:firstLineChars="200"/>
              <w:textAlignment w:val="center"/>
              <w:rPr>
                <w:rFonts w:ascii="仿宋_GB2312" w:hAnsi="仿宋" w:eastAsia="仿宋_GB2312"/>
              </w:rPr>
            </w:pPr>
            <w:r>
              <w:rPr>
                <w:rFonts w:hint="eastAsia" w:ascii="仿宋_GB2312" w:hAnsi="仿宋" w:eastAsia="仿宋_GB2312" w:cs="仿宋_GB2312"/>
              </w:rPr>
              <w:t>《危险化学品安全管理条例》</w:t>
            </w:r>
          </w:p>
          <w:p>
            <w:pPr>
              <w:widowControl/>
              <w:ind w:firstLine="400" w:firstLineChars="200"/>
              <w:textAlignment w:val="center"/>
              <w:rPr>
                <w:rFonts w:hint="eastAsia" w:ascii="仿宋_GB2312" w:hAnsi="仿宋" w:eastAsia="仿宋_GB2312" w:cs="仿宋_GB2312"/>
              </w:rPr>
            </w:pPr>
            <w:r>
              <w:rPr>
                <w:rFonts w:hint="eastAsia" w:ascii="黑体" w:hAnsi="仿宋" w:eastAsia="黑体" w:cs="仿宋_GB2312"/>
              </w:rPr>
              <w:t>第三十五条第一款</w:t>
            </w:r>
            <w:r>
              <w:rPr>
                <w:rFonts w:ascii="仿宋_GB2312" w:hAnsi="仿宋" w:eastAsia="仿宋_GB2312" w:cs="仿宋_GB2312"/>
              </w:rPr>
              <w:t xml:space="preserve">  </w:t>
            </w:r>
            <w:r>
              <w:rPr>
                <w:rFonts w:hint="eastAsia" w:ascii="仿宋_GB2312" w:hAnsi="仿宋" w:eastAsia="仿宋_GB2312" w:cs="仿宋_GB2312"/>
              </w:rPr>
              <w:t>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widowControl/>
              <w:ind w:firstLine="400" w:firstLineChars="200"/>
              <w:textAlignment w:val="center"/>
              <w:rPr>
                <w:rFonts w:ascii="仿宋_GB2312" w:hAnsi="仿宋" w:eastAsia="仿宋_GB2312" w:cs="仿宋_GB2312"/>
              </w:rPr>
            </w:pP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cs="仿宋_GB2312"/>
              </w:rPr>
              <w:t>实行告知承诺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cs="仿宋"/>
              </w:rPr>
            </w:pPr>
            <w:r>
              <w:rPr>
                <w:rFonts w:hint="eastAsia" w:ascii="仿宋_GB2312" w:hAnsi="仿宋" w:eastAsia="仿宋_GB2312" w:cs="仿宋"/>
              </w:rPr>
              <w:t>20</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 w:eastAsia="仿宋_GB2312"/>
              </w:rPr>
            </w:pPr>
            <w:r>
              <w:rPr>
                <w:rFonts w:hint="eastAsia" w:ascii="仿宋_GB2312" w:hAnsi="仿宋" w:eastAsia="仿宋_GB2312"/>
              </w:rPr>
              <w:t>经营高危险性体育项目许可</w:t>
            </w:r>
          </w:p>
        </w:tc>
        <w:tc>
          <w:tcPr>
            <w:tcW w:w="497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300" w:firstLineChars="150"/>
              <w:textAlignment w:val="center"/>
              <w:rPr>
                <w:rFonts w:ascii="仿宋_GB2312" w:hAnsi="仿宋" w:eastAsia="仿宋_GB2312"/>
              </w:rPr>
            </w:pPr>
            <w:r>
              <w:rPr>
                <w:rFonts w:hint="eastAsia" w:ascii="仿宋_GB2312" w:hAnsi="仿宋" w:eastAsia="仿宋_GB2312"/>
              </w:rPr>
              <w:t>《全民健身条例》</w:t>
            </w:r>
          </w:p>
          <w:p>
            <w:pPr>
              <w:widowControl/>
              <w:ind w:firstLine="400" w:firstLineChars="200"/>
              <w:textAlignment w:val="center"/>
              <w:rPr>
                <w:rFonts w:ascii="仿宋_GB2312" w:hAnsi="仿宋" w:eastAsia="仿宋_GB2312"/>
              </w:rPr>
            </w:pPr>
            <w:r>
              <w:rPr>
                <w:rFonts w:hint="eastAsia" w:ascii="黑体" w:hAnsi="仿宋" w:eastAsia="黑体"/>
              </w:rPr>
              <w:t xml:space="preserve">第三十二条第一款  </w:t>
            </w:r>
            <w:r>
              <w:rPr>
                <w:rFonts w:hint="eastAsia" w:ascii="仿宋_GB2312" w:hAnsi="仿宋_GB2312" w:eastAsia="仿宋_GB2312" w:cs="仿宋_GB2312"/>
              </w:rPr>
              <w:t>企业、个体工商户</w:t>
            </w:r>
            <w:r>
              <w:rPr>
                <w:rFonts w:hint="eastAsia" w:ascii="仿宋_GB2312" w:hAnsi="仿宋" w:eastAsia="仿宋_GB2312"/>
              </w:rPr>
              <w:t>经营高危险性体育项目的，应当符合下列条件，并向县级以上地方人民政府体育主管部门提出申请：</w:t>
            </w:r>
          </w:p>
          <w:p>
            <w:pPr>
              <w:widowControl/>
              <w:ind w:firstLine="400" w:firstLineChars="200"/>
              <w:textAlignment w:val="center"/>
              <w:rPr>
                <w:rFonts w:ascii="仿宋_GB2312" w:hAnsi="仿宋" w:eastAsia="仿宋_GB2312"/>
              </w:rPr>
            </w:pPr>
            <w:r>
              <w:rPr>
                <w:rFonts w:hint="eastAsia" w:ascii="仿宋_GB2312" w:hAnsi="仿宋" w:eastAsia="仿宋_GB2312"/>
              </w:rPr>
              <w:t>（一）相关体育设施符合国家标准；</w:t>
            </w:r>
          </w:p>
          <w:p>
            <w:pPr>
              <w:widowControl/>
              <w:ind w:firstLine="400" w:firstLineChars="200"/>
              <w:textAlignment w:val="center"/>
              <w:rPr>
                <w:rFonts w:ascii="仿宋_GB2312" w:hAnsi="仿宋" w:eastAsia="仿宋_GB2312"/>
              </w:rPr>
            </w:pPr>
            <w:r>
              <w:rPr>
                <w:rFonts w:hint="eastAsia" w:ascii="仿宋_GB2312" w:hAnsi="仿宋" w:eastAsia="仿宋_GB2312"/>
              </w:rPr>
              <w:t>（二）具有达到规定数量的取得国家职业资格证书的社会体育指导人员和救助人员；</w:t>
            </w:r>
          </w:p>
          <w:p>
            <w:pPr>
              <w:widowControl/>
              <w:ind w:firstLine="400" w:firstLineChars="200"/>
              <w:textAlignment w:val="center"/>
              <w:rPr>
                <w:rFonts w:ascii="仿宋_GB2312" w:hAnsi="仿宋" w:eastAsia="仿宋_GB2312"/>
              </w:rPr>
            </w:pPr>
            <w:r>
              <w:rPr>
                <w:rFonts w:hint="eastAsia" w:ascii="仿宋_GB2312" w:hAnsi="仿宋" w:eastAsia="仿宋_GB2312"/>
              </w:rPr>
              <w:t>（三）具有相应的安全保障制度和措施。</w:t>
            </w:r>
          </w:p>
          <w:p>
            <w:pPr>
              <w:widowControl/>
              <w:ind w:firstLine="400" w:firstLineChars="200"/>
              <w:textAlignment w:val="center"/>
              <w:rPr>
                <w:rFonts w:ascii="仿宋_GB2312" w:hAnsi="仿宋" w:eastAsia="仿宋_GB2312"/>
              </w:rPr>
            </w:pPr>
            <w:r>
              <w:rPr>
                <w:rFonts w:hint="eastAsia" w:ascii="黑体" w:hAnsi="仿宋" w:eastAsia="黑体"/>
              </w:rPr>
              <w:t xml:space="preserve">第二款  </w:t>
            </w:r>
            <w:r>
              <w:rPr>
                <w:rFonts w:hint="eastAsia" w:ascii="仿宋_GB2312" w:hAnsi="仿宋" w:eastAsia="仿宋_GB2312"/>
              </w:rPr>
              <w:t>县级以上地方人民政府体育主管部门应当自收到申请之日起30日内进行实地核查，做出批准或者不予批准的决定。批准的，应当发给许可证；不予批准的，应当书面通知申请人并说明理由。</w:t>
            </w:r>
          </w:p>
        </w:tc>
        <w:tc>
          <w:tcPr>
            <w:tcW w:w="1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仿宋_GB2312" w:hAnsi="仿宋" w:eastAsia="仿宋_GB2312"/>
              </w:rPr>
            </w:pPr>
            <w:r>
              <w:rPr>
                <w:rFonts w:hint="eastAsia" w:ascii="仿宋_GB2312" w:hAnsi="仿宋" w:eastAsia="仿宋_GB2312"/>
              </w:rPr>
              <w:t>实行告知承诺</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81236"/>
    <w:rsid w:val="50F8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2021-11-03T02:39:00Z</dcterms:created>
  <dc:creator>Administrator</dc:creator>
  <cp:lastModifiedBy>Administrator</cp:lastModifiedBy>
  <dcterms:modified xsi:type="dcterms:W3CDTF">2021-11-03T02:40:04Z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46506339948B4A62ADA9B3CB12337205</vt:lpwstr>
  </property>
</Properties>
</file>