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A5" w:rsidRDefault="003E1280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0138A5" w:rsidRDefault="003E128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0138A5" w:rsidRDefault="000138A5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0138A5" w:rsidRDefault="003E1280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脱氢乙酸及其钠盐</w:t>
      </w:r>
    </w:p>
    <w:p w:rsidR="000138A5" w:rsidRDefault="003E1280" w:rsidP="003E1280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 w:rsidRPr="003E1280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）未规定食用淀粉及新鲜水果中允许使用脱氢乙酸及其钠盐，即不得使用。</w:t>
      </w:r>
    </w:p>
    <w:p w:rsidR="000138A5" w:rsidRDefault="003E1280">
      <w:pPr>
        <w:pStyle w:val="ab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bookmarkStart w:id="1" w:name="_Hlk120179512"/>
      <w:r>
        <w:rPr>
          <w:rFonts w:eastAsia="黑体" w:hint="eastAsia"/>
          <w:color w:val="000000"/>
          <w:sz w:val="32"/>
          <w:szCs w:val="32"/>
        </w:rPr>
        <w:t>氟虫</w:t>
      </w:r>
      <w:proofErr w:type="gramStart"/>
      <w:r>
        <w:rPr>
          <w:rFonts w:eastAsia="黑体" w:hint="eastAsia"/>
          <w:color w:val="000000"/>
          <w:sz w:val="32"/>
          <w:szCs w:val="32"/>
        </w:rPr>
        <w:t>腈</w:t>
      </w:r>
      <w:proofErr w:type="gramEnd"/>
    </w:p>
    <w:p w:rsidR="000138A5" w:rsidRDefault="003E1280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eastAsia="仿宋_GB2312" w:hint="eastAsia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日起，禁止在所有农作物上使用氟虫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（玉米等部分旱田种子包衣除外）。《食品安全国家标准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）规定，叶菜类蔬菜中氟虫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eastAsia="仿宋_GB2312" w:hint="eastAsia"/>
          <w:color w:val="000000"/>
          <w:sz w:val="32"/>
          <w:szCs w:val="32"/>
        </w:rPr>
        <w:t>。</w:t>
      </w:r>
      <w:bookmarkEnd w:id="1"/>
    </w:p>
    <w:p w:rsidR="000138A5" w:rsidRDefault="003E1280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:rsidR="000138A5" w:rsidRDefault="003E1280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熟肉制品》（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2726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对预包装的熟肉制品（发酵肉制品类除外）中的菌落总数规定同批次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sz w:val="32"/>
          <w:szCs w:val="32"/>
        </w:rPr>
        <w:t xml:space="preserve"> CFU/g</w:t>
      </w:r>
      <w:r>
        <w:rPr>
          <w:rFonts w:ascii="Times New Roman" w:eastAsia="仿宋_GB2312" w:hAnsi="Times New Roman" w:hint="eastAsia"/>
          <w:sz w:val="32"/>
          <w:szCs w:val="32"/>
        </w:rPr>
        <w:t>的，且至少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个包装产品检测结果不超过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sz w:val="32"/>
          <w:szCs w:val="32"/>
        </w:rPr>
        <w:t xml:space="preserve"> CFU/g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38A5" w:rsidRDefault="003E1280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0138A5" w:rsidRDefault="003E1280">
      <w:pPr>
        <w:pStyle w:val="ab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大肠菌群是国内外通用的食品污染常用指示菌之一。食</w:t>
      </w:r>
      <w:r>
        <w:rPr>
          <w:rFonts w:eastAsia="仿宋_GB2312" w:hint="eastAsia"/>
          <w:color w:val="000000"/>
          <w:sz w:val="32"/>
          <w:szCs w:val="32"/>
        </w:rPr>
        <w:lastRenderedPageBreak/>
        <w:t>品及餐饮具中检出大肠菌群，提示被肠道致病菌污染的可能性较大。《食品安全国家标准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熟肉制品》（</w:t>
      </w:r>
      <w:r>
        <w:rPr>
          <w:rFonts w:eastAsia="仿宋_GB2312"/>
          <w:color w:val="000000"/>
          <w:sz w:val="32"/>
          <w:szCs w:val="32"/>
        </w:rPr>
        <w:t>GB 2726</w:t>
      </w:r>
      <w:r>
        <w:rPr>
          <w:rFonts w:eastAsia="仿宋_GB2312" w:hint="eastAsia"/>
          <w:color w:val="000000"/>
          <w:sz w:val="32"/>
          <w:szCs w:val="32"/>
        </w:rPr>
        <w:t>）对熟肉制品中的大肠菌群规定同批次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个独立包装产品中大肠菌群检测结果不允许有超过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CFU/g</w:t>
      </w:r>
      <w:r>
        <w:rPr>
          <w:rFonts w:eastAsia="仿宋_GB2312" w:hint="eastAsia"/>
          <w:color w:val="000000"/>
          <w:sz w:val="32"/>
          <w:szCs w:val="32"/>
        </w:rPr>
        <w:t>的，且至少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个包装产品检测结果不超过</w:t>
      </w:r>
      <w:r>
        <w:rPr>
          <w:rFonts w:eastAsia="仿宋_GB2312"/>
          <w:color w:val="000000"/>
          <w:sz w:val="32"/>
          <w:szCs w:val="32"/>
        </w:rPr>
        <w:t>10 CFU/g</w:t>
      </w:r>
      <w:r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0138A5" w:rsidRDefault="003E1280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</w:t>
      </w:r>
      <w:proofErr w:type="gramStart"/>
      <w:r>
        <w:rPr>
          <w:rFonts w:eastAsia="黑体" w:hint="eastAsia"/>
          <w:sz w:val="32"/>
          <w:szCs w:val="32"/>
        </w:rPr>
        <w:t>蜱</w:t>
      </w:r>
      <w:proofErr w:type="gramEnd"/>
    </w:p>
    <w:p w:rsidR="000138A5" w:rsidRDefault="003E1280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毒死</w:t>
      </w:r>
      <w:proofErr w:type="gramStart"/>
      <w:r>
        <w:rPr>
          <w:rFonts w:eastAsia="仿宋_GB2312" w:hint="eastAsia"/>
          <w:sz w:val="32"/>
          <w:szCs w:val="32"/>
        </w:rPr>
        <w:t>蜱</w:t>
      </w:r>
      <w:proofErr w:type="gramEnd"/>
      <w:r>
        <w:rPr>
          <w:rFonts w:eastAsia="仿宋_GB2312" w:hint="eastAsia"/>
          <w:sz w:val="32"/>
          <w:szCs w:val="32"/>
        </w:rPr>
        <w:t>属于有机磷类农药，主要用于粮食、果树和其他经济作物杀虫。农业部第</w:t>
      </w:r>
      <w:r>
        <w:rPr>
          <w:rFonts w:eastAsia="仿宋_GB2312"/>
          <w:sz w:val="32"/>
          <w:szCs w:val="32"/>
        </w:rPr>
        <w:t>2032</w:t>
      </w:r>
      <w:r>
        <w:rPr>
          <w:rFonts w:eastAsia="仿宋_GB2312" w:hint="eastAsia"/>
          <w:sz w:val="32"/>
          <w:szCs w:val="32"/>
        </w:rPr>
        <w:t>号公告规定自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日起，禁止毒死</w:t>
      </w:r>
      <w:proofErr w:type="gramStart"/>
      <w:r>
        <w:rPr>
          <w:rFonts w:eastAsia="仿宋_GB2312" w:hint="eastAsia"/>
          <w:sz w:val="32"/>
          <w:szCs w:val="32"/>
        </w:rPr>
        <w:t>蜱</w:t>
      </w:r>
      <w:proofErr w:type="gramEnd"/>
      <w:r>
        <w:rPr>
          <w:rFonts w:eastAsia="仿宋_GB2312" w:hint="eastAsia"/>
          <w:sz w:val="32"/>
          <w:szCs w:val="32"/>
        </w:rPr>
        <w:t>在蔬菜中使用。《食品安全国家标准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）规定，鳞茎类蔬菜中毒死</w:t>
      </w:r>
      <w:proofErr w:type="gramStart"/>
      <w:r>
        <w:rPr>
          <w:rFonts w:eastAsia="仿宋_GB2312" w:hint="eastAsia"/>
          <w:sz w:val="32"/>
          <w:szCs w:val="32"/>
        </w:rPr>
        <w:t>蜱</w:t>
      </w:r>
      <w:proofErr w:type="gramEnd"/>
      <w:r>
        <w:rPr>
          <w:rFonts w:eastAsia="仿宋_GB2312" w:hint="eastAsia"/>
          <w:sz w:val="32"/>
          <w:szCs w:val="32"/>
        </w:rPr>
        <w:t>的最大残留限量为</w:t>
      </w:r>
      <w:r>
        <w:rPr>
          <w:rFonts w:eastAsia="仿宋_GB2312"/>
          <w:sz w:val="32"/>
          <w:szCs w:val="32"/>
        </w:rPr>
        <w:t>0.02 mg/kg</w:t>
      </w:r>
      <w:r>
        <w:rPr>
          <w:rFonts w:eastAsia="仿宋_GB2312" w:hint="eastAsia"/>
          <w:sz w:val="32"/>
          <w:szCs w:val="32"/>
        </w:rPr>
        <w:t>。</w:t>
      </w:r>
    </w:p>
    <w:p w:rsidR="000138A5" w:rsidRDefault="003E1280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甲拌磷</w:t>
      </w:r>
    </w:p>
    <w:p w:rsidR="000138A5" w:rsidRDefault="003E1280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日发布的农业部第</w:t>
      </w:r>
      <w:r>
        <w:rPr>
          <w:rFonts w:eastAsia="仿宋_GB2312"/>
          <w:color w:val="000000"/>
          <w:sz w:val="32"/>
          <w:szCs w:val="32"/>
        </w:rPr>
        <w:t>199</w:t>
      </w:r>
      <w:r>
        <w:rPr>
          <w:rFonts w:eastAsia="仿宋_GB2312" w:hint="eastAsia"/>
          <w:color w:val="000000"/>
          <w:sz w:val="32"/>
          <w:szCs w:val="32"/>
        </w:rPr>
        <w:t>号公告规定在蔬菜、果树、茶叶、中草药材上不得使用甲拌磷。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）规定，鳞茎类蔬菜中甲拌磷的最大残留限量为</w:t>
      </w:r>
      <w:r>
        <w:rPr>
          <w:rFonts w:eastAsia="仿宋_GB2312"/>
          <w:color w:val="000000" w:themeColor="text1"/>
          <w:sz w:val="32"/>
          <w:szCs w:val="32"/>
        </w:rPr>
        <w:t>0.01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0138A5" w:rsidRDefault="003E1280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二</w:t>
      </w:r>
      <w:proofErr w:type="gramStart"/>
      <w:r>
        <w:rPr>
          <w:rFonts w:ascii="Times New Roman" w:eastAsia="黑体" w:hAnsi="Times New Roman" w:hint="eastAsia"/>
          <w:bCs/>
          <w:sz w:val="32"/>
          <w:szCs w:val="32"/>
        </w:rPr>
        <w:t>甲戊</w:t>
      </w:r>
      <w:proofErr w:type="gramEnd"/>
      <w:r>
        <w:rPr>
          <w:rFonts w:ascii="Times New Roman" w:eastAsia="黑体" w:hAnsi="Times New Roman" w:hint="eastAsia"/>
          <w:bCs/>
          <w:sz w:val="32"/>
          <w:szCs w:val="32"/>
        </w:rPr>
        <w:t>灵</w:t>
      </w:r>
    </w:p>
    <w:p w:rsidR="000138A5" w:rsidRDefault="003E128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二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甲戊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灵是一种选择性除草剂，可用于谷物、洋葱、韭菜等多种作物田防除杂草。《食品安全国家标准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bCs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bCs/>
          <w:sz w:val="32"/>
          <w:szCs w:val="32"/>
        </w:rPr>
        <w:t>）规定，韭菜中二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甲戊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灵的最</w:t>
      </w:r>
      <w:r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大残留限量为</w:t>
      </w:r>
      <w:r>
        <w:rPr>
          <w:rFonts w:ascii="Times New Roman" w:eastAsia="仿宋_GB2312" w:hAnsi="Times New Roman"/>
          <w:bCs/>
          <w:sz w:val="32"/>
          <w:szCs w:val="32"/>
        </w:rPr>
        <w:t>0.2 mg/kg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0138A5" w:rsidRDefault="003E1280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噻</w:t>
      </w:r>
      <w:proofErr w:type="gramEnd"/>
      <w:r>
        <w:rPr>
          <w:rFonts w:eastAsia="黑体" w:hint="eastAsia"/>
          <w:color w:val="000000"/>
          <w:sz w:val="32"/>
          <w:szCs w:val="32"/>
        </w:rPr>
        <w:t>虫胺</w:t>
      </w:r>
    </w:p>
    <w:p w:rsidR="000138A5" w:rsidRDefault="003E1280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proofErr w:type="gramStart"/>
      <w:r>
        <w:rPr>
          <w:rFonts w:eastAsia="仿宋_GB2312" w:hint="eastAsia"/>
          <w:color w:val="000000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/>
          <w:sz w:val="32"/>
          <w:szCs w:val="32"/>
        </w:rPr>
        <w:t>虫胺，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具有根内吸</w:t>
      </w:r>
      <w:proofErr w:type="gramEnd"/>
      <w:r>
        <w:rPr>
          <w:rFonts w:eastAsia="仿宋_GB2312" w:hint="eastAsia"/>
          <w:color w:val="000000"/>
          <w:sz w:val="32"/>
          <w:szCs w:val="32"/>
        </w:rPr>
        <w:t>活性和层间传导性，能防治水稻、玉米、果树和蔬菜的刺吸式和咀嚼式害虫，如飞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/>
          <w:sz w:val="32"/>
          <w:szCs w:val="32"/>
        </w:rPr>
        <w:t>、椿象、蚜虫和烟粉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/>
          <w:sz w:val="32"/>
          <w:szCs w:val="32"/>
        </w:rPr>
        <w:t>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）规定，芹菜中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/>
          <w:sz w:val="32"/>
          <w:szCs w:val="32"/>
        </w:rPr>
        <w:t>虫胺的最大残留限量为</w:t>
      </w:r>
      <w:r>
        <w:rPr>
          <w:rFonts w:eastAsia="仿宋_GB2312"/>
          <w:color w:val="000000"/>
          <w:sz w:val="32"/>
          <w:szCs w:val="32"/>
        </w:rPr>
        <w:t>0.04 mg/kg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0138A5" w:rsidRDefault="003E1280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0138A5" w:rsidRDefault="003E12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0138A5" w:rsidRDefault="000138A5">
      <w:pPr>
        <w:pStyle w:val="ab"/>
        <w:spacing w:line="560" w:lineRule="exact"/>
        <w:ind w:firstLineChars="200" w:firstLine="480"/>
      </w:pPr>
    </w:p>
    <w:sectPr w:rsidR="0001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A491EB2-A4F7-49AE-AA2D-7F329BF30F7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6EC4C48-D650-4D66-B412-8EBA48C44F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28BF959-1C23-45FB-AD62-8F453CFD3B6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B6A211C-EDC4-43D2-B6F8-55DD2A4D247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4D49"/>
    <w:multiLevelType w:val="multilevel"/>
    <w:tmpl w:val="71354D49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FzxB/OHSw1+p8xhfkhrRsRRKDpo7siZdGWvQ7H3nYemFwmZSuZDfqgOISB/hx/PTWpA45KquVdiOHeUf+RT5wA==" w:salt="l3kvsjtNUn+LunOOjfBYow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58B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6CAB3D-425A-47AE-BE19-49373AA7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FDE1-EE59-4716-8B79-81FF9788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196</Words>
  <Characters>1119</Characters>
  <Application>Microsoft Office Word</Application>
  <DocSecurity>8</DocSecurity>
  <Lines>9</Lines>
  <Paragraphs>2</Paragraphs>
  <ScaleCrop>false</ScaleCrop>
  <Company>CFQS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1151</cp:revision>
  <cp:lastPrinted>2023-06-29T01:27:00Z</cp:lastPrinted>
  <dcterms:created xsi:type="dcterms:W3CDTF">2020-07-15T03:17:00Z</dcterms:created>
  <dcterms:modified xsi:type="dcterms:W3CDTF">2023-08-04T07:40:00Z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2B73AC262AED4653ABD2B99081D7FD85</vt:lpwstr>
  </property>
</Properties>
</file>