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BA" w:rsidRPr="00E534F2" w:rsidRDefault="00EA7B53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E534F2">
        <w:rPr>
          <w:rFonts w:ascii="Times New Roman" w:eastAsia="黑体" w:hAnsi="Times New Roman" w:cs="Times New Roman"/>
          <w:sz w:val="32"/>
          <w:szCs w:val="32"/>
        </w:rPr>
        <w:t>附件</w:t>
      </w:r>
      <w:r w:rsidRPr="00E534F2">
        <w:rPr>
          <w:rFonts w:ascii="Times New Roman" w:eastAsia="黑体" w:hAnsi="Times New Roman" w:cs="Times New Roman"/>
          <w:sz w:val="32"/>
          <w:szCs w:val="32"/>
        </w:rPr>
        <w:t>4</w:t>
      </w:r>
    </w:p>
    <w:p w:rsidR="009D16BA" w:rsidRPr="00E534F2" w:rsidRDefault="00EA7B53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E534F2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9D16BA" w:rsidRPr="00E534F2" w:rsidRDefault="009D16BA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B659DF" w:rsidRPr="00E534F2" w:rsidRDefault="00B659DF" w:rsidP="00E534F2">
      <w:pPr>
        <w:pStyle w:val="ab"/>
        <w:numPr>
          <w:ilvl w:val="0"/>
          <w:numId w:val="6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E534F2">
        <w:rPr>
          <w:rFonts w:eastAsia="黑体" w:hint="eastAsia"/>
          <w:color w:val="000000"/>
          <w:sz w:val="32"/>
          <w:szCs w:val="32"/>
        </w:rPr>
        <w:t>过氧化值</w:t>
      </w:r>
    </w:p>
    <w:p w:rsidR="00B659DF" w:rsidRPr="00E534F2" w:rsidRDefault="00B659DF" w:rsidP="00B659D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534F2">
        <w:rPr>
          <w:rFonts w:ascii="Times New Roman" w:eastAsia="仿宋_GB2312" w:hAnsi="Times New Roman" w:hint="eastAsia"/>
          <w:sz w:val="32"/>
          <w:szCs w:val="32"/>
        </w:rPr>
        <w:t>过氧化值主要反映食品中油脂是否氧化变质。《食品安全国家标准</w:t>
      </w:r>
      <w:r w:rsidRPr="00E534F2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534F2">
        <w:rPr>
          <w:rFonts w:ascii="Times New Roman" w:eastAsia="仿宋_GB2312" w:hAnsi="Times New Roman" w:hint="eastAsia"/>
          <w:sz w:val="32"/>
          <w:szCs w:val="32"/>
        </w:rPr>
        <w:t>糕点、面包》（</w:t>
      </w:r>
      <w:r w:rsidRPr="00E534F2">
        <w:rPr>
          <w:rFonts w:ascii="Times New Roman" w:eastAsia="仿宋_GB2312" w:hAnsi="Times New Roman" w:hint="eastAsia"/>
          <w:sz w:val="32"/>
          <w:szCs w:val="32"/>
        </w:rPr>
        <w:t>GB 7099</w:t>
      </w:r>
      <w:r w:rsidRPr="00E534F2">
        <w:rPr>
          <w:rFonts w:ascii="Times New Roman" w:eastAsia="仿宋_GB2312" w:hAnsi="Times New Roman" w:hint="eastAsia"/>
          <w:sz w:val="32"/>
          <w:szCs w:val="32"/>
        </w:rPr>
        <w:t>）中规定，糕点中过氧化值（以脂肪计）不允许超过</w:t>
      </w:r>
      <w:r w:rsidRPr="00E534F2">
        <w:rPr>
          <w:rFonts w:ascii="Times New Roman" w:eastAsia="仿宋_GB2312" w:hAnsi="Times New Roman" w:hint="eastAsia"/>
          <w:sz w:val="32"/>
          <w:szCs w:val="32"/>
        </w:rPr>
        <w:t>0.25 g/100g</w:t>
      </w:r>
      <w:r w:rsidRPr="00E534F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659DF" w:rsidRPr="00E534F2" w:rsidRDefault="00B659DF" w:rsidP="00E534F2">
      <w:pPr>
        <w:pStyle w:val="12"/>
        <w:numPr>
          <w:ilvl w:val="0"/>
          <w:numId w:val="6"/>
        </w:numPr>
        <w:autoSpaceDE w:val="0"/>
        <w:autoSpaceDN w:val="0"/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sz w:val="32"/>
          <w:szCs w:val="32"/>
        </w:rPr>
      </w:pPr>
      <w:r w:rsidRPr="00E534F2">
        <w:rPr>
          <w:rFonts w:ascii="Times New Roman" w:eastAsia="黑体" w:hAnsi="Times New Roman" w:hint="eastAsia"/>
          <w:sz w:val="32"/>
          <w:szCs w:val="32"/>
        </w:rPr>
        <w:t>毒死蜱</w:t>
      </w:r>
    </w:p>
    <w:p w:rsidR="00B659DF" w:rsidRPr="00E534F2" w:rsidRDefault="00B659DF" w:rsidP="00B659D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 w:rsidRPr="00E534F2">
        <w:rPr>
          <w:rFonts w:ascii="Times New Roman" w:eastAsia="仿宋_GB2312" w:hAnsi="Times New Roman" w:cs="Times New Roman"/>
          <w:sz w:val="32"/>
          <w:szCs w:val="32"/>
        </w:rPr>
        <w:t>2032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 w:rsidRPr="00E534F2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E534F2">
        <w:rPr>
          <w:rFonts w:ascii="Times New Roman" w:eastAsia="仿宋_GB2312" w:hAnsi="Times New Roman" w:cs="Times New Roman"/>
          <w:sz w:val="32"/>
          <w:szCs w:val="32"/>
        </w:rPr>
        <w:t>12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E534F2">
        <w:rPr>
          <w:rFonts w:ascii="Times New Roman" w:eastAsia="仿宋_GB2312" w:hAnsi="Times New Roman" w:cs="Times New Roman"/>
          <w:sz w:val="32"/>
          <w:szCs w:val="32"/>
        </w:rPr>
        <w:t>31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 w:rsidRPr="00E534F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E534F2">
        <w:rPr>
          <w:rFonts w:ascii="Times New Roman" w:eastAsia="仿宋_GB2312" w:hAnsi="Times New Roman" w:cs="Times New Roman"/>
          <w:sz w:val="32"/>
          <w:szCs w:val="32"/>
        </w:rPr>
        <w:t>GB 2763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）规定，叶菜类蔬菜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芹菜除外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中毒死蜱的最大残留限量为</w:t>
      </w:r>
      <w:r w:rsidRPr="00E534F2">
        <w:rPr>
          <w:rFonts w:ascii="Times New Roman" w:eastAsia="仿宋_GB2312" w:hAnsi="Times New Roman" w:cs="Times New Roman"/>
          <w:sz w:val="32"/>
          <w:szCs w:val="32"/>
        </w:rPr>
        <w:t>0.02 mg/kg</w:t>
      </w:r>
      <w:r w:rsidRPr="00E534F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62D4D" w:rsidRPr="00E534F2" w:rsidRDefault="00D62D4D" w:rsidP="00E534F2">
      <w:pPr>
        <w:pStyle w:val="ab"/>
        <w:numPr>
          <w:ilvl w:val="0"/>
          <w:numId w:val="6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E534F2">
        <w:rPr>
          <w:rFonts w:eastAsia="黑体" w:hint="eastAsia"/>
          <w:color w:val="000000"/>
          <w:sz w:val="32"/>
          <w:szCs w:val="32"/>
        </w:rPr>
        <w:t>甲拌磷</w:t>
      </w:r>
    </w:p>
    <w:p w:rsidR="00D62D4D" w:rsidRPr="00E534F2" w:rsidRDefault="00D62D4D" w:rsidP="00D62D4D">
      <w:pPr>
        <w:pStyle w:val="110"/>
        <w:spacing w:line="560" w:lineRule="exact"/>
        <w:ind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2002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199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号公告规定在蔬菜、果树、茶叶、中草药材上不得使用甲拌磷。《食品安全国家标准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食品中农药最大残留限量》（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GB 2763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）规定，叶菜类蔬菜中甲拌磷的最大残留限量为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0.01 mg/kg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E534F2" w:rsidRPr="00E534F2" w:rsidRDefault="00E534F2" w:rsidP="00E534F2">
      <w:pPr>
        <w:pStyle w:val="ad"/>
        <w:numPr>
          <w:ilvl w:val="0"/>
          <w:numId w:val="6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 w:rsidRPr="00E534F2">
        <w:rPr>
          <w:rFonts w:ascii="Times New Roman" w:eastAsia="黑体" w:hAnsi="Times New Roman" w:hint="eastAsia"/>
          <w:bCs/>
          <w:sz w:val="32"/>
          <w:szCs w:val="32"/>
        </w:rPr>
        <w:t>单核细胞增生李斯特氏菌</w:t>
      </w:r>
    </w:p>
    <w:p w:rsidR="00E534F2" w:rsidRPr="00E534F2" w:rsidRDefault="00147281" w:rsidP="00E534F2">
      <w:pPr>
        <w:pStyle w:val="ab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单核细胞增生李斯特氏菌广泛存在于自然界中，</w:t>
      </w:r>
      <w:r w:rsidR="00E534F2" w:rsidRPr="00E534F2">
        <w:rPr>
          <w:rFonts w:eastAsia="仿宋_GB2312" w:hint="eastAsia"/>
          <w:bCs/>
          <w:sz w:val="32"/>
          <w:szCs w:val="32"/>
        </w:rPr>
        <w:t>以家畜、家禽为主要宿主，易污染该菌的食品有生乳、奶酪、肉及肉制品、鸡蛋、蔬菜沙拉、水产品等，可通过不洁食物传</w:t>
      </w:r>
      <w:r w:rsidR="00E534F2" w:rsidRPr="00E534F2">
        <w:rPr>
          <w:rFonts w:eastAsia="仿宋_GB2312" w:hint="eastAsia"/>
          <w:bCs/>
          <w:sz w:val="32"/>
          <w:szCs w:val="32"/>
        </w:rPr>
        <w:lastRenderedPageBreak/>
        <w:t>播，对</w:t>
      </w:r>
      <w:r w:rsidR="00E534F2" w:rsidRPr="00E534F2">
        <w:rPr>
          <w:rFonts w:eastAsia="仿宋_GB2312"/>
          <w:bCs/>
          <w:sz w:val="32"/>
          <w:szCs w:val="32"/>
        </w:rPr>
        <w:t>新生儿、孕妇以及免疫缺陷者等易感人群风险较高</w:t>
      </w:r>
      <w:r w:rsidR="00E534F2" w:rsidRPr="00E534F2">
        <w:rPr>
          <w:rFonts w:eastAsia="仿宋_GB2312" w:hint="eastAsia"/>
          <w:bCs/>
          <w:sz w:val="32"/>
          <w:szCs w:val="32"/>
        </w:rPr>
        <w:t>。《冷链即食食品》（</w:t>
      </w:r>
      <w:r w:rsidR="00E534F2" w:rsidRPr="00E534F2">
        <w:rPr>
          <w:rFonts w:eastAsia="仿宋_GB2312" w:hint="eastAsia"/>
          <w:bCs/>
          <w:sz w:val="32"/>
          <w:szCs w:val="32"/>
        </w:rPr>
        <w:t>Q/FSNHB 0006</w:t>
      </w:r>
      <w:r w:rsidR="00E534F2" w:rsidRPr="00E534F2">
        <w:rPr>
          <w:rFonts w:eastAsia="仿宋_GB2312" w:hint="eastAsia"/>
          <w:bCs/>
          <w:sz w:val="32"/>
          <w:szCs w:val="32"/>
        </w:rPr>
        <w:t>）规定，同批次</w:t>
      </w:r>
      <w:r w:rsidR="00E534F2" w:rsidRPr="00E534F2">
        <w:rPr>
          <w:rFonts w:eastAsia="仿宋_GB2312" w:hint="eastAsia"/>
          <w:bCs/>
          <w:sz w:val="32"/>
          <w:szCs w:val="32"/>
        </w:rPr>
        <w:t>5</w:t>
      </w:r>
      <w:r w:rsidR="00E534F2" w:rsidRPr="00E534F2">
        <w:rPr>
          <w:rFonts w:eastAsia="仿宋_GB2312" w:hint="eastAsia"/>
          <w:bCs/>
          <w:sz w:val="32"/>
          <w:szCs w:val="32"/>
        </w:rPr>
        <w:t>个独立包装的产品中单核细胞增生李斯特氏菌均不得检出。</w:t>
      </w:r>
    </w:p>
    <w:p w:rsidR="00D62D4D" w:rsidRPr="00E534F2" w:rsidRDefault="00D62D4D" w:rsidP="00E534F2">
      <w:pPr>
        <w:pStyle w:val="p0"/>
        <w:numPr>
          <w:ilvl w:val="0"/>
          <w:numId w:val="6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E534F2">
        <w:rPr>
          <w:rFonts w:ascii="Times New Roman" w:eastAsia="黑体" w:hAnsi="Times New Roman" w:hint="eastAsia"/>
          <w:color w:val="000000" w:themeColor="text1"/>
          <w:sz w:val="32"/>
          <w:szCs w:val="32"/>
        </w:rPr>
        <w:t>腐霉利</w:t>
      </w:r>
    </w:p>
    <w:p w:rsidR="00D62D4D" w:rsidRPr="00E534F2" w:rsidRDefault="00D62D4D" w:rsidP="00D62D4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534F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 w:rsidRPr="00E534F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E534F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食品中农药最大残留限量》（</w:t>
      </w:r>
      <w:r w:rsidRPr="00E534F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 w:rsidRPr="00E534F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）规定，韭菜中腐霉利的最大残留限量为</w:t>
      </w:r>
      <w:r w:rsidRPr="00E534F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 w:rsidRPr="00E534F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534F2" w:rsidRPr="00E534F2" w:rsidRDefault="00E534F2" w:rsidP="00E534F2">
      <w:pPr>
        <w:pStyle w:val="110"/>
        <w:numPr>
          <w:ilvl w:val="0"/>
          <w:numId w:val="6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E534F2">
        <w:rPr>
          <w:rFonts w:ascii="Times New Roman" w:eastAsia="黑体" w:hAnsi="Times New Roman" w:hint="eastAsia"/>
          <w:bCs/>
          <w:color w:val="000000"/>
          <w:sz w:val="32"/>
          <w:szCs w:val="32"/>
        </w:rPr>
        <w:t>克伦特罗</w:t>
      </w:r>
    </w:p>
    <w:p w:rsidR="00E534F2" w:rsidRPr="00E534F2" w:rsidRDefault="00E534F2" w:rsidP="00E534F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534F2"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克伦特罗属于</w:t>
      </w:r>
      <w:r w:rsidR="00585BA5" w:rsidRPr="00585BA5"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β</w:t>
      </w:r>
      <w:r w:rsidR="00585BA5" w:rsidRPr="00585BA5"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-</w:t>
      </w:r>
      <w:r w:rsidR="00585BA5" w:rsidRPr="00585BA5"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兴奋剂类</w:t>
      </w:r>
      <w:r w:rsidRPr="00E534F2"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药物，能提高胴体的瘦肉率。人食用含有“瘦肉精”的动物性食品，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可能会引起中毒，出现心悸、头晕、乏力等症状，对人体健康造成伤害。</w:t>
      </w:r>
      <w:r w:rsidRPr="00E534F2"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整顿办函〔</w:t>
      </w:r>
      <w:r w:rsidRPr="00E534F2"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2010</w:t>
      </w:r>
      <w:r w:rsidRPr="00E534F2"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〕</w:t>
      </w:r>
      <w:r w:rsidRPr="00E534F2">
        <w:rPr>
          <w:rFonts w:ascii="Times New Roman" w:eastAsia="仿宋_GB2312" w:hAnsi="Times New Roman" w:cs="Times New Roman"/>
          <w:iCs/>
          <w:color w:val="000000" w:themeColor="text1"/>
          <w:sz w:val="32"/>
          <w:szCs w:val="32"/>
        </w:rPr>
        <w:t>50</w:t>
      </w:r>
      <w:r w:rsidRPr="00E534F2">
        <w:rPr>
          <w:rFonts w:ascii="Times New Roman" w:eastAsia="仿宋_GB2312" w:hAnsi="Times New Roman" w:cs="Times New Roman" w:hint="eastAsia"/>
          <w:iCs/>
          <w:color w:val="000000" w:themeColor="text1"/>
          <w:sz w:val="32"/>
          <w:szCs w:val="32"/>
        </w:rPr>
        <w:t>号文件将克伦特罗列为非食用物质，在动物性食品中应不得检出。</w:t>
      </w:r>
      <w:r w:rsidRPr="00E534F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《食品动物中禁止使用的药品及其他化合物清单》（农业农村部公告第</w:t>
      </w:r>
      <w:r w:rsidRPr="00E534F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250</w:t>
      </w:r>
      <w:r w:rsidRPr="00E534F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号）中规定，食品动物中禁止使用β</w:t>
      </w:r>
      <w:r w:rsidRPr="00E534F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-</w:t>
      </w:r>
      <w:r w:rsidRPr="00E534F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兴奋剂类及其盐、酯。</w:t>
      </w:r>
    </w:p>
    <w:p w:rsidR="00650FF4" w:rsidRPr="00E534F2" w:rsidRDefault="00650FF4" w:rsidP="00E534F2">
      <w:pPr>
        <w:pStyle w:val="ab"/>
        <w:numPr>
          <w:ilvl w:val="0"/>
          <w:numId w:val="6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E534F2">
        <w:rPr>
          <w:rFonts w:eastAsia="黑体" w:hint="eastAsia"/>
          <w:color w:val="000000"/>
          <w:sz w:val="32"/>
          <w:szCs w:val="32"/>
        </w:rPr>
        <w:t>恩诺沙星</w:t>
      </w:r>
    </w:p>
    <w:p w:rsidR="00650FF4" w:rsidRPr="00E534F2" w:rsidRDefault="00650FF4" w:rsidP="00650FF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 w:rsidRPr="00E534F2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E534F2">
        <w:rPr>
          <w:rFonts w:ascii="Times New Roman" w:eastAsia="仿宋_GB2312" w:hAnsi="Times New Roman"/>
          <w:sz w:val="32"/>
          <w:szCs w:val="32"/>
        </w:rPr>
        <w:t xml:space="preserve"> </w:t>
      </w:r>
      <w:r w:rsidRPr="00E534F2"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 w:rsidRPr="00E534F2">
        <w:rPr>
          <w:rFonts w:ascii="Times New Roman" w:eastAsia="仿宋_GB2312" w:hAnsi="Times New Roman" w:cs="Times New Roman"/>
          <w:sz w:val="32"/>
          <w:szCs w:val="32"/>
        </w:rPr>
        <w:t>GB 31650</w:t>
      </w:r>
      <w:r w:rsidRPr="00E534F2">
        <w:rPr>
          <w:rFonts w:ascii="Times New Roman" w:eastAsia="仿宋_GB2312" w:hAnsi="Times New Roman" w:hint="eastAsia"/>
          <w:sz w:val="32"/>
          <w:szCs w:val="32"/>
        </w:rPr>
        <w:t>）规定，鱼中恩诺沙星的最大残留限量为</w:t>
      </w:r>
      <w:r w:rsidRPr="00E534F2">
        <w:rPr>
          <w:rFonts w:ascii="Times New Roman" w:eastAsia="仿宋_GB2312" w:hAnsi="Times New Roman"/>
          <w:sz w:val="32"/>
          <w:szCs w:val="32"/>
        </w:rPr>
        <w:t>100</w:t>
      </w:r>
      <w:r w:rsidRPr="00E534F2">
        <w:rPr>
          <w:rFonts w:ascii="Times New Roman" w:eastAsia="仿宋_GB2312" w:hAnsi="Times New Roman" w:hint="eastAsia"/>
          <w:sz w:val="32"/>
          <w:szCs w:val="32"/>
        </w:rPr>
        <w:t>μ</w:t>
      </w:r>
      <w:r w:rsidRPr="00E534F2">
        <w:rPr>
          <w:rFonts w:ascii="Times New Roman" w:eastAsia="仿宋_GB2312" w:hAnsi="Times New Roman"/>
          <w:sz w:val="32"/>
          <w:szCs w:val="32"/>
        </w:rPr>
        <w:t>g/kg</w:t>
      </w:r>
      <w:r w:rsidRPr="00E534F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D16BA" w:rsidRPr="00E534F2" w:rsidRDefault="009D16B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9D16BA" w:rsidRPr="00E5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AB" w:rsidRDefault="003E71AB" w:rsidP="00B659DF">
      <w:r>
        <w:separator/>
      </w:r>
    </w:p>
  </w:endnote>
  <w:endnote w:type="continuationSeparator" w:id="0">
    <w:p w:rsidR="003E71AB" w:rsidRDefault="003E71AB" w:rsidP="00B6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9E528BE-FE4A-4049-9720-E565B8B5171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437EEE7-5EA7-4108-AE47-6A5022E9BFD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2D64E74-8328-41D3-B561-8A68FA75111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AB" w:rsidRDefault="003E71AB" w:rsidP="00B659DF">
      <w:r>
        <w:separator/>
      </w:r>
    </w:p>
  </w:footnote>
  <w:footnote w:type="continuationSeparator" w:id="0">
    <w:p w:rsidR="003E71AB" w:rsidRDefault="003E71AB" w:rsidP="00B6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1738"/>
    <w:multiLevelType w:val="multilevel"/>
    <w:tmpl w:val="2528173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D27AF5"/>
    <w:multiLevelType w:val="multilevel"/>
    <w:tmpl w:val="2DD27AF5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AA4965"/>
    <w:multiLevelType w:val="multilevel"/>
    <w:tmpl w:val="4DAA4965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603A2"/>
    <w:multiLevelType w:val="multilevel"/>
    <w:tmpl w:val="533603A2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1E0932"/>
    <w:multiLevelType w:val="hybridMultilevel"/>
    <w:tmpl w:val="BDE4478E"/>
    <w:lvl w:ilvl="0" w:tplc="CEB2300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C34578"/>
    <w:multiLevelType w:val="multilevel"/>
    <w:tmpl w:val="7BC34578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qNsWC9S7OgsCD3AOS7MEQPZZOsSorAV2e2J1JPLj8Qjg81vQ3jN4atahtdGgjggeYo8M32N0yRr2v7dWUP3rKg==" w:salt="KjqEQhpmzuFhxhQHaHz4Yg==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hhMDFlYjVkMzNhYzdmNTQxOTkwZDBkYjFkYzllNzkifQ=="/>
  </w:docVars>
  <w:rsids>
    <w:rsidRoot w:val="0041375B"/>
    <w:rsid w:val="00000556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4072C"/>
    <w:rsid w:val="00041F52"/>
    <w:rsid w:val="00043035"/>
    <w:rsid w:val="00044369"/>
    <w:rsid w:val="00044B73"/>
    <w:rsid w:val="0004548C"/>
    <w:rsid w:val="00045988"/>
    <w:rsid w:val="0004743B"/>
    <w:rsid w:val="00054964"/>
    <w:rsid w:val="00057CF0"/>
    <w:rsid w:val="00060A1E"/>
    <w:rsid w:val="00060A49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29F7"/>
    <w:rsid w:val="000B2B78"/>
    <w:rsid w:val="000B3C1C"/>
    <w:rsid w:val="000B4437"/>
    <w:rsid w:val="000B7F05"/>
    <w:rsid w:val="000D08E7"/>
    <w:rsid w:val="000D10DB"/>
    <w:rsid w:val="000D302E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47281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563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6EB4"/>
    <w:rsid w:val="001A76CB"/>
    <w:rsid w:val="001A7792"/>
    <w:rsid w:val="001B0F81"/>
    <w:rsid w:val="001B1569"/>
    <w:rsid w:val="001B3B46"/>
    <w:rsid w:val="001B3EE1"/>
    <w:rsid w:val="001B7D47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87A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9AD"/>
    <w:rsid w:val="003E473B"/>
    <w:rsid w:val="003E5B35"/>
    <w:rsid w:val="003E71AB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413"/>
    <w:rsid w:val="004B6AFB"/>
    <w:rsid w:val="004B746D"/>
    <w:rsid w:val="004C06B9"/>
    <w:rsid w:val="004C2AF2"/>
    <w:rsid w:val="004C379B"/>
    <w:rsid w:val="004C6282"/>
    <w:rsid w:val="004C76D7"/>
    <w:rsid w:val="004D1F0F"/>
    <w:rsid w:val="004D30FC"/>
    <w:rsid w:val="004D3F9B"/>
    <w:rsid w:val="004D4AB9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5BA5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0FF4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26355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15E05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3522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59DF"/>
    <w:rsid w:val="00B667FD"/>
    <w:rsid w:val="00B70D33"/>
    <w:rsid w:val="00B71F43"/>
    <w:rsid w:val="00B75B44"/>
    <w:rsid w:val="00B76396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74CB"/>
    <w:rsid w:val="00CC19DE"/>
    <w:rsid w:val="00CC1EBE"/>
    <w:rsid w:val="00CC2278"/>
    <w:rsid w:val="00CC7CC6"/>
    <w:rsid w:val="00CD048B"/>
    <w:rsid w:val="00CD5519"/>
    <w:rsid w:val="00CE6C03"/>
    <w:rsid w:val="00CF016D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277BF"/>
    <w:rsid w:val="00D30D9F"/>
    <w:rsid w:val="00D33FE0"/>
    <w:rsid w:val="00D361B2"/>
    <w:rsid w:val="00D3636A"/>
    <w:rsid w:val="00D44911"/>
    <w:rsid w:val="00D463B6"/>
    <w:rsid w:val="00D55832"/>
    <w:rsid w:val="00D62A70"/>
    <w:rsid w:val="00D62D4D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4F2"/>
    <w:rsid w:val="00E53B69"/>
    <w:rsid w:val="00E546E1"/>
    <w:rsid w:val="00E54F9C"/>
    <w:rsid w:val="00E551B7"/>
    <w:rsid w:val="00E554FB"/>
    <w:rsid w:val="00E55DBA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DD70E9A-F058-4ED5-A86F-5DBE7B8F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6B8B-1C88-4027-A4C4-E8F10A6C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843</Characters>
  <Application>Microsoft Office Word</Application>
  <DocSecurity>8</DocSecurity>
  <Lines>7</Lines>
  <Paragraphs>1</Paragraphs>
  <ScaleCrop>false</ScaleCrop>
  <Company>CFQS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776</cp:revision>
  <cp:lastPrinted>2022-08-03T06:41:00Z</cp:lastPrinted>
  <dcterms:created xsi:type="dcterms:W3CDTF">2020-07-15T03:17:00Z</dcterms:created>
  <dcterms:modified xsi:type="dcterms:W3CDTF">2022-08-03T09:21:00Z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2B73AC262AED4653ABD2B99081D7FD85</vt:lpwstr>
  </property>
</Properties>
</file>