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山梨酸及其钾盐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山梨酸及其钾盐属于酸性防腐剂，对霉菌、酵母菌和好氧性细菌活性有较好的抑制作用。《食品安全国家标准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）未规定发酵面制品中允许使用山梨酸及其钾盐，即不得使用。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甲拌磷</w:t>
      </w:r>
    </w:p>
    <w:p>
      <w:pPr>
        <w:pStyle w:val="17"/>
        <w:spacing w:line="560" w:lineRule="exact"/>
        <w:ind w:firstLine="640"/>
        <w:textAlignment w:val="baseline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ascii="Times New Roman" w:hAnsi="Times New Roman" w:eastAsia="仿宋_GB2312"/>
          <w:color w:val="000000"/>
          <w:sz w:val="32"/>
          <w:szCs w:val="32"/>
        </w:rPr>
        <w:t>2002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日发布的农业部第</w:t>
      </w:r>
      <w:r>
        <w:rPr>
          <w:rFonts w:ascii="Times New Roman" w:hAnsi="Times New Roman" w:eastAsia="仿宋_GB2312"/>
          <w:color w:val="000000"/>
          <w:sz w:val="32"/>
          <w:szCs w:val="32"/>
        </w:rPr>
        <w:t>199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号公告规定在蔬菜、果树、茶叶、中草药材上不得使用甲拌磷。《食品安全国家标准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）规定，叶菜类蔬菜中甲拌磷的最大残留限量为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0.01 mg/kg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）规定，双壳类、腹足类、头足类、棘皮类水产动物中镉的限量值为2.0mg/kg（去除内脏），鲜、冻甲壳类水产动物中镉的限量值为0.5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克百威，又名呋喃丹，是一种广谱性杀虫、杀螨、杀线虫剂。克百威属于高毒农药，</w:t>
      </w:r>
      <w:r>
        <w:rPr>
          <w:rFonts w:hint="eastAsia" w:eastAsia="仿宋_GB2312" w:cs="黑体"/>
          <w:sz w:val="32"/>
          <w:szCs w:val="32"/>
        </w:rPr>
        <w:t>农业部第</w:t>
      </w:r>
      <w:r>
        <w:rPr>
          <w:rFonts w:eastAsia="仿宋_GB2312" w:cs="黑体"/>
          <w:sz w:val="32"/>
          <w:szCs w:val="32"/>
        </w:rPr>
        <w:t>199</w:t>
      </w:r>
      <w:r>
        <w:rPr>
          <w:rFonts w:hint="eastAsia" w:eastAsia="仿宋_GB2312" w:cs="黑体"/>
          <w:sz w:val="32"/>
          <w:szCs w:val="32"/>
        </w:rPr>
        <w:t>号公告明确规定克百威不得用于蔬菜、果树、茶叶、中草药材上。《食品安全国家标准</w:t>
      </w:r>
      <w:r>
        <w:rPr>
          <w:rFonts w:eastAsia="仿宋_GB2312" w:cs="黑体"/>
          <w:sz w:val="32"/>
          <w:szCs w:val="32"/>
        </w:rPr>
        <w:t xml:space="preserve"> </w:t>
      </w:r>
      <w:r>
        <w:rPr>
          <w:rFonts w:hint="eastAsia" w:eastAsia="仿宋_GB2312" w:cs="黑体"/>
          <w:sz w:val="32"/>
          <w:szCs w:val="32"/>
        </w:rPr>
        <w:t>食品中农药最大残留限量》（</w:t>
      </w:r>
      <w:r>
        <w:rPr>
          <w:rFonts w:eastAsia="仿宋_GB2312" w:cs="黑体"/>
          <w:sz w:val="32"/>
          <w:szCs w:val="32"/>
        </w:rPr>
        <w:t>GB 2763</w:t>
      </w:r>
      <w:r>
        <w:rPr>
          <w:rFonts w:hint="eastAsia" w:eastAsia="仿宋_GB2312" w:cs="黑体"/>
          <w:sz w:val="32"/>
          <w:szCs w:val="32"/>
        </w:rPr>
        <w:t>）规定，豆类蔬菜中克百威的最大残留限量为</w:t>
      </w:r>
      <w:r>
        <w:rPr>
          <w:rFonts w:eastAsia="仿宋_GB2312" w:cs="黑体"/>
          <w:sz w:val="32"/>
          <w:szCs w:val="32"/>
        </w:rPr>
        <w:t>0.02 mg/k</w:t>
      </w:r>
      <w:bookmarkStart w:id="0" w:name="_GoBack"/>
      <w:bookmarkEnd w:id="0"/>
      <w:r>
        <w:rPr>
          <w:rFonts w:eastAsia="仿宋_GB2312" w:cs="黑体"/>
          <w:sz w:val="32"/>
          <w:szCs w:val="32"/>
        </w:rPr>
        <w:t>g</w:t>
      </w:r>
      <w:r>
        <w:rPr>
          <w:rFonts w:hint="eastAsia" w:eastAsia="仿宋_GB2312" w:cs="黑体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灭蝇胺</w:t>
      </w:r>
    </w:p>
    <w:p>
      <w:pPr>
        <w:pStyle w:val="9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灭蝇胺又名环丙氨嗪，是一种具有触杀功能的昆虫生长调节剂，干扰蜕皮和蛹化。《食品安全国家标准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hint="eastAsia" w:eastAsia="仿宋_GB2312"/>
          <w:sz w:val="32"/>
          <w:szCs w:val="32"/>
        </w:rPr>
        <w:t>）规定，豇豆中灭蝇胺的最大残留限量为</w:t>
      </w:r>
      <w:r>
        <w:rPr>
          <w:rFonts w:eastAsia="仿宋_GB2312"/>
          <w:sz w:val="32"/>
          <w:szCs w:val="32"/>
        </w:rPr>
        <w:t>0.5 mg/kg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酸价</w:t>
      </w:r>
    </w:p>
    <w:p>
      <w:pPr>
        <w:pStyle w:val="9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酸价，又称酸值，主要反映食品中的油脂酸败程度。油脂酸败可产生醛酮类化合物，长期摄入会对健康有一定影响。酸价超标会导致食品有哈喇味，需避免食用。《食品安全国家标准 方便面》（</w:t>
      </w:r>
      <w:r>
        <w:rPr>
          <w:rFonts w:eastAsia="仿宋_GB2312"/>
          <w:sz w:val="32"/>
          <w:szCs w:val="32"/>
        </w:rPr>
        <w:t>GB 17400</w:t>
      </w:r>
      <w:r>
        <w:rPr>
          <w:rFonts w:hint="eastAsia" w:eastAsia="仿宋_GB2312"/>
          <w:sz w:val="32"/>
          <w:szCs w:val="32"/>
        </w:rPr>
        <w:t>）中规定，方便面中的酸价（以脂肪计）（</w:t>
      </w:r>
      <w:r>
        <w:rPr>
          <w:rFonts w:eastAsia="仿宋_GB2312"/>
          <w:sz w:val="32"/>
          <w:szCs w:val="32"/>
        </w:rPr>
        <w:t>KOH</w:t>
      </w:r>
      <w:r>
        <w:rPr>
          <w:rFonts w:hint="eastAsia" w:eastAsia="仿宋_GB2312"/>
          <w:sz w:val="32"/>
          <w:szCs w:val="32"/>
        </w:rPr>
        <w:t>）应不超过</w:t>
      </w:r>
      <w:r>
        <w:rPr>
          <w:rFonts w:eastAsia="仿宋_GB2312"/>
          <w:sz w:val="32"/>
          <w:szCs w:val="32"/>
        </w:rPr>
        <w:t>1.8 mg/g</w:t>
      </w:r>
      <w:r>
        <w:rPr>
          <w:rFonts w:hint="eastAsia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6048802">
    <w:nsid w:val="533603A2"/>
    <w:multiLevelType w:val="multilevel"/>
    <w:tmpl w:val="533603A2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960488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lWXYOSVBXyd/Af7TjRICtRcLZ4g=" w:salt="EwoAfjJyowILqa/bcYm+p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IyZWQ2MDYxNjU5MzdmNDczNDQ5Zjg1MjU0NWNkNGUifQ=="/>
  </w:docVars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41F52"/>
    <w:rsid w:val="00043035"/>
    <w:rsid w:val="00044B73"/>
    <w:rsid w:val="0004548C"/>
    <w:rsid w:val="00045988"/>
    <w:rsid w:val="0004743B"/>
    <w:rsid w:val="00060A1E"/>
    <w:rsid w:val="00060A49"/>
    <w:rsid w:val="0006507F"/>
    <w:rsid w:val="0006564C"/>
    <w:rsid w:val="00070113"/>
    <w:rsid w:val="000721BA"/>
    <w:rsid w:val="00072B05"/>
    <w:rsid w:val="0007322D"/>
    <w:rsid w:val="00073965"/>
    <w:rsid w:val="00074EB5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1569"/>
    <w:rsid w:val="001B3B46"/>
    <w:rsid w:val="001B3EE1"/>
    <w:rsid w:val="001B7D47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17B14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AB9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03BF"/>
    <w:rsid w:val="00521C41"/>
    <w:rsid w:val="00523A2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41C1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26355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742DF"/>
    <w:rsid w:val="0077527E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3A54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675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1D22"/>
    <w:rsid w:val="00CB2FBE"/>
    <w:rsid w:val="00CB5357"/>
    <w:rsid w:val="00CB74CB"/>
    <w:rsid w:val="00CC19DE"/>
    <w:rsid w:val="00CC2278"/>
    <w:rsid w:val="00CC7CC6"/>
    <w:rsid w:val="00CD048B"/>
    <w:rsid w:val="00CD5519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3636A"/>
    <w:rsid w:val="00D44911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A6D"/>
    <w:rsid w:val="00DA4EE0"/>
    <w:rsid w:val="00DA5520"/>
    <w:rsid w:val="00DA7798"/>
    <w:rsid w:val="00DB1958"/>
    <w:rsid w:val="00DB2A23"/>
    <w:rsid w:val="00DC125D"/>
    <w:rsid w:val="00DC12EC"/>
    <w:rsid w:val="00DC29C3"/>
    <w:rsid w:val="00DC607C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B0"/>
    <w:rsid w:val="00E13AFF"/>
    <w:rsid w:val="00E15D64"/>
    <w:rsid w:val="00E16D44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48C3"/>
    <w:rsid w:val="00F05768"/>
    <w:rsid w:val="00F05A64"/>
    <w:rsid w:val="00F1345F"/>
    <w:rsid w:val="00F1550F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06237A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46C7EC4"/>
    <w:rsid w:val="649F0D7A"/>
    <w:rsid w:val="66CD6B09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175</Words>
  <Characters>1001</Characters>
  <Lines>8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2022-07-07T07:20:00Z</cp:lastPrinted>
  <dcterms:modified xsi:type="dcterms:W3CDTF">2022-07-08T09:38:05Z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