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附件4</w:t>
      </w:r>
    </w:p>
    <w:p>
      <w:pPr>
        <w:adjustRightInd w:val="0"/>
        <w:snapToGrid w:val="0"/>
        <w:spacing w:line="560" w:lineRule="exact"/>
        <w:ind w:firstLine="880" w:firstLineChars="200"/>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不合格项目说明</w:t>
      </w:r>
    </w:p>
    <w:p>
      <w:pPr>
        <w:adjustRightInd w:val="0"/>
        <w:snapToGrid w:val="0"/>
        <w:spacing w:line="560" w:lineRule="exact"/>
        <w:ind w:firstLine="880" w:firstLineChars="200"/>
        <w:jc w:val="center"/>
        <w:rPr>
          <w:rFonts w:ascii="Times New Roman" w:hAnsi="Times New Roman" w:eastAsia="方正小标宋简体" w:cs="Times New Roman"/>
          <w:bCs/>
          <w:sz w:val="44"/>
          <w:szCs w:val="44"/>
        </w:rPr>
      </w:pPr>
    </w:p>
    <w:p>
      <w:pPr>
        <w:spacing w:line="582" w:lineRule="exact"/>
        <w:ind w:firstLine="640" w:firstLineChars="200"/>
        <w:rPr>
          <w:rFonts w:ascii="Times New Roman" w:hAnsi="Times New Roman" w:eastAsia="黑体" w:cs="Times New Roman"/>
          <w:sz w:val="32"/>
          <w:szCs w:val="32"/>
        </w:rPr>
      </w:pPr>
      <w:r>
        <w:rPr>
          <w:rFonts w:hint="eastAsia" w:ascii="Times New Roman" w:hAnsi="Times New Roman" w:eastAsia="黑体"/>
          <w:color w:val="000000"/>
          <w:sz w:val="32"/>
          <w:szCs w:val="32"/>
        </w:rPr>
        <w:t>一、</w:t>
      </w:r>
      <w:r>
        <w:rPr>
          <w:rFonts w:hint="eastAsia" w:ascii="Times New Roman" w:hAnsi="Times New Roman" w:eastAsia="黑体" w:cs="Times New Roman"/>
          <w:sz w:val="32"/>
          <w:szCs w:val="32"/>
        </w:rPr>
        <w:t>乙酰甲胺磷</w:t>
      </w:r>
    </w:p>
    <w:p>
      <w:pPr>
        <w:spacing w:line="58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乙酰甲胺磷是一种缓效型低毒有机磷杀虫剂，适用于蔬菜、水稻、小麦、油菜等作物，防治多种害虫。《食品安全国家标准 食品中农药最大</w:t>
      </w:r>
      <w:bookmarkStart w:id="0" w:name="_GoBack"/>
      <w:bookmarkEnd w:id="0"/>
      <w:r>
        <w:rPr>
          <w:rFonts w:hint="eastAsia" w:ascii="Times New Roman" w:hAnsi="Times New Roman" w:eastAsia="仿宋_GB2312" w:cs="Times New Roman"/>
          <w:sz w:val="32"/>
          <w:szCs w:val="32"/>
        </w:rPr>
        <w:t>残留限量》（GB 2763）规定，豆类蔬菜中乙酰甲胺磷的最大残留量为0.02mg/kg。</w:t>
      </w:r>
    </w:p>
    <w:p>
      <w:pPr>
        <w:pStyle w:val="14"/>
        <w:adjustRightInd w:val="0"/>
        <w:snapToGrid w:val="0"/>
        <w:spacing w:line="560" w:lineRule="exact"/>
        <w:ind w:firstLine="640" w:firstLineChars="200"/>
        <w:jc w:val="left"/>
        <w:rPr>
          <w:rFonts w:ascii="Times New Roman" w:hAnsi="Times New Roman" w:eastAsia="黑体" w:cs="仿宋"/>
          <w:color w:val="000000"/>
          <w:sz w:val="32"/>
          <w:szCs w:val="32"/>
        </w:rPr>
      </w:pPr>
      <w:r>
        <w:rPr>
          <w:rFonts w:hint="eastAsia" w:ascii="Times New Roman" w:hAnsi="Times New Roman" w:eastAsia="黑体" w:cs="仿宋"/>
          <w:color w:val="000000"/>
          <w:sz w:val="32"/>
          <w:szCs w:val="32"/>
        </w:rPr>
        <w:t>二、菌落总数</w:t>
      </w:r>
    </w:p>
    <w:p>
      <w:pPr>
        <w:pStyle w:val="14"/>
        <w:adjustRightInd w:val="0"/>
        <w:snapToGrid w:val="0"/>
        <w:spacing w:line="56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菌落总数是指示性微生物指标，主要用来评价食品清洁度，反映食品是否符合卫生要求。</w:t>
      </w:r>
      <w:r>
        <w:rPr>
          <w:rFonts w:hint="eastAsia" w:ascii="Times New Roman" w:hAnsi="Times New Roman" w:eastAsia="仿宋_GB2312" w:cs="黑体"/>
          <w:sz w:val="32"/>
          <w:szCs w:val="32"/>
        </w:rPr>
        <w:t>《食品安全国家标准</w:t>
      </w:r>
      <w:r>
        <w:rPr>
          <w:rFonts w:ascii="Times New Roman" w:hAnsi="Times New Roman" w:eastAsia="仿宋_GB2312" w:cs="黑体"/>
          <w:sz w:val="32"/>
          <w:szCs w:val="32"/>
        </w:rPr>
        <w:t xml:space="preserve"> </w:t>
      </w:r>
      <w:r>
        <w:rPr>
          <w:rFonts w:hint="eastAsia" w:ascii="Times New Roman" w:hAnsi="Times New Roman" w:eastAsia="仿宋_GB2312" w:cs="黑体"/>
          <w:sz w:val="32"/>
          <w:szCs w:val="32"/>
        </w:rPr>
        <w:t>熟肉制品》（</w:t>
      </w:r>
      <w:r>
        <w:rPr>
          <w:rFonts w:ascii="Times New Roman" w:hAnsi="Times New Roman" w:eastAsia="仿宋_GB2312" w:cs="黑体"/>
          <w:sz w:val="32"/>
          <w:szCs w:val="32"/>
        </w:rPr>
        <w:t>GB 2726</w:t>
      </w:r>
      <w:r>
        <w:rPr>
          <w:rFonts w:hint="eastAsia" w:ascii="Times New Roman" w:hAnsi="Times New Roman" w:eastAsia="仿宋_GB2312" w:cs="黑体"/>
          <w:sz w:val="32"/>
          <w:szCs w:val="32"/>
        </w:rPr>
        <w:t>）对预包装的熟肉制品（发酵肉制品类除外）中的菌落总数规定同批次</w:t>
      </w:r>
      <w:r>
        <w:rPr>
          <w:rFonts w:ascii="Times New Roman" w:hAnsi="Times New Roman" w:eastAsia="仿宋_GB2312" w:cs="黑体"/>
          <w:sz w:val="32"/>
          <w:szCs w:val="32"/>
        </w:rPr>
        <w:t>5</w:t>
      </w:r>
      <w:r>
        <w:rPr>
          <w:rFonts w:hint="eastAsia" w:ascii="Times New Roman" w:hAnsi="Times New Roman" w:eastAsia="仿宋_GB2312" w:cs="黑体"/>
          <w:sz w:val="32"/>
          <w:szCs w:val="32"/>
        </w:rPr>
        <w:t>个独立包装产品中菌落总数检测结果不允许有超过</w:t>
      </w:r>
      <w:r>
        <w:rPr>
          <w:rFonts w:ascii="Times New Roman" w:hAnsi="Times New Roman" w:eastAsia="仿宋_GB2312" w:cs="黑体"/>
          <w:sz w:val="32"/>
          <w:szCs w:val="32"/>
        </w:rPr>
        <w:t>10</w:t>
      </w:r>
      <w:r>
        <w:rPr>
          <w:rFonts w:ascii="Times New Roman" w:hAnsi="Times New Roman" w:eastAsia="仿宋_GB2312" w:cs="黑体"/>
          <w:sz w:val="32"/>
          <w:szCs w:val="32"/>
          <w:vertAlign w:val="superscript"/>
        </w:rPr>
        <w:t>5</w:t>
      </w:r>
      <w:r>
        <w:rPr>
          <w:rFonts w:ascii="Times New Roman" w:hAnsi="Times New Roman" w:eastAsia="仿宋_GB2312" w:cs="黑体"/>
          <w:sz w:val="32"/>
          <w:szCs w:val="32"/>
        </w:rPr>
        <w:t xml:space="preserve"> CFU/g</w:t>
      </w:r>
      <w:r>
        <w:rPr>
          <w:rFonts w:hint="eastAsia" w:ascii="Times New Roman" w:hAnsi="Times New Roman" w:eastAsia="仿宋_GB2312" w:cs="黑体"/>
          <w:sz w:val="32"/>
          <w:szCs w:val="32"/>
        </w:rPr>
        <w:t>的，且至少</w:t>
      </w:r>
      <w:r>
        <w:rPr>
          <w:rFonts w:ascii="Times New Roman" w:hAnsi="Times New Roman" w:eastAsia="仿宋_GB2312" w:cs="黑体"/>
          <w:sz w:val="32"/>
          <w:szCs w:val="32"/>
        </w:rPr>
        <w:t>3</w:t>
      </w:r>
      <w:r>
        <w:rPr>
          <w:rFonts w:hint="eastAsia" w:ascii="Times New Roman" w:hAnsi="Times New Roman" w:eastAsia="仿宋_GB2312" w:cs="黑体"/>
          <w:sz w:val="32"/>
          <w:szCs w:val="32"/>
        </w:rPr>
        <w:t>个包装产品检测结果不超过</w:t>
      </w:r>
      <w:r>
        <w:rPr>
          <w:rFonts w:ascii="Times New Roman" w:hAnsi="Times New Roman" w:eastAsia="仿宋_GB2312" w:cs="黑体"/>
          <w:sz w:val="32"/>
          <w:szCs w:val="32"/>
        </w:rPr>
        <w:t>10</w:t>
      </w:r>
      <w:r>
        <w:rPr>
          <w:rFonts w:ascii="Times New Roman" w:hAnsi="Times New Roman" w:eastAsia="仿宋_GB2312" w:cs="黑体"/>
          <w:sz w:val="32"/>
          <w:szCs w:val="32"/>
          <w:vertAlign w:val="superscript"/>
        </w:rPr>
        <w:t>4</w:t>
      </w:r>
      <w:r>
        <w:rPr>
          <w:rFonts w:ascii="Times New Roman" w:hAnsi="Times New Roman" w:eastAsia="仿宋_GB2312" w:cs="黑体"/>
          <w:sz w:val="32"/>
          <w:szCs w:val="32"/>
        </w:rPr>
        <w:t xml:space="preserve"> CFU/g</w:t>
      </w:r>
      <w:r>
        <w:rPr>
          <w:rFonts w:hint="eastAsia" w:ascii="Times New Roman" w:hAnsi="Times New Roman" w:eastAsia="仿宋_GB2312" w:cs="黑体"/>
          <w:sz w:val="32"/>
          <w:szCs w:val="32"/>
        </w:rPr>
        <w:t>。</w:t>
      </w:r>
      <w:r>
        <w:rPr>
          <w:rFonts w:hint="eastAsia" w:ascii="Times New Roman" w:hAnsi="Times New Roman" w:eastAsia="仿宋_GB2312" w:cs="仿宋"/>
          <w:color w:val="000000"/>
          <w:sz w:val="32"/>
          <w:szCs w:val="32"/>
        </w:rPr>
        <w:t>《食品安全国家标准</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糕点、面包》（</w:t>
      </w:r>
      <w:r>
        <w:rPr>
          <w:rFonts w:ascii="Times New Roman" w:hAnsi="Times New Roman" w:eastAsia="仿宋_GB2312" w:cs="仿宋"/>
          <w:color w:val="000000"/>
          <w:sz w:val="32"/>
          <w:szCs w:val="32"/>
        </w:rPr>
        <w:t>GB 7099</w:t>
      </w:r>
      <w:r>
        <w:rPr>
          <w:rFonts w:hint="eastAsia" w:ascii="Times New Roman" w:hAnsi="Times New Roman" w:eastAsia="仿宋_GB2312" w:cs="仿宋"/>
          <w:color w:val="000000"/>
          <w:sz w:val="32"/>
          <w:szCs w:val="32"/>
        </w:rPr>
        <w:t>）对糕点中的菌落总数规定同批次</w:t>
      </w:r>
      <w:r>
        <w:rPr>
          <w:rFonts w:ascii="Times New Roman" w:hAnsi="Times New Roman" w:eastAsia="仿宋_GB2312" w:cs="仿宋"/>
          <w:color w:val="000000"/>
          <w:sz w:val="32"/>
          <w:szCs w:val="32"/>
        </w:rPr>
        <w:t>5</w:t>
      </w:r>
      <w:r>
        <w:rPr>
          <w:rFonts w:hint="eastAsia" w:ascii="Times New Roman" w:hAnsi="Times New Roman" w:eastAsia="仿宋_GB2312" w:cs="仿宋"/>
          <w:color w:val="000000"/>
          <w:sz w:val="32"/>
          <w:szCs w:val="32"/>
        </w:rPr>
        <w:t>个独立包装产品中菌落总数检测结果不允许有超过</w:t>
      </w:r>
      <w:r>
        <w:rPr>
          <w:rFonts w:ascii="Times New Roman" w:hAnsi="Times New Roman" w:eastAsia="仿宋_GB2312" w:cs="仿宋"/>
          <w:color w:val="000000"/>
          <w:sz w:val="32"/>
          <w:szCs w:val="32"/>
        </w:rPr>
        <w:t>10</w:t>
      </w:r>
      <w:r>
        <w:rPr>
          <w:rFonts w:ascii="Times New Roman" w:hAnsi="Times New Roman" w:eastAsia="仿宋_GB2312" w:cs="仿宋"/>
          <w:color w:val="000000"/>
          <w:sz w:val="32"/>
          <w:szCs w:val="32"/>
          <w:vertAlign w:val="superscript"/>
        </w:rPr>
        <w:t>5</w:t>
      </w:r>
      <w:r>
        <w:rPr>
          <w:rFonts w:ascii="Times New Roman" w:hAnsi="Times New Roman" w:eastAsia="仿宋_GB2312" w:cs="仿宋"/>
          <w:color w:val="000000"/>
          <w:sz w:val="32"/>
          <w:szCs w:val="32"/>
        </w:rPr>
        <w:t xml:space="preserve"> CFU/g</w:t>
      </w:r>
      <w:r>
        <w:rPr>
          <w:rFonts w:hint="eastAsia" w:ascii="Times New Roman" w:hAnsi="Times New Roman" w:eastAsia="仿宋_GB2312" w:cs="仿宋"/>
          <w:color w:val="000000"/>
          <w:sz w:val="32"/>
          <w:szCs w:val="32"/>
        </w:rPr>
        <w:t>的，且至少</w:t>
      </w:r>
      <w:r>
        <w:rPr>
          <w:rFonts w:ascii="Times New Roman" w:hAnsi="Times New Roman" w:eastAsia="仿宋_GB2312" w:cs="仿宋"/>
          <w:color w:val="000000"/>
          <w:sz w:val="32"/>
          <w:szCs w:val="32"/>
        </w:rPr>
        <w:t>3</w:t>
      </w:r>
      <w:r>
        <w:rPr>
          <w:rFonts w:hint="eastAsia" w:ascii="Times New Roman" w:hAnsi="Times New Roman" w:eastAsia="仿宋_GB2312" w:cs="仿宋"/>
          <w:color w:val="000000"/>
          <w:sz w:val="32"/>
          <w:szCs w:val="32"/>
        </w:rPr>
        <w:t>个包装产品检测结果不超过</w:t>
      </w:r>
      <w:r>
        <w:rPr>
          <w:rFonts w:ascii="Times New Roman" w:hAnsi="Times New Roman" w:eastAsia="仿宋_GB2312" w:cs="仿宋"/>
          <w:color w:val="000000"/>
          <w:sz w:val="32"/>
          <w:szCs w:val="32"/>
        </w:rPr>
        <w:t>10</w:t>
      </w:r>
      <w:r>
        <w:rPr>
          <w:rFonts w:ascii="Times New Roman" w:hAnsi="Times New Roman" w:eastAsia="仿宋_GB2312" w:cs="仿宋"/>
          <w:color w:val="000000"/>
          <w:sz w:val="32"/>
          <w:szCs w:val="32"/>
          <w:vertAlign w:val="superscript"/>
        </w:rPr>
        <w:t>4</w:t>
      </w:r>
      <w:r>
        <w:rPr>
          <w:rFonts w:ascii="Times New Roman" w:hAnsi="Times New Roman" w:eastAsia="仿宋_GB2312" w:cs="仿宋"/>
          <w:color w:val="000000"/>
          <w:sz w:val="32"/>
          <w:szCs w:val="32"/>
        </w:rPr>
        <w:t xml:space="preserve"> CFU/g</w:t>
      </w:r>
      <w:r>
        <w:rPr>
          <w:rFonts w:hint="eastAsia" w:ascii="Times New Roman" w:hAnsi="Times New Roman" w:eastAsia="仿宋_GB2312" w:cs="仿宋"/>
          <w:color w:val="000000"/>
          <w:sz w:val="32"/>
          <w:szCs w:val="32"/>
        </w:rPr>
        <w:t>。</w:t>
      </w:r>
    </w:p>
    <w:p>
      <w:pPr>
        <w:pStyle w:val="9"/>
        <w:numPr>
          <w:ilvl w:val="0"/>
          <w:numId w:val="1"/>
        </w:numPr>
        <w:adjustRightInd w:val="0"/>
        <w:snapToGrid w:val="0"/>
        <w:spacing w:line="560" w:lineRule="exact"/>
        <w:rPr>
          <w:rFonts w:eastAsia="黑体"/>
          <w:color w:val="000000"/>
          <w:sz w:val="32"/>
          <w:szCs w:val="32"/>
        </w:rPr>
      </w:pPr>
      <w:r>
        <w:rPr>
          <w:rFonts w:hint="eastAsia" w:eastAsia="黑体"/>
          <w:color w:val="000000"/>
          <w:sz w:val="32"/>
          <w:szCs w:val="32"/>
        </w:rPr>
        <w:t>吡虫啉</w:t>
      </w:r>
    </w:p>
    <w:p>
      <w:pPr>
        <w:pStyle w:val="9"/>
        <w:adjustRightInd w:val="0"/>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吡虫啉是内吸性杀虫剂，可层间传导，具有触杀和胃毒作用，可较好防治刺吸式口器害虫，也可防治土壤害虫、白蚁和一些叮咬害虫。《食品安全国家标准</w:t>
      </w:r>
      <w:r>
        <w:rPr>
          <w:rFonts w:eastAsia="仿宋_GB2312"/>
          <w:color w:val="000000"/>
          <w:sz w:val="32"/>
          <w:szCs w:val="32"/>
        </w:rPr>
        <w:t xml:space="preserve"> </w:t>
      </w:r>
      <w:r>
        <w:rPr>
          <w:rFonts w:hint="eastAsia" w:eastAsia="仿宋_GB2312"/>
          <w:color w:val="000000"/>
          <w:sz w:val="32"/>
          <w:szCs w:val="32"/>
        </w:rPr>
        <w:t>食品中农药最大残留限量》（</w:t>
      </w:r>
      <w:r>
        <w:rPr>
          <w:rFonts w:eastAsia="仿宋_GB2312"/>
          <w:color w:val="000000"/>
          <w:sz w:val="32"/>
          <w:szCs w:val="32"/>
        </w:rPr>
        <w:t>GB 2763</w:t>
      </w:r>
      <w:r>
        <w:rPr>
          <w:rFonts w:hint="eastAsia" w:eastAsia="仿宋_GB2312"/>
          <w:color w:val="000000"/>
          <w:sz w:val="32"/>
          <w:szCs w:val="32"/>
        </w:rPr>
        <w:t>）规定，根茎类蔬菜（胡萝卜除外）中吡虫啉的最大残留限量为</w:t>
      </w:r>
      <w:r>
        <w:rPr>
          <w:rFonts w:eastAsia="仿宋_GB2312"/>
          <w:color w:val="000000"/>
          <w:sz w:val="32"/>
          <w:szCs w:val="32"/>
        </w:rPr>
        <w:t>0.5 mg/kg</w:t>
      </w:r>
      <w:r>
        <w:rPr>
          <w:rFonts w:hint="eastAsia" w:eastAsia="仿宋_GB2312"/>
          <w:color w:val="000000"/>
          <w:sz w:val="32"/>
          <w:szCs w:val="32"/>
        </w:rPr>
        <w:t>。</w:t>
      </w:r>
    </w:p>
    <w:p>
      <w:pPr>
        <w:pStyle w:val="9"/>
        <w:numPr>
          <w:ilvl w:val="0"/>
          <w:numId w:val="1"/>
        </w:numPr>
        <w:spacing w:line="560" w:lineRule="exact"/>
        <w:rPr>
          <w:rFonts w:eastAsia="黑体"/>
          <w:sz w:val="32"/>
          <w:szCs w:val="32"/>
        </w:rPr>
      </w:pPr>
      <w:r>
        <w:rPr>
          <w:rFonts w:hint="eastAsia" w:eastAsia="黑体"/>
          <w:sz w:val="32"/>
          <w:szCs w:val="32"/>
        </w:rPr>
        <w:t>噻虫胺</w:t>
      </w:r>
    </w:p>
    <w:p>
      <w:pPr>
        <w:pStyle w:val="9"/>
        <w:spacing w:line="560" w:lineRule="exact"/>
        <w:ind w:firstLine="640" w:firstLineChars="200"/>
        <w:rPr>
          <w:rFonts w:eastAsia="仿宋_GB2312"/>
          <w:color w:val="000000"/>
          <w:sz w:val="32"/>
          <w:szCs w:val="32"/>
        </w:rPr>
      </w:pPr>
      <w:r>
        <w:rPr>
          <w:rFonts w:hint="eastAsia" w:eastAsia="仿宋_GB2312"/>
          <w:color w:val="000000"/>
          <w:sz w:val="32"/>
          <w:szCs w:val="32"/>
        </w:rPr>
        <w:t>噻虫胺，具有根内吸活性和层间传导性，能防治水稻、玉米、油菜、果树和蔬菜、柑橘的刺吸式和咀嚼式害虫，如飞虱、椿象、蚜虫和烟粉虱。《食品安全国家标准</w:t>
      </w:r>
      <w:r>
        <w:rPr>
          <w:rFonts w:eastAsia="仿宋_GB2312"/>
          <w:color w:val="000000"/>
          <w:sz w:val="32"/>
          <w:szCs w:val="32"/>
        </w:rPr>
        <w:t xml:space="preserve"> </w:t>
      </w:r>
      <w:r>
        <w:rPr>
          <w:rFonts w:hint="eastAsia" w:eastAsia="仿宋_GB2312"/>
          <w:color w:val="000000"/>
          <w:sz w:val="32"/>
          <w:szCs w:val="32"/>
        </w:rPr>
        <w:t>食品中农药最大残留限量》（</w:t>
      </w:r>
      <w:r>
        <w:rPr>
          <w:rFonts w:eastAsia="仿宋_GB2312"/>
          <w:color w:val="000000"/>
          <w:sz w:val="32"/>
          <w:szCs w:val="32"/>
        </w:rPr>
        <w:t>GB 2763</w:t>
      </w:r>
      <w:r>
        <w:rPr>
          <w:rFonts w:hint="eastAsia" w:eastAsia="仿宋_GB2312"/>
          <w:color w:val="000000"/>
          <w:sz w:val="32"/>
          <w:szCs w:val="32"/>
        </w:rPr>
        <w:t>）规定，根茎类蔬菜中噻虫胺的最大残留限量为</w:t>
      </w:r>
      <w:r>
        <w:rPr>
          <w:rFonts w:eastAsia="仿宋_GB2312"/>
          <w:color w:val="000000"/>
          <w:sz w:val="32"/>
          <w:szCs w:val="32"/>
        </w:rPr>
        <w:t>0.2 mg/kg</w:t>
      </w:r>
      <w:r>
        <w:rPr>
          <w:rFonts w:hint="eastAsia" w:eastAsia="仿宋_GB2312"/>
          <w:color w:val="000000"/>
          <w:sz w:val="32"/>
          <w:szCs w:val="32"/>
        </w:rPr>
        <w:t>。</w:t>
      </w:r>
    </w:p>
    <w:p>
      <w:pPr>
        <w:pStyle w:val="9"/>
        <w:numPr>
          <w:ilvl w:val="0"/>
          <w:numId w:val="1"/>
        </w:numPr>
        <w:spacing w:line="560" w:lineRule="exact"/>
        <w:rPr>
          <w:rFonts w:eastAsia="黑体"/>
          <w:color w:val="000000"/>
          <w:sz w:val="32"/>
          <w:szCs w:val="32"/>
        </w:rPr>
      </w:pPr>
      <w:r>
        <w:rPr>
          <w:rFonts w:hint="eastAsia" w:eastAsia="黑体"/>
          <w:color w:val="000000"/>
          <w:sz w:val="32"/>
          <w:szCs w:val="32"/>
        </w:rPr>
        <w:t>镉</w:t>
      </w:r>
    </w:p>
    <w:p>
      <w:pPr>
        <w:pStyle w:val="9"/>
        <w:spacing w:line="560" w:lineRule="exact"/>
        <w:ind w:firstLine="640" w:firstLineChars="200"/>
        <w:rPr>
          <w:rFonts w:eastAsia="仿宋_GB2312"/>
          <w:color w:val="000000"/>
          <w:sz w:val="32"/>
          <w:szCs w:val="32"/>
        </w:rPr>
      </w:pPr>
      <w:r>
        <w:rPr>
          <w:rFonts w:hint="eastAsia" w:eastAsia="仿宋_GB2312"/>
          <w:color w:val="000000"/>
          <w:sz w:val="32"/>
          <w:szCs w:val="32"/>
        </w:rPr>
        <w:t>镉属于重金属污染物指标，联合国环境规划署（</w:t>
      </w:r>
      <w:r>
        <w:rPr>
          <w:rFonts w:eastAsia="仿宋_GB2312"/>
          <w:color w:val="000000"/>
          <w:sz w:val="32"/>
          <w:szCs w:val="32"/>
        </w:rPr>
        <w:t>DNFP</w:t>
      </w:r>
      <w:r>
        <w:rPr>
          <w:rFonts w:hint="eastAsia" w:eastAsia="仿宋_GB2312"/>
          <w:color w:val="000000"/>
          <w:sz w:val="32"/>
          <w:szCs w:val="32"/>
        </w:rPr>
        <w:t>）和国际职业卫生重金属委员会将镉列入重点研究的环境污染物，世界卫生组织（</w:t>
      </w:r>
      <w:r>
        <w:rPr>
          <w:rFonts w:eastAsia="仿宋_GB2312"/>
          <w:color w:val="000000"/>
          <w:sz w:val="32"/>
          <w:szCs w:val="32"/>
        </w:rPr>
        <w:t>WHO</w:t>
      </w:r>
      <w:r>
        <w:rPr>
          <w:rFonts w:hint="eastAsia" w:eastAsia="仿宋_GB2312"/>
          <w:color w:val="000000"/>
          <w:sz w:val="32"/>
          <w:szCs w:val="32"/>
        </w:rPr>
        <w:t>）则将其作为优先研究的食品污染物。《食品安全国家标准</w:t>
      </w:r>
      <w:r>
        <w:rPr>
          <w:rFonts w:eastAsia="仿宋_GB2312"/>
          <w:color w:val="000000"/>
          <w:sz w:val="32"/>
          <w:szCs w:val="32"/>
        </w:rPr>
        <w:t xml:space="preserve"> </w:t>
      </w:r>
      <w:r>
        <w:rPr>
          <w:rFonts w:hint="eastAsia" w:eastAsia="仿宋_GB2312"/>
          <w:color w:val="000000"/>
          <w:sz w:val="32"/>
          <w:szCs w:val="32"/>
        </w:rPr>
        <w:t>食品中污染物限量》（</w:t>
      </w:r>
      <w:r>
        <w:rPr>
          <w:rFonts w:eastAsia="仿宋_GB2312"/>
          <w:color w:val="000000"/>
          <w:sz w:val="32"/>
          <w:szCs w:val="32"/>
        </w:rPr>
        <w:t>GB 2762</w:t>
      </w:r>
      <w:r>
        <w:rPr>
          <w:rFonts w:hint="eastAsia" w:eastAsia="仿宋_GB2312"/>
          <w:color w:val="000000"/>
          <w:sz w:val="32"/>
          <w:szCs w:val="32"/>
        </w:rPr>
        <w:t>）规定，鲜、冻甲壳类水产动物中镉的限量值为</w:t>
      </w:r>
      <w:r>
        <w:rPr>
          <w:rFonts w:eastAsia="仿宋_GB2312"/>
          <w:color w:val="000000"/>
          <w:sz w:val="32"/>
          <w:szCs w:val="32"/>
        </w:rPr>
        <w:t>0.5 mg/kg</w:t>
      </w:r>
      <w:r>
        <w:rPr>
          <w:rFonts w:hint="eastAsia" w:eastAsia="仿宋_GB2312"/>
          <w:color w:val="000000"/>
          <w:sz w:val="32"/>
          <w:szCs w:val="32"/>
        </w:rPr>
        <w:t>。</w:t>
      </w:r>
    </w:p>
    <w:p>
      <w:pPr>
        <w:pStyle w:val="14"/>
        <w:adjustRightInd w:val="0"/>
        <w:snapToGrid w:val="0"/>
        <w:spacing w:line="560" w:lineRule="exact"/>
        <w:ind w:firstLine="640" w:firstLineChars="200"/>
        <w:jc w:val="left"/>
        <w:rPr>
          <w:rFonts w:ascii="Times New Roman" w:hAnsi="Times New Roman" w:eastAsia="黑体" w:cs="Times New Roman"/>
          <w:color w:val="000000"/>
          <w:sz w:val="32"/>
          <w:szCs w:val="32"/>
        </w:rPr>
      </w:pPr>
      <w:r>
        <w:rPr>
          <w:rFonts w:hint="eastAsia" w:ascii="Times New Roman" w:hAnsi="Times New Roman" w:eastAsia="黑体"/>
          <w:color w:val="000000"/>
          <w:sz w:val="32"/>
          <w:szCs w:val="32"/>
        </w:rPr>
        <w:t>六、腐霉利</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腐霉利是一种广谱内吸性的高效杀菌剂，主要用于果树、蔬菜作物的灰霉病、菌核病、褐腐病防治。《食品安全国家标准</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食品中农药最大残留限量》（</w:t>
      </w:r>
      <w:r>
        <w:rPr>
          <w:rFonts w:ascii="Times New Roman" w:hAnsi="Times New Roman" w:eastAsia="仿宋_GB2312" w:cs="Times New Roman"/>
          <w:color w:val="000000"/>
          <w:sz w:val="32"/>
          <w:szCs w:val="32"/>
        </w:rPr>
        <w:t>GB 2763</w:t>
      </w:r>
      <w:r>
        <w:rPr>
          <w:rFonts w:hint="eastAsia" w:ascii="Times New Roman" w:hAnsi="Times New Roman" w:eastAsia="仿宋_GB2312" w:cs="Times New Roman"/>
          <w:color w:val="000000"/>
          <w:sz w:val="32"/>
          <w:szCs w:val="32"/>
        </w:rPr>
        <w:t>）规定，韭菜中腐霉利的最大残留限量为</w:t>
      </w:r>
      <w:r>
        <w:rPr>
          <w:rFonts w:ascii="Times New Roman" w:hAnsi="Times New Roman" w:eastAsia="仿宋_GB2312" w:cs="Times New Roman"/>
          <w:color w:val="000000"/>
          <w:sz w:val="32"/>
          <w:szCs w:val="32"/>
        </w:rPr>
        <w:t>0.2 mg/kg</w:t>
      </w:r>
      <w:r>
        <w:rPr>
          <w:rFonts w:hint="eastAsia" w:ascii="Times New Roman" w:hAnsi="Times New Roman" w:eastAsia="仿宋_GB2312" w:cs="Times New Roman"/>
          <w:color w:val="000000"/>
          <w:sz w:val="32"/>
          <w:szCs w:val="32"/>
        </w:rPr>
        <w:t>。</w:t>
      </w:r>
    </w:p>
    <w:p>
      <w:pPr>
        <w:pStyle w:val="15"/>
        <w:adjustRightInd w:val="0"/>
        <w:snapToGrid w:val="0"/>
        <w:spacing w:line="560" w:lineRule="exact"/>
        <w:ind w:firstLine="64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七、地西泮</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地西泮又名安定，为镇静剂类药物，主要用于焦虑、镇静催眠，还可用于抗癫痫和抗惊厥。《食品安全国家标准</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食品中兽药最大残留限量》（</w:t>
      </w:r>
      <w:r>
        <w:rPr>
          <w:rFonts w:ascii="Times New Roman" w:hAnsi="Times New Roman" w:eastAsia="仿宋_GB2312"/>
          <w:color w:val="000000"/>
          <w:sz w:val="32"/>
          <w:szCs w:val="32"/>
        </w:rPr>
        <w:t>GB 31650</w:t>
      </w:r>
      <w:r>
        <w:rPr>
          <w:rFonts w:hint="eastAsia" w:ascii="Times New Roman" w:hAnsi="Times New Roman" w:eastAsia="仿宋_GB2312"/>
          <w:color w:val="000000"/>
          <w:sz w:val="32"/>
          <w:szCs w:val="32"/>
        </w:rPr>
        <w:t>）规定，地西泮是允许作治疗用，但不得在动物性食品中检出的兽药。</w:t>
      </w:r>
    </w:p>
    <w:p>
      <w:pPr>
        <w:pStyle w:val="9"/>
        <w:adjustRightInd w:val="0"/>
        <w:snapToGrid w:val="0"/>
        <w:spacing w:line="558" w:lineRule="exact"/>
        <w:ind w:firstLine="640" w:firstLineChars="200"/>
        <w:rPr>
          <w:rFonts w:eastAsia="黑体"/>
          <w:color w:val="000000"/>
          <w:sz w:val="32"/>
          <w:szCs w:val="32"/>
        </w:rPr>
      </w:pPr>
      <w:r>
        <w:rPr>
          <w:rFonts w:hint="eastAsia" w:eastAsia="黑体"/>
          <w:color w:val="000000"/>
          <w:sz w:val="32"/>
          <w:szCs w:val="32"/>
        </w:rPr>
        <w:t>八、铅</w:t>
      </w:r>
    </w:p>
    <w:p>
      <w:pPr>
        <w:pStyle w:val="9"/>
        <w:spacing w:line="558" w:lineRule="exact"/>
        <w:ind w:firstLine="640" w:firstLineChars="200"/>
        <w:rPr>
          <w:rFonts w:eastAsia="仿宋_GB2312"/>
          <w:color w:val="000000"/>
          <w:sz w:val="32"/>
          <w:szCs w:val="32"/>
        </w:rPr>
      </w:pPr>
      <w:r>
        <w:rPr>
          <w:rFonts w:hint="eastAsia" w:eastAsia="仿宋_GB2312"/>
          <w:color w:val="000000"/>
          <w:sz w:val="32"/>
          <w:szCs w:val="32"/>
        </w:rPr>
        <w:t>铅属于重金属污染物指标。</w:t>
      </w:r>
      <w:r>
        <w:rPr>
          <w:rFonts w:hint="eastAsia" w:eastAsia="仿宋_GB2312" w:cs="仿宋"/>
          <w:color w:val="000000"/>
          <w:sz w:val="32"/>
          <w:szCs w:val="32"/>
        </w:rPr>
        <w:t>《食品安全国家标准</w:t>
      </w:r>
      <w:r>
        <w:rPr>
          <w:rFonts w:eastAsia="仿宋_GB2312" w:cs="仿宋"/>
          <w:color w:val="000000"/>
          <w:sz w:val="32"/>
          <w:szCs w:val="32"/>
        </w:rPr>
        <w:t xml:space="preserve"> </w:t>
      </w:r>
      <w:r>
        <w:rPr>
          <w:rFonts w:hint="eastAsia" w:eastAsia="仿宋_GB2312" w:cs="仿宋"/>
          <w:color w:val="000000"/>
          <w:sz w:val="32"/>
          <w:szCs w:val="32"/>
        </w:rPr>
        <w:t>食品中污染物限量》（</w:t>
      </w:r>
      <w:r>
        <w:rPr>
          <w:rFonts w:eastAsia="仿宋_GB2312" w:cs="仿宋"/>
          <w:color w:val="000000"/>
          <w:sz w:val="32"/>
          <w:szCs w:val="32"/>
        </w:rPr>
        <w:t>GB 2762</w:t>
      </w:r>
      <w:r>
        <w:rPr>
          <w:rFonts w:hint="eastAsia" w:eastAsia="仿宋_GB2312" w:cs="仿宋"/>
          <w:color w:val="000000"/>
          <w:sz w:val="32"/>
          <w:szCs w:val="32"/>
        </w:rPr>
        <w:t>）规定，新鲜蔬菜（芸薹类蔬菜、叶菜蔬菜、豆类蔬菜、薯类除外）中铅（以Pb计）的限量为0.1 mg/kg，限量指标对制品有要求的情况下，其中干制品中污染物限量以相应新鲜食品中污染物限量结合其脱水率或浓缩率折算。本次不合格的山西鑫杰黄花菜样品（蔬菜干制品）结合样品脱水率折算铅（以Pb计）的限量为0.</w:t>
      </w:r>
      <w:r>
        <w:rPr>
          <w:rFonts w:eastAsia="仿宋_GB2312" w:cs="仿宋"/>
          <w:color w:val="000000"/>
          <w:sz w:val="32"/>
          <w:szCs w:val="32"/>
        </w:rPr>
        <w:t>8</w:t>
      </w:r>
      <w:r>
        <w:rPr>
          <w:rFonts w:hint="eastAsia" w:eastAsia="仿宋_GB2312" w:cs="仿宋"/>
          <w:color w:val="000000"/>
          <w:sz w:val="32"/>
          <w:szCs w:val="32"/>
        </w:rPr>
        <w:t xml:space="preserve"> mg/kg。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7477994">
    <w:nsid w:val="079928EA"/>
    <w:multiLevelType w:val="multilevel"/>
    <w:tmpl w:val="079928EA"/>
    <w:lvl w:ilvl="0" w:tentative="1">
      <w:start w:val="3"/>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274779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mFI1bpB3u34EYupDTF2a6h8yz/A=" w:salt="ZgEEQKwr6swla4y+idemn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1375B"/>
    <w:rsid w:val="00000556"/>
    <w:rsid w:val="0000722A"/>
    <w:rsid w:val="00007960"/>
    <w:rsid w:val="000124B8"/>
    <w:rsid w:val="0001353A"/>
    <w:rsid w:val="000141CF"/>
    <w:rsid w:val="0001759A"/>
    <w:rsid w:val="000232AB"/>
    <w:rsid w:val="0002465E"/>
    <w:rsid w:val="00024E30"/>
    <w:rsid w:val="0002533C"/>
    <w:rsid w:val="000273D3"/>
    <w:rsid w:val="00027893"/>
    <w:rsid w:val="00027F40"/>
    <w:rsid w:val="00031311"/>
    <w:rsid w:val="00035B83"/>
    <w:rsid w:val="00040F0B"/>
    <w:rsid w:val="00041F52"/>
    <w:rsid w:val="00043035"/>
    <w:rsid w:val="00044B73"/>
    <w:rsid w:val="0004548C"/>
    <w:rsid w:val="00045988"/>
    <w:rsid w:val="0004743B"/>
    <w:rsid w:val="00060A1E"/>
    <w:rsid w:val="00060A49"/>
    <w:rsid w:val="00063254"/>
    <w:rsid w:val="0006507F"/>
    <w:rsid w:val="0006564C"/>
    <w:rsid w:val="00070113"/>
    <w:rsid w:val="000721BA"/>
    <w:rsid w:val="00072B05"/>
    <w:rsid w:val="0007322D"/>
    <w:rsid w:val="00073965"/>
    <w:rsid w:val="00076325"/>
    <w:rsid w:val="00077998"/>
    <w:rsid w:val="00077B25"/>
    <w:rsid w:val="00077E1C"/>
    <w:rsid w:val="00080836"/>
    <w:rsid w:val="00080E18"/>
    <w:rsid w:val="0008374A"/>
    <w:rsid w:val="0009327B"/>
    <w:rsid w:val="00094F66"/>
    <w:rsid w:val="00097A7B"/>
    <w:rsid w:val="00097AAE"/>
    <w:rsid w:val="000A03C2"/>
    <w:rsid w:val="000A757F"/>
    <w:rsid w:val="000B2B78"/>
    <w:rsid w:val="000B3C1C"/>
    <w:rsid w:val="000B4437"/>
    <w:rsid w:val="000B7F05"/>
    <w:rsid w:val="000D08E7"/>
    <w:rsid w:val="000D10DB"/>
    <w:rsid w:val="000D30AF"/>
    <w:rsid w:val="000D65FE"/>
    <w:rsid w:val="000D67B6"/>
    <w:rsid w:val="000D7EF0"/>
    <w:rsid w:val="000E1F3A"/>
    <w:rsid w:val="000E4964"/>
    <w:rsid w:val="000E5A7A"/>
    <w:rsid w:val="000E6EAC"/>
    <w:rsid w:val="000F36C0"/>
    <w:rsid w:val="000F453A"/>
    <w:rsid w:val="000F7157"/>
    <w:rsid w:val="00101B3E"/>
    <w:rsid w:val="00101E86"/>
    <w:rsid w:val="00103CC9"/>
    <w:rsid w:val="00105FC6"/>
    <w:rsid w:val="00106345"/>
    <w:rsid w:val="001117C0"/>
    <w:rsid w:val="00112775"/>
    <w:rsid w:val="001138AD"/>
    <w:rsid w:val="00114CC3"/>
    <w:rsid w:val="00116159"/>
    <w:rsid w:val="00116273"/>
    <w:rsid w:val="00116FB7"/>
    <w:rsid w:val="0012192F"/>
    <w:rsid w:val="00122EEA"/>
    <w:rsid w:val="00126C46"/>
    <w:rsid w:val="00135232"/>
    <w:rsid w:val="00136D16"/>
    <w:rsid w:val="00137AEA"/>
    <w:rsid w:val="0014162B"/>
    <w:rsid w:val="0014443D"/>
    <w:rsid w:val="0014636E"/>
    <w:rsid w:val="00150969"/>
    <w:rsid w:val="001511FD"/>
    <w:rsid w:val="001549DC"/>
    <w:rsid w:val="00154F7E"/>
    <w:rsid w:val="001553FE"/>
    <w:rsid w:val="001563C0"/>
    <w:rsid w:val="00156A6A"/>
    <w:rsid w:val="001575C1"/>
    <w:rsid w:val="00160FB6"/>
    <w:rsid w:val="00163A30"/>
    <w:rsid w:val="00170331"/>
    <w:rsid w:val="0017062A"/>
    <w:rsid w:val="00171761"/>
    <w:rsid w:val="001817F1"/>
    <w:rsid w:val="00181A9A"/>
    <w:rsid w:val="00181AEF"/>
    <w:rsid w:val="00182AC2"/>
    <w:rsid w:val="0018502D"/>
    <w:rsid w:val="00186A02"/>
    <w:rsid w:val="001906D6"/>
    <w:rsid w:val="00190D0D"/>
    <w:rsid w:val="00193AC7"/>
    <w:rsid w:val="00194008"/>
    <w:rsid w:val="001949CE"/>
    <w:rsid w:val="00195B79"/>
    <w:rsid w:val="001A2FE6"/>
    <w:rsid w:val="001A3EF3"/>
    <w:rsid w:val="001A4162"/>
    <w:rsid w:val="001A76CB"/>
    <w:rsid w:val="001A7792"/>
    <w:rsid w:val="001B1569"/>
    <w:rsid w:val="001B27E8"/>
    <w:rsid w:val="001B3A2C"/>
    <w:rsid w:val="001B3B46"/>
    <w:rsid w:val="001B3EE1"/>
    <w:rsid w:val="001B7D47"/>
    <w:rsid w:val="001C4076"/>
    <w:rsid w:val="001C41D1"/>
    <w:rsid w:val="001C47E3"/>
    <w:rsid w:val="001C48ED"/>
    <w:rsid w:val="001C503B"/>
    <w:rsid w:val="001C5E32"/>
    <w:rsid w:val="001D12C5"/>
    <w:rsid w:val="001E403A"/>
    <w:rsid w:val="001E428D"/>
    <w:rsid w:val="001E4C33"/>
    <w:rsid w:val="001E6A98"/>
    <w:rsid w:val="001E6FB8"/>
    <w:rsid w:val="001E7716"/>
    <w:rsid w:val="001F09AA"/>
    <w:rsid w:val="001F45CF"/>
    <w:rsid w:val="00202288"/>
    <w:rsid w:val="002038E5"/>
    <w:rsid w:val="00204556"/>
    <w:rsid w:val="00206792"/>
    <w:rsid w:val="00207230"/>
    <w:rsid w:val="0020732E"/>
    <w:rsid w:val="00210E66"/>
    <w:rsid w:val="00213D96"/>
    <w:rsid w:val="00216E7C"/>
    <w:rsid w:val="00223F0A"/>
    <w:rsid w:val="00226A84"/>
    <w:rsid w:val="0023009A"/>
    <w:rsid w:val="00234DE7"/>
    <w:rsid w:val="00237976"/>
    <w:rsid w:val="002410EB"/>
    <w:rsid w:val="00241109"/>
    <w:rsid w:val="0024276D"/>
    <w:rsid w:val="002436F7"/>
    <w:rsid w:val="002448DC"/>
    <w:rsid w:val="002524A1"/>
    <w:rsid w:val="0025266C"/>
    <w:rsid w:val="0025551C"/>
    <w:rsid w:val="002576C9"/>
    <w:rsid w:val="00261C7A"/>
    <w:rsid w:val="002631B2"/>
    <w:rsid w:val="00266CA0"/>
    <w:rsid w:val="0027015C"/>
    <w:rsid w:val="00270462"/>
    <w:rsid w:val="00271DF9"/>
    <w:rsid w:val="00276C8C"/>
    <w:rsid w:val="00280609"/>
    <w:rsid w:val="002816F8"/>
    <w:rsid w:val="00281DFF"/>
    <w:rsid w:val="002831AF"/>
    <w:rsid w:val="00284057"/>
    <w:rsid w:val="00291085"/>
    <w:rsid w:val="002914B6"/>
    <w:rsid w:val="00293D17"/>
    <w:rsid w:val="002A1A79"/>
    <w:rsid w:val="002A2F72"/>
    <w:rsid w:val="002A7878"/>
    <w:rsid w:val="002A7A92"/>
    <w:rsid w:val="002B4B10"/>
    <w:rsid w:val="002B6033"/>
    <w:rsid w:val="002B6ED2"/>
    <w:rsid w:val="002C0FF8"/>
    <w:rsid w:val="002C29BF"/>
    <w:rsid w:val="002C4015"/>
    <w:rsid w:val="002C57AC"/>
    <w:rsid w:val="002C6988"/>
    <w:rsid w:val="002C7DC8"/>
    <w:rsid w:val="002D18AD"/>
    <w:rsid w:val="002D406D"/>
    <w:rsid w:val="002D49F7"/>
    <w:rsid w:val="002D4E3A"/>
    <w:rsid w:val="002E1D5D"/>
    <w:rsid w:val="002E1DB7"/>
    <w:rsid w:val="002E6560"/>
    <w:rsid w:val="002F0471"/>
    <w:rsid w:val="002F06B6"/>
    <w:rsid w:val="002F0CC3"/>
    <w:rsid w:val="002F0F1D"/>
    <w:rsid w:val="002F11C4"/>
    <w:rsid w:val="002F32B9"/>
    <w:rsid w:val="002F3392"/>
    <w:rsid w:val="002F51AE"/>
    <w:rsid w:val="002F70B8"/>
    <w:rsid w:val="00300B82"/>
    <w:rsid w:val="003013F3"/>
    <w:rsid w:val="003031A1"/>
    <w:rsid w:val="00305463"/>
    <w:rsid w:val="00305ECD"/>
    <w:rsid w:val="003139FD"/>
    <w:rsid w:val="00322B50"/>
    <w:rsid w:val="00325406"/>
    <w:rsid w:val="003266BE"/>
    <w:rsid w:val="00330311"/>
    <w:rsid w:val="00332FFB"/>
    <w:rsid w:val="00333EF4"/>
    <w:rsid w:val="003343D3"/>
    <w:rsid w:val="003350FF"/>
    <w:rsid w:val="00335352"/>
    <w:rsid w:val="00336E26"/>
    <w:rsid w:val="003411CF"/>
    <w:rsid w:val="00344313"/>
    <w:rsid w:val="00345AD0"/>
    <w:rsid w:val="00345DB6"/>
    <w:rsid w:val="00351DC2"/>
    <w:rsid w:val="003552B8"/>
    <w:rsid w:val="003560C1"/>
    <w:rsid w:val="00357549"/>
    <w:rsid w:val="0036031A"/>
    <w:rsid w:val="00363282"/>
    <w:rsid w:val="003667A4"/>
    <w:rsid w:val="0036790E"/>
    <w:rsid w:val="00370A7E"/>
    <w:rsid w:val="00372099"/>
    <w:rsid w:val="00372450"/>
    <w:rsid w:val="0037416E"/>
    <w:rsid w:val="00380D10"/>
    <w:rsid w:val="003838B1"/>
    <w:rsid w:val="00383DD4"/>
    <w:rsid w:val="00384357"/>
    <w:rsid w:val="00384EE2"/>
    <w:rsid w:val="00391FF9"/>
    <w:rsid w:val="003928EE"/>
    <w:rsid w:val="00397D18"/>
    <w:rsid w:val="003A0DA7"/>
    <w:rsid w:val="003A59ED"/>
    <w:rsid w:val="003A6290"/>
    <w:rsid w:val="003A655A"/>
    <w:rsid w:val="003B008E"/>
    <w:rsid w:val="003B232A"/>
    <w:rsid w:val="003B377D"/>
    <w:rsid w:val="003B4E49"/>
    <w:rsid w:val="003B6D95"/>
    <w:rsid w:val="003C1068"/>
    <w:rsid w:val="003C3301"/>
    <w:rsid w:val="003C4C35"/>
    <w:rsid w:val="003D3777"/>
    <w:rsid w:val="003D5354"/>
    <w:rsid w:val="003D7B00"/>
    <w:rsid w:val="003E1817"/>
    <w:rsid w:val="003E29AD"/>
    <w:rsid w:val="003E473B"/>
    <w:rsid w:val="003E5B35"/>
    <w:rsid w:val="003F0C78"/>
    <w:rsid w:val="003F3046"/>
    <w:rsid w:val="003F54AC"/>
    <w:rsid w:val="003F5BA3"/>
    <w:rsid w:val="003F6606"/>
    <w:rsid w:val="003F6F10"/>
    <w:rsid w:val="0040004A"/>
    <w:rsid w:val="00400590"/>
    <w:rsid w:val="00400C51"/>
    <w:rsid w:val="00401B9E"/>
    <w:rsid w:val="00404081"/>
    <w:rsid w:val="00404876"/>
    <w:rsid w:val="00404DB0"/>
    <w:rsid w:val="00406480"/>
    <w:rsid w:val="00411B58"/>
    <w:rsid w:val="0041375B"/>
    <w:rsid w:val="00413936"/>
    <w:rsid w:val="0041638A"/>
    <w:rsid w:val="0042091D"/>
    <w:rsid w:val="00421FD1"/>
    <w:rsid w:val="00423B74"/>
    <w:rsid w:val="00423DEA"/>
    <w:rsid w:val="00424F83"/>
    <w:rsid w:val="00426DBF"/>
    <w:rsid w:val="00427E0A"/>
    <w:rsid w:val="0043185F"/>
    <w:rsid w:val="00432456"/>
    <w:rsid w:val="00432F27"/>
    <w:rsid w:val="004360CE"/>
    <w:rsid w:val="00437BF7"/>
    <w:rsid w:val="00440E93"/>
    <w:rsid w:val="00441BD6"/>
    <w:rsid w:val="00442C0A"/>
    <w:rsid w:val="0044308F"/>
    <w:rsid w:val="0044385F"/>
    <w:rsid w:val="00443E6B"/>
    <w:rsid w:val="00445C02"/>
    <w:rsid w:val="00446112"/>
    <w:rsid w:val="004507C2"/>
    <w:rsid w:val="0045088B"/>
    <w:rsid w:val="004517D7"/>
    <w:rsid w:val="00455179"/>
    <w:rsid w:val="00461642"/>
    <w:rsid w:val="004625A3"/>
    <w:rsid w:val="00464AB7"/>
    <w:rsid w:val="00464D1C"/>
    <w:rsid w:val="004723ED"/>
    <w:rsid w:val="004731AF"/>
    <w:rsid w:val="0047472D"/>
    <w:rsid w:val="00476807"/>
    <w:rsid w:val="00476C50"/>
    <w:rsid w:val="00482271"/>
    <w:rsid w:val="00484B74"/>
    <w:rsid w:val="004915D6"/>
    <w:rsid w:val="00491888"/>
    <w:rsid w:val="004A13E3"/>
    <w:rsid w:val="004A3844"/>
    <w:rsid w:val="004A3AEB"/>
    <w:rsid w:val="004A5696"/>
    <w:rsid w:val="004A6140"/>
    <w:rsid w:val="004A68A6"/>
    <w:rsid w:val="004A7D21"/>
    <w:rsid w:val="004B1255"/>
    <w:rsid w:val="004B2838"/>
    <w:rsid w:val="004B4DF5"/>
    <w:rsid w:val="004B6AFB"/>
    <w:rsid w:val="004B746D"/>
    <w:rsid w:val="004C06B9"/>
    <w:rsid w:val="004C2AF2"/>
    <w:rsid w:val="004C6282"/>
    <w:rsid w:val="004C76D7"/>
    <w:rsid w:val="004D1F0F"/>
    <w:rsid w:val="004D30FC"/>
    <w:rsid w:val="004D3F9B"/>
    <w:rsid w:val="004D4D63"/>
    <w:rsid w:val="004E0E4A"/>
    <w:rsid w:val="004E2BF7"/>
    <w:rsid w:val="004E32D4"/>
    <w:rsid w:val="004E6681"/>
    <w:rsid w:val="004E7B71"/>
    <w:rsid w:val="004F0237"/>
    <w:rsid w:val="004F1A70"/>
    <w:rsid w:val="004F244A"/>
    <w:rsid w:val="004F67DE"/>
    <w:rsid w:val="004F6C65"/>
    <w:rsid w:val="00503C79"/>
    <w:rsid w:val="00505EEC"/>
    <w:rsid w:val="0050686A"/>
    <w:rsid w:val="00506CE6"/>
    <w:rsid w:val="005103CB"/>
    <w:rsid w:val="005121F9"/>
    <w:rsid w:val="0051578A"/>
    <w:rsid w:val="00516D1B"/>
    <w:rsid w:val="00521C41"/>
    <w:rsid w:val="00523A2E"/>
    <w:rsid w:val="00526329"/>
    <w:rsid w:val="005301DE"/>
    <w:rsid w:val="00532A67"/>
    <w:rsid w:val="0053679C"/>
    <w:rsid w:val="005402CE"/>
    <w:rsid w:val="00542681"/>
    <w:rsid w:val="0054280C"/>
    <w:rsid w:val="005432C1"/>
    <w:rsid w:val="005438E4"/>
    <w:rsid w:val="00543D0C"/>
    <w:rsid w:val="00546ABE"/>
    <w:rsid w:val="0054794C"/>
    <w:rsid w:val="00547DB0"/>
    <w:rsid w:val="00550AA7"/>
    <w:rsid w:val="00551081"/>
    <w:rsid w:val="00556801"/>
    <w:rsid w:val="00557F67"/>
    <w:rsid w:val="00561925"/>
    <w:rsid w:val="00563950"/>
    <w:rsid w:val="00565FB6"/>
    <w:rsid w:val="005741C1"/>
    <w:rsid w:val="00576150"/>
    <w:rsid w:val="00576538"/>
    <w:rsid w:val="00577030"/>
    <w:rsid w:val="00577C2E"/>
    <w:rsid w:val="0058064C"/>
    <w:rsid w:val="005814E7"/>
    <w:rsid w:val="00581F67"/>
    <w:rsid w:val="00582C92"/>
    <w:rsid w:val="0058437F"/>
    <w:rsid w:val="005860E9"/>
    <w:rsid w:val="00586410"/>
    <w:rsid w:val="005870EF"/>
    <w:rsid w:val="00590A62"/>
    <w:rsid w:val="00591246"/>
    <w:rsid w:val="00591EC1"/>
    <w:rsid w:val="00593E4A"/>
    <w:rsid w:val="00594C50"/>
    <w:rsid w:val="00597DAF"/>
    <w:rsid w:val="005A048D"/>
    <w:rsid w:val="005A0738"/>
    <w:rsid w:val="005A1724"/>
    <w:rsid w:val="005A21E2"/>
    <w:rsid w:val="005A3A38"/>
    <w:rsid w:val="005A3D45"/>
    <w:rsid w:val="005A4DF3"/>
    <w:rsid w:val="005A537D"/>
    <w:rsid w:val="005A72FC"/>
    <w:rsid w:val="005B1F2F"/>
    <w:rsid w:val="005B22BA"/>
    <w:rsid w:val="005B48AE"/>
    <w:rsid w:val="005B4946"/>
    <w:rsid w:val="005B5F5E"/>
    <w:rsid w:val="005C0188"/>
    <w:rsid w:val="005C0C55"/>
    <w:rsid w:val="005C1C92"/>
    <w:rsid w:val="005C5061"/>
    <w:rsid w:val="005C5A96"/>
    <w:rsid w:val="005C73D1"/>
    <w:rsid w:val="005C788B"/>
    <w:rsid w:val="005E403E"/>
    <w:rsid w:val="005E56F4"/>
    <w:rsid w:val="005E59CA"/>
    <w:rsid w:val="005F73C0"/>
    <w:rsid w:val="005F7E77"/>
    <w:rsid w:val="00603D05"/>
    <w:rsid w:val="006053E3"/>
    <w:rsid w:val="00605651"/>
    <w:rsid w:val="006118C6"/>
    <w:rsid w:val="00613E27"/>
    <w:rsid w:val="006174B0"/>
    <w:rsid w:val="006235F6"/>
    <w:rsid w:val="0062417F"/>
    <w:rsid w:val="00625B3B"/>
    <w:rsid w:val="00632C22"/>
    <w:rsid w:val="00634087"/>
    <w:rsid w:val="0063489B"/>
    <w:rsid w:val="00635B2F"/>
    <w:rsid w:val="0063787C"/>
    <w:rsid w:val="0063790E"/>
    <w:rsid w:val="00637B52"/>
    <w:rsid w:val="0064287A"/>
    <w:rsid w:val="00647F51"/>
    <w:rsid w:val="00650948"/>
    <w:rsid w:val="00650D63"/>
    <w:rsid w:val="00655A6F"/>
    <w:rsid w:val="00655CEE"/>
    <w:rsid w:val="00656433"/>
    <w:rsid w:val="0066369E"/>
    <w:rsid w:val="00663EB3"/>
    <w:rsid w:val="00665A7B"/>
    <w:rsid w:val="00665D43"/>
    <w:rsid w:val="00665F7C"/>
    <w:rsid w:val="006717A8"/>
    <w:rsid w:val="00677D77"/>
    <w:rsid w:val="00680C1C"/>
    <w:rsid w:val="00680EE3"/>
    <w:rsid w:val="00681FEA"/>
    <w:rsid w:val="00683FB2"/>
    <w:rsid w:val="00684287"/>
    <w:rsid w:val="00684C46"/>
    <w:rsid w:val="006854F2"/>
    <w:rsid w:val="0068717F"/>
    <w:rsid w:val="00697C4C"/>
    <w:rsid w:val="006A4201"/>
    <w:rsid w:val="006B0E22"/>
    <w:rsid w:val="006B2017"/>
    <w:rsid w:val="006B6528"/>
    <w:rsid w:val="006C00C9"/>
    <w:rsid w:val="006C1844"/>
    <w:rsid w:val="006C23EC"/>
    <w:rsid w:val="006C562B"/>
    <w:rsid w:val="006D10A4"/>
    <w:rsid w:val="006D3C30"/>
    <w:rsid w:val="006D4102"/>
    <w:rsid w:val="006D7405"/>
    <w:rsid w:val="006E277B"/>
    <w:rsid w:val="006E2949"/>
    <w:rsid w:val="006E33D5"/>
    <w:rsid w:val="006E4F4C"/>
    <w:rsid w:val="006E745C"/>
    <w:rsid w:val="006E76D4"/>
    <w:rsid w:val="006E77CD"/>
    <w:rsid w:val="006F13DE"/>
    <w:rsid w:val="006F3CA5"/>
    <w:rsid w:val="006F5D08"/>
    <w:rsid w:val="00700FBA"/>
    <w:rsid w:val="007011EE"/>
    <w:rsid w:val="00701B31"/>
    <w:rsid w:val="00704C4C"/>
    <w:rsid w:val="00704E7E"/>
    <w:rsid w:val="007064CB"/>
    <w:rsid w:val="007074F8"/>
    <w:rsid w:val="00707C7B"/>
    <w:rsid w:val="00707C91"/>
    <w:rsid w:val="00713238"/>
    <w:rsid w:val="00713A5C"/>
    <w:rsid w:val="007155C6"/>
    <w:rsid w:val="0072006A"/>
    <w:rsid w:val="00721C67"/>
    <w:rsid w:val="0072540D"/>
    <w:rsid w:val="00725D84"/>
    <w:rsid w:val="00735173"/>
    <w:rsid w:val="00737862"/>
    <w:rsid w:val="007405AF"/>
    <w:rsid w:val="007405D4"/>
    <w:rsid w:val="00740C01"/>
    <w:rsid w:val="00742608"/>
    <w:rsid w:val="00742EE4"/>
    <w:rsid w:val="007437ED"/>
    <w:rsid w:val="00744125"/>
    <w:rsid w:val="00744B5C"/>
    <w:rsid w:val="007510C7"/>
    <w:rsid w:val="007516D7"/>
    <w:rsid w:val="00756527"/>
    <w:rsid w:val="00756794"/>
    <w:rsid w:val="00762D15"/>
    <w:rsid w:val="00764207"/>
    <w:rsid w:val="007678E1"/>
    <w:rsid w:val="007742DF"/>
    <w:rsid w:val="0077527E"/>
    <w:rsid w:val="007771B0"/>
    <w:rsid w:val="00777EF8"/>
    <w:rsid w:val="00780AFB"/>
    <w:rsid w:val="00781D95"/>
    <w:rsid w:val="00781DC4"/>
    <w:rsid w:val="00782096"/>
    <w:rsid w:val="00784C78"/>
    <w:rsid w:val="0078585D"/>
    <w:rsid w:val="00786988"/>
    <w:rsid w:val="00797AC0"/>
    <w:rsid w:val="007A022B"/>
    <w:rsid w:val="007A2AA4"/>
    <w:rsid w:val="007A48C8"/>
    <w:rsid w:val="007A5157"/>
    <w:rsid w:val="007A78CF"/>
    <w:rsid w:val="007B0E4B"/>
    <w:rsid w:val="007B14E7"/>
    <w:rsid w:val="007B2378"/>
    <w:rsid w:val="007B491A"/>
    <w:rsid w:val="007B4BC5"/>
    <w:rsid w:val="007B7381"/>
    <w:rsid w:val="007C012A"/>
    <w:rsid w:val="007C0516"/>
    <w:rsid w:val="007C3EF6"/>
    <w:rsid w:val="007C4D17"/>
    <w:rsid w:val="007D4742"/>
    <w:rsid w:val="007D58B0"/>
    <w:rsid w:val="007E0630"/>
    <w:rsid w:val="007E27E9"/>
    <w:rsid w:val="007E2EFA"/>
    <w:rsid w:val="007E518B"/>
    <w:rsid w:val="007F342E"/>
    <w:rsid w:val="007F6521"/>
    <w:rsid w:val="00800671"/>
    <w:rsid w:val="008019D1"/>
    <w:rsid w:val="008030BC"/>
    <w:rsid w:val="0080385B"/>
    <w:rsid w:val="008060E3"/>
    <w:rsid w:val="00807915"/>
    <w:rsid w:val="00807FB1"/>
    <w:rsid w:val="008101E8"/>
    <w:rsid w:val="008140D6"/>
    <w:rsid w:val="008146CF"/>
    <w:rsid w:val="008249C0"/>
    <w:rsid w:val="00824BED"/>
    <w:rsid w:val="00825891"/>
    <w:rsid w:val="008300A0"/>
    <w:rsid w:val="008307C2"/>
    <w:rsid w:val="0083190A"/>
    <w:rsid w:val="00840E64"/>
    <w:rsid w:val="00841629"/>
    <w:rsid w:val="00842D60"/>
    <w:rsid w:val="0084349E"/>
    <w:rsid w:val="008452F9"/>
    <w:rsid w:val="008472C2"/>
    <w:rsid w:val="0085281D"/>
    <w:rsid w:val="00852FBB"/>
    <w:rsid w:val="00856909"/>
    <w:rsid w:val="00857019"/>
    <w:rsid w:val="00857791"/>
    <w:rsid w:val="00857C39"/>
    <w:rsid w:val="00862A88"/>
    <w:rsid w:val="00863EF8"/>
    <w:rsid w:val="00865E5E"/>
    <w:rsid w:val="00870871"/>
    <w:rsid w:val="0087345F"/>
    <w:rsid w:val="00874A85"/>
    <w:rsid w:val="0087636A"/>
    <w:rsid w:val="008805D0"/>
    <w:rsid w:val="00880D13"/>
    <w:rsid w:val="0088298F"/>
    <w:rsid w:val="00882D00"/>
    <w:rsid w:val="00884B03"/>
    <w:rsid w:val="008869A6"/>
    <w:rsid w:val="00887940"/>
    <w:rsid w:val="00893B67"/>
    <w:rsid w:val="008956BC"/>
    <w:rsid w:val="008A2085"/>
    <w:rsid w:val="008A24D2"/>
    <w:rsid w:val="008A510D"/>
    <w:rsid w:val="008A6B65"/>
    <w:rsid w:val="008B1118"/>
    <w:rsid w:val="008B16A2"/>
    <w:rsid w:val="008B1974"/>
    <w:rsid w:val="008B54ED"/>
    <w:rsid w:val="008B7FB2"/>
    <w:rsid w:val="008C0541"/>
    <w:rsid w:val="008C1F40"/>
    <w:rsid w:val="008C34D8"/>
    <w:rsid w:val="008C37A1"/>
    <w:rsid w:val="008D069F"/>
    <w:rsid w:val="008D2415"/>
    <w:rsid w:val="008D2B24"/>
    <w:rsid w:val="008D2C5F"/>
    <w:rsid w:val="008E330A"/>
    <w:rsid w:val="008E51AE"/>
    <w:rsid w:val="008F13CF"/>
    <w:rsid w:val="008F387C"/>
    <w:rsid w:val="008F48EB"/>
    <w:rsid w:val="008F769E"/>
    <w:rsid w:val="008F7FDF"/>
    <w:rsid w:val="009019DB"/>
    <w:rsid w:val="00901CB2"/>
    <w:rsid w:val="00903925"/>
    <w:rsid w:val="009040A4"/>
    <w:rsid w:val="00905019"/>
    <w:rsid w:val="009067F8"/>
    <w:rsid w:val="00907486"/>
    <w:rsid w:val="00907789"/>
    <w:rsid w:val="00914028"/>
    <w:rsid w:val="00917AD6"/>
    <w:rsid w:val="00920D0B"/>
    <w:rsid w:val="00920F8F"/>
    <w:rsid w:val="00921023"/>
    <w:rsid w:val="00926CC8"/>
    <w:rsid w:val="00927304"/>
    <w:rsid w:val="009309A4"/>
    <w:rsid w:val="009312A8"/>
    <w:rsid w:val="00932EB8"/>
    <w:rsid w:val="00932F77"/>
    <w:rsid w:val="00934E4C"/>
    <w:rsid w:val="00936B85"/>
    <w:rsid w:val="00937786"/>
    <w:rsid w:val="009377EF"/>
    <w:rsid w:val="00940313"/>
    <w:rsid w:val="00941319"/>
    <w:rsid w:val="0094168A"/>
    <w:rsid w:val="009420C5"/>
    <w:rsid w:val="009433B4"/>
    <w:rsid w:val="00945078"/>
    <w:rsid w:val="00945250"/>
    <w:rsid w:val="00945DBE"/>
    <w:rsid w:val="00946214"/>
    <w:rsid w:val="00953961"/>
    <w:rsid w:val="00956EF9"/>
    <w:rsid w:val="009629CE"/>
    <w:rsid w:val="009635AD"/>
    <w:rsid w:val="00963E06"/>
    <w:rsid w:val="00971768"/>
    <w:rsid w:val="00971D21"/>
    <w:rsid w:val="0097237F"/>
    <w:rsid w:val="00974377"/>
    <w:rsid w:val="00976786"/>
    <w:rsid w:val="0098067D"/>
    <w:rsid w:val="00982088"/>
    <w:rsid w:val="00982AC8"/>
    <w:rsid w:val="009843E5"/>
    <w:rsid w:val="00984405"/>
    <w:rsid w:val="00985D0D"/>
    <w:rsid w:val="0098622F"/>
    <w:rsid w:val="00986AE1"/>
    <w:rsid w:val="00995284"/>
    <w:rsid w:val="009961DD"/>
    <w:rsid w:val="009A237D"/>
    <w:rsid w:val="009A2D71"/>
    <w:rsid w:val="009A3AF1"/>
    <w:rsid w:val="009A500D"/>
    <w:rsid w:val="009A75E2"/>
    <w:rsid w:val="009B243F"/>
    <w:rsid w:val="009B25BE"/>
    <w:rsid w:val="009B46D1"/>
    <w:rsid w:val="009B5531"/>
    <w:rsid w:val="009B7D01"/>
    <w:rsid w:val="009C6F97"/>
    <w:rsid w:val="009D0549"/>
    <w:rsid w:val="009D151F"/>
    <w:rsid w:val="009D1683"/>
    <w:rsid w:val="009D5BAA"/>
    <w:rsid w:val="009E5936"/>
    <w:rsid w:val="009E6C85"/>
    <w:rsid w:val="009F0ABE"/>
    <w:rsid w:val="009F1E0F"/>
    <w:rsid w:val="009F3E49"/>
    <w:rsid w:val="009F5964"/>
    <w:rsid w:val="009F6DC5"/>
    <w:rsid w:val="00A010DB"/>
    <w:rsid w:val="00A035F5"/>
    <w:rsid w:val="00A04015"/>
    <w:rsid w:val="00A052C6"/>
    <w:rsid w:val="00A06415"/>
    <w:rsid w:val="00A0755A"/>
    <w:rsid w:val="00A07D12"/>
    <w:rsid w:val="00A10F5B"/>
    <w:rsid w:val="00A1214E"/>
    <w:rsid w:val="00A12255"/>
    <w:rsid w:val="00A1509A"/>
    <w:rsid w:val="00A166CF"/>
    <w:rsid w:val="00A16A14"/>
    <w:rsid w:val="00A24642"/>
    <w:rsid w:val="00A25E3E"/>
    <w:rsid w:val="00A268B2"/>
    <w:rsid w:val="00A317E5"/>
    <w:rsid w:val="00A31C9C"/>
    <w:rsid w:val="00A34908"/>
    <w:rsid w:val="00A35505"/>
    <w:rsid w:val="00A40CD4"/>
    <w:rsid w:val="00A4145B"/>
    <w:rsid w:val="00A42093"/>
    <w:rsid w:val="00A42C7B"/>
    <w:rsid w:val="00A44972"/>
    <w:rsid w:val="00A47D5F"/>
    <w:rsid w:val="00A526A3"/>
    <w:rsid w:val="00A554BD"/>
    <w:rsid w:val="00A61052"/>
    <w:rsid w:val="00A6442C"/>
    <w:rsid w:val="00A65383"/>
    <w:rsid w:val="00A70905"/>
    <w:rsid w:val="00A7304C"/>
    <w:rsid w:val="00A74AF7"/>
    <w:rsid w:val="00A842E8"/>
    <w:rsid w:val="00A84623"/>
    <w:rsid w:val="00A86395"/>
    <w:rsid w:val="00A86F1D"/>
    <w:rsid w:val="00A93CD3"/>
    <w:rsid w:val="00A940BE"/>
    <w:rsid w:val="00A94326"/>
    <w:rsid w:val="00A9533E"/>
    <w:rsid w:val="00A97B1F"/>
    <w:rsid w:val="00AA2973"/>
    <w:rsid w:val="00AA2F10"/>
    <w:rsid w:val="00AA7B16"/>
    <w:rsid w:val="00AB360F"/>
    <w:rsid w:val="00AB3A11"/>
    <w:rsid w:val="00AB4B83"/>
    <w:rsid w:val="00AB54C1"/>
    <w:rsid w:val="00AB6A89"/>
    <w:rsid w:val="00AB7426"/>
    <w:rsid w:val="00AC649D"/>
    <w:rsid w:val="00AC7A9F"/>
    <w:rsid w:val="00AD0426"/>
    <w:rsid w:val="00AD2EF1"/>
    <w:rsid w:val="00AD4512"/>
    <w:rsid w:val="00AD46E5"/>
    <w:rsid w:val="00AD5227"/>
    <w:rsid w:val="00AD5893"/>
    <w:rsid w:val="00AD5CD9"/>
    <w:rsid w:val="00AD74FF"/>
    <w:rsid w:val="00AE08E2"/>
    <w:rsid w:val="00AE0D19"/>
    <w:rsid w:val="00AE1206"/>
    <w:rsid w:val="00AE14B2"/>
    <w:rsid w:val="00AE325D"/>
    <w:rsid w:val="00AE349F"/>
    <w:rsid w:val="00AE5D50"/>
    <w:rsid w:val="00AE65ED"/>
    <w:rsid w:val="00AE67E5"/>
    <w:rsid w:val="00AE723C"/>
    <w:rsid w:val="00AE7F0D"/>
    <w:rsid w:val="00AF253F"/>
    <w:rsid w:val="00AF25D3"/>
    <w:rsid w:val="00AF3FC1"/>
    <w:rsid w:val="00AF7017"/>
    <w:rsid w:val="00AF73F7"/>
    <w:rsid w:val="00B01B7E"/>
    <w:rsid w:val="00B07975"/>
    <w:rsid w:val="00B1194D"/>
    <w:rsid w:val="00B12BDA"/>
    <w:rsid w:val="00B1307F"/>
    <w:rsid w:val="00B13951"/>
    <w:rsid w:val="00B20C69"/>
    <w:rsid w:val="00B221D7"/>
    <w:rsid w:val="00B22380"/>
    <w:rsid w:val="00B26269"/>
    <w:rsid w:val="00B304F4"/>
    <w:rsid w:val="00B30710"/>
    <w:rsid w:val="00B30FCC"/>
    <w:rsid w:val="00B322D3"/>
    <w:rsid w:val="00B32D90"/>
    <w:rsid w:val="00B3726A"/>
    <w:rsid w:val="00B41298"/>
    <w:rsid w:val="00B417C0"/>
    <w:rsid w:val="00B42652"/>
    <w:rsid w:val="00B42E27"/>
    <w:rsid w:val="00B45B14"/>
    <w:rsid w:val="00B47B67"/>
    <w:rsid w:val="00B47C7F"/>
    <w:rsid w:val="00B506EA"/>
    <w:rsid w:val="00B5194D"/>
    <w:rsid w:val="00B5212E"/>
    <w:rsid w:val="00B53241"/>
    <w:rsid w:val="00B54CFB"/>
    <w:rsid w:val="00B55BCC"/>
    <w:rsid w:val="00B56C94"/>
    <w:rsid w:val="00B6008A"/>
    <w:rsid w:val="00B62376"/>
    <w:rsid w:val="00B667FD"/>
    <w:rsid w:val="00B70D33"/>
    <w:rsid w:val="00B71F43"/>
    <w:rsid w:val="00B75B44"/>
    <w:rsid w:val="00B76396"/>
    <w:rsid w:val="00B83F51"/>
    <w:rsid w:val="00B86294"/>
    <w:rsid w:val="00B932A2"/>
    <w:rsid w:val="00B93358"/>
    <w:rsid w:val="00B94902"/>
    <w:rsid w:val="00B954D7"/>
    <w:rsid w:val="00B97163"/>
    <w:rsid w:val="00BA1766"/>
    <w:rsid w:val="00BA23A0"/>
    <w:rsid w:val="00BA32CB"/>
    <w:rsid w:val="00BA6E8A"/>
    <w:rsid w:val="00BB0141"/>
    <w:rsid w:val="00BB1D57"/>
    <w:rsid w:val="00BB30A8"/>
    <w:rsid w:val="00BC194D"/>
    <w:rsid w:val="00BC2D0C"/>
    <w:rsid w:val="00BC3C9C"/>
    <w:rsid w:val="00BC5FCF"/>
    <w:rsid w:val="00BC6168"/>
    <w:rsid w:val="00BD2C42"/>
    <w:rsid w:val="00BD3AFC"/>
    <w:rsid w:val="00BD71C3"/>
    <w:rsid w:val="00BE20FE"/>
    <w:rsid w:val="00BE2E70"/>
    <w:rsid w:val="00BE5EEC"/>
    <w:rsid w:val="00BF08DB"/>
    <w:rsid w:val="00BF0E7A"/>
    <w:rsid w:val="00BF2E8A"/>
    <w:rsid w:val="00BF452E"/>
    <w:rsid w:val="00C00B31"/>
    <w:rsid w:val="00C01F7E"/>
    <w:rsid w:val="00C02A64"/>
    <w:rsid w:val="00C06138"/>
    <w:rsid w:val="00C07B01"/>
    <w:rsid w:val="00C1064D"/>
    <w:rsid w:val="00C10F31"/>
    <w:rsid w:val="00C25757"/>
    <w:rsid w:val="00C26364"/>
    <w:rsid w:val="00C27CD0"/>
    <w:rsid w:val="00C30FB1"/>
    <w:rsid w:val="00C3522D"/>
    <w:rsid w:val="00C35815"/>
    <w:rsid w:val="00C360E7"/>
    <w:rsid w:val="00C3761D"/>
    <w:rsid w:val="00C416DC"/>
    <w:rsid w:val="00C45A7D"/>
    <w:rsid w:val="00C531D5"/>
    <w:rsid w:val="00C53768"/>
    <w:rsid w:val="00C54A98"/>
    <w:rsid w:val="00C55C32"/>
    <w:rsid w:val="00C6195E"/>
    <w:rsid w:val="00C6456C"/>
    <w:rsid w:val="00C64659"/>
    <w:rsid w:val="00C6678C"/>
    <w:rsid w:val="00C705BF"/>
    <w:rsid w:val="00C72112"/>
    <w:rsid w:val="00C752C4"/>
    <w:rsid w:val="00C80AB9"/>
    <w:rsid w:val="00C817FC"/>
    <w:rsid w:val="00C81B77"/>
    <w:rsid w:val="00C83F4A"/>
    <w:rsid w:val="00C84C9D"/>
    <w:rsid w:val="00C9165A"/>
    <w:rsid w:val="00C916ED"/>
    <w:rsid w:val="00C917C5"/>
    <w:rsid w:val="00C91F2B"/>
    <w:rsid w:val="00C9364D"/>
    <w:rsid w:val="00C944FD"/>
    <w:rsid w:val="00C97536"/>
    <w:rsid w:val="00CA038D"/>
    <w:rsid w:val="00CA139B"/>
    <w:rsid w:val="00CA1B05"/>
    <w:rsid w:val="00CA2C4F"/>
    <w:rsid w:val="00CA4538"/>
    <w:rsid w:val="00CB1D22"/>
    <w:rsid w:val="00CB2FBE"/>
    <w:rsid w:val="00CB5357"/>
    <w:rsid w:val="00CB74CB"/>
    <w:rsid w:val="00CC19DE"/>
    <w:rsid w:val="00CC2278"/>
    <w:rsid w:val="00CC7CC6"/>
    <w:rsid w:val="00CD048B"/>
    <w:rsid w:val="00CE6C03"/>
    <w:rsid w:val="00CF11E8"/>
    <w:rsid w:val="00CF1441"/>
    <w:rsid w:val="00CF23FC"/>
    <w:rsid w:val="00CF413D"/>
    <w:rsid w:val="00CF4730"/>
    <w:rsid w:val="00D03B6A"/>
    <w:rsid w:val="00D03FA6"/>
    <w:rsid w:val="00D07581"/>
    <w:rsid w:val="00D13533"/>
    <w:rsid w:val="00D14B06"/>
    <w:rsid w:val="00D16179"/>
    <w:rsid w:val="00D174D4"/>
    <w:rsid w:val="00D21D50"/>
    <w:rsid w:val="00D24DCD"/>
    <w:rsid w:val="00D262CC"/>
    <w:rsid w:val="00D2774B"/>
    <w:rsid w:val="00D33FE0"/>
    <w:rsid w:val="00D361B2"/>
    <w:rsid w:val="00D3636A"/>
    <w:rsid w:val="00D44911"/>
    <w:rsid w:val="00D463B6"/>
    <w:rsid w:val="00D55832"/>
    <w:rsid w:val="00D576C3"/>
    <w:rsid w:val="00D62A70"/>
    <w:rsid w:val="00D679B2"/>
    <w:rsid w:val="00D70086"/>
    <w:rsid w:val="00D7013F"/>
    <w:rsid w:val="00D71251"/>
    <w:rsid w:val="00D712A9"/>
    <w:rsid w:val="00D73E49"/>
    <w:rsid w:val="00D7483A"/>
    <w:rsid w:val="00D800FC"/>
    <w:rsid w:val="00D80E1C"/>
    <w:rsid w:val="00D82481"/>
    <w:rsid w:val="00D83609"/>
    <w:rsid w:val="00D8406B"/>
    <w:rsid w:val="00D856E3"/>
    <w:rsid w:val="00D860B4"/>
    <w:rsid w:val="00D86801"/>
    <w:rsid w:val="00D86CA0"/>
    <w:rsid w:val="00D93698"/>
    <w:rsid w:val="00D978B1"/>
    <w:rsid w:val="00DA28FE"/>
    <w:rsid w:val="00DA4EE0"/>
    <w:rsid w:val="00DA5520"/>
    <w:rsid w:val="00DA7798"/>
    <w:rsid w:val="00DB1958"/>
    <w:rsid w:val="00DB2A23"/>
    <w:rsid w:val="00DC125D"/>
    <w:rsid w:val="00DC12EC"/>
    <w:rsid w:val="00DC29C3"/>
    <w:rsid w:val="00DC607C"/>
    <w:rsid w:val="00DC744E"/>
    <w:rsid w:val="00DC76A9"/>
    <w:rsid w:val="00DD1B01"/>
    <w:rsid w:val="00DD1E5B"/>
    <w:rsid w:val="00DD280B"/>
    <w:rsid w:val="00DD321E"/>
    <w:rsid w:val="00DE273A"/>
    <w:rsid w:val="00DE3375"/>
    <w:rsid w:val="00DE417B"/>
    <w:rsid w:val="00DE5BD5"/>
    <w:rsid w:val="00DE6098"/>
    <w:rsid w:val="00DE7E77"/>
    <w:rsid w:val="00DF0F64"/>
    <w:rsid w:val="00DF4BFA"/>
    <w:rsid w:val="00DF6B8E"/>
    <w:rsid w:val="00E00278"/>
    <w:rsid w:val="00E03E1E"/>
    <w:rsid w:val="00E12E1F"/>
    <w:rsid w:val="00E138E3"/>
    <w:rsid w:val="00E13AB0"/>
    <w:rsid w:val="00E13AFF"/>
    <w:rsid w:val="00E15D64"/>
    <w:rsid w:val="00E16D44"/>
    <w:rsid w:val="00E226D8"/>
    <w:rsid w:val="00E22800"/>
    <w:rsid w:val="00E24114"/>
    <w:rsid w:val="00E27BD8"/>
    <w:rsid w:val="00E307C5"/>
    <w:rsid w:val="00E30E0C"/>
    <w:rsid w:val="00E31690"/>
    <w:rsid w:val="00E32682"/>
    <w:rsid w:val="00E32BBA"/>
    <w:rsid w:val="00E33487"/>
    <w:rsid w:val="00E347E7"/>
    <w:rsid w:val="00E47061"/>
    <w:rsid w:val="00E53455"/>
    <w:rsid w:val="00E53B69"/>
    <w:rsid w:val="00E546E1"/>
    <w:rsid w:val="00E54F9C"/>
    <w:rsid w:val="00E551B7"/>
    <w:rsid w:val="00E554FB"/>
    <w:rsid w:val="00E618F7"/>
    <w:rsid w:val="00E6303B"/>
    <w:rsid w:val="00E659FF"/>
    <w:rsid w:val="00E66BCB"/>
    <w:rsid w:val="00E6700F"/>
    <w:rsid w:val="00E733F2"/>
    <w:rsid w:val="00E76B2C"/>
    <w:rsid w:val="00E775F6"/>
    <w:rsid w:val="00E777C5"/>
    <w:rsid w:val="00E8293D"/>
    <w:rsid w:val="00E868B9"/>
    <w:rsid w:val="00E873FC"/>
    <w:rsid w:val="00E92BBD"/>
    <w:rsid w:val="00E94EC5"/>
    <w:rsid w:val="00E95728"/>
    <w:rsid w:val="00E95FC3"/>
    <w:rsid w:val="00E96BEB"/>
    <w:rsid w:val="00E97F14"/>
    <w:rsid w:val="00EA4697"/>
    <w:rsid w:val="00EA5B2E"/>
    <w:rsid w:val="00EA6B4E"/>
    <w:rsid w:val="00EB0D7B"/>
    <w:rsid w:val="00EB2644"/>
    <w:rsid w:val="00EB31D6"/>
    <w:rsid w:val="00EB3888"/>
    <w:rsid w:val="00EB4608"/>
    <w:rsid w:val="00EB52B0"/>
    <w:rsid w:val="00EB7684"/>
    <w:rsid w:val="00EC20AF"/>
    <w:rsid w:val="00EC5ABD"/>
    <w:rsid w:val="00EC5D96"/>
    <w:rsid w:val="00EC721B"/>
    <w:rsid w:val="00EC7C99"/>
    <w:rsid w:val="00ED06B5"/>
    <w:rsid w:val="00ED187E"/>
    <w:rsid w:val="00ED1B6F"/>
    <w:rsid w:val="00ED68BC"/>
    <w:rsid w:val="00ED7A87"/>
    <w:rsid w:val="00ED7D29"/>
    <w:rsid w:val="00EE0166"/>
    <w:rsid w:val="00EE1B4C"/>
    <w:rsid w:val="00EE1D14"/>
    <w:rsid w:val="00EE3EDD"/>
    <w:rsid w:val="00EE4E8F"/>
    <w:rsid w:val="00EE631E"/>
    <w:rsid w:val="00EF0FA3"/>
    <w:rsid w:val="00EF150E"/>
    <w:rsid w:val="00EF20E7"/>
    <w:rsid w:val="00EF2B78"/>
    <w:rsid w:val="00EF5489"/>
    <w:rsid w:val="00EF5532"/>
    <w:rsid w:val="00EF6B8E"/>
    <w:rsid w:val="00F009C5"/>
    <w:rsid w:val="00F05768"/>
    <w:rsid w:val="00F05A64"/>
    <w:rsid w:val="00F1345F"/>
    <w:rsid w:val="00F1550F"/>
    <w:rsid w:val="00F21A8F"/>
    <w:rsid w:val="00F21CF5"/>
    <w:rsid w:val="00F21FDE"/>
    <w:rsid w:val="00F252CF"/>
    <w:rsid w:val="00F26674"/>
    <w:rsid w:val="00F30D8B"/>
    <w:rsid w:val="00F32677"/>
    <w:rsid w:val="00F3324D"/>
    <w:rsid w:val="00F3388E"/>
    <w:rsid w:val="00F404E9"/>
    <w:rsid w:val="00F41E45"/>
    <w:rsid w:val="00F42374"/>
    <w:rsid w:val="00F4282E"/>
    <w:rsid w:val="00F42F61"/>
    <w:rsid w:val="00F460EB"/>
    <w:rsid w:val="00F473F9"/>
    <w:rsid w:val="00F47CC2"/>
    <w:rsid w:val="00F47D45"/>
    <w:rsid w:val="00F506A2"/>
    <w:rsid w:val="00F5187A"/>
    <w:rsid w:val="00F51944"/>
    <w:rsid w:val="00F54A53"/>
    <w:rsid w:val="00F54D43"/>
    <w:rsid w:val="00F57CC3"/>
    <w:rsid w:val="00F630AC"/>
    <w:rsid w:val="00F642F4"/>
    <w:rsid w:val="00F65989"/>
    <w:rsid w:val="00F716BE"/>
    <w:rsid w:val="00F721A8"/>
    <w:rsid w:val="00F74A1B"/>
    <w:rsid w:val="00F82C19"/>
    <w:rsid w:val="00F90804"/>
    <w:rsid w:val="00F932DE"/>
    <w:rsid w:val="00F94A60"/>
    <w:rsid w:val="00F96208"/>
    <w:rsid w:val="00F9686D"/>
    <w:rsid w:val="00F97D45"/>
    <w:rsid w:val="00FA093B"/>
    <w:rsid w:val="00FA14BF"/>
    <w:rsid w:val="00FA19CA"/>
    <w:rsid w:val="00FA2AB0"/>
    <w:rsid w:val="00FA4E0B"/>
    <w:rsid w:val="00FA6058"/>
    <w:rsid w:val="00FB23C3"/>
    <w:rsid w:val="00FB6EB4"/>
    <w:rsid w:val="00FC0A1A"/>
    <w:rsid w:val="00FC118D"/>
    <w:rsid w:val="00FC1788"/>
    <w:rsid w:val="00FC5ECE"/>
    <w:rsid w:val="00FD0D2B"/>
    <w:rsid w:val="00FD755C"/>
    <w:rsid w:val="00FE1651"/>
    <w:rsid w:val="00FE26C6"/>
    <w:rsid w:val="00FE2E36"/>
    <w:rsid w:val="00FE7E74"/>
    <w:rsid w:val="00FF184F"/>
    <w:rsid w:val="00FF2037"/>
    <w:rsid w:val="00FF6202"/>
    <w:rsid w:val="00FF6DF9"/>
    <w:rsid w:val="02642F1B"/>
    <w:rsid w:val="02CB2D30"/>
    <w:rsid w:val="04BC1EA8"/>
    <w:rsid w:val="04E82683"/>
    <w:rsid w:val="0775236D"/>
    <w:rsid w:val="07E97D8C"/>
    <w:rsid w:val="09483C7C"/>
    <w:rsid w:val="0A0951E6"/>
    <w:rsid w:val="0A527D2F"/>
    <w:rsid w:val="0AB57A19"/>
    <w:rsid w:val="0B7F1C4E"/>
    <w:rsid w:val="0C514428"/>
    <w:rsid w:val="0D9A7BAD"/>
    <w:rsid w:val="102764FF"/>
    <w:rsid w:val="108F0808"/>
    <w:rsid w:val="113D0687"/>
    <w:rsid w:val="12215158"/>
    <w:rsid w:val="12E416EB"/>
    <w:rsid w:val="138723A9"/>
    <w:rsid w:val="148F6D68"/>
    <w:rsid w:val="15320B1A"/>
    <w:rsid w:val="16B92CCA"/>
    <w:rsid w:val="183C7BEA"/>
    <w:rsid w:val="18B018A3"/>
    <w:rsid w:val="18C12588"/>
    <w:rsid w:val="192F766B"/>
    <w:rsid w:val="1AAB6609"/>
    <w:rsid w:val="1ABE13C0"/>
    <w:rsid w:val="1B822355"/>
    <w:rsid w:val="1CC25FA0"/>
    <w:rsid w:val="1CF347D0"/>
    <w:rsid w:val="1D7754BC"/>
    <w:rsid w:val="1D9F266C"/>
    <w:rsid w:val="1DFA1AED"/>
    <w:rsid w:val="1FAB069B"/>
    <w:rsid w:val="230920D1"/>
    <w:rsid w:val="23143057"/>
    <w:rsid w:val="23A40AAA"/>
    <w:rsid w:val="24576A36"/>
    <w:rsid w:val="24612402"/>
    <w:rsid w:val="24B634D6"/>
    <w:rsid w:val="25CE7A9B"/>
    <w:rsid w:val="265D7E74"/>
    <w:rsid w:val="274318C9"/>
    <w:rsid w:val="28514C0F"/>
    <w:rsid w:val="28754EB1"/>
    <w:rsid w:val="2B2614CB"/>
    <w:rsid w:val="2B363469"/>
    <w:rsid w:val="2C6F100E"/>
    <w:rsid w:val="2CD305FF"/>
    <w:rsid w:val="2D8C4802"/>
    <w:rsid w:val="2DB22102"/>
    <w:rsid w:val="2E100838"/>
    <w:rsid w:val="31080C0B"/>
    <w:rsid w:val="311D2E05"/>
    <w:rsid w:val="31673AB5"/>
    <w:rsid w:val="316902DB"/>
    <w:rsid w:val="32C55D9E"/>
    <w:rsid w:val="357069F0"/>
    <w:rsid w:val="37714620"/>
    <w:rsid w:val="39473A65"/>
    <w:rsid w:val="3B1757A3"/>
    <w:rsid w:val="3CE15633"/>
    <w:rsid w:val="3E452F8E"/>
    <w:rsid w:val="407B5D1E"/>
    <w:rsid w:val="429B6EFD"/>
    <w:rsid w:val="42CB6326"/>
    <w:rsid w:val="43142BEC"/>
    <w:rsid w:val="43780A4C"/>
    <w:rsid w:val="45776CA3"/>
    <w:rsid w:val="481A4F2D"/>
    <w:rsid w:val="49643738"/>
    <w:rsid w:val="4ABB422A"/>
    <w:rsid w:val="4B3854D9"/>
    <w:rsid w:val="4DB51229"/>
    <w:rsid w:val="4ECE6222"/>
    <w:rsid w:val="4F2101A3"/>
    <w:rsid w:val="4FB63332"/>
    <w:rsid w:val="508A31F9"/>
    <w:rsid w:val="50F37181"/>
    <w:rsid w:val="510612FC"/>
    <w:rsid w:val="514C7C9E"/>
    <w:rsid w:val="54F742B5"/>
    <w:rsid w:val="555743EB"/>
    <w:rsid w:val="556278BC"/>
    <w:rsid w:val="55C36911"/>
    <w:rsid w:val="56374413"/>
    <w:rsid w:val="578A4C11"/>
    <w:rsid w:val="58054B0A"/>
    <w:rsid w:val="587B0306"/>
    <w:rsid w:val="58F44FE1"/>
    <w:rsid w:val="598D4CFC"/>
    <w:rsid w:val="5A1412AA"/>
    <w:rsid w:val="5B8039E8"/>
    <w:rsid w:val="5D421A5F"/>
    <w:rsid w:val="5D8A0D6F"/>
    <w:rsid w:val="5DA332DC"/>
    <w:rsid w:val="5F9C225E"/>
    <w:rsid w:val="5FDA7DCD"/>
    <w:rsid w:val="60F04EEB"/>
    <w:rsid w:val="613C41A8"/>
    <w:rsid w:val="621E5D60"/>
    <w:rsid w:val="646C7EC4"/>
    <w:rsid w:val="649F0D7A"/>
    <w:rsid w:val="66CD6B09"/>
    <w:rsid w:val="66E65852"/>
    <w:rsid w:val="681C300C"/>
    <w:rsid w:val="685745C2"/>
    <w:rsid w:val="68965191"/>
    <w:rsid w:val="69685240"/>
    <w:rsid w:val="6B0D1D37"/>
    <w:rsid w:val="6BE04ACA"/>
    <w:rsid w:val="6CF97F62"/>
    <w:rsid w:val="6D553BC6"/>
    <w:rsid w:val="6D7425D3"/>
    <w:rsid w:val="6ECF5C49"/>
    <w:rsid w:val="6F1C5868"/>
    <w:rsid w:val="708578FF"/>
    <w:rsid w:val="70C95C99"/>
    <w:rsid w:val="72E12EA7"/>
    <w:rsid w:val="732E63CA"/>
    <w:rsid w:val="733846E6"/>
    <w:rsid w:val="73A00325"/>
    <w:rsid w:val="73A231E6"/>
    <w:rsid w:val="741F11FF"/>
    <w:rsid w:val="74E34D0C"/>
    <w:rsid w:val="755C6709"/>
    <w:rsid w:val="76A63449"/>
    <w:rsid w:val="7832624F"/>
    <w:rsid w:val="792F6650"/>
    <w:rsid w:val="79697735"/>
    <w:rsid w:val="79F641D1"/>
    <w:rsid w:val="7BD24F25"/>
    <w:rsid w:val="7C4A692C"/>
    <w:rsid w:val="7C835838"/>
    <w:rsid w:val="7DA8429D"/>
    <w:rsid w:val="7FB9001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rFonts w:ascii="Times New Roman" w:hAnsi="Times New Roman" w:cs="Times New Roman"/>
      <w:b/>
      <w:bCs/>
      <w:kern w:val="44"/>
      <w:sz w:val="44"/>
      <w:szCs w:val="44"/>
    </w:rPr>
  </w:style>
  <w:style w:type="character" w:default="1" w:styleId="10">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after="120"/>
      <w:ind w:left="420" w:leftChars="200"/>
    </w:pPr>
  </w:style>
  <w:style w:type="paragraph" w:styleId="5">
    <w:name w:val="Balloon Text"/>
    <w:basedOn w:val="1"/>
    <w:link w:val="20"/>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Body Text First Indent 2"/>
    <w:basedOn w:val="4"/>
    <w:qFormat/>
    <w:uiPriority w:val="0"/>
    <w:pPr>
      <w:adjustRightInd w:val="0"/>
      <w:ind w:left="0" w:leftChars="0" w:firstLine="880" w:firstLineChars="200"/>
    </w:pPr>
    <w:rPr>
      <w:rFonts w:eastAsia="仿宋" w:cs="Times New Roman"/>
      <w:sz w:val="32"/>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rPr>
      <w:rFonts w:ascii="Times New Roman" w:hAnsi="Times New Roman" w:cs="Times New Roman"/>
      <w:sz w:val="24"/>
    </w:rPr>
  </w:style>
  <w:style w:type="character" w:styleId="11">
    <w:name w:val="annotation reference"/>
    <w:basedOn w:val="10"/>
    <w:unhideWhenUsed/>
    <w:qFormat/>
    <w:uiPriority w:val="99"/>
    <w:rPr>
      <w:sz w:val="21"/>
      <w:szCs w:val="21"/>
    </w:rPr>
  </w:style>
  <w:style w:type="paragraph" w:customStyle="1" w:styleId="13">
    <w:name w:val="List Paragraph"/>
    <w:basedOn w:val="1"/>
    <w:qFormat/>
    <w:uiPriority w:val="34"/>
    <w:pPr>
      <w:ind w:firstLine="420" w:firstLineChars="200"/>
    </w:pPr>
  </w:style>
  <w:style w:type="paragraph" w:customStyle="1" w:styleId="14">
    <w:name w:val="p0"/>
    <w:basedOn w:val="1"/>
    <w:qFormat/>
    <w:uiPriority w:val="0"/>
    <w:pPr>
      <w:widowControl/>
    </w:pPr>
    <w:rPr>
      <w:rFonts w:ascii="Calibri" w:hAnsi="Calibri" w:eastAsia="宋体" w:cs="宋体"/>
      <w:kern w:val="0"/>
      <w:szCs w:val="21"/>
    </w:rPr>
  </w:style>
  <w:style w:type="paragraph" w:customStyle="1" w:styleId="15">
    <w:name w:val="列表段落1"/>
    <w:basedOn w:val="1"/>
    <w:qFormat/>
    <w:uiPriority w:val="34"/>
    <w:pPr>
      <w:ind w:firstLine="420" w:firstLineChars="200"/>
    </w:pPr>
  </w:style>
  <w:style w:type="paragraph" w:customStyle="1" w:styleId="16">
    <w:name w:val="列出段落1"/>
    <w:basedOn w:val="1"/>
    <w:qFormat/>
    <w:uiPriority w:val="34"/>
    <w:pPr>
      <w:ind w:firstLine="420" w:firstLineChars="200"/>
    </w:pPr>
  </w:style>
  <w:style w:type="paragraph" w:customStyle="1" w:styleId="17">
    <w:name w:val="Revision"/>
    <w:hidden/>
    <w:semiHidden/>
    <w:uiPriority w:val="99"/>
    <w:rPr>
      <w:rFonts w:ascii="Calibri" w:hAnsi="Calibri" w:eastAsia="宋体" w:cs="黑体"/>
      <w:kern w:val="2"/>
      <w:sz w:val="21"/>
      <w:szCs w:val="22"/>
      <w:lang w:val="en-US" w:eastAsia="zh-CN" w:bidi="ar-SA"/>
    </w:rPr>
  </w:style>
  <w:style w:type="character" w:customStyle="1" w:styleId="18">
    <w:name w:val="页眉 字符"/>
    <w:basedOn w:val="10"/>
    <w:link w:val="8"/>
    <w:qFormat/>
    <w:uiPriority w:val="99"/>
    <w:rPr>
      <w:sz w:val="18"/>
      <w:szCs w:val="18"/>
    </w:rPr>
  </w:style>
  <w:style w:type="character" w:customStyle="1" w:styleId="19">
    <w:name w:val="页脚 字符"/>
    <w:basedOn w:val="10"/>
    <w:link w:val="6"/>
    <w:qFormat/>
    <w:uiPriority w:val="99"/>
    <w:rPr>
      <w:sz w:val="18"/>
      <w:szCs w:val="18"/>
    </w:rPr>
  </w:style>
  <w:style w:type="character" w:customStyle="1" w:styleId="20">
    <w:name w:val="批注框文本 字符"/>
    <w:basedOn w:val="10"/>
    <w:link w:val="5"/>
    <w:semiHidden/>
    <w:qFormat/>
    <w:uiPriority w:val="99"/>
    <w:rPr>
      <w:rFonts w:ascii="Calibri" w:hAnsi="Calibri" w:eastAsia="宋体" w:cs="黑体"/>
      <w:sz w:val="18"/>
      <w:szCs w:val="18"/>
    </w:rPr>
  </w:style>
  <w:style w:type="character" w:customStyle="1" w:styleId="21">
    <w:name w:val="apple-converted-space"/>
    <w:basedOn w:val="10"/>
    <w:qFormat/>
    <w:uiPriority w:val="0"/>
    <w:rPr/>
  </w:style>
  <w:style w:type="character" w:customStyle="1" w:styleId="22">
    <w:name w:val="fontstyle01"/>
    <w:basedOn w:val="10"/>
    <w:qFormat/>
    <w:uiPriority w:val="0"/>
    <w:rPr>
      <w:rFonts w:hint="eastAsia" w:ascii="宋体" w:hAnsi="宋体" w:eastAsia="宋体"/>
      <w:color w:val="000000"/>
      <w:sz w:val="22"/>
      <w:szCs w:val="22"/>
    </w:rPr>
  </w:style>
  <w:style w:type="character" w:customStyle="1" w:styleId="23">
    <w:name w:val="标题 1 字符"/>
    <w:basedOn w:val="10"/>
    <w:qFormat/>
    <w:uiPriority w:val="9"/>
    <w:rPr>
      <w:rFonts w:ascii="Calibri" w:hAnsi="Calibri" w:cs="黑体"/>
      <w:b/>
      <w:bCs/>
      <w:kern w:val="44"/>
      <w:sz w:val="44"/>
      <w:szCs w:val="44"/>
    </w:rPr>
  </w:style>
  <w:style w:type="character" w:customStyle="1" w:styleId="24">
    <w:name w:val="标题 1 字符1"/>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3</Pages>
  <Words>180</Words>
  <Characters>1029</Characters>
  <Lines>8</Lines>
  <Paragraphs>2</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2020-07-15T03:17:00Z</dcterms:created>
  <dc:creator>1</dc:creator>
  <cp:lastModifiedBy>董廷俊</cp:lastModifiedBy>
  <cp:lastPrinted>2022-04-07T02:11:00Z</cp:lastPrinted>
  <dcterms:modified xsi:type="dcterms:W3CDTF">2022-06-02T09:32:56Z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2B73AC262AED4653ABD2B99081D7FD85</vt:lpwstr>
  </property>
</Properties>
</file>