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倍硫磷是具有触杀、胃毒和熏蒸作用的有机磷农药。对蚜虫等有较好防效。《食品安全国家标准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）规定，豆类蔬菜中倍硫磷的最大残留限量为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大肠菌群是国内外通用的食品污染指示菌之一。食品中检出大肠菌群，提示被肠道致病菌污染的可能性较大。《食品安全国家标准 速冻面米制品》（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19295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）对</w:t>
      </w:r>
      <w:r>
        <w:rPr>
          <w:rFonts w:ascii="Times New Roman" w:hAnsi="Times New Roman" w:eastAsia="仿宋_GB2312"/>
          <w:color w:val="000000"/>
          <w:sz w:val="32"/>
          <w:szCs w:val="32"/>
        </w:rPr>
        <w:t>熟制品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中的大肠菌群规定同批次5个独立包装产品中大肠菌群检测结果不允许有超过10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CFU/g的，且至少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个包装产品检测结果不超过10 CFU/g。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号）中规定五氯酚酸钠在食品动物中禁止使用，即在动物性食品中不得检出。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苯甲酸及其钠盐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食品添加剂使用标准》（</w:t>
      </w:r>
      <w:r>
        <w:rPr>
          <w:rFonts w:eastAsia="仿宋_GB2312" w:cs="仿宋"/>
          <w:color w:val="000000"/>
          <w:sz w:val="32"/>
          <w:szCs w:val="32"/>
        </w:rPr>
        <w:t>GB 2760</w:t>
      </w:r>
      <w:r>
        <w:rPr>
          <w:rFonts w:hint="eastAsia" w:eastAsia="仿宋_GB2312" w:cs="仿宋"/>
          <w:color w:val="000000"/>
          <w:sz w:val="32"/>
          <w:szCs w:val="32"/>
        </w:rPr>
        <w:t>）规定，半固体复合调味料中苯甲酸及其钠盐(以苯甲酸计)的最大使用量为1.0 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）规定，复合调味料中山梨酸及其钾盐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以山梨酸计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的最大使用量为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1.0 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）中不仅规定了允许使用的防腐剂品种、使用范围及最大使用量或残留量，而且规定了防腐剂在混合使用时，各自用量占其最大使用量的比例之和不应超过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1459746">
    <w:nsid w:val="7FA41522"/>
    <w:multiLevelType w:val="multilevel"/>
    <w:tmpl w:val="7FA4152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414597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GqjgcuDaC7hsbvbFU+OjlFT2ls=" w:salt="p+10vzub5VxfMj1SU7XSF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2288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5C6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4C78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440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145B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16DC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6D37595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198</Words>
  <Characters>1130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2022-05-13T04:52:57Z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