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</w:t>
      </w:r>
      <w:r>
        <w:rPr>
          <w:rFonts w:hint="eastAsia" w:eastAsia="仿宋_GB2312"/>
          <w:color w:val="000000"/>
          <w:sz w:val="32"/>
          <w:szCs w:val="32"/>
        </w:rPr>
        <w:t>食品</w:t>
      </w:r>
      <w:r>
        <w:rPr>
          <w:rFonts w:eastAsia="仿宋_GB2312"/>
          <w:color w:val="000000"/>
          <w:sz w:val="32"/>
          <w:szCs w:val="32"/>
        </w:rPr>
        <w:t>及餐饮具中检出大肠菌群，提示被肠道致病菌污染的可能性较大。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冷冻饮品和制作料》（</w:t>
      </w:r>
      <w:r>
        <w:rPr>
          <w:rFonts w:eastAsia="仿宋_GB2312"/>
          <w:color w:val="000000"/>
          <w:sz w:val="32"/>
          <w:szCs w:val="32"/>
        </w:rPr>
        <w:t>GB 2759</w:t>
      </w:r>
      <w:r>
        <w:rPr>
          <w:rFonts w:hint="eastAsia" w:eastAsia="仿宋_GB2312"/>
          <w:color w:val="000000"/>
          <w:sz w:val="32"/>
          <w:szCs w:val="32"/>
        </w:rPr>
        <w:t>）对冷冻饮品中的大肠菌群规定同批次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个独立包装产品中大肠菌群检测结果不允许有超过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CFU/g</w:t>
      </w:r>
      <w:r>
        <w:rPr>
          <w:rFonts w:hint="eastAsia" w:eastAsia="仿宋_GB2312"/>
          <w:color w:val="000000"/>
          <w:sz w:val="32"/>
          <w:szCs w:val="32"/>
        </w:rPr>
        <w:t>的，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</w:rPr>
        <w:t>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个包装产品检测结果不超过</w:t>
      </w:r>
      <w:r>
        <w:rPr>
          <w:rFonts w:eastAsia="仿宋_GB2312"/>
          <w:color w:val="000000"/>
          <w:sz w:val="32"/>
          <w:szCs w:val="32"/>
        </w:rPr>
        <w:t>10 CFU/g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hint="eastAsia" w:eastAsia="仿宋_GB2312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个独立包装的饮用水中铜绿假单胞菌均不得检出。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）规定，香蕉中吡虫啉</w:t>
      </w:r>
      <w:r>
        <w:rPr>
          <w:rFonts w:hint="eastAsia" w:eastAsia="仿宋_GB2312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0.05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spacing w:line="560" w:lineRule="exact"/>
        <w:ind w:left="0" w:firstLine="632"/>
        <w:rPr>
          <w:rFonts w:ascii="黑体" w:hAnsi="黑体" w:eastAsia="黑体" w:cs="Arial"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Arial"/>
          <w:spacing w:val="-2"/>
          <w:kern w:val="0"/>
          <w:sz w:val="32"/>
          <w:szCs w:val="32"/>
        </w:rPr>
        <w:t>呋喃唑酮代谢物</w:t>
      </w:r>
    </w:p>
    <w:p>
      <w:pPr>
        <w:pStyle w:val="8"/>
        <w:spacing w:line="560" w:lineRule="exact"/>
        <w:ind w:firstLine="632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eastAsia="仿宋_GB2312"/>
          <w:spacing w:val="-2"/>
          <w:kern w:val="0"/>
          <w:sz w:val="32"/>
          <w:szCs w:val="32"/>
        </w:rPr>
        <w:t>呋喃唑酮为硝基呋喃类广谱抗菌药，对常见的革兰氏阴性菌和阳性菌有抑制作用。硝基呋喃类原型药在生物体内代谢迅速，和蛋白质结合而相当稳定，故常利用对其代谢物的检测来反应硝基呋喃类药物的残留状况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研究发现硝基呋喃类药物及其代谢物对人体健康存在安全隐患，因此我国2002年12月24日发布的原农业部公告235号中将呋喃唑酮列为禁止用于所有食品动物的兽药。</w:t>
      </w:r>
      <w:r>
        <w:rPr>
          <w:rFonts w:hint="eastAsia" w:ascii="仿宋_GB2312" w:eastAsia="仿宋_GB2312"/>
          <w:bCs/>
          <w:sz w:val="32"/>
          <w:szCs w:val="32"/>
        </w:rPr>
        <w:t>农业农村部2020年1月6日发布的第250号公告中，也将其列为食品动物中禁止使用的药品。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8"/>
        <w:ind w:firstLine="640"/>
      </w:pPr>
      <w:r>
        <w:rPr>
          <w:rFonts w:hint="eastAsia" w:eastAsia="仿宋_GB2312"/>
          <w:color w:val="000000"/>
          <w:sz w:val="32"/>
          <w:szCs w:val="32"/>
        </w:rPr>
        <w:t>五氯酚酸钠是一种有机氯农药，属于杀虫除草剂，易溶于水，容易进入水和土壤中，经环境累积，进入饲料用植物中，通过食物链进入动物内。《食品动物中禁止使用的药品及其他化合物清单》（农业农村部公告第250号）中规定五氯酚酸钠在食品动物中禁止使用，即在动物性食品中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3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2762）规定，鲜、冻甲壳类水产动物中镉的限量值为0.5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黄曲霉毒素</w:t>
      </w:r>
      <w:r>
        <w:rPr>
          <w:rFonts w:eastAsia="仿宋_GB2312"/>
          <w:bCs/>
          <w:sz w:val="32"/>
          <w:szCs w:val="32"/>
        </w:rPr>
        <w:t>B</w:t>
      </w:r>
      <w:r>
        <w:rPr>
          <w:rFonts w:eastAsia="仿宋_GB2312"/>
          <w:bCs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是已知的化学物质中致癌性最强的一种，对包括人和若干动物具有强烈的毒性，其毒性作用主要是对肝脏的损害。易受黄曲霉毒素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/>
          <w:bCs/>
          <w:sz w:val="32"/>
          <w:szCs w:val="32"/>
        </w:rPr>
        <w:t>污染的食物主要有花生、玉米、稻谷、小麦、花生油等，特别是花生、核桃等坚果与籽类食品。</w:t>
      </w:r>
      <w:r>
        <w:rPr>
          <w:rFonts w:hint="eastAsia" w:eastAsia="仿宋_GB2312" w:cs="仿宋"/>
          <w:color w:val="000000"/>
          <w:sz w:val="32"/>
          <w:szCs w:val="32"/>
        </w:rPr>
        <w:t>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食品中真菌毒素限量》（</w:t>
      </w:r>
      <w:r>
        <w:rPr>
          <w:rFonts w:eastAsia="仿宋_GB2312" w:cs="仿宋"/>
          <w:color w:val="000000"/>
          <w:sz w:val="32"/>
          <w:szCs w:val="32"/>
        </w:rPr>
        <w:t>GB 2761</w:t>
      </w:r>
      <w:r>
        <w:rPr>
          <w:rFonts w:hint="eastAsia" w:eastAsia="仿宋_GB2312" w:cs="仿宋"/>
          <w:color w:val="000000"/>
          <w:sz w:val="32"/>
          <w:szCs w:val="32"/>
        </w:rPr>
        <w:t>）规定，花生及其制品中黄曲霉毒素</w:t>
      </w:r>
      <w:r>
        <w:rPr>
          <w:rFonts w:eastAsia="仿宋_GB2312" w:cs="仿宋"/>
          <w:color w:val="000000"/>
          <w:sz w:val="32"/>
          <w:szCs w:val="32"/>
        </w:rPr>
        <w:t>B</w:t>
      </w:r>
      <w:r>
        <w:rPr>
          <w:rFonts w:eastAsia="仿宋_GB2312" w:cs="仿宋"/>
          <w:color w:val="000000"/>
          <w:sz w:val="32"/>
          <w:szCs w:val="32"/>
          <w:vertAlign w:val="subscript"/>
        </w:rPr>
        <w:t>1</w:t>
      </w:r>
      <w:r>
        <w:rPr>
          <w:rFonts w:hint="eastAsia" w:eastAsia="仿宋_GB2312" w:cs="仿宋"/>
          <w:color w:val="000000"/>
          <w:sz w:val="32"/>
          <w:szCs w:val="32"/>
        </w:rPr>
        <w:t>的最大限量为</w:t>
      </w:r>
      <w:r>
        <w:rPr>
          <w:rFonts w:eastAsia="仿宋_GB2312" w:cs="仿宋"/>
          <w:color w:val="000000"/>
          <w:sz w:val="32"/>
          <w:szCs w:val="32"/>
        </w:rPr>
        <w:t>20</w:t>
      </w:r>
      <w:r>
        <w:rPr>
          <w:rFonts w:hint="eastAsia" w:eastAsia="仿宋_GB2312" w:cs="仿宋"/>
          <w:color w:val="000000"/>
          <w:sz w:val="32"/>
          <w:szCs w:val="32"/>
        </w:rPr>
        <w:t>μ</w:t>
      </w:r>
      <w:r>
        <w:rPr>
          <w:rFonts w:eastAsia="仿宋_GB2312" w:cs="仿宋"/>
          <w:color w:val="000000"/>
          <w:sz w:val="32"/>
          <w:szCs w:val="32"/>
        </w:rPr>
        <w:t>g/kg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69997056">
    <w:nsid w:val="21F97700"/>
    <w:multiLevelType w:val="multilevel"/>
    <w:tmpl w:val="21F97700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699970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d9eH0+3GAgqA+ENmcNQcHmyKTOk=" w:salt="6c0irCkMDONZR4DnOJK+7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232AB"/>
    <w:rsid w:val="0002465E"/>
    <w:rsid w:val="00024E30"/>
    <w:rsid w:val="000273D3"/>
    <w:rsid w:val="00027F40"/>
    <w:rsid w:val="00031311"/>
    <w:rsid w:val="00041F52"/>
    <w:rsid w:val="00044B73"/>
    <w:rsid w:val="00045988"/>
    <w:rsid w:val="00060A1E"/>
    <w:rsid w:val="00060A49"/>
    <w:rsid w:val="0006564C"/>
    <w:rsid w:val="00070113"/>
    <w:rsid w:val="000721BA"/>
    <w:rsid w:val="0007322D"/>
    <w:rsid w:val="00073965"/>
    <w:rsid w:val="00077998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F36C0"/>
    <w:rsid w:val="000F453A"/>
    <w:rsid w:val="000F7157"/>
    <w:rsid w:val="00101B3E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7976"/>
    <w:rsid w:val="00241109"/>
    <w:rsid w:val="0024276D"/>
    <w:rsid w:val="002448DC"/>
    <w:rsid w:val="002524A1"/>
    <w:rsid w:val="0025266C"/>
    <w:rsid w:val="002576C9"/>
    <w:rsid w:val="00262202"/>
    <w:rsid w:val="002631B2"/>
    <w:rsid w:val="00266CA0"/>
    <w:rsid w:val="0027015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70B8"/>
    <w:rsid w:val="003013F3"/>
    <w:rsid w:val="00305463"/>
    <w:rsid w:val="00305ECD"/>
    <w:rsid w:val="00322B50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790E"/>
    <w:rsid w:val="00372099"/>
    <w:rsid w:val="0037416E"/>
    <w:rsid w:val="00380D10"/>
    <w:rsid w:val="00383DD4"/>
    <w:rsid w:val="00384357"/>
    <w:rsid w:val="00391FF9"/>
    <w:rsid w:val="003928EE"/>
    <w:rsid w:val="00395D03"/>
    <w:rsid w:val="00397D18"/>
    <w:rsid w:val="003A0DA7"/>
    <w:rsid w:val="003A59ED"/>
    <w:rsid w:val="003A6290"/>
    <w:rsid w:val="003B008E"/>
    <w:rsid w:val="003B6D95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17F93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08F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32A67"/>
    <w:rsid w:val="0053679C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C2E"/>
    <w:rsid w:val="0058064C"/>
    <w:rsid w:val="005814E7"/>
    <w:rsid w:val="00581F67"/>
    <w:rsid w:val="00582C92"/>
    <w:rsid w:val="005860E9"/>
    <w:rsid w:val="00586410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C0188"/>
    <w:rsid w:val="005C0C55"/>
    <w:rsid w:val="005C1C92"/>
    <w:rsid w:val="005C5061"/>
    <w:rsid w:val="005C58BA"/>
    <w:rsid w:val="005C73D1"/>
    <w:rsid w:val="005E403E"/>
    <w:rsid w:val="005E59CA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5B2F"/>
    <w:rsid w:val="0063787C"/>
    <w:rsid w:val="0063790E"/>
    <w:rsid w:val="00647F51"/>
    <w:rsid w:val="00655A37"/>
    <w:rsid w:val="00655A6F"/>
    <w:rsid w:val="00655CEE"/>
    <w:rsid w:val="00656433"/>
    <w:rsid w:val="0066369E"/>
    <w:rsid w:val="00665A7B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1844"/>
    <w:rsid w:val="006C562B"/>
    <w:rsid w:val="006D10A4"/>
    <w:rsid w:val="006D3C30"/>
    <w:rsid w:val="006D4CBD"/>
    <w:rsid w:val="006D7405"/>
    <w:rsid w:val="006E277B"/>
    <w:rsid w:val="006E2949"/>
    <w:rsid w:val="006E33D5"/>
    <w:rsid w:val="006E745C"/>
    <w:rsid w:val="006E76D4"/>
    <w:rsid w:val="006E77CD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42CE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5157"/>
    <w:rsid w:val="007A78CF"/>
    <w:rsid w:val="007B0E4B"/>
    <w:rsid w:val="007B14E7"/>
    <w:rsid w:val="007B2378"/>
    <w:rsid w:val="007B4BC5"/>
    <w:rsid w:val="007C012A"/>
    <w:rsid w:val="007C1635"/>
    <w:rsid w:val="007C3EF6"/>
    <w:rsid w:val="007C4D17"/>
    <w:rsid w:val="007D4742"/>
    <w:rsid w:val="007E27E9"/>
    <w:rsid w:val="007E2EFA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510D"/>
    <w:rsid w:val="008A6B65"/>
    <w:rsid w:val="008B1118"/>
    <w:rsid w:val="008B7FB2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20C5"/>
    <w:rsid w:val="009433B4"/>
    <w:rsid w:val="00945078"/>
    <w:rsid w:val="00945250"/>
    <w:rsid w:val="00945DBE"/>
    <w:rsid w:val="00953961"/>
    <w:rsid w:val="00956EF9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A3AF1"/>
    <w:rsid w:val="009A75E2"/>
    <w:rsid w:val="009B25BE"/>
    <w:rsid w:val="009B46D1"/>
    <w:rsid w:val="009B7D01"/>
    <w:rsid w:val="009C6F97"/>
    <w:rsid w:val="009D0549"/>
    <w:rsid w:val="009D1683"/>
    <w:rsid w:val="009D5BAA"/>
    <w:rsid w:val="009E5936"/>
    <w:rsid w:val="009E6C85"/>
    <w:rsid w:val="009F5964"/>
    <w:rsid w:val="009F6DC5"/>
    <w:rsid w:val="00A010DB"/>
    <w:rsid w:val="00A04015"/>
    <w:rsid w:val="00A052C6"/>
    <w:rsid w:val="00A0755A"/>
    <w:rsid w:val="00A07D12"/>
    <w:rsid w:val="00A10F5B"/>
    <w:rsid w:val="00A1214E"/>
    <w:rsid w:val="00A12255"/>
    <w:rsid w:val="00A1509A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C7B"/>
    <w:rsid w:val="00A44972"/>
    <w:rsid w:val="00A47D5F"/>
    <w:rsid w:val="00A526A3"/>
    <w:rsid w:val="00A6442C"/>
    <w:rsid w:val="00A65383"/>
    <w:rsid w:val="00A70905"/>
    <w:rsid w:val="00A74AF7"/>
    <w:rsid w:val="00A842E8"/>
    <w:rsid w:val="00A86F1D"/>
    <w:rsid w:val="00A93CD3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F0D"/>
    <w:rsid w:val="00AF253F"/>
    <w:rsid w:val="00AF3FC1"/>
    <w:rsid w:val="00AF73F7"/>
    <w:rsid w:val="00B1194D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1064D"/>
    <w:rsid w:val="00C10F31"/>
    <w:rsid w:val="00C25757"/>
    <w:rsid w:val="00C26364"/>
    <w:rsid w:val="00C27CD0"/>
    <w:rsid w:val="00C3522D"/>
    <w:rsid w:val="00C360E7"/>
    <w:rsid w:val="00C45A7D"/>
    <w:rsid w:val="00C531D5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D22"/>
    <w:rsid w:val="00CB5357"/>
    <w:rsid w:val="00CC2278"/>
    <w:rsid w:val="00CC7CC6"/>
    <w:rsid w:val="00CD048B"/>
    <w:rsid w:val="00CE6C03"/>
    <w:rsid w:val="00CF11E8"/>
    <w:rsid w:val="00CF1441"/>
    <w:rsid w:val="00CF413D"/>
    <w:rsid w:val="00CF4730"/>
    <w:rsid w:val="00D03FA6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A4697"/>
    <w:rsid w:val="00EB0D7B"/>
    <w:rsid w:val="00EB2644"/>
    <w:rsid w:val="00EB31D6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13D0687"/>
    <w:rsid w:val="12215158"/>
    <w:rsid w:val="12E416EB"/>
    <w:rsid w:val="148F6D68"/>
    <w:rsid w:val="15320B1A"/>
    <w:rsid w:val="16B92CCA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8754EB1"/>
    <w:rsid w:val="2A666D7B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9643738"/>
    <w:rsid w:val="4A467EED"/>
    <w:rsid w:val="4ABB422A"/>
    <w:rsid w:val="4B3854D9"/>
    <w:rsid w:val="4ECE6222"/>
    <w:rsid w:val="4F2101A3"/>
    <w:rsid w:val="4FB63332"/>
    <w:rsid w:val="50F37181"/>
    <w:rsid w:val="510612FC"/>
    <w:rsid w:val="514C7C9E"/>
    <w:rsid w:val="54F742B5"/>
    <w:rsid w:val="555743EB"/>
    <w:rsid w:val="556278BC"/>
    <w:rsid w:val="55C36911"/>
    <w:rsid w:val="578A4C11"/>
    <w:rsid w:val="58054B0A"/>
    <w:rsid w:val="587B0306"/>
    <w:rsid w:val="58F44FE1"/>
    <w:rsid w:val="5A1412AA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8">
    <w:name w:val="apple-converted-space"/>
    <w:basedOn w:val="9"/>
    <w:qFormat/>
    <w:uiPriority w:val="0"/>
    <w:rPr/>
  </w:style>
  <w:style w:type="character" w:customStyle="1" w:styleId="19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209</Words>
  <Characters>1197</Characters>
  <Lines>9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2021-11-17T09:11:25Z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