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ordWrap w:val="0"/>
        <w:spacing w:line="360" w:lineRule="exact"/>
        <w:jc w:val="left"/>
        <w:rPr>
          <w:rFonts w:ascii="Verdana"/>
          <w:sz w:val="44"/>
        </w:rPr>
      </w:pPr>
      <w:r>
        <w:rPr>
          <w:rFonts w:hint="eastAsia" w:ascii="黑体" w:eastAsia="黑体"/>
          <w:sz w:val="32"/>
        </w:rPr>
        <w:t>附件1</w:t>
      </w:r>
    </w:p>
    <w:p>
      <w:pPr>
        <w:wordWrap w:val="0"/>
        <w:spacing w:line="680" w:lineRule="exact"/>
        <w:jc w:val="center"/>
        <w:textAlignment w:val="top"/>
        <w:rPr>
          <w:rFonts w:ascii="方正小标宋简体" w:hAnsi="方正小标宋简体" w:eastAsia="方正小标宋简体" w:cs="方正小标宋简体"/>
          <w:sz w:val="44"/>
        </w:rPr>
      </w:pPr>
      <w:r>
        <w:rPr>
          <w:rFonts w:hint="eastAsia" w:ascii="方正小标宋简体" w:hAnsi="方正小标宋简体" w:eastAsia="方正小标宋简体" w:cs="方正小标宋简体"/>
          <w:sz w:val="44"/>
        </w:rPr>
        <w:t>本次检验项目</w:t>
      </w:r>
    </w:p>
    <w:p>
      <w:pPr>
        <w:wordWrap w:val="0"/>
        <w:spacing w:line="300" w:lineRule="exact"/>
        <w:jc w:val="center"/>
        <w:textAlignment w:val="top"/>
        <w:rPr>
          <w:rFonts w:ascii="方正小标宋简体" w:hAnsi="方正小标宋简体" w:eastAsia="方正小标宋简体" w:cs="方正小标宋简体"/>
          <w:sz w:val="44"/>
        </w:rPr>
      </w:pPr>
    </w:p>
    <w:p>
      <w:pPr>
        <w:wordWrap w:val="0"/>
        <w:spacing w:line="560" w:lineRule="exact"/>
        <w:ind w:firstLine="643" w:firstLineChars="200"/>
        <w:rPr>
          <w:rFonts w:ascii="黑体" w:hAnsi="黑体" w:eastAsia="黑体"/>
          <w:b w:val="0"/>
          <w:bCs/>
          <w:sz w:val="32"/>
          <w:szCs w:val="32"/>
        </w:rPr>
      </w:pPr>
      <w:r>
        <w:rPr>
          <w:rFonts w:hint="eastAsia" w:ascii="黑体" w:hAnsi="黑体" w:eastAsia="黑体"/>
          <w:b w:val="0"/>
          <w:bCs/>
          <w:sz w:val="32"/>
          <w:szCs w:val="32"/>
        </w:rPr>
        <w:t>一、</w:t>
      </w:r>
      <w:r>
        <w:rPr>
          <w:rFonts w:ascii="黑体" w:hAnsi="黑体" w:eastAsia="黑体"/>
          <w:b w:val="0"/>
          <w:bCs/>
          <w:sz w:val="32"/>
        </w:rPr>
        <w:t>糕点</w:t>
      </w:r>
    </w:p>
    <w:p>
      <w:pPr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（一）抽检依据</w:t>
      </w:r>
    </w:p>
    <w:p>
      <w:pPr>
        <w:wordWrap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</w:t>
      </w:r>
      <w:r>
        <w:rPr>
          <w:rFonts w:ascii="仿宋_GB2312" w:hAnsi="仿宋_GB2312" w:eastAsia="仿宋_GB2312" w:cs="仿宋_GB2312"/>
          <w:sz w:val="32"/>
        </w:rPr>
        <w:t>《食品安全国家标准 糕点、面包》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 xml:space="preserve">GB </w:t>
      </w:r>
      <w:r>
        <w:rPr>
          <w:rFonts w:hint="eastAsia" w:ascii="仿宋_GB2312" w:hAnsi="仿宋_GB2312" w:eastAsia="仿宋_GB2312" w:cs="仿宋_GB2312"/>
          <w:sz w:val="32"/>
        </w:rPr>
        <w:t>7099）</w:t>
      </w:r>
      <w:r>
        <w:rPr>
          <w:rFonts w:ascii="仿宋_GB2312" w:hAnsi="仿宋_GB2312" w:eastAsia="仿宋_GB2312" w:cs="仿宋_GB2312"/>
          <w:sz w:val="32"/>
        </w:rPr>
        <w:t>、</w:t>
      </w:r>
      <w:r>
        <w:rPr>
          <w:rFonts w:hint="eastAsia" w:ascii="仿宋_GB2312" w:hAnsi="仿宋_GB2312" w:eastAsia="仿宋_GB2312" w:cs="仿宋_GB2312"/>
          <w:sz w:val="32"/>
        </w:rPr>
        <w:t>《</w:t>
      </w:r>
      <w:r>
        <w:rPr>
          <w:rFonts w:ascii="仿宋_GB2312" w:hAnsi="仿宋_GB2312" w:eastAsia="仿宋_GB2312" w:cs="仿宋_GB2312"/>
          <w:sz w:val="32"/>
        </w:rPr>
        <w:t>关于瑞士乳杆菌R0052等53种“三新食品”的公告</w:t>
      </w:r>
      <w:r>
        <w:rPr>
          <w:rFonts w:hint="eastAsia" w:ascii="仿宋_GB2312" w:hAnsi="仿宋_GB2312" w:eastAsia="仿宋_GB2312" w:cs="仿宋_GB2312"/>
          <w:sz w:val="32"/>
        </w:rPr>
        <w:t>》</w:t>
      </w:r>
      <w:r>
        <w:rPr>
          <w:rFonts w:ascii="仿宋_GB2312" w:hAnsi="仿宋_GB2312" w:eastAsia="仿宋_GB2312" w:cs="仿宋_GB2312"/>
          <w:sz w:val="32"/>
        </w:rPr>
        <w:t>（2020年第4号）、《</w:t>
      </w:r>
      <w:bookmarkStart w:id="0" w:name="_GoBack"/>
      <w:bookmarkEnd w:id="0"/>
      <w:r>
        <w:rPr>
          <w:rFonts w:ascii="仿宋_GB2312" w:hAnsi="仿宋_GB2312" w:eastAsia="仿宋_GB2312" w:cs="仿宋_GB2312"/>
          <w:sz w:val="32"/>
        </w:rPr>
        <w:t>食品安全国家标准 食品中污染物限量》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2762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食品中致病菌限量》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29921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、《食品中可能违法添加的非食用物质名单(第二批)》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食品整治办[2009]5号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食品添加剂使用标准》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2760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等标准及产品明示标准和指标的要求。</w:t>
      </w:r>
    </w:p>
    <w:p>
      <w:pPr>
        <w:wordWrap w:val="0"/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（二）检验项目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</w:t>
      </w:r>
      <w:r>
        <w:rPr>
          <w:rFonts w:ascii="仿宋_GB2312" w:hAnsi="仿宋_GB2312" w:eastAsia="仿宋_GB2312" w:cs="仿宋_GB2312"/>
          <w:sz w:val="32"/>
        </w:rPr>
        <w:t>糕点抽检项目包括山梨酸及其钾盐(以山梨酸计)、铝的残留量(干样品，以Al计)、过氧化值(以脂肪计)、大肠菌群、糖精钠(以糖精计)、富马酸二甲酯、金黄色葡萄球菌、丙酸及其钠盐、钙盐(以丙酸计)、丙二醇、酸价(以脂肪计)、沙门氏菌、霉菌、甜蜜素(以环己基氨基磺酸计)、安赛蜜、铅(以Pb计)、苯甲酸及其钠盐(以苯甲酸计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16个指标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wordWrap w:val="0"/>
        <w:spacing w:line="560" w:lineRule="exact"/>
        <w:ind w:firstLine="643" w:firstLineChars="200"/>
        <w:rPr>
          <w:rFonts w:ascii="黑体" w:hAnsi="黑体" w:eastAsia="黑体"/>
          <w:b w:val="0"/>
          <w:bCs/>
          <w:sz w:val="32"/>
          <w:szCs w:val="32"/>
        </w:rPr>
      </w:pPr>
      <w:r>
        <w:rPr>
          <w:rFonts w:hint="eastAsia" w:ascii="黑体" w:hAnsi="黑体" w:eastAsia="黑体"/>
          <w:b w:val="0"/>
          <w:bCs/>
          <w:sz w:val="32"/>
          <w:szCs w:val="32"/>
        </w:rPr>
        <w:t>二、</w:t>
      </w:r>
      <w:r>
        <w:rPr>
          <w:rFonts w:ascii="黑体" w:hAnsi="黑体" w:eastAsia="黑体"/>
          <w:b w:val="0"/>
          <w:bCs/>
          <w:sz w:val="32"/>
        </w:rPr>
        <w:t>酒类</w:t>
      </w:r>
    </w:p>
    <w:p>
      <w:pPr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（一）抽检依据</w:t>
      </w:r>
    </w:p>
    <w:p>
      <w:pPr>
        <w:wordWrap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</w:t>
      </w:r>
      <w:r>
        <w:rPr>
          <w:rFonts w:ascii="仿宋_GB2312" w:hAnsi="仿宋_GB2312" w:eastAsia="仿宋_GB2312" w:cs="仿宋_GB2312"/>
          <w:sz w:val="32"/>
        </w:rPr>
        <w:t>《食品安全国家标准 发酵酒及其配制酒》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2758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蒸馏酒及其配制酒》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2757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食品添加剂使用标准》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2760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等标准及产品明示标准和指标的要求。</w:t>
      </w:r>
    </w:p>
    <w:p>
      <w:pPr>
        <w:wordWrap w:val="0"/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（二）检验项目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</w:t>
      </w:r>
      <w:r>
        <w:rPr>
          <w:rFonts w:ascii="仿宋_GB2312" w:hAnsi="仿宋_GB2312" w:eastAsia="仿宋_GB2312" w:cs="仿宋_GB2312"/>
          <w:sz w:val="32"/>
        </w:rPr>
        <w:t>白酒、白酒(液态)、白酒(原酒)抽检项目包括甜蜜素(以环己基氨基磺酸计)、甲醇、糖精钠(以糖精计)、氰化物(以HCN计)、酒精度、三氯蔗糖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6个指标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</w:t>
      </w:r>
      <w:r>
        <w:rPr>
          <w:rFonts w:ascii="仿宋_GB2312" w:hAnsi="仿宋_GB2312" w:eastAsia="仿宋_GB2312" w:cs="仿宋_GB2312"/>
          <w:sz w:val="32"/>
        </w:rPr>
        <w:t>啤酒抽检项目包括甲醛、酒精度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2个指标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</w:t>
      </w:r>
      <w:r>
        <w:rPr>
          <w:rFonts w:ascii="仿宋_GB2312" w:hAnsi="仿宋_GB2312" w:eastAsia="仿宋_GB2312" w:cs="仿宋_GB2312"/>
          <w:sz w:val="32"/>
        </w:rPr>
        <w:t>以蒸馏酒及食用酒精为酒基的配制酒抽检项目包括糖精钠(以糖精计)、氰化物(以HCN计)、酒精度、甜蜜素(以环己基氨基磺酸计)、甲醇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5个指标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</w:t>
      </w:r>
      <w:r>
        <w:rPr>
          <w:rFonts w:ascii="仿宋_GB2312" w:hAnsi="仿宋_GB2312" w:eastAsia="仿宋_GB2312" w:cs="仿宋_GB2312"/>
          <w:sz w:val="32"/>
        </w:rPr>
        <w:t>果酒抽检项目包括糖精钠(以糖精计)、酒精度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2个指标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</w:t>
      </w:r>
      <w:r>
        <w:rPr>
          <w:rFonts w:ascii="仿宋_GB2312" w:hAnsi="仿宋_GB2312" w:eastAsia="仿宋_GB2312" w:cs="仿宋_GB2312"/>
          <w:sz w:val="32"/>
        </w:rPr>
        <w:t>黄酒抽检项目包括酒精度、甜蜜素(以环己基氨基磺酸计)、糖精钠(以糖精计)、山梨酸及其钾盐(以山梨酸计)、苯甲酸及其钠盐(以苯甲酸计)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5个指标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</w:t>
      </w:r>
      <w:r>
        <w:rPr>
          <w:rFonts w:ascii="仿宋_GB2312" w:hAnsi="仿宋_GB2312" w:eastAsia="仿宋_GB2312" w:cs="仿宋_GB2312"/>
          <w:sz w:val="32"/>
        </w:rPr>
        <w:t>以发酵酒为酒基的配制酒抽检项目包括糖精钠(以糖精计)、甜蜜素(以环己基氨基磺酸计)、山梨酸及其钾盐(以山梨酸计)、苯甲酸及其钠盐(以苯甲酸计)、酒精度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5个指标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7.</w:t>
      </w:r>
      <w:r>
        <w:rPr>
          <w:rFonts w:ascii="仿宋_GB2312" w:hAnsi="仿宋_GB2312" w:eastAsia="仿宋_GB2312" w:cs="仿宋_GB2312"/>
          <w:sz w:val="32"/>
        </w:rPr>
        <w:t>葡萄酒抽检项目包括酒精度、甜蜜素(以环己基氨基磺酸计)、脱氢乙酸及其钠盐(以脱氢乙酸计)、甲醇、糖精钠(以糖精计)、山梨酸及其钾盐(以山梨酸计)、苯甲酸及其钠盐(以苯甲酸计)、二氧化硫残留量、三氯蔗糖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9个指标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wordWrap w:val="0"/>
        <w:spacing w:line="560" w:lineRule="exact"/>
        <w:ind w:firstLine="643" w:firstLineChars="200"/>
        <w:rPr>
          <w:rFonts w:ascii="黑体" w:hAnsi="黑体" w:eastAsia="黑体"/>
          <w:b w:val="0"/>
          <w:bCs/>
          <w:sz w:val="32"/>
          <w:szCs w:val="32"/>
        </w:rPr>
      </w:pPr>
      <w:r>
        <w:rPr>
          <w:rFonts w:hint="eastAsia" w:ascii="黑体" w:hAnsi="黑体" w:eastAsia="黑体"/>
          <w:b w:val="0"/>
          <w:bCs/>
          <w:sz w:val="32"/>
          <w:szCs w:val="32"/>
        </w:rPr>
        <w:t>三、</w:t>
      </w:r>
      <w:r>
        <w:rPr>
          <w:rFonts w:ascii="黑体" w:hAnsi="黑体" w:eastAsia="黑体"/>
          <w:b w:val="0"/>
          <w:bCs/>
          <w:sz w:val="32"/>
        </w:rPr>
        <w:t>食用农产品</w:t>
      </w:r>
    </w:p>
    <w:p>
      <w:pPr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（一）抽检依据</w:t>
      </w:r>
    </w:p>
    <w:p>
      <w:pPr>
        <w:wordWrap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</w:t>
      </w:r>
      <w:r>
        <w:rPr>
          <w:rFonts w:ascii="仿宋_GB2312" w:hAnsi="仿宋_GB2312" w:eastAsia="仿宋_GB2312" w:cs="仿宋_GB2312"/>
          <w:sz w:val="32"/>
        </w:rPr>
        <w:t>《食品安全国家标准 食品中兽药最大残留限量》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31650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、《食品动物中禁止使用的药品及其他化合物清单》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农业农村部公告第250号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食品中污染物限量》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2762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、《动物性食品中兽药最高残留限量》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农业部公告第235号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鲜、冻动物性水产品》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2733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、《发布在食品动物中停止使用洛美沙星、培氟沙星、氧氟沙星、诺氟沙星4种兽药的决定》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农业部公告第2292号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食品中农药最大残留限量》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2763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、《食品中可能违法添加的非食用物质和易滥用的食品添加剂名单（第四批）》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整顿办函〔2010〕50 号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等标准及产品明示标准和指标的要求。</w:t>
      </w:r>
    </w:p>
    <w:p>
      <w:pPr>
        <w:wordWrap w:val="0"/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（二）检验项目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</w:t>
      </w:r>
      <w:r>
        <w:rPr>
          <w:rFonts w:ascii="仿宋_GB2312" w:hAnsi="仿宋_GB2312" w:eastAsia="仿宋_GB2312" w:cs="仿宋_GB2312"/>
          <w:sz w:val="32"/>
        </w:rPr>
        <w:t>牛肉抽检项目包括氯霉素、莱克多巴胺、克伦特罗、氟苯尼考、恩诺沙星、五氯酚酸钠(以五氯酚计)、磺胺类(总量)、氧氟沙星、甲氧苄啶、培氟沙星、地塞米松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11个指标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</w:t>
      </w:r>
      <w:r>
        <w:rPr>
          <w:rFonts w:ascii="仿宋_GB2312" w:hAnsi="仿宋_GB2312" w:eastAsia="仿宋_GB2312" w:cs="仿宋_GB2312"/>
          <w:sz w:val="32"/>
        </w:rPr>
        <w:t>淡水虾抽检项目包括呋喃西林代谢物、氧氟沙星、五氯酚酸钠(以五氯酚计)、镉(以Cd计)、恩诺沙星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5个指标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</w:t>
      </w:r>
      <w:r>
        <w:rPr>
          <w:rFonts w:ascii="仿宋_GB2312" w:hAnsi="仿宋_GB2312" w:eastAsia="仿宋_GB2312" w:cs="仿宋_GB2312"/>
          <w:sz w:val="32"/>
        </w:rPr>
        <w:t>淡水鱼抽检项目包括氯霉素、诺氟沙星、孔雀石绿、呋喃唑酮代谢物、呋喃西林代谢物、地西泮、氧氟沙星、甲氧苄啶、培氟沙星、氟苯尼考、五氯酚酸钠(以五氯酚计)、磺胺类(总量)、恩诺沙星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13个指标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</w:t>
      </w:r>
      <w:r>
        <w:rPr>
          <w:rFonts w:ascii="仿宋_GB2312" w:hAnsi="仿宋_GB2312" w:eastAsia="仿宋_GB2312" w:cs="仿宋_GB2312"/>
          <w:sz w:val="32"/>
        </w:rPr>
        <w:t>其他水产品抽检项目包括氧氟沙星、呋喃西林代谢物、恩诺沙星、呋喃唑酮代谢物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4个指标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</w:t>
      </w:r>
      <w:r>
        <w:rPr>
          <w:rFonts w:ascii="仿宋_GB2312" w:hAnsi="仿宋_GB2312" w:eastAsia="仿宋_GB2312" w:cs="仿宋_GB2312"/>
          <w:sz w:val="32"/>
        </w:rPr>
        <w:t>淡水蟹抽检项目包括孔雀石绿、氧氟沙星、呋喃西林代谢物、镉(以Cd计)、恩诺沙星、呋喃唑酮代谢物、培氟沙星、诺氟沙星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8个指标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</w:t>
      </w:r>
      <w:r>
        <w:rPr>
          <w:rFonts w:ascii="仿宋_GB2312" w:hAnsi="仿宋_GB2312" w:eastAsia="仿宋_GB2312" w:cs="仿宋_GB2312"/>
          <w:sz w:val="32"/>
        </w:rPr>
        <w:t>菠萝抽检项目包括硫线磷、烯酰吗啉、灭多威、丙环唑、二嗪磷、多菌灵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6个指标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7.</w:t>
      </w:r>
      <w:r>
        <w:rPr>
          <w:rFonts w:ascii="仿宋_GB2312" w:hAnsi="仿宋_GB2312" w:eastAsia="仿宋_GB2312" w:cs="仿宋_GB2312"/>
          <w:sz w:val="32"/>
        </w:rPr>
        <w:t>普通白菜抽检项目包括涕灭威、甲氨基阿维菌素苯甲酸盐、久效磷、甲胺磷、毒死蜱、啶虫脒、氧乐果、阿维菌素、甲基异柳磷、克百威、氯氰菊酯和高效氯氰菊酯、甲拌磷、氟虫腈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13个指标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8.</w:t>
      </w:r>
      <w:r>
        <w:rPr>
          <w:rFonts w:ascii="仿宋_GB2312" w:hAnsi="仿宋_GB2312" w:eastAsia="仿宋_GB2312" w:cs="仿宋_GB2312"/>
          <w:sz w:val="32"/>
        </w:rPr>
        <w:t>羊肉抽检项目包括克伦特罗、五氯酚酸钠(以五氯酚计)、磺胺类(总量)、氧氟沙星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4个指标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9.</w:t>
      </w:r>
      <w:r>
        <w:rPr>
          <w:rFonts w:ascii="仿宋_GB2312" w:hAnsi="仿宋_GB2312" w:eastAsia="仿宋_GB2312" w:cs="仿宋_GB2312"/>
          <w:sz w:val="32"/>
        </w:rPr>
        <w:t>猪肉抽检项目包括氯霉素、克伦特罗、氟苯尼考、恩诺沙星、氯丙嗪、五氯酚酸钠(以五氯酚计)、磺胺类(总量)、氧氟沙星、甲氧苄啶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9个指标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10.</w:t>
      </w:r>
      <w:r>
        <w:rPr>
          <w:rFonts w:ascii="仿宋_GB2312" w:hAnsi="仿宋_GB2312" w:eastAsia="仿宋_GB2312" w:cs="仿宋_GB2312"/>
          <w:sz w:val="32"/>
        </w:rPr>
        <w:t>其他畜肉抽检项目包括氯霉素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1个指标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11.</w:t>
      </w:r>
      <w:r>
        <w:rPr>
          <w:rFonts w:ascii="仿宋_GB2312" w:hAnsi="仿宋_GB2312" w:eastAsia="仿宋_GB2312" w:cs="仿宋_GB2312"/>
          <w:sz w:val="32"/>
        </w:rPr>
        <w:t>海水蟹抽检项目包括镉(以Cd计)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1个指标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12.</w:t>
      </w:r>
      <w:r>
        <w:rPr>
          <w:rFonts w:ascii="仿宋_GB2312" w:hAnsi="仿宋_GB2312" w:eastAsia="仿宋_GB2312" w:cs="仿宋_GB2312"/>
          <w:sz w:val="32"/>
        </w:rPr>
        <w:t>海水鱼抽检项目包括氯霉素、呋喃西林代谢物、镉(以Cd计)、恩诺沙星、呋喃唑酮代谢物、挥发性盐基氮、孔雀石绿、氧氟沙星、土霉素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9个指标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13.</w:t>
      </w:r>
      <w:r>
        <w:rPr>
          <w:rFonts w:ascii="仿宋_GB2312" w:hAnsi="仿宋_GB2312" w:eastAsia="仿宋_GB2312" w:cs="仿宋_GB2312"/>
          <w:sz w:val="32"/>
        </w:rPr>
        <w:t>猪肾抽检项目包括呋喃西林代谢物、多西环素、甲氧苄啶、土霉素、克伦特罗、磺胺类(总量)、莱克多巴胺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7个指标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14.</w:t>
      </w:r>
      <w:r>
        <w:rPr>
          <w:rFonts w:ascii="仿宋_GB2312" w:hAnsi="仿宋_GB2312" w:eastAsia="仿宋_GB2312" w:cs="仿宋_GB2312"/>
          <w:sz w:val="32"/>
        </w:rPr>
        <w:t>韭菜抽检项目包括乐果、甲胺磷、敌敌畏、腐霉利、氯氟氰菊酯和高效氯氟氰菊酯、二甲戊灵、毒死蜱、氧乐果、辛硫磷、阿维菌素、灭线磷、克百威、氯氰菊酯和高效氯氰菊酯、镉(以Cd计)、铅(以Pb计)、甲拌磷、氟虫腈、多菌灵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18个指标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15.</w:t>
      </w:r>
      <w:r>
        <w:rPr>
          <w:rFonts w:ascii="仿宋_GB2312" w:hAnsi="仿宋_GB2312" w:eastAsia="仿宋_GB2312" w:cs="仿宋_GB2312"/>
          <w:sz w:val="32"/>
        </w:rPr>
        <w:t>猪肝抽检项目包括沙丁胺醇、甲氧苄啶、培氟沙星、土霉素、克伦特罗、呋喃唑酮代谢物、多西环素、氧氟沙星、磺胺类(总量)、镉(以Cd计)、恩诺沙星、总砷(以As计)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12个指标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16.</w:t>
      </w:r>
      <w:r>
        <w:rPr>
          <w:rFonts w:ascii="仿宋_GB2312" w:hAnsi="仿宋_GB2312" w:eastAsia="仿宋_GB2312" w:cs="仿宋_GB2312"/>
          <w:sz w:val="32"/>
        </w:rPr>
        <w:t>生干坚果抽检项目包括吡虫啉、铅(以Pb计)、螺螨酯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3个指标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wordWrap w:val="0"/>
        <w:spacing w:line="560" w:lineRule="exact"/>
        <w:ind w:firstLine="643" w:firstLineChars="200"/>
        <w:rPr>
          <w:rFonts w:ascii="黑体" w:hAnsi="黑体" w:eastAsia="黑体"/>
          <w:b w:val="0"/>
          <w:bCs/>
          <w:sz w:val="32"/>
          <w:szCs w:val="32"/>
        </w:rPr>
      </w:pPr>
      <w:r>
        <w:rPr>
          <w:rFonts w:hint="eastAsia" w:ascii="黑体" w:hAnsi="黑体" w:eastAsia="黑体"/>
          <w:b w:val="0"/>
          <w:bCs/>
          <w:sz w:val="32"/>
          <w:szCs w:val="32"/>
        </w:rPr>
        <w:t>四、</w:t>
      </w:r>
      <w:r>
        <w:rPr>
          <w:rFonts w:ascii="黑体" w:hAnsi="黑体" w:eastAsia="黑体"/>
          <w:b w:val="0"/>
          <w:bCs/>
          <w:sz w:val="32"/>
        </w:rPr>
        <w:t>豆制品</w:t>
      </w:r>
    </w:p>
    <w:p>
      <w:pPr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（一）抽检依据</w:t>
      </w:r>
    </w:p>
    <w:p>
      <w:pPr>
        <w:wordWrap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</w:t>
      </w:r>
      <w:r>
        <w:rPr>
          <w:rFonts w:ascii="仿宋_GB2312" w:hAnsi="仿宋_GB2312" w:eastAsia="仿宋_GB2312" w:cs="仿宋_GB2312"/>
          <w:sz w:val="32"/>
        </w:rPr>
        <w:t>《食品安全国家标准 豆制品》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2712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食品中污染物限量》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2762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食品添加剂使用标准》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2760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等标准及产品明示标准和指标的要求。</w:t>
      </w:r>
    </w:p>
    <w:p>
      <w:pPr>
        <w:wordWrap w:val="0"/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（二）检验项目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</w:t>
      </w:r>
      <w:r>
        <w:rPr>
          <w:rFonts w:ascii="仿宋_GB2312" w:hAnsi="仿宋_GB2312" w:eastAsia="仿宋_GB2312" w:cs="仿宋_GB2312"/>
          <w:sz w:val="32"/>
        </w:rPr>
        <w:t>腐竹、油皮及其再制品抽检项目包括铅(以Pb计)、脱氢乙酸及其钠盐(以脱氢乙酸计)、山梨酸及其钾盐(以山梨酸计)、苯甲酸及其钠盐(以苯甲酸计)、丙酸及其钠盐、钙盐(以丙酸计)、三氯蔗糖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6个指标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</w:t>
      </w:r>
      <w:r>
        <w:rPr>
          <w:rFonts w:ascii="仿宋_GB2312" w:hAnsi="仿宋_GB2312" w:eastAsia="仿宋_GB2312" w:cs="仿宋_GB2312"/>
          <w:sz w:val="32"/>
        </w:rPr>
        <w:t>腐乳、豆豉、纳豆等抽检项目包括脱氢乙酸及其钠盐(以脱氢乙酸计)、糖精钠(以糖精计)、山梨酸及其钾盐(以山梨酸计)、苯甲酸及其钠盐(以苯甲酸计)、铝的残留量(干样品，以Al计)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5个指标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</w:t>
      </w:r>
      <w:r>
        <w:rPr>
          <w:rFonts w:ascii="仿宋_GB2312" w:hAnsi="仿宋_GB2312" w:eastAsia="仿宋_GB2312" w:cs="仿宋_GB2312"/>
          <w:sz w:val="32"/>
        </w:rPr>
        <w:t>豆干、豆腐、豆皮等抽检项目包括山梨酸及其钾盐(以山梨酸计)、铝的残留量(干样品，以Al计)、大肠菌群、糖精钠(以糖精计)、脱氢乙酸及其钠盐(以脱氢乙酸计)、丙酸及其钠盐、钙盐(以丙酸计)、三氯蔗糖、铅(以Pb计)、苯甲酸及其钠盐(以苯甲酸计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9个指标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</w:t>
      </w:r>
      <w:r>
        <w:rPr>
          <w:rFonts w:ascii="仿宋_GB2312" w:hAnsi="仿宋_GB2312" w:eastAsia="仿宋_GB2312" w:cs="仿宋_GB2312"/>
          <w:sz w:val="32"/>
        </w:rPr>
        <w:t>大豆蛋白类制品等抽检项目包括大肠菌群、脱氢乙酸及其钠盐(以脱氢乙酸计)、糖精钠(以糖精计)、山梨酸及其钾盐(以山梨酸计)、苯甲酸及其钠盐(以苯甲酸计)、三氯蔗糖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6个指标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sectPr>
      <w:footerReference r:id="rId4" w:type="default"/>
      <w:footerReference r:id="rId5" w:type="even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  <w:r>
      <w:rPr>
        <w:rFonts w:ascii="等线" w:hAnsi="等线" w:eastAsia="等线" w:cs="黑体"/>
        <w:kern w:val="2"/>
        <w:sz w:val="18"/>
        <w:szCs w:val="18"/>
        <w:lang w:val="en-US" w:eastAsia="zh-CN" w:bidi="ar-SA"/>
      </w:rPr>
      <w:pict>
        <v:shape id="文本框 1" o:spid="_x0000_s1025" type="#_x0000_t202" style="position:absolute;left:0;margin-top:0pt;height:144pt;width:144pt;mso-position-horizontal:outside;mso-position-horizontal-relative:margin;mso-wrap-style:none;rotation:0f;z-index:251658240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snapToGrid w:val="0"/>
                  <w:rPr>
                    <w:rFonts w:ascii="宋体" w:hAnsi="宋体" w:cs="宋体"/>
                    <w:sz w:val="28"/>
                    <w:szCs w:val="28"/>
                  </w:rPr>
                </w:pP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t>- 1 -</w: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rPr>
        <w:rFonts w:ascii="宋体" w:hAnsi="宋体" w:eastAsia="宋体"/>
        <w:sz w:val="28"/>
        <w:szCs w:val="28"/>
      </w:rPr>
    </w:pPr>
    <w:r>
      <w:rPr>
        <w:rFonts w:ascii="等线" w:hAnsi="等线" w:eastAsia="等线" w:cs="黑体"/>
        <w:kern w:val="2"/>
        <w:sz w:val="28"/>
        <w:szCs w:val="18"/>
        <w:lang w:val="en-US" w:eastAsia="zh-CN" w:bidi="ar-SA"/>
      </w:rPr>
      <w:pict>
        <v:shape id="文本框 2" o:spid="_x0000_s1026" type="#_x0000_t202" style="position:absolute;left:0;margin-top:0pt;height:144pt;width:144pt;mso-position-horizontal:outside;mso-position-horizontal-relative:margin;mso-wrap-style:none;rotation:0f;z-index:251659264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snapToGrid w:val="0"/>
                  <w:rPr>
                    <w:rFonts w:ascii="宋体" w:hAnsi="宋体" w:cs="宋体"/>
                    <w:sz w:val="28"/>
                    <w:szCs w:val="28"/>
                  </w:rPr>
                </w:pP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t>- 2 -</w: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formatting="1" w:enforcement="1" w:cryptProviderType="rsaFull" w:cryptAlgorithmClass="hash" w:cryptAlgorithmType="typeAny" w:cryptAlgorithmSid="4" w:cryptSpinCount="0" w:hash="aG3SG3J4EfaH0cF+CLzdVPkzFKk=" w:salt="rTciBAohWf0i7Oy4SKCfbg==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A2014C"/>
    <w:rsid w:val="000126B2"/>
    <w:rsid w:val="000215F1"/>
    <w:rsid w:val="000246B2"/>
    <w:rsid w:val="000434AB"/>
    <w:rsid w:val="000B313F"/>
    <w:rsid w:val="00124B73"/>
    <w:rsid w:val="001B42EE"/>
    <w:rsid w:val="001B68E0"/>
    <w:rsid w:val="00233B17"/>
    <w:rsid w:val="00233B2A"/>
    <w:rsid w:val="00241D97"/>
    <w:rsid w:val="00320A1A"/>
    <w:rsid w:val="00370CD9"/>
    <w:rsid w:val="003B5DB2"/>
    <w:rsid w:val="00486536"/>
    <w:rsid w:val="00552ECA"/>
    <w:rsid w:val="0067299B"/>
    <w:rsid w:val="006D43B7"/>
    <w:rsid w:val="006E4F29"/>
    <w:rsid w:val="0070649E"/>
    <w:rsid w:val="00716878"/>
    <w:rsid w:val="00732D3B"/>
    <w:rsid w:val="007426C0"/>
    <w:rsid w:val="00773DBE"/>
    <w:rsid w:val="007C33F2"/>
    <w:rsid w:val="007D5FB9"/>
    <w:rsid w:val="00841D5D"/>
    <w:rsid w:val="008A6495"/>
    <w:rsid w:val="008C4E3C"/>
    <w:rsid w:val="008C7432"/>
    <w:rsid w:val="00914800"/>
    <w:rsid w:val="00973667"/>
    <w:rsid w:val="0099729B"/>
    <w:rsid w:val="009F50D4"/>
    <w:rsid w:val="00A011D1"/>
    <w:rsid w:val="00A2014C"/>
    <w:rsid w:val="00A51664"/>
    <w:rsid w:val="00A8327D"/>
    <w:rsid w:val="00AA301A"/>
    <w:rsid w:val="00AA498D"/>
    <w:rsid w:val="00AD2EA2"/>
    <w:rsid w:val="00AD3DB9"/>
    <w:rsid w:val="00AD7152"/>
    <w:rsid w:val="00AF1BFD"/>
    <w:rsid w:val="00B029CB"/>
    <w:rsid w:val="00B53954"/>
    <w:rsid w:val="00B77C73"/>
    <w:rsid w:val="00C020B6"/>
    <w:rsid w:val="00C1117F"/>
    <w:rsid w:val="00C42CE6"/>
    <w:rsid w:val="00C61585"/>
    <w:rsid w:val="00CB3118"/>
    <w:rsid w:val="00CF5621"/>
    <w:rsid w:val="00D0113F"/>
    <w:rsid w:val="00D17AFB"/>
    <w:rsid w:val="00D30706"/>
    <w:rsid w:val="00D31650"/>
    <w:rsid w:val="00D45F20"/>
    <w:rsid w:val="00DA6CF6"/>
    <w:rsid w:val="00E21023"/>
    <w:rsid w:val="00E65C9F"/>
    <w:rsid w:val="00E66CD1"/>
    <w:rsid w:val="00EB14DB"/>
    <w:rsid w:val="00EF2783"/>
    <w:rsid w:val="00F74D79"/>
    <w:rsid w:val="00FA4695"/>
    <w:rsid w:val="00FD26C7"/>
    <w:rsid w:val="086560B5"/>
    <w:rsid w:val="0EFD1C24"/>
    <w:rsid w:val="13B72D8B"/>
    <w:rsid w:val="1A1F47EB"/>
    <w:rsid w:val="3B892AA3"/>
    <w:rsid w:val="4F7F3DFA"/>
    <w:rsid w:val="512063B7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99" w:semiHidden="0" w:name="Balloon Text"/>
    <w:lsdException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alloon Text"/>
    <w:basedOn w:val="1"/>
    <w:link w:val="9"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="等线" w:hAnsi="等线" w:eastAsia="等线"/>
      <w:kern w:val="2"/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等线" w:hAnsi="等线" w:eastAsia="等线"/>
      <w:kern w:val="2"/>
      <w:sz w:val="18"/>
      <w:szCs w:val="18"/>
    </w:rPr>
  </w:style>
  <w:style w:type="character" w:customStyle="1" w:styleId="7">
    <w:name w:val="页眉 Char"/>
    <w:basedOn w:val="5"/>
    <w:link w:val="4"/>
    <w:uiPriority w:val="99"/>
    <w:rPr>
      <w:sz w:val="18"/>
      <w:szCs w:val="18"/>
    </w:rPr>
  </w:style>
  <w:style w:type="character" w:customStyle="1" w:styleId="8">
    <w:name w:val="页脚 Char"/>
    <w:basedOn w:val="5"/>
    <w:link w:val="3"/>
    <w:uiPriority w:val="99"/>
    <w:rPr>
      <w:sz w:val="18"/>
      <w:szCs w:val="18"/>
    </w:rPr>
  </w:style>
  <w:style w:type="character" w:customStyle="1" w:styleId="9">
    <w:name w:val="批注框文本 Char"/>
    <w:basedOn w:val="5"/>
    <w:link w:val="2"/>
    <w:semiHidden/>
    <w:uiPriority w:val="99"/>
    <w:rPr>
      <w:rFonts w:ascii="Calibri" w:hAnsi="Calibri" w:eastAsia="宋体" w:cs="黑体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CFQS</Company>
  <Pages>6</Pages>
  <Words>435</Words>
  <Characters>2484</Characters>
  <Lines>20</Lines>
  <Paragraphs>5</Paragraphs>
  <TotalTime>0</TotalTime>
  <ScaleCrop>false</ScaleCrop>
  <LinksUpToDate>false</LinksUpToDate>
  <CharactersWithSpaces>0</CharactersWithSpaces>
  <Application>WPS Office 专业版_9.1.0.5012_F1E327BC-269C-435d-A152-05C5408002CA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2020-05-06T08:23:00Z</dcterms:created>
  <dc:creator>李 涛</dc:creator>
  <cp:lastModifiedBy>董廷俊</cp:lastModifiedBy>
  <dcterms:modified xsi:type="dcterms:W3CDTF">2021-04-13T07:36:25Z</dcterms:modified>
  <dc:title>附件1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2052-9.1.0.5012</vt:lpwstr>
  </property>
</Properties>
</file>