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C0" w:rsidRDefault="000D67B3">
      <w:pPr>
        <w:adjustRightInd w:val="0"/>
        <w:snapToGrid w:val="0"/>
        <w:spacing w:line="560" w:lineRule="exact"/>
        <w:rPr>
          <w:rFonts w:ascii="Times New Roman" w:eastAsia="黑体" w:hAnsi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22</w:t>
      </w:r>
    </w:p>
    <w:p w:rsidR="001665C0" w:rsidRDefault="000D67B3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color w:val="000000" w:themeColor="text1"/>
          <w:sz w:val="44"/>
          <w:szCs w:val="44"/>
        </w:rPr>
        <w:t>不合格项目说明</w:t>
      </w:r>
    </w:p>
    <w:p w:rsidR="001665C0" w:rsidRDefault="000D67B3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糖精钠</w:t>
      </w:r>
    </w:p>
    <w:p w:rsidR="001665C0" w:rsidRDefault="000D67B3">
      <w:pPr>
        <w:pStyle w:val="a6"/>
        <w:adjustRightInd w:val="0"/>
        <w:snapToGrid w:val="0"/>
        <w:spacing w:line="560" w:lineRule="exact"/>
        <w:ind w:firstLineChars="200" w:firstLine="640"/>
        <w:rPr>
          <w:rFonts w:eastAsia="方正小标宋简体"/>
          <w:bCs/>
          <w:color w:val="000000" w:themeColor="text1"/>
          <w:sz w:val="44"/>
          <w:szCs w:val="44"/>
        </w:rPr>
      </w:pPr>
      <w:r>
        <w:rPr>
          <w:rFonts w:eastAsia="仿宋" w:cs="仿宋" w:hint="eastAsia"/>
          <w:sz w:val="32"/>
          <w:szCs w:val="32"/>
        </w:rPr>
        <w:t>糖精钠</w:t>
      </w:r>
      <w:r>
        <w:rPr>
          <w:rFonts w:eastAsia="仿宋" w:cstheme="minorBidi" w:hint="eastAsia"/>
          <w:sz w:val="32"/>
          <w:szCs w:val="32"/>
        </w:rPr>
        <w:t>是食品工业</w:t>
      </w:r>
      <w:r>
        <w:rPr>
          <w:rFonts w:eastAsia="仿宋" w:cs="仿宋" w:hint="eastAsia"/>
          <w:sz w:val="32"/>
          <w:szCs w:val="32"/>
        </w:rPr>
        <w:t>中常用的合成甜味剂。《食品安全国家标准</w:t>
      </w:r>
      <w:r>
        <w:rPr>
          <w:rFonts w:eastAsia="仿宋" w:cs="仿宋" w:hint="eastAsia"/>
          <w:sz w:val="32"/>
          <w:szCs w:val="32"/>
        </w:rPr>
        <w:t xml:space="preserve"> </w:t>
      </w:r>
      <w:r>
        <w:rPr>
          <w:rFonts w:eastAsia="仿宋" w:cs="仿宋" w:hint="eastAsia"/>
          <w:sz w:val="32"/>
          <w:szCs w:val="32"/>
        </w:rPr>
        <w:t>食品添加剂使用标准》（</w:t>
      </w:r>
      <w:r>
        <w:rPr>
          <w:rFonts w:eastAsia="仿宋" w:cs="仿宋" w:hint="eastAsia"/>
          <w:sz w:val="32"/>
          <w:szCs w:val="32"/>
        </w:rPr>
        <w:t>GB 2760</w:t>
      </w:r>
      <w:r>
        <w:rPr>
          <w:rFonts w:eastAsia="仿宋" w:cs="仿宋" w:hint="eastAsia"/>
          <w:sz w:val="32"/>
          <w:szCs w:val="32"/>
        </w:rPr>
        <w:t>）未规定水产动物类罐头中允许使用糖精钠，即表明水产动物类罐头加工过程中不得使用糖精钠。</w:t>
      </w:r>
    </w:p>
    <w:p w:rsidR="001665C0" w:rsidRDefault="000D67B3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t>6-</w:t>
      </w:r>
      <w:r>
        <w:rPr>
          <w:rFonts w:eastAsia="黑体"/>
          <w:color w:val="000000" w:themeColor="text1"/>
          <w:sz w:val="32"/>
          <w:szCs w:val="32"/>
        </w:rPr>
        <w:t>苄基腺嘌呤</w:t>
      </w:r>
      <w:r>
        <w:rPr>
          <w:rFonts w:eastAsia="黑体" w:hint="eastAsia"/>
          <w:color w:val="000000" w:themeColor="text1"/>
          <w:sz w:val="32"/>
          <w:szCs w:val="32"/>
        </w:rPr>
        <w:t>（</w:t>
      </w:r>
      <w:r>
        <w:rPr>
          <w:rFonts w:eastAsia="黑体"/>
          <w:color w:val="000000" w:themeColor="text1"/>
          <w:sz w:val="32"/>
          <w:szCs w:val="32"/>
        </w:rPr>
        <w:t>6-BA</w:t>
      </w:r>
      <w:r>
        <w:rPr>
          <w:rFonts w:eastAsia="黑体" w:hint="eastAsia"/>
          <w:color w:val="000000" w:themeColor="text1"/>
          <w:sz w:val="32"/>
          <w:szCs w:val="32"/>
        </w:rPr>
        <w:t>）</w:t>
      </w:r>
    </w:p>
    <w:p w:rsidR="001665C0" w:rsidRDefault="000D67B3">
      <w:pPr>
        <w:pStyle w:val="a6"/>
        <w:adjustRightInd w:val="0"/>
        <w:snapToGrid w:val="0"/>
        <w:spacing w:line="560" w:lineRule="exact"/>
        <w:ind w:firstLineChars="200" w:firstLine="640"/>
        <w:rPr>
          <w:rFonts w:eastAsia="仿宋_GB2312" w:cstheme="minorBidi"/>
          <w:color w:val="000000" w:themeColor="text1"/>
          <w:sz w:val="32"/>
          <w:szCs w:val="32"/>
        </w:rPr>
      </w:pPr>
      <w:r>
        <w:rPr>
          <w:rFonts w:eastAsia="仿宋_GB2312" w:cstheme="minorBidi"/>
          <w:color w:val="000000" w:themeColor="text1"/>
          <w:sz w:val="32"/>
          <w:szCs w:val="32"/>
        </w:rPr>
        <w:t>6-</w:t>
      </w:r>
      <w:r>
        <w:rPr>
          <w:rFonts w:eastAsia="仿宋_GB2312" w:cstheme="minorBidi"/>
          <w:color w:val="000000" w:themeColor="text1"/>
          <w:sz w:val="32"/>
          <w:szCs w:val="32"/>
        </w:rPr>
        <w:t>苄基腺嘌呤</w:t>
      </w:r>
      <w:r>
        <w:rPr>
          <w:rFonts w:eastAsia="仿宋_GB2312" w:cstheme="minorBidi" w:hint="eastAsia"/>
          <w:color w:val="000000" w:themeColor="text1"/>
          <w:sz w:val="32"/>
          <w:szCs w:val="32"/>
        </w:rPr>
        <w:t>（</w:t>
      </w:r>
      <w:r>
        <w:rPr>
          <w:rFonts w:eastAsia="仿宋_GB2312"/>
          <w:color w:val="000000" w:themeColor="text1"/>
          <w:sz w:val="32"/>
          <w:szCs w:val="32"/>
        </w:rPr>
        <w:t>6-BA</w:t>
      </w:r>
      <w:r>
        <w:rPr>
          <w:rFonts w:eastAsia="仿宋_GB2312" w:cstheme="minorBidi" w:hint="eastAsia"/>
          <w:color w:val="000000" w:themeColor="text1"/>
          <w:sz w:val="32"/>
          <w:szCs w:val="32"/>
        </w:rPr>
        <w:t>）</w:t>
      </w:r>
      <w:r>
        <w:rPr>
          <w:rFonts w:eastAsia="仿宋_GB2312" w:cstheme="minorBidi"/>
          <w:color w:val="000000" w:themeColor="text1"/>
          <w:sz w:val="32"/>
          <w:szCs w:val="32"/>
        </w:rPr>
        <w:t>是植物生长调节剂。主要用于防止落花落果、抑制豆类生根，并能调节</w:t>
      </w:r>
      <w:proofErr w:type="gramStart"/>
      <w:r>
        <w:rPr>
          <w:rFonts w:eastAsia="仿宋_GB2312" w:cstheme="minorBidi"/>
          <w:color w:val="000000" w:themeColor="text1"/>
          <w:sz w:val="32"/>
          <w:szCs w:val="32"/>
        </w:rPr>
        <w:t>植物株内激素</w:t>
      </w:r>
      <w:proofErr w:type="gramEnd"/>
      <w:r>
        <w:rPr>
          <w:rFonts w:eastAsia="仿宋_GB2312" w:cstheme="minorBidi"/>
          <w:color w:val="000000" w:themeColor="text1"/>
          <w:sz w:val="32"/>
          <w:szCs w:val="32"/>
        </w:rPr>
        <w:t>的平衡。但由于其对人体有一定积累毒性，《国家食品药品监督管理总局、农业部、国家卫生和计划生育委员会关于豆芽生产过程中禁止使用</w:t>
      </w:r>
      <w:r>
        <w:rPr>
          <w:rFonts w:eastAsia="仿宋_GB2312" w:cstheme="minorBidi"/>
          <w:color w:val="000000" w:themeColor="text1"/>
          <w:sz w:val="32"/>
          <w:szCs w:val="32"/>
        </w:rPr>
        <w:t>6-</w:t>
      </w:r>
      <w:r>
        <w:rPr>
          <w:rFonts w:eastAsia="仿宋_GB2312" w:cstheme="minorBidi"/>
          <w:color w:val="000000" w:themeColor="text1"/>
          <w:sz w:val="32"/>
          <w:szCs w:val="32"/>
        </w:rPr>
        <w:t>苄基腺嘌呤等物质的公告》（</w:t>
      </w:r>
      <w:r>
        <w:rPr>
          <w:rFonts w:eastAsia="仿宋_GB2312" w:cstheme="minorBidi"/>
          <w:color w:val="000000" w:themeColor="text1"/>
          <w:sz w:val="32"/>
          <w:szCs w:val="32"/>
        </w:rPr>
        <w:t>2015</w:t>
      </w:r>
      <w:r>
        <w:rPr>
          <w:rFonts w:eastAsia="仿宋_GB2312" w:cstheme="minorBidi"/>
          <w:color w:val="000000" w:themeColor="text1"/>
          <w:sz w:val="32"/>
          <w:szCs w:val="32"/>
        </w:rPr>
        <w:t>年第</w:t>
      </w:r>
      <w:r>
        <w:rPr>
          <w:rFonts w:eastAsia="仿宋_GB2312" w:cstheme="minorBidi"/>
          <w:color w:val="000000" w:themeColor="text1"/>
          <w:sz w:val="32"/>
          <w:szCs w:val="32"/>
        </w:rPr>
        <w:t>11</w:t>
      </w:r>
      <w:r>
        <w:rPr>
          <w:rFonts w:eastAsia="仿宋_GB2312" w:cstheme="minorBidi"/>
          <w:color w:val="000000" w:themeColor="text1"/>
          <w:sz w:val="32"/>
          <w:szCs w:val="32"/>
        </w:rPr>
        <w:t>号）规定豆芽生产经营过程中禁止使用</w:t>
      </w:r>
      <w:r>
        <w:rPr>
          <w:rFonts w:eastAsia="仿宋_GB2312" w:cstheme="minorBidi"/>
          <w:color w:val="000000" w:themeColor="text1"/>
          <w:sz w:val="32"/>
          <w:szCs w:val="32"/>
        </w:rPr>
        <w:t>6-</w:t>
      </w:r>
      <w:r>
        <w:rPr>
          <w:rFonts w:eastAsia="仿宋_GB2312" w:cstheme="minorBidi"/>
          <w:color w:val="000000" w:themeColor="text1"/>
          <w:sz w:val="32"/>
          <w:szCs w:val="32"/>
        </w:rPr>
        <w:t>苄基腺嘌呤。</w:t>
      </w:r>
    </w:p>
    <w:p w:rsidR="001665C0" w:rsidRDefault="000D67B3">
      <w:pPr>
        <w:pStyle w:val="a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恩诺沙</w:t>
      </w:r>
      <w:proofErr w:type="gramEnd"/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星</w:t>
      </w:r>
    </w:p>
    <w:p w:rsidR="001665C0" w:rsidRDefault="000D67B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hAnsi="Times New Roman"/>
          <w:color w:val="000000"/>
        </w:rPr>
      </w:pPr>
      <w:proofErr w:type="gramStart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星，又名恩氟</w:t>
      </w:r>
      <w:proofErr w:type="gramStart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奎</w:t>
      </w:r>
      <w:proofErr w:type="gramEnd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林羧酸，属于氟</w:t>
      </w:r>
      <w:proofErr w:type="gramStart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喹</w:t>
      </w:r>
      <w:proofErr w:type="gramEnd"/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诺酮类药物，是一种化学合成的广谱抑菌剂，用于治疗动物的皮肤感染、呼吸道感染等，是动物专属用药。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食品中兽药最大残留限量》（</w:t>
      </w:r>
      <w:r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）规定，鱼中</w:t>
      </w:r>
      <w:proofErr w:type="gramStart"/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星与环丙沙星之和计）的最大残留限量值为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100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μ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g/kg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。</w:t>
      </w:r>
    </w:p>
    <w:p w:rsidR="001665C0" w:rsidRDefault="000D67B3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大肠菌群</w:t>
      </w:r>
    </w:p>
    <w:p w:rsidR="001665C0" w:rsidRDefault="000D67B3">
      <w:pPr>
        <w:pStyle w:val="a6"/>
        <w:adjustRightInd w:val="0"/>
        <w:snapToGrid w:val="0"/>
        <w:spacing w:line="560" w:lineRule="exact"/>
        <w:ind w:firstLineChars="200" w:firstLine="640"/>
        <w:rPr>
          <w:rFonts w:eastAsia="仿宋_GB2312" w:cstheme="minorBidi"/>
          <w:color w:val="000000" w:themeColor="text1"/>
          <w:sz w:val="32"/>
          <w:szCs w:val="32"/>
        </w:rPr>
      </w:pPr>
      <w:r>
        <w:rPr>
          <w:rFonts w:eastAsia="仿宋_GB2312" w:cstheme="minorBidi" w:hint="eastAsia"/>
          <w:color w:val="000000" w:themeColor="text1"/>
          <w:sz w:val="32"/>
          <w:szCs w:val="32"/>
        </w:rPr>
        <w:t>大肠菌群是国内外通用的食品污染常用指示菌之一。食品餐饮具中检出大肠菌群，提示被肠道致病菌污染的可能性</w:t>
      </w:r>
      <w:r>
        <w:rPr>
          <w:rFonts w:eastAsia="仿宋_GB2312" w:cstheme="minorBidi" w:hint="eastAsia"/>
          <w:color w:val="000000" w:themeColor="text1"/>
          <w:sz w:val="32"/>
          <w:szCs w:val="32"/>
        </w:rPr>
        <w:lastRenderedPageBreak/>
        <w:t>较大。</w:t>
      </w:r>
      <w:r>
        <w:rPr>
          <w:rFonts w:eastAsia="仿宋_GB2312" w:cstheme="minorBidi"/>
          <w:color w:val="000000" w:themeColor="text1"/>
          <w:sz w:val="32"/>
          <w:szCs w:val="32"/>
        </w:rPr>
        <w:t>《食品安全国家标准</w:t>
      </w:r>
      <w:r>
        <w:rPr>
          <w:rFonts w:eastAsia="仿宋_GB2312" w:cstheme="minorBidi"/>
          <w:color w:val="000000" w:themeColor="text1"/>
          <w:sz w:val="32"/>
          <w:szCs w:val="32"/>
        </w:rPr>
        <w:t xml:space="preserve"> </w:t>
      </w:r>
      <w:r>
        <w:rPr>
          <w:rFonts w:eastAsia="仿宋_GB2312" w:cstheme="minorBidi"/>
          <w:color w:val="000000" w:themeColor="text1"/>
          <w:sz w:val="32"/>
          <w:szCs w:val="32"/>
        </w:rPr>
        <w:t>消毒餐（饮）具》（</w:t>
      </w:r>
      <w:r>
        <w:rPr>
          <w:rFonts w:eastAsia="仿宋_GB2312" w:cstheme="minorBidi"/>
          <w:color w:val="000000" w:themeColor="text1"/>
          <w:sz w:val="32"/>
          <w:szCs w:val="32"/>
        </w:rPr>
        <w:t>GB 14934</w:t>
      </w:r>
      <w:r>
        <w:rPr>
          <w:rFonts w:eastAsia="仿宋_GB2312" w:cstheme="minorBidi"/>
          <w:color w:val="000000" w:themeColor="text1"/>
          <w:sz w:val="32"/>
          <w:szCs w:val="32"/>
        </w:rPr>
        <w:t>）规定消毒餐（饮）具中大肠菌群不得检出。</w:t>
      </w:r>
    </w:p>
    <w:p w:rsidR="001665C0" w:rsidRDefault="000D67B3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诺氟沙星</w:t>
      </w:r>
    </w:p>
    <w:p w:rsidR="001665C0" w:rsidRDefault="000D67B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诺氟沙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星</w:t>
      </w:r>
      <w:r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属于氟喹</w:t>
      </w:r>
      <w:proofErr w:type="gramEnd"/>
      <w:r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诺酮类药物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是一种广谱类杀菌剂。</w:t>
      </w:r>
      <w:r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《发布在食品动物中停止使用洛美沙星、培氟沙星、氧氟沙星、诺氟沙星</w:t>
      </w:r>
      <w:r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种兽药的决定》（农业部公告第</w:t>
      </w:r>
      <w:r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2292</w:t>
      </w:r>
      <w:r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中规定自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2016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12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31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日起，停止经营、使用用于食品动物的</w:t>
      </w:r>
      <w:proofErr w:type="gramStart"/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洛美沙</w:t>
      </w:r>
      <w:proofErr w:type="gramEnd"/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星、</w:t>
      </w:r>
      <w:proofErr w:type="gramStart"/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星、氧氟沙星、诺氟沙星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种原料药的各种盐、</w:t>
      </w:r>
      <w:proofErr w:type="gramStart"/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酯及其</w:t>
      </w:r>
      <w:proofErr w:type="gramEnd"/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各种制剂</w:t>
      </w:r>
      <w:r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目前</w:t>
      </w:r>
      <w:r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在动物性食品中不</w:t>
      </w:r>
      <w:r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应</w:t>
      </w:r>
      <w:r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检出。</w:t>
      </w:r>
    </w:p>
    <w:p w:rsidR="001665C0" w:rsidRDefault="000D67B3">
      <w:pPr>
        <w:pStyle w:val="a6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 w:themeColor="text1"/>
          <w:sz w:val="32"/>
          <w:szCs w:val="32"/>
        </w:rPr>
      </w:pPr>
      <w:proofErr w:type="gramStart"/>
      <w:r>
        <w:rPr>
          <w:rFonts w:eastAsia="黑体" w:hint="eastAsia"/>
          <w:color w:val="000000" w:themeColor="text1"/>
          <w:sz w:val="32"/>
          <w:szCs w:val="32"/>
        </w:rPr>
        <w:t>腐霉利</w:t>
      </w:r>
      <w:proofErr w:type="gramEnd"/>
    </w:p>
    <w:p w:rsidR="001665C0" w:rsidRDefault="000D67B3">
      <w:pPr>
        <w:pStyle w:val="a6"/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color w:val="000000" w:themeColor="text1"/>
          <w:sz w:val="32"/>
          <w:szCs w:val="32"/>
        </w:rPr>
      </w:pPr>
      <w:proofErr w:type="gramStart"/>
      <w:r>
        <w:rPr>
          <w:rFonts w:eastAsia="仿宋_GB2312" w:cs="仿宋" w:hint="eastAsia"/>
          <w:color w:val="000000" w:themeColor="text1"/>
          <w:sz w:val="32"/>
          <w:szCs w:val="32"/>
        </w:rPr>
        <w:t>腐霉利属于</w:t>
      </w:r>
      <w:proofErr w:type="gramEnd"/>
      <w:r>
        <w:rPr>
          <w:rFonts w:eastAsia="仿宋_GB2312" w:cs="仿宋" w:hint="eastAsia"/>
          <w:color w:val="000000" w:themeColor="text1"/>
          <w:sz w:val="32"/>
          <w:szCs w:val="32"/>
        </w:rPr>
        <w:t>低毒性杀菌剂，</w:t>
      </w:r>
      <w:r>
        <w:rPr>
          <w:rFonts w:eastAsia="仿宋_GB2312" w:hint="eastAsia"/>
          <w:color w:val="000000" w:themeColor="text1"/>
          <w:sz w:val="32"/>
          <w:szCs w:val="32"/>
        </w:rPr>
        <w:t>主要用于果树、蔬菜作物的灰霉病、菌核病、褐腐病防治。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《食品安全国家标准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食品中农药最大残留限量》（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GB 2763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）规定，韭菜</w:t>
      </w:r>
      <w:proofErr w:type="gramStart"/>
      <w:r>
        <w:rPr>
          <w:rFonts w:eastAsia="仿宋_GB2312" w:hint="eastAsia"/>
          <w:bCs/>
          <w:color w:val="000000" w:themeColor="text1"/>
          <w:sz w:val="32"/>
          <w:szCs w:val="32"/>
        </w:rPr>
        <w:t>中腐霉利</w:t>
      </w:r>
      <w:proofErr w:type="gramEnd"/>
      <w:r>
        <w:rPr>
          <w:rFonts w:eastAsia="仿宋_GB2312" w:hint="eastAsia"/>
          <w:bCs/>
          <w:color w:val="000000" w:themeColor="text1"/>
          <w:sz w:val="32"/>
          <w:szCs w:val="32"/>
        </w:rPr>
        <w:t>的最大残留限量为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0.2 mg/kg</w:t>
      </w:r>
      <w:r>
        <w:rPr>
          <w:rFonts w:eastAsia="仿宋_GB2312" w:hint="eastAsia"/>
          <w:bCs/>
          <w:color w:val="000000" w:themeColor="text1"/>
          <w:sz w:val="32"/>
          <w:szCs w:val="32"/>
        </w:rPr>
        <w:t>。</w:t>
      </w:r>
    </w:p>
    <w:p w:rsidR="001665C0" w:rsidRDefault="000D67B3">
      <w:pPr>
        <w:pStyle w:val="a6"/>
        <w:adjustRightInd w:val="0"/>
        <w:snapToGrid w:val="0"/>
        <w:spacing w:line="560" w:lineRule="exact"/>
        <w:ind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 w:hint="eastAsia"/>
          <w:color w:val="000000" w:themeColor="text1"/>
          <w:sz w:val="32"/>
          <w:szCs w:val="32"/>
        </w:rPr>
        <w:t>七、镉</w:t>
      </w:r>
    </w:p>
    <w:p w:rsidR="001665C0" w:rsidRDefault="000D67B3">
      <w:pPr>
        <w:pStyle w:val="a6"/>
        <w:adjustRightInd w:val="0"/>
        <w:snapToGrid w:val="0"/>
        <w:spacing w:line="560" w:lineRule="exact"/>
        <w:ind w:firstLineChars="200" w:firstLine="640"/>
        <w:rPr>
          <w:rFonts w:eastAsia="仿宋_GB2312" w:cs="仿宋"/>
          <w:sz w:val="32"/>
          <w:szCs w:val="32"/>
        </w:rPr>
      </w:pPr>
      <w:proofErr w:type="gramStart"/>
      <w:r>
        <w:rPr>
          <w:rFonts w:eastAsia="仿宋_GB2312" w:cs="仿宋" w:hint="eastAsia"/>
          <w:color w:val="000000" w:themeColor="text1"/>
          <w:sz w:val="32"/>
          <w:szCs w:val="32"/>
        </w:rPr>
        <w:t>镉</w:t>
      </w:r>
      <w:proofErr w:type="gramEnd"/>
      <w:r>
        <w:rPr>
          <w:rFonts w:eastAsia="仿宋_GB2312" w:cs="仿宋" w:hint="eastAsia"/>
          <w:color w:val="000000" w:themeColor="text1"/>
          <w:sz w:val="32"/>
          <w:szCs w:val="32"/>
        </w:rPr>
        <w:t>属于重金属污染物指标，联合国环境规划署（</w:t>
      </w:r>
      <w:r>
        <w:rPr>
          <w:rFonts w:eastAsia="仿宋_GB2312" w:cs="仿宋" w:hint="eastAsia"/>
          <w:color w:val="000000" w:themeColor="text1"/>
          <w:sz w:val="32"/>
          <w:szCs w:val="32"/>
        </w:rPr>
        <w:t>DNFP</w:t>
      </w:r>
      <w:r>
        <w:rPr>
          <w:rFonts w:eastAsia="仿宋_GB2312" w:cs="仿宋" w:hint="eastAsia"/>
          <w:color w:val="000000" w:themeColor="text1"/>
          <w:sz w:val="32"/>
          <w:szCs w:val="32"/>
        </w:rPr>
        <w:t>）和国际职业卫生重金属委员会将镉列入重点研究的环境污染物，世界卫生组织（</w:t>
      </w:r>
      <w:r>
        <w:rPr>
          <w:rFonts w:eastAsia="仿宋_GB2312" w:cs="仿宋" w:hint="eastAsia"/>
          <w:color w:val="000000" w:themeColor="text1"/>
          <w:sz w:val="32"/>
          <w:szCs w:val="32"/>
        </w:rPr>
        <w:t>WHO</w:t>
      </w:r>
      <w:r>
        <w:rPr>
          <w:rFonts w:eastAsia="仿宋_GB2312" w:cs="仿宋" w:hint="eastAsia"/>
          <w:color w:val="000000" w:themeColor="text1"/>
          <w:sz w:val="32"/>
          <w:szCs w:val="32"/>
        </w:rPr>
        <w:t>）则将其作为优先研究的食品污染物。</w:t>
      </w:r>
      <w:r>
        <w:rPr>
          <w:rFonts w:eastAsia="仿宋_GB2312" w:cs="仿宋" w:hint="eastAsia"/>
          <w:sz w:val="32"/>
          <w:szCs w:val="32"/>
        </w:rPr>
        <w:t>《食品安全国家标准</w:t>
      </w:r>
      <w:r>
        <w:rPr>
          <w:rFonts w:eastAsia="仿宋_GB2312" w:cs="仿宋" w:hint="eastAsia"/>
          <w:sz w:val="32"/>
          <w:szCs w:val="32"/>
        </w:rPr>
        <w:t xml:space="preserve"> </w:t>
      </w:r>
      <w:r>
        <w:rPr>
          <w:rFonts w:eastAsia="仿宋_GB2312" w:cs="仿宋" w:hint="eastAsia"/>
          <w:sz w:val="32"/>
          <w:szCs w:val="32"/>
        </w:rPr>
        <w:t>食品中污染物限量》（</w:t>
      </w:r>
      <w:r>
        <w:rPr>
          <w:rFonts w:eastAsia="仿宋_GB2312" w:cs="仿宋" w:hint="eastAsia"/>
          <w:sz w:val="32"/>
          <w:szCs w:val="32"/>
        </w:rPr>
        <w:t>GB 2762</w:t>
      </w:r>
      <w:r>
        <w:rPr>
          <w:rFonts w:eastAsia="仿宋_GB2312" w:cs="仿宋" w:hint="eastAsia"/>
          <w:sz w:val="32"/>
          <w:szCs w:val="32"/>
        </w:rPr>
        <w:t>）规定，鲜、冻水产动物甲壳类中镉（</w:t>
      </w:r>
      <w:r>
        <w:rPr>
          <w:rFonts w:eastAsia="仿宋_GB2312" w:cs="仿宋"/>
          <w:sz w:val="32"/>
          <w:szCs w:val="32"/>
        </w:rPr>
        <w:t>以</w:t>
      </w:r>
      <w:r>
        <w:rPr>
          <w:rFonts w:eastAsia="仿宋_GB2312" w:cs="仿宋"/>
          <w:sz w:val="32"/>
          <w:szCs w:val="32"/>
        </w:rPr>
        <w:t>Cd</w:t>
      </w:r>
      <w:r>
        <w:rPr>
          <w:rFonts w:eastAsia="仿宋_GB2312" w:cs="仿宋"/>
          <w:sz w:val="32"/>
          <w:szCs w:val="32"/>
        </w:rPr>
        <w:t>计</w:t>
      </w:r>
      <w:r>
        <w:rPr>
          <w:rFonts w:eastAsia="仿宋_GB2312" w:cs="仿宋" w:hint="eastAsia"/>
          <w:sz w:val="32"/>
          <w:szCs w:val="32"/>
        </w:rPr>
        <w:t>）应不超过</w:t>
      </w:r>
      <w:r>
        <w:rPr>
          <w:rFonts w:eastAsia="仿宋_GB2312" w:cs="仿宋" w:hint="eastAsia"/>
          <w:sz w:val="32"/>
          <w:szCs w:val="32"/>
        </w:rPr>
        <w:t>0.5 mg/kg</w:t>
      </w:r>
      <w:r>
        <w:rPr>
          <w:rFonts w:eastAsia="仿宋_GB2312" w:cs="仿宋" w:hint="eastAsia"/>
          <w:sz w:val="32"/>
          <w:szCs w:val="32"/>
        </w:rPr>
        <w:t>。</w:t>
      </w:r>
    </w:p>
    <w:p w:rsidR="001665C0" w:rsidRDefault="000D67B3">
      <w:pPr>
        <w:pStyle w:val="p0"/>
        <w:numPr>
          <w:ilvl w:val="255"/>
          <w:numId w:val="0"/>
        </w:numPr>
        <w:spacing w:line="560" w:lineRule="exact"/>
        <w:ind w:firstLineChars="200" w:firstLine="640"/>
        <w:rPr>
          <w:rFonts w:ascii="Times New Roman" w:eastAsia="黑体" w:hAnsi="Times New Roman" w:cs="仿宋"/>
          <w:color w:val="000000" w:themeColor="text1"/>
          <w:sz w:val="32"/>
          <w:szCs w:val="32"/>
        </w:rPr>
      </w:pPr>
      <w:r>
        <w:rPr>
          <w:rFonts w:ascii="Times New Roman" w:eastAsia="黑体" w:hAnsi="Times New Roman" w:cs="仿宋" w:hint="eastAsia"/>
          <w:color w:val="000000" w:themeColor="text1"/>
          <w:sz w:val="32"/>
          <w:szCs w:val="32"/>
        </w:rPr>
        <w:t>八、</w:t>
      </w:r>
      <w:r>
        <w:rPr>
          <w:rFonts w:ascii="Times New Roman" w:eastAsia="黑体" w:hAnsi="Times New Roman" w:cs="仿宋"/>
          <w:color w:val="000000" w:themeColor="text1"/>
          <w:sz w:val="32"/>
          <w:szCs w:val="32"/>
        </w:rPr>
        <w:t>甲拌磷</w:t>
      </w:r>
    </w:p>
    <w:p w:rsidR="001665C0" w:rsidRDefault="000D67B3">
      <w:pPr>
        <w:pStyle w:val="p0"/>
        <w:spacing w:line="560" w:lineRule="exact"/>
        <w:ind w:firstLineChars="200" w:firstLine="640"/>
        <w:rPr>
          <w:rFonts w:ascii="Times New Roman" w:eastAsia="仿宋" w:hAnsi="Times New Roman" w:cs="仿宋"/>
          <w:bCs/>
          <w:color w:val="000000" w:themeColor="text1"/>
          <w:sz w:val="32"/>
          <w:szCs w:val="32"/>
        </w:rPr>
      </w:pPr>
      <w:r>
        <w:rPr>
          <w:rFonts w:ascii="Times New Roman" w:eastAsia="仿宋" w:hAnsi="Times New Roman" w:cs="仿宋" w:hint="eastAsia"/>
          <w:bCs/>
          <w:color w:val="000000" w:themeColor="text1"/>
          <w:sz w:val="32"/>
          <w:szCs w:val="32"/>
        </w:rPr>
        <w:lastRenderedPageBreak/>
        <w:t>甲拌磷是一种有机磷类广谱、内吸杀虫剂、杀螨剂，对害虫具有触杀、胃毒、熏蒸作用，属高毒农药。</w:t>
      </w:r>
      <w:r>
        <w:rPr>
          <w:rFonts w:ascii="Times New Roman" w:eastAsia="仿宋" w:hAnsi="Times New Roman" w:cs="仿宋" w:hint="eastAsia"/>
          <w:bCs/>
          <w:color w:val="000000" w:themeColor="text1"/>
          <w:sz w:val="32"/>
          <w:szCs w:val="32"/>
        </w:rPr>
        <w:t>2002</w:t>
      </w:r>
      <w:r>
        <w:rPr>
          <w:rFonts w:ascii="Times New Roman" w:eastAsia="仿宋" w:hAnsi="Times New Roman" w:cs="仿宋" w:hint="eastAsia"/>
          <w:bCs/>
          <w:color w:val="000000" w:themeColor="text1"/>
          <w:sz w:val="32"/>
          <w:szCs w:val="32"/>
        </w:rPr>
        <w:t>年</w:t>
      </w:r>
      <w:r>
        <w:rPr>
          <w:rFonts w:ascii="Times New Roman" w:eastAsia="仿宋" w:hAnsi="Times New Roman" w:cs="仿宋" w:hint="eastAsia"/>
          <w:bCs/>
          <w:color w:val="000000" w:themeColor="text1"/>
          <w:sz w:val="32"/>
          <w:szCs w:val="32"/>
        </w:rPr>
        <w:t>6</w:t>
      </w:r>
      <w:r>
        <w:rPr>
          <w:rFonts w:ascii="Times New Roman" w:eastAsia="仿宋" w:hAnsi="Times New Roman" w:cs="仿宋" w:hint="eastAsia"/>
          <w:bCs/>
          <w:color w:val="000000" w:themeColor="text1"/>
          <w:sz w:val="32"/>
          <w:szCs w:val="32"/>
        </w:rPr>
        <w:t>月</w:t>
      </w:r>
      <w:r>
        <w:rPr>
          <w:rFonts w:ascii="Times New Roman" w:eastAsia="仿宋" w:hAnsi="Times New Roman" w:cs="仿宋" w:hint="eastAsia"/>
          <w:bCs/>
          <w:color w:val="000000" w:themeColor="text1"/>
          <w:sz w:val="32"/>
          <w:szCs w:val="32"/>
        </w:rPr>
        <w:t>5</w:t>
      </w:r>
      <w:r>
        <w:rPr>
          <w:rFonts w:ascii="Times New Roman" w:eastAsia="仿宋" w:hAnsi="Times New Roman" w:cs="仿宋" w:hint="eastAsia"/>
          <w:bCs/>
          <w:color w:val="000000" w:themeColor="text1"/>
          <w:sz w:val="32"/>
          <w:szCs w:val="32"/>
        </w:rPr>
        <w:t>日发布的</w:t>
      </w:r>
      <w:r>
        <w:rPr>
          <w:rFonts w:ascii="Times New Roman" w:eastAsia="仿宋" w:hAnsi="Times New Roman" w:cs="仿宋"/>
          <w:bCs/>
          <w:color w:val="000000" w:themeColor="text1"/>
          <w:sz w:val="32"/>
          <w:szCs w:val="32"/>
        </w:rPr>
        <w:t>农业部</w:t>
      </w:r>
      <w:r>
        <w:rPr>
          <w:rFonts w:ascii="Times New Roman" w:eastAsia="仿宋" w:hAnsi="Times New Roman" w:cs="仿宋" w:hint="eastAsia"/>
          <w:bCs/>
          <w:color w:val="000000" w:themeColor="text1"/>
          <w:sz w:val="32"/>
          <w:szCs w:val="32"/>
        </w:rPr>
        <w:t>第</w:t>
      </w:r>
      <w:r>
        <w:rPr>
          <w:rFonts w:ascii="Times New Roman" w:eastAsia="仿宋" w:hAnsi="Times New Roman" w:cs="仿宋" w:hint="eastAsia"/>
          <w:bCs/>
          <w:color w:val="000000" w:themeColor="text1"/>
          <w:sz w:val="32"/>
          <w:szCs w:val="32"/>
        </w:rPr>
        <w:t>199</w:t>
      </w:r>
      <w:r>
        <w:rPr>
          <w:rFonts w:ascii="Times New Roman" w:eastAsia="仿宋" w:hAnsi="Times New Roman" w:cs="仿宋" w:hint="eastAsia"/>
          <w:bCs/>
          <w:color w:val="000000" w:themeColor="text1"/>
          <w:sz w:val="32"/>
          <w:szCs w:val="32"/>
        </w:rPr>
        <w:t>号公告</w:t>
      </w:r>
      <w:r>
        <w:rPr>
          <w:rFonts w:ascii="Times New Roman" w:eastAsia="仿宋" w:hAnsi="Times New Roman" w:cs="仿宋"/>
          <w:bCs/>
          <w:color w:val="000000" w:themeColor="text1"/>
          <w:sz w:val="32"/>
          <w:szCs w:val="32"/>
        </w:rPr>
        <w:t>规定</w:t>
      </w:r>
      <w:r>
        <w:rPr>
          <w:rFonts w:ascii="Times New Roman" w:eastAsia="仿宋" w:hAnsi="Times New Roman" w:cs="仿宋" w:hint="eastAsia"/>
          <w:bCs/>
          <w:color w:val="000000" w:themeColor="text1"/>
          <w:sz w:val="32"/>
          <w:szCs w:val="32"/>
        </w:rPr>
        <w:t>在蔬菜、果树、茶叶、中草药材上不得</w:t>
      </w:r>
      <w:r>
        <w:rPr>
          <w:rFonts w:ascii="Times New Roman" w:eastAsia="仿宋" w:hAnsi="Times New Roman" w:cs="仿宋"/>
          <w:bCs/>
          <w:color w:val="000000" w:themeColor="text1"/>
          <w:sz w:val="32"/>
          <w:szCs w:val="32"/>
        </w:rPr>
        <w:t>使用甲拌磷。《</w:t>
      </w:r>
      <w:r>
        <w:rPr>
          <w:rFonts w:ascii="Times New Roman" w:eastAsia="仿宋" w:hAnsi="Times New Roman" w:cs="仿宋" w:hint="eastAsia"/>
          <w:bCs/>
          <w:color w:val="000000" w:themeColor="text1"/>
          <w:sz w:val="32"/>
          <w:szCs w:val="32"/>
        </w:rPr>
        <w:t>食品安全国家标准</w:t>
      </w:r>
      <w:r>
        <w:rPr>
          <w:rFonts w:ascii="Times New Roman" w:eastAsia="仿宋" w:hAnsi="Times New Roman" w:cs="仿宋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bCs/>
          <w:color w:val="000000" w:themeColor="text1"/>
          <w:sz w:val="32"/>
          <w:szCs w:val="32"/>
        </w:rPr>
        <w:t>食品中农药最大残留限量</w:t>
      </w:r>
      <w:r>
        <w:rPr>
          <w:rFonts w:ascii="Times New Roman" w:eastAsia="仿宋" w:hAnsi="Times New Roman" w:cs="仿宋"/>
          <w:bCs/>
          <w:color w:val="000000" w:themeColor="text1"/>
          <w:sz w:val="32"/>
          <w:szCs w:val="32"/>
        </w:rPr>
        <w:t>》</w:t>
      </w:r>
      <w:r>
        <w:rPr>
          <w:rFonts w:ascii="Times New Roman" w:eastAsia="仿宋" w:hAnsi="Times New Roman" w:cs="仿宋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" w:hAnsi="Times New Roman" w:cs="仿宋" w:hint="eastAsia"/>
          <w:bCs/>
          <w:color w:val="000000" w:themeColor="text1"/>
          <w:sz w:val="32"/>
          <w:szCs w:val="32"/>
        </w:rPr>
        <w:t>GB 2763</w:t>
      </w:r>
      <w:r>
        <w:rPr>
          <w:rFonts w:ascii="Times New Roman" w:eastAsia="仿宋" w:hAnsi="Times New Roman" w:cs="仿宋" w:hint="eastAsia"/>
          <w:bCs/>
          <w:color w:val="000000" w:themeColor="text1"/>
          <w:sz w:val="32"/>
          <w:szCs w:val="32"/>
        </w:rPr>
        <w:t>）</w:t>
      </w:r>
      <w:r>
        <w:rPr>
          <w:rFonts w:ascii="Times New Roman" w:eastAsia="仿宋" w:hAnsi="Times New Roman" w:cs="仿宋"/>
          <w:bCs/>
          <w:color w:val="000000" w:themeColor="text1"/>
          <w:sz w:val="32"/>
          <w:szCs w:val="32"/>
        </w:rPr>
        <w:t>规定，</w:t>
      </w:r>
      <w:r>
        <w:rPr>
          <w:rFonts w:ascii="Times New Roman" w:eastAsia="仿宋" w:hAnsi="Times New Roman" w:cs="仿宋" w:hint="eastAsia"/>
          <w:bCs/>
          <w:color w:val="000000" w:themeColor="text1"/>
          <w:sz w:val="32"/>
          <w:szCs w:val="32"/>
        </w:rPr>
        <w:t>叶菜类蔬菜</w:t>
      </w:r>
      <w:r>
        <w:rPr>
          <w:rFonts w:ascii="Times New Roman" w:eastAsia="仿宋" w:hAnsi="Times New Roman" w:cs="仿宋"/>
          <w:bCs/>
          <w:color w:val="000000" w:themeColor="text1"/>
          <w:sz w:val="32"/>
          <w:szCs w:val="32"/>
        </w:rPr>
        <w:t>中甲拌磷的最大残留限量为</w:t>
      </w:r>
      <w:r>
        <w:rPr>
          <w:rFonts w:ascii="Times New Roman" w:eastAsia="仿宋" w:hAnsi="Times New Roman" w:cs="仿宋"/>
          <w:bCs/>
          <w:color w:val="000000" w:themeColor="text1"/>
          <w:sz w:val="32"/>
          <w:szCs w:val="32"/>
        </w:rPr>
        <w:t>0.01</w:t>
      </w:r>
      <w:r>
        <w:rPr>
          <w:rFonts w:ascii="Times New Roman" w:eastAsia="仿宋" w:hAnsi="Times New Roman" w:cs="仿宋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" w:hAnsi="Times New Roman" w:cs="仿宋"/>
          <w:bCs/>
          <w:color w:val="000000" w:themeColor="text1"/>
          <w:sz w:val="32"/>
          <w:szCs w:val="32"/>
        </w:rPr>
        <w:t>mg/kg</w:t>
      </w:r>
      <w:r>
        <w:rPr>
          <w:rFonts w:ascii="Times New Roman" w:eastAsia="仿宋" w:hAnsi="Times New Roman" w:cs="仿宋"/>
          <w:bCs/>
          <w:color w:val="000000" w:themeColor="text1"/>
          <w:sz w:val="32"/>
          <w:szCs w:val="32"/>
        </w:rPr>
        <w:t>。</w:t>
      </w:r>
    </w:p>
    <w:p w:rsidR="001665C0" w:rsidRDefault="000D67B3">
      <w:pPr>
        <w:pStyle w:val="p0"/>
        <w:numPr>
          <w:ilvl w:val="255"/>
          <w:numId w:val="0"/>
        </w:num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 w:cs="仿宋"/>
          <w:color w:val="000000" w:themeColor="text1"/>
          <w:sz w:val="32"/>
          <w:szCs w:val="32"/>
        </w:rPr>
      </w:pPr>
      <w:r>
        <w:rPr>
          <w:rFonts w:ascii="Times New Roman" w:eastAsia="黑体" w:hAnsi="Times New Roman" w:cs="仿宋" w:hint="eastAsia"/>
          <w:color w:val="000000" w:themeColor="text1"/>
          <w:sz w:val="32"/>
          <w:szCs w:val="32"/>
        </w:rPr>
        <w:t>九、氟虫</w:t>
      </w:r>
      <w:proofErr w:type="gramStart"/>
      <w:r>
        <w:rPr>
          <w:rFonts w:ascii="Times New Roman" w:eastAsia="黑体" w:hAnsi="Times New Roman" w:cs="仿宋" w:hint="eastAsia"/>
          <w:color w:val="000000" w:themeColor="text1"/>
          <w:sz w:val="32"/>
          <w:szCs w:val="32"/>
        </w:rPr>
        <w:t>腈</w:t>
      </w:r>
      <w:proofErr w:type="gramEnd"/>
    </w:p>
    <w:p w:rsidR="001665C0" w:rsidRDefault="000D67B3">
      <w:pPr>
        <w:pStyle w:val="p0"/>
        <w:widowControl w:val="0"/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仿宋"/>
          <w:color w:val="000000" w:themeColor="text1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氟虫</w:t>
      </w:r>
      <w:proofErr w:type="gramStart"/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腈</w:t>
      </w:r>
      <w:proofErr w:type="gramEnd"/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是一种苯基吡唑类杀虫剂，对害虫以胃毒作用为主，兼有触杀和一定的内吸作用。农业部第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1157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号公告规定，自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2009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10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日起，禁止在所有农作物上使用氟虫</w:t>
      </w:r>
      <w:proofErr w:type="gramStart"/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腈</w:t>
      </w:r>
      <w:proofErr w:type="gramEnd"/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（玉米等部分旱田种子包衣除外）。《食品安全国家标准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食品中农药最大残留限量》（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GB 2763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）规定，叶菜类蔬菜中氟虫</w:t>
      </w:r>
      <w:proofErr w:type="gramStart"/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腈</w:t>
      </w:r>
      <w:proofErr w:type="gramEnd"/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的最大残留限量为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0.02 mg/kg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。</w:t>
      </w:r>
    </w:p>
    <w:p w:rsidR="001665C0" w:rsidRDefault="000D67B3">
      <w:pPr>
        <w:pStyle w:val="p0"/>
        <w:numPr>
          <w:ilvl w:val="255"/>
          <w:numId w:val="0"/>
        </w:num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 w:cs="仿宋"/>
          <w:color w:val="000000" w:themeColor="text1"/>
          <w:sz w:val="32"/>
          <w:szCs w:val="32"/>
        </w:rPr>
      </w:pPr>
      <w:r>
        <w:rPr>
          <w:rFonts w:ascii="Times New Roman" w:eastAsia="黑体" w:hAnsi="Times New Roman" w:cs="仿宋" w:hint="eastAsia"/>
          <w:color w:val="000000" w:themeColor="text1"/>
          <w:sz w:val="32"/>
          <w:szCs w:val="32"/>
        </w:rPr>
        <w:t>十、五氯酚酸钠</w:t>
      </w:r>
    </w:p>
    <w:p w:rsidR="001665C0" w:rsidRDefault="000D67B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五氯酚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酸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钠属于</w:t>
      </w:r>
      <w:proofErr w:type="gramEnd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有机氯农药，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可用作除草剂和杀菌剂，易溶于水，容易进入水和土壤中，经环境累积，进入饲料用植物中，通过食物链进入动物内。《食品动物中禁止使用的药品及其他化合物清单》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农业农村部公告第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250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）中规定，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食品动物中禁止使用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五氯酚酸钠。</w:t>
      </w:r>
    </w:p>
    <w:p w:rsidR="001665C0" w:rsidRDefault="000D67B3">
      <w:pPr>
        <w:pStyle w:val="p0"/>
        <w:numPr>
          <w:ilvl w:val="255"/>
          <w:numId w:val="0"/>
        </w:numPr>
        <w:adjustRightInd w:val="0"/>
        <w:snapToGrid w:val="0"/>
        <w:spacing w:line="560" w:lineRule="exact"/>
        <w:ind w:firstLineChars="200" w:firstLine="640"/>
        <w:jc w:val="left"/>
        <w:rPr>
          <w:rFonts w:eastAsia="黑体" w:cs="仿宋"/>
          <w:color w:val="000000" w:themeColor="text1"/>
          <w:sz w:val="32"/>
          <w:szCs w:val="32"/>
        </w:rPr>
      </w:pPr>
      <w:r>
        <w:rPr>
          <w:rFonts w:ascii="Times New Roman" w:eastAsia="黑体" w:hAnsi="Times New Roman" w:cs="仿宋" w:hint="eastAsia"/>
          <w:color w:val="000000" w:themeColor="text1"/>
          <w:sz w:val="32"/>
          <w:szCs w:val="32"/>
        </w:rPr>
        <w:t>十一、铝的残留量</w:t>
      </w:r>
    </w:p>
    <w:p w:rsidR="001665C0" w:rsidRDefault="000D67B3">
      <w:pPr>
        <w:pStyle w:val="p0"/>
        <w:widowControl w:val="0"/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 w:cs="仿宋"/>
          <w:color w:val="000000" w:themeColor="text1"/>
          <w:sz w:val="32"/>
          <w:szCs w:val="32"/>
        </w:rPr>
      </w:pP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硫酸铝钾（又名钾明矾）是食品加工中常用的膨松剂和稳定剂，使用后产生铝残留。《食品安全国家标准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食品添加剂使用标准》（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GB 2760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）规定，明矾在油炸面制品中可以按照生产需要适量添加，但铝的残留量应≤</w:t>
      </w:r>
      <w:r>
        <w:rPr>
          <w:rFonts w:ascii="Times New Roman" w:eastAsia="仿宋" w:hAnsi="Times New Roman" w:cs="仿宋"/>
          <w:color w:val="000000" w:themeColor="text1"/>
          <w:sz w:val="32"/>
          <w:szCs w:val="32"/>
        </w:rPr>
        <w:t>1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00</w:t>
      </w:r>
      <w:r>
        <w:rPr>
          <w:rFonts w:ascii="Times New Roman" w:eastAsia="仿宋" w:hAnsi="Times New Roman" w:cs="仿宋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mg/kg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（干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lastRenderedPageBreak/>
        <w:t>样品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,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以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Al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计）。</w:t>
      </w:r>
    </w:p>
    <w:p w:rsidR="001665C0" w:rsidRDefault="001665C0">
      <w:pPr>
        <w:spacing w:line="560" w:lineRule="exact"/>
        <w:ind w:firstLineChars="200" w:firstLine="640"/>
        <w:rPr>
          <w:rFonts w:ascii="Times New Roman" w:eastAsia="黑体" w:hAnsi="Times New Roman" w:cs="仿宋"/>
          <w:color w:val="000000" w:themeColor="text1"/>
          <w:sz w:val="32"/>
          <w:szCs w:val="32"/>
        </w:rPr>
      </w:pPr>
    </w:p>
    <w:sectPr w:rsidR="00166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E0BC7"/>
    <w:multiLevelType w:val="multilevel"/>
    <w:tmpl w:val="517E0BC7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trackRevisions/>
  <w:documentProtection w:formatting="1" w:enforcement="1" w:cryptProviderType="rsaAES" w:cryptAlgorithmClass="hash" w:cryptAlgorithmType="typeAny" w:cryptAlgorithmSid="14" w:cryptSpinCount="100000" w:hash="+6zhzRcVQ7HcXb3FGhmNBVuj9XtRcxoFugxMb1u1Lh+fDQ1o45K4y93IphxOiUtRkR34fPlujIhUUCNeKgeBMw==" w:salt="aZVBJkC4wsZEwV5hoC/hbg==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45"/>
    <w:rsid w:val="000215F8"/>
    <w:rsid w:val="00042533"/>
    <w:rsid w:val="00082C9C"/>
    <w:rsid w:val="00087FDB"/>
    <w:rsid w:val="00097EC2"/>
    <w:rsid w:val="000A0EB8"/>
    <w:rsid w:val="000A2EEF"/>
    <w:rsid w:val="000C3C92"/>
    <w:rsid w:val="000C4DFB"/>
    <w:rsid w:val="000C50B5"/>
    <w:rsid w:val="000D5A2C"/>
    <w:rsid w:val="000D67B3"/>
    <w:rsid w:val="000F7D55"/>
    <w:rsid w:val="00115D71"/>
    <w:rsid w:val="00120C74"/>
    <w:rsid w:val="00151A13"/>
    <w:rsid w:val="00162576"/>
    <w:rsid w:val="00162612"/>
    <w:rsid w:val="0016657F"/>
    <w:rsid w:val="001665C0"/>
    <w:rsid w:val="0016674A"/>
    <w:rsid w:val="00176F93"/>
    <w:rsid w:val="00187DF7"/>
    <w:rsid w:val="001B4234"/>
    <w:rsid w:val="001C084C"/>
    <w:rsid w:val="00203CEF"/>
    <w:rsid w:val="00206F77"/>
    <w:rsid w:val="00210759"/>
    <w:rsid w:val="00216F1A"/>
    <w:rsid w:val="002209C3"/>
    <w:rsid w:val="00221535"/>
    <w:rsid w:val="00225D7D"/>
    <w:rsid w:val="00227C98"/>
    <w:rsid w:val="00231227"/>
    <w:rsid w:val="0024384C"/>
    <w:rsid w:val="00255DB7"/>
    <w:rsid w:val="00263422"/>
    <w:rsid w:val="00264FFF"/>
    <w:rsid w:val="00281DF9"/>
    <w:rsid w:val="00287106"/>
    <w:rsid w:val="002B5A26"/>
    <w:rsid w:val="002C1E89"/>
    <w:rsid w:val="002C223D"/>
    <w:rsid w:val="002D4079"/>
    <w:rsid w:val="002D76B0"/>
    <w:rsid w:val="002F1403"/>
    <w:rsid w:val="003058CE"/>
    <w:rsid w:val="00320337"/>
    <w:rsid w:val="00335654"/>
    <w:rsid w:val="0034068A"/>
    <w:rsid w:val="00346E01"/>
    <w:rsid w:val="003475BB"/>
    <w:rsid w:val="0035502B"/>
    <w:rsid w:val="0036096C"/>
    <w:rsid w:val="00361E66"/>
    <w:rsid w:val="00380C62"/>
    <w:rsid w:val="00385653"/>
    <w:rsid w:val="003921BB"/>
    <w:rsid w:val="0039607F"/>
    <w:rsid w:val="003B0507"/>
    <w:rsid w:val="003B2A3B"/>
    <w:rsid w:val="003C0FD6"/>
    <w:rsid w:val="003D6207"/>
    <w:rsid w:val="003F1C5B"/>
    <w:rsid w:val="004012A2"/>
    <w:rsid w:val="004134EC"/>
    <w:rsid w:val="00414508"/>
    <w:rsid w:val="00414758"/>
    <w:rsid w:val="00430E21"/>
    <w:rsid w:val="00435ACC"/>
    <w:rsid w:val="00446771"/>
    <w:rsid w:val="004566A0"/>
    <w:rsid w:val="00475C35"/>
    <w:rsid w:val="00490F04"/>
    <w:rsid w:val="00495F06"/>
    <w:rsid w:val="004A2980"/>
    <w:rsid w:val="004A7B13"/>
    <w:rsid w:val="004D0759"/>
    <w:rsid w:val="004D6A30"/>
    <w:rsid w:val="004D76D4"/>
    <w:rsid w:val="004E17BF"/>
    <w:rsid w:val="00507310"/>
    <w:rsid w:val="0051081B"/>
    <w:rsid w:val="0051723D"/>
    <w:rsid w:val="00517E25"/>
    <w:rsid w:val="00524DAE"/>
    <w:rsid w:val="005250FE"/>
    <w:rsid w:val="005437A0"/>
    <w:rsid w:val="00557B9A"/>
    <w:rsid w:val="005753D6"/>
    <w:rsid w:val="00580A7E"/>
    <w:rsid w:val="00580FB1"/>
    <w:rsid w:val="00585877"/>
    <w:rsid w:val="00591116"/>
    <w:rsid w:val="00597D69"/>
    <w:rsid w:val="005A532E"/>
    <w:rsid w:val="005A5392"/>
    <w:rsid w:val="005A7779"/>
    <w:rsid w:val="005C208E"/>
    <w:rsid w:val="005C3B9C"/>
    <w:rsid w:val="005D35D3"/>
    <w:rsid w:val="005E26BC"/>
    <w:rsid w:val="005E4129"/>
    <w:rsid w:val="005E7EC6"/>
    <w:rsid w:val="005F2ABB"/>
    <w:rsid w:val="005F48C9"/>
    <w:rsid w:val="005F4F4B"/>
    <w:rsid w:val="00615C9F"/>
    <w:rsid w:val="00630DC8"/>
    <w:rsid w:val="0065262F"/>
    <w:rsid w:val="00656460"/>
    <w:rsid w:val="00660E64"/>
    <w:rsid w:val="00683B6B"/>
    <w:rsid w:val="00686D3D"/>
    <w:rsid w:val="0069468A"/>
    <w:rsid w:val="006973C8"/>
    <w:rsid w:val="006A219A"/>
    <w:rsid w:val="006A67A6"/>
    <w:rsid w:val="006C2263"/>
    <w:rsid w:val="006C3D96"/>
    <w:rsid w:val="006C754E"/>
    <w:rsid w:val="006D0756"/>
    <w:rsid w:val="006E0D8F"/>
    <w:rsid w:val="006E1CE1"/>
    <w:rsid w:val="006F40E9"/>
    <w:rsid w:val="006F6CBB"/>
    <w:rsid w:val="007046E5"/>
    <w:rsid w:val="007231CF"/>
    <w:rsid w:val="007252E5"/>
    <w:rsid w:val="007336EF"/>
    <w:rsid w:val="007442C1"/>
    <w:rsid w:val="00762757"/>
    <w:rsid w:val="0076723A"/>
    <w:rsid w:val="0077019D"/>
    <w:rsid w:val="007771CD"/>
    <w:rsid w:val="00792A5B"/>
    <w:rsid w:val="007955BC"/>
    <w:rsid w:val="007A6867"/>
    <w:rsid w:val="007C0AEB"/>
    <w:rsid w:val="007D6B87"/>
    <w:rsid w:val="007E0D9E"/>
    <w:rsid w:val="007E2DBB"/>
    <w:rsid w:val="007E673A"/>
    <w:rsid w:val="008050BC"/>
    <w:rsid w:val="00827383"/>
    <w:rsid w:val="00830ABC"/>
    <w:rsid w:val="0085016D"/>
    <w:rsid w:val="008533F0"/>
    <w:rsid w:val="00853C2D"/>
    <w:rsid w:val="00856079"/>
    <w:rsid w:val="00856E45"/>
    <w:rsid w:val="00872A98"/>
    <w:rsid w:val="00877733"/>
    <w:rsid w:val="00890F56"/>
    <w:rsid w:val="008A1D0C"/>
    <w:rsid w:val="008C2B4D"/>
    <w:rsid w:val="008D0300"/>
    <w:rsid w:val="008F1623"/>
    <w:rsid w:val="009025F4"/>
    <w:rsid w:val="00903A9D"/>
    <w:rsid w:val="00911DEC"/>
    <w:rsid w:val="00916DDB"/>
    <w:rsid w:val="00923D48"/>
    <w:rsid w:val="0093237C"/>
    <w:rsid w:val="009331A4"/>
    <w:rsid w:val="00941AB8"/>
    <w:rsid w:val="0094284A"/>
    <w:rsid w:val="00944899"/>
    <w:rsid w:val="00984FED"/>
    <w:rsid w:val="0098528B"/>
    <w:rsid w:val="0098558F"/>
    <w:rsid w:val="009916A9"/>
    <w:rsid w:val="009C7045"/>
    <w:rsid w:val="009E436D"/>
    <w:rsid w:val="00A007B4"/>
    <w:rsid w:val="00A12E2B"/>
    <w:rsid w:val="00A40680"/>
    <w:rsid w:val="00A44B75"/>
    <w:rsid w:val="00A718FA"/>
    <w:rsid w:val="00A85D79"/>
    <w:rsid w:val="00A92331"/>
    <w:rsid w:val="00A9410C"/>
    <w:rsid w:val="00AB52C9"/>
    <w:rsid w:val="00AD34A2"/>
    <w:rsid w:val="00AE18B4"/>
    <w:rsid w:val="00AE30AD"/>
    <w:rsid w:val="00AE6144"/>
    <w:rsid w:val="00AF08B2"/>
    <w:rsid w:val="00B16DD3"/>
    <w:rsid w:val="00B65241"/>
    <w:rsid w:val="00B86DBA"/>
    <w:rsid w:val="00B87DF6"/>
    <w:rsid w:val="00BA7A5C"/>
    <w:rsid w:val="00BC4743"/>
    <w:rsid w:val="00BC6896"/>
    <w:rsid w:val="00BC6C8C"/>
    <w:rsid w:val="00BF1C67"/>
    <w:rsid w:val="00C3269D"/>
    <w:rsid w:val="00C55E00"/>
    <w:rsid w:val="00C5702F"/>
    <w:rsid w:val="00C66001"/>
    <w:rsid w:val="00C811A9"/>
    <w:rsid w:val="00C823F0"/>
    <w:rsid w:val="00C91D58"/>
    <w:rsid w:val="00C92AC2"/>
    <w:rsid w:val="00CA0EE5"/>
    <w:rsid w:val="00CA1875"/>
    <w:rsid w:val="00CA2173"/>
    <w:rsid w:val="00CA542D"/>
    <w:rsid w:val="00CA6E01"/>
    <w:rsid w:val="00CB6EA1"/>
    <w:rsid w:val="00CC4DEC"/>
    <w:rsid w:val="00CD2C3E"/>
    <w:rsid w:val="00CE074F"/>
    <w:rsid w:val="00CF0FBA"/>
    <w:rsid w:val="00CF2DC1"/>
    <w:rsid w:val="00D130D8"/>
    <w:rsid w:val="00D35784"/>
    <w:rsid w:val="00D37BE6"/>
    <w:rsid w:val="00D67F5E"/>
    <w:rsid w:val="00D70BCE"/>
    <w:rsid w:val="00D70DCF"/>
    <w:rsid w:val="00D8752F"/>
    <w:rsid w:val="00DA1484"/>
    <w:rsid w:val="00DB6B4F"/>
    <w:rsid w:val="00DC2436"/>
    <w:rsid w:val="00DC75CB"/>
    <w:rsid w:val="00DC766E"/>
    <w:rsid w:val="00DE3228"/>
    <w:rsid w:val="00DE3E69"/>
    <w:rsid w:val="00E00D5D"/>
    <w:rsid w:val="00E0493A"/>
    <w:rsid w:val="00E224EE"/>
    <w:rsid w:val="00E32844"/>
    <w:rsid w:val="00E42126"/>
    <w:rsid w:val="00E4499E"/>
    <w:rsid w:val="00E51776"/>
    <w:rsid w:val="00E53857"/>
    <w:rsid w:val="00E61915"/>
    <w:rsid w:val="00E620B4"/>
    <w:rsid w:val="00E64DCA"/>
    <w:rsid w:val="00E67BA4"/>
    <w:rsid w:val="00E67F3B"/>
    <w:rsid w:val="00E71EA2"/>
    <w:rsid w:val="00E84511"/>
    <w:rsid w:val="00E84ACC"/>
    <w:rsid w:val="00EC701C"/>
    <w:rsid w:val="00EE3B7B"/>
    <w:rsid w:val="00F20F75"/>
    <w:rsid w:val="00F33E20"/>
    <w:rsid w:val="00F46485"/>
    <w:rsid w:val="00F51004"/>
    <w:rsid w:val="00F76C16"/>
    <w:rsid w:val="00F9610F"/>
    <w:rsid w:val="00F97CA3"/>
    <w:rsid w:val="00FA014A"/>
    <w:rsid w:val="00FA10A7"/>
    <w:rsid w:val="00FA3257"/>
    <w:rsid w:val="00FE43BD"/>
    <w:rsid w:val="00FF653A"/>
    <w:rsid w:val="03F412A1"/>
    <w:rsid w:val="07AE2006"/>
    <w:rsid w:val="08663A5F"/>
    <w:rsid w:val="09776334"/>
    <w:rsid w:val="0CD753D5"/>
    <w:rsid w:val="0F04442C"/>
    <w:rsid w:val="122D6071"/>
    <w:rsid w:val="13515910"/>
    <w:rsid w:val="14137863"/>
    <w:rsid w:val="14BC6CC4"/>
    <w:rsid w:val="14E271BC"/>
    <w:rsid w:val="176820C2"/>
    <w:rsid w:val="1775494C"/>
    <w:rsid w:val="1831126E"/>
    <w:rsid w:val="1C2C6E58"/>
    <w:rsid w:val="1D6C4AF9"/>
    <w:rsid w:val="1E8701FA"/>
    <w:rsid w:val="1F4E1B0D"/>
    <w:rsid w:val="1F9B28F8"/>
    <w:rsid w:val="20827181"/>
    <w:rsid w:val="209005FD"/>
    <w:rsid w:val="225C3C81"/>
    <w:rsid w:val="230D589F"/>
    <w:rsid w:val="23E97F38"/>
    <w:rsid w:val="268128FF"/>
    <w:rsid w:val="268C0E0C"/>
    <w:rsid w:val="281026FA"/>
    <w:rsid w:val="299E2E0B"/>
    <w:rsid w:val="29FC4125"/>
    <w:rsid w:val="2A9E1780"/>
    <w:rsid w:val="32873A3E"/>
    <w:rsid w:val="32C0209F"/>
    <w:rsid w:val="333B066B"/>
    <w:rsid w:val="33B77259"/>
    <w:rsid w:val="380D2FFA"/>
    <w:rsid w:val="39997C19"/>
    <w:rsid w:val="3B137852"/>
    <w:rsid w:val="3BB75E94"/>
    <w:rsid w:val="3E2A1862"/>
    <w:rsid w:val="3E565C74"/>
    <w:rsid w:val="418A341C"/>
    <w:rsid w:val="427E2A71"/>
    <w:rsid w:val="43647A48"/>
    <w:rsid w:val="439A2AC1"/>
    <w:rsid w:val="465F0FDF"/>
    <w:rsid w:val="49F133DD"/>
    <w:rsid w:val="4A754998"/>
    <w:rsid w:val="4B0F4C04"/>
    <w:rsid w:val="4BA13A50"/>
    <w:rsid w:val="4BB3766A"/>
    <w:rsid w:val="4C1E3C24"/>
    <w:rsid w:val="4D0714C7"/>
    <w:rsid w:val="4D6F19A7"/>
    <w:rsid w:val="4F4B10EF"/>
    <w:rsid w:val="4F73093E"/>
    <w:rsid w:val="50771071"/>
    <w:rsid w:val="51BE16A1"/>
    <w:rsid w:val="53D91CC8"/>
    <w:rsid w:val="5616109A"/>
    <w:rsid w:val="56D62CEE"/>
    <w:rsid w:val="574D3EC9"/>
    <w:rsid w:val="57772CF1"/>
    <w:rsid w:val="577B6340"/>
    <w:rsid w:val="58030A90"/>
    <w:rsid w:val="59505C44"/>
    <w:rsid w:val="5BA46CFA"/>
    <w:rsid w:val="5C6C6636"/>
    <w:rsid w:val="5D0578A1"/>
    <w:rsid w:val="5F235D60"/>
    <w:rsid w:val="60C1101C"/>
    <w:rsid w:val="6192467F"/>
    <w:rsid w:val="61FD7005"/>
    <w:rsid w:val="62830167"/>
    <w:rsid w:val="645402A0"/>
    <w:rsid w:val="64B01203"/>
    <w:rsid w:val="676638DA"/>
    <w:rsid w:val="67A975C4"/>
    <w:rsid w:val="684E6F14"/>
    <w:rsid w:val="68FA22E2"/>
    <w:rsid w:val="6A58142C"/>
    <w:rsid w:val="6A84473C"/>
    <w:rsid w:val="6B0075F0"/>
    <w:rsid w:val="6D17077E"/>
    <w:rsid w:val="6DEC0CF9"/>
    <w:rsid w:val="6EC828CB"/>
    <w:rsid w:val="70771DBB"/>
    <w:rsid w:val="709B67CD"/>
    <w:rsid w:val="73951D0F"/>
    <w:rsid w:val="74073FE0"/>
    <w:rsid w:val="74210BA7"/>
    <w:rsid w:val="74BE04FC"/>
    <w:rsid w:val="75ED0473"/>
    <w:rsid w:val="770610B5"/>
    <w:rsid w:val="77504EE4"/>
    <w:rsid w:val="78003728"/>
    <w:rsid w:val="7807013D"/>
    <w:rsid w:val="78997A7C"/>
    <w:rsid w:val="7B0559CF"/>
    <w:rsid w:val="7C7452C5"/>
    <w:rsid w:val="7CBE0715"/>
    <w:rsid w:val="7E8258AE"/>
    <w:rsid w:val="7ECC4E9B"/>
    <w:rsid w:val="7F240109"/>
    <w:rsid w:val="7FB8634D"/>
    <w:rsid w:val="7FD5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CF989-90AA-4049-AF97-7C516430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3">
    <w:name w:val="列出段落3"/>
    <w:basedOn w:val="a"/>
    <w:uiPriority w:val="99"/>
    <w:qFormat/>
    <w:pPr>
      <w:ind w:firstLineChars="200" w:firstLine="420"/>
    </w:p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228</Words>
  <Characters>1305</Characters>
  <Application>Microsoft Office Word</Application>
  <DocSecurity>0</DocSecurity>
  <Lines>10</Lines>
  <Paragraphs>3</Paragraphs>
  <ScaleCrop>false</ScaleCrop>
  <Company>CFQS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5</cp:revision>
  <dcterms:created xsi:type="dcterms:W3CDTF">2020-09-30T02:31:00Z</dcterms:created>
  <dcterms:modified xsi:type="dcterms:W3CDTF">2020-10-09T06:07:00Z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