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黑体"/>
          <w:sz w:val="32"/>
          <w:szCs w:val="32"/>
        </w:rPr>
        <w:t>附件20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糖精钠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糖精钠</w:t>
      </w:r>
      <w:r>
        <w:rPr>
          <w:rFonts w:hint="eastAsia" w:eastAsia="仿宋" w:cs="黑体"/>
          <w:sz w:val="32"/>
          <w:szCs w:val="32"/>
        </w:rPr>
        <w:t>是食品工业</w:t>
      </w:r>
      <w:r>
        <w:rPr>
          <w:rFonts w:hint="eastAsia" w:eastAsia="仿宋" w:cs="仿宋"/>
          <w:sz w:val="32"/>
          <w:szCs w:val="32"/>
        </w:rPr>
        <w:t>中常用的合成甜味剂。《食品安全国家标准 食品添加剂使用标准》（GB 2760）规定，糖精钠在带壳熟制坚果与籽类食品</w:t>
      </w:r>
      <w:r>
        <w:rPr>
          <w:rFonts w:eastAsia="仿宋" w:cs="仿宋"/>
          <w:sz w:val="32"/>
          <w:szCs w:val="32"/>
        </w:rPr>
        <w:t>中</w:t>
      </w:r>
      <w:r>
        <w:rPr>
          <w:rFonts w:hint="eastAsia" w:eastAsia="仿宋" w:cs="仿宋"/>
          <w:sz w:val="32"/>
          <w:szCs w:val="32"/>
        </w:rPr>
        <w:t>的最大使用量为1.2 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吡虫啉是烟碱类超高效杀虫剂，具有广谱、高效、低毒、低残留，害虫不易产生抗性，并有触杀、胃毒和内吸等多重作用。《食品安全国家标准 食品中农药最大残留限量》（GB 2763）规定</w:t>
      </w:r>
      <w:r>
        <w:rPr>
          <w:rFonts w:eastAsia="仿宋_GB2312" w:cs="Arial"/>
          <w:sz w:val="32"/>
          <w:szCs w:val="32"/>
        </w:rPr>
        <w:t>，</w:t>
      </w:r>
      <w:r>
        <w:rPr>
          <w:rFonts w:hint="eastAsia" w:eastAsia="仿宋_GB2312" w:cs="Arial"/>
          <w:sz w:val="32"/>
          <w:szCs w:val="32"/>
        </w:rPr>
        <w:t>根茎类蔬菜（胡萝卜除外）中吡虫啉</w:t>
      </w:r>
      <w:r>
        <w:rPr>
          <w:rFonts w:eastAsia="仿宋_GB2312"/>
          <w:bCs/>
          <w:sz w:val="32"/>
          <w:szCs w:val="32"/>
        </w:rPr>
        <w:t>的最大残留限量为</w:t>
      </w:r>
      <w:r>
        <w:rPr>
          <w:rFonts w:hint="eastAsia" w:eastAsia="仿宋_GB2312"/>
          <w:bCs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五氯酚酸钠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食品动物中禁止使用</w:t>
      </w:r>
      <w:r>
        <w:rPr>
          <w:rFonts w:ascii="Times New Roman" w:hAnsi="Times New Roman" w:eastAsia="仿宋_GB2312" w:cs="Times New Roman"/>
          <w:sz w:val="32"/>
          <w:szCs w:val="32"/>
        </w:rPr>
        <w:t>五氯酚酸钠。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</w:t>
      </w:r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规定，鱼中恩诺沙星(以恩诺沙星与环丙沙星之和计)应不超过100μg/kg。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sz w:val="32"/>
          <w:szCs w:val="32"/>
        </w:rPr>
        <w:t>《食品安全国家标准 食品中农药最大残留限量》（</w:t>
      </w:r>
      <w:bookmarkStart w:id="1" w:name="OLE_LINK2"/>
      <w:r>
        <w:rPr>
          <w:rFonts w:hint="eastAsia" w:eastAsia="仿宋_GB2312"/>
          <w:bCs/>
          <w:sz w:val="32"/>
          <w:szCs w:val="32"/>
        </w:rPr>
        <w:t>GB 2763</w:t>
      </w:r>
      <w:bookmarkEnd w:id="1"/>
      <w:r>
        <w:rPr>
          <w:rFonts w:hint="eastAsia" w:eastAsia="仿宋_GB2312"/>
          <w:bCs/>
          <w:sz w:val="32"/>
          <w:szCs w:val="32"/>
        </w:rPr>
        <w:t>）规定韭菜中腐霉利的最大残留限量为0.2 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t>氟苯尼考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 w:cs="黑体"/>
          <w:sz w:val="32"/>
          <w:szCs w:val="32"/>
        </w:rPr>
        <w:t>氟苯尼考是一种农业部批准使用的动物专用抗菌药，主要用于敏感细菌所致的猪、鸡、鱼的细菌性疾病</w:t>
      </w:r>
      <w:r>
        <w:rPr>
          <w:rFonts w:hint="eastAsia" w:eastAsia="仿宋_GB2312" w:cs="黑体"/>
          <w:sz w:val="32"/>
          <w:szCs w:val="32"/>
        </w:rPr>
        <w:t>防治</w:t>
      </w:r>
      <w:r>
        <w:rPr>
          <w:rFonts w:eastAsia="仿宋_GB2312" w:cs="黑体"/>
          <w:sz w:val="32"/>
          <w:szCs w:val="32"/>
        </w:rPr>
        <w:t>，但产蛋家禽禁止使用氟苯尼考。</w:t>
      </w:r>
      <w:r>
        <w:rPr>
          <w:rFonts w:hint="eastAsia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</w:t>
      </w:r>
      <w:r>
        <w:rPr>
          <w:rFonts w:hint="eastAsia" w:eastAsia="仿宋_GB2312" w:cs="仿宋_GB2312"/>
          <w:sz w:val="32"/>
          <w:szCs w:val="32"/>
        </w:rPr>
        <w:t>规定“家禽（产蛋期禁用）”，即</w:t>
      </w:r>
      <w:r>
        <w:rPr>
          <w:rFonts w:hint="eastAsia" w:eastAsia="仿宋_GB2312" w:cs="Arial"/>
          <w:spacing w:val="-2"/>
          <w:kern w:val="0"/>
          <w:sz w:val="32"/>
          <w:szCs w:val="32"/>
        </w:rPr>
        <w:t>鸡蛋</w:t>
      </w:r>
      <w:r>
        <w:rPr>
          <w:rFonts w:hint="eastAsia" w:eastAsia="仿宋_GB2312" w:cs="仿宋_GB2312"/>
          <w:sz w:val="32"/>
          <w:szCs w:val="32"/>
        </w:rPr>
        <w:t>中不得检出。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霉菌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eastAsia="仿宋_GB2312" w:cs="黑体"/>
          <w:sz w:val="32"/>
          <w:szCs w:val="32"/>
        </w:rPr>
        <w:t>霉菌是丝状真菌的俗称，意即“发霉的真菌”，霉菌有的使食品转变为有毒物质，有的可能在食品中产生毒素，即霉菌毒素。食品中水分含量和环境温湿度是影响霉菌繁殖与产毒的主要条件。</w:t>
      </w:r>
      <w:r>
        <w:rPr>
          <w:rFonts w:hint="eastAsia" w:eastAsia="仿宋_GB2312" w:cs="黑体"/>
          <w:sz w:val="32"/>
          <w:szCs w:val="32"/>
        </w:rPr>
        <w:t>《食品安全国家标准 糕点、面包》</w:t>
      </w:r>
      <w:r>
        <w:rPr>
          <w:rFonts w:eastAsia="仿宋_GB2312" w:cs="黑体"/>
          <w:sz w:val="32"/>
          <w:szCs w:val="32"/>
        </w:rPr>
        <w:t>（</w:t>
      </w:r>
      <w:r>
        <w:rPr>
          <w:rFonts w:hint="eastAsia" w:eastAsia="仿宋_GB2312" w:cs="黑体"/>
          <w:sz w:val="32"/>
          <w:szCs w:val="32"/>
        </w:rPr>
        <w:t>GB 7099</w:t>
      </w:r>
      <w:r>
        <w:rPr>
          <w:rFonts w:eastAsia="仿宋_GB2312" w:cs="黑体"/>
          <w:sz w:val="32"/>
          <w:szCs w:val="32"/>
        </w:rPr>
        <w:t>）规定，</w:t>
      </w:r>
      <w:r>
        <w:rPr>
          <w:rFonts w:hint="eastAsia" w:eastAsia="仿宋_GB2312" w:cs="黑体"/>
          <w:sz w:val="32"/>
          <w:szCs w:val="32"/>
        </w:rPr>
        <w:t>糕点</w:t>
      </w:r>
      <w:r>
        <w:rPr>
          <w:rFonts w:hint="eastAsia" w:eastAsia="仿宋_GB2312"/>
          <w:sz w:val="32"/>
          <w:szCs w:val="32"/>
        </w:rPr>
        <w:t>中霉菌</w:t>
      </w:r>
      <w:r>
        <w:rPr>
          <w:rFonts w:hint="eastAsia" w:eastAsia="仿宋_GB2312" w:cs="仿宋"/>
          <w:sz w:val="32"/>
          <w:szCs w:val="32"/>
        </w:rPr>
        <w:t>应</w:t>
      </w:r>
      <w:r>
        <w:rPr>
          <w:rFonts w:eastAsia="仿宋_GB2312" w:cs="仿宋"/>
          <w:sz w:val="32"/>
          <w:szCs w:val="32"/>
        </w:rPr>
        <w:t>不超过</w:t>
      </w:r>
      <w:r>
        <w:rPr>
          <w:rFonts w:eastAsia="仿宋_GB2312" w:cs="黑体"/>
          <w:sz w:val="32"/>
          <w:szCs w:val="32"/>
        </w:rPr>
        <w:t>150 CFU/g。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磺胺类(总量)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 食品中兽药最大残留限量》（GB</w:t>
      </w:r>
      <w:bookmarkStart w:id="2" w:name="OLE_LINK3"/>
      <w:r>
        <w:rPr>
          <w:rFonts w:hint="eastAsia" w:eastAsia="仿宋_GB2312" w:cs="黑体"/>
          <w:sz w:val="32"/>
          <w:szCs w:val="32"/>
        </w:rPr>
        <w:t xml:space="preserve"> 31650</w:t>
      </w:r>
      <w:bookmarkEnd w:id="2"/>
      <w:r>
        <w:rPr>
          <w:rFonts w:hint="eastAsia" w:eastAsia="仿宋_GB2312" w:cs="黑体"/>
          <w:sz w:val="32"/>
          <w:szCs w:val="32"/>
        </w:rPr>
        <w:t>）规定，</w:t>
      </w:r>
      <w:r>
        <w:rPr>
          <w:rFonts w:eastAsia="仿宋_GB2312" w:cs="黑体"/>
          <w:sz w:val="32"/>
          <w:szCs w:val="32"/>
        </w:rPr>
        <w:t>鱼（</w:t>
      </w:r>
      <w:r>
        <w:rPr>
          <w:rFonts w:hint="eastAsia" w:eastAsia="仿宋_GB2312" w:cs="黑体"/>
          <w:sz w:val="32"/>
          <w:szCs w:val="32"/>
        </w:rPr>
        <w:t>皮+肉</w:t>
      </w:r>
      <w:r>
        <w:rPr>
          <w:rFonts w:eastAsia="仿宋_GB2312" w:cs="黑体"/>
          <w:sz w:val="32"/>
          <w:szCs w:val="32"/>
        </w:rPr>
        <w:t>）</w:t>
      </w:r>
      <w:r>
        <w:rPr>
          <w:rFonts w:hint="eastAsia" w:eastAsia="仿宋_GB2312" w:cs="黑体"/>
          <w:sz w:val="32"/>
          <w:szCs w:val="32"/>
        </w:rPr>
        <w:t>中磺胺类（总量）</w:t>
      </w:r>
      <w:r>
        <w:rPr>
          <w:rFonts w:hint="eastAsia" w:eastAsia="仿宋_GB2312" w:cs="仿宋_GB2312"/>
          <w:sz w:val="32"/>
          <w:szCs w:val="32"/>
        </w:rPr>
        <w:t>应不超过</w:t>
      </w:r>
      <w:r>
        <w:rPr>
          <w:rFonts w:hint="eastAsia" w:eastAsia="仿宋_GB2312" w:cs="黑体"/>
          <w:sz w:val="32"/>
          <w:szCs w:val="32"/>
        </w:rPr>
        <w:t>100μg/kg。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氟虫腈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氟虫腈是一种苯基吡唑类杀虫剂，对害虫以胃毒作用为主，兼有触杀和一定的内吸作用。《食品安全国家标准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）规定，叶菜类蔬菜中氟虫腈的最大残留限量为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仿宋"/>
          <w:color w:val="000000"/>
          <w:sz w:val="32"/>
          <w:szCs w:val="32"/>
        </w:rPr>
        <w:t>大肠菌群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大肠菌群是国内外通用的食品污染常用指示菌之一。食品餐饮具中检出大肠菌群，提示被肠道致病菌污染的可能性较大。《食品安全国家标准 消毒餐（饮）具》（GB 14934）中规定消毒餐（饮）具中大肠菌群不得检出。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地西泮又名安定，为镇静剂类药物，主要用于焦虑、镇静催眠，还可用于抗癫痫和抗惊厥。《食品安全国家标准 食品中兽药最大残留限量》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GB 31650</w:t>
      </w:r>
      <w:r>
        <w:rPr>
          <w:rFonts w:eastAsia="仿宋_GB2312"/>
          <w:sz w:val="32"/>
          <w:szCs w:val="32"/>
        </w:rPr>
        <w:t>）规定</w:t>
      </w:r>
      <w:r>
        <w:rPr>
          <w:rFonts w:hint="eastAsia" w:eastAsia="仿宋_GB2312"/>
          <w:sz w:val="32"/>
          <w:szCs w:val="32"/>
        </w:rPr>
        <w:t>，地西泮是</w:t>
      </w:r>
      <w:r>
        <w:rPr>
          <w:rFonts w:eastAsia="仿宋_GB2312" w:cs="黑体"/>
          <w:sz w:val="32"/>
          <w:szCs w:val="32"/>
        </w:rPr>
        <w:t>允许作治疗用，但不得在动物性食品中检出的兽药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铜绿假单胞菌</w:t>
      </w:r>
    </w:p>
    <w:p>
      <w:pPr>
        <w:pStyle w:val="6"/>
        <w:adjustRightInd w:val="0"/>
        <w:snapToGrid w:val="0"/>
        <w:spacing w:line="58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19298）规定，同批次5个独立包装的</w:t>
      </w:r>
      <w:r>
        <w:rPr>
          <w:rFonts w:hint="eastAsia" w:eastAsia="仿宋_GB2312"/>
          <w:bCs/>
          <w:sz w:val="32"/>
          <w:szCs w:val="32"/>
        </w:rPr>
        <w:t>产品</w:t>
      </w:r>
      <w:r>
        <w:rPr>
          <w:rFonts w:eastAsia="仿宋_GB2312"/>
          <w:bCs/>
          <w:sz w:val="32"/>
          <w:szCs w:val="32"/>
        </w:rPr>
        <w:t>中铜绿假单胞菌</w:t>
      </w:r>
      <w:r>
        <w:rPr>
          <w:rFonts w:eastAsia="仿宋_GB2312"/>
          <w:color w:val="000000"/>
          <w:sz w:val="32"/>
          <w:szCs w:val="32"/>
        </w:rPr>
        <w:t>均不得检出。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371992">
    <w:nsid w:val="05A00098"/>
    <w:multiLevelType w:val="multilevel"/>
    <w:tmpl w:val="05A00098"/>
    <w:lvl w:ilvl="0" w:tentative="1">
      <w:start w:val="1"/>
      <w:numFmt w:val="chineseCount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43719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T/6f9k+YCupKBXbL7kgpuxSkt5g=" w:salt="cieKv+kfifuPgi7v+UBucg==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11AA7"/>
    <w:rsid w:val="00082C9C"/>
    <w:rsid w:val="000A0EB8"/>
    <w:rsid w:val="000A2EEF"/>
    <w:rsid w:val="000B2294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1F62EF"/>
    <w:rsid w:val="001F75FC"/>
    <w:rsid w:val="00203CEF"/>
    <w:rsid w:val="00210759"/>
    <w:rsid w:val="002209C3"/>
    <w:rsid w:val="00227C98"/>
    <w:rsid w:val="00287106"/>
    <w:rsid w:val="002B5A26"/>
    <w:rsid w:val="002C042D"/>
    <w:rsid w:val="002C497B"/>
    <w:rsid w:val="002D4079"/>
    <w:rsid w:val="002F1403"/>
    <w:rsid w:val="00320337"/>
    <w:rsid w:val="003210BA"/>
    <w:rsid w:val="00335654"/>
    <w:rsid w:val="00385653"/>
    <w:rsid w:val="003B0507"/>
    <w:rsid w:val="003C635B"/>
    <w:rsid w:val="003D097B"/>
    <w:rsid w:val="004012A2"/>
    <w:rsid w:val="00430E21"/>
    <w:rsid w:val="00446771"/>
    <w:rsid w:val="00475C35"/>
    <w:rsid w:val="00490F04"/>
    <w:rsid w:val="00495F06"/>
    <w:rsid w:val="00497B87"/>
    <w:rsid w:val="004A7B13"/>
    <w:rsid w:val="00507310"/>
    <w:rsid w:val="00524DAE"/>
    <w:rsid w:val="005437A0"/>
    <w:rsid w:val="005524CE"/>
    <w:rsid w:val="00557B9A"/>
    <w:rsid w:val="00580A7E"/>
    <w:rsid w:val="00585877"/>
    <w:rsid w:val="0059772E"/>
    <w:rsid w:val="005A532E"/>
    <w:rsid w:val="005C3B9C"/>
    <w:rsid w:val="005E26BC"/>
    <w:rsid w:val="005E4129"/>
    <w:rsid w:val="005E7EC6"/>
    <w:rsid w:val="005F2ABB"/>
    <w:rsid w:val="00611B42"/>
    <w:rsid w:val="00622D9A"/>
    <w:rsid w:val="00651F47"/>
    <w:rsid w:val="0065262F"/>
    <w:rsid w:val="00656419"/>
    <w:rsid w:val="00660E64"/>
    <w:rsid w:val="00686D3D"/>
    <w:rsid w:val="006B67C6"/>
    <w:rsid w:val="006D6A47"/>
    <w:rsid w:val="006F0BB7"/>
    <w:rsid w:val="007046E5"/>
    <w:rsid w:val="007442C1"/>
    <w:rsid w:val="00762757"/>
    <w:rsid w:val="0076723A"/>
    <w:rsid w:val="007771CD"/>
    <w:rsid w:val="007955BC"/>
    <w:rsid w:val="007A6867"/>
    <w:rsid w:val="007D3C35"/>
    <w:rsid w:val="00827383"/>
    <w:rsid w:val="00830ABC"/>
    <w:rsid w:val="00830C93"/>
    <w:rsid w:val="00853C2D"/>
    <w:rsid w:val="00857567"/>
    <w:rsid w:val="00877733"/>
    <w:rsid w:val="008C2B4D"/>
    <w:rsid w:val="00903A9D"/>
    <w:rsid w:val="00911DEC"/>
    <w:rsid w:val="00916DDB"/>
    <w:rsid w:val="00923D48"/>
    <w:rsid w:val="00932005"/>
    <w:rsid w:val="0093237C"/>
    <w:rsid w:val="00941AB8"/>
    <w:rsid w:val="00953E43"/>
    <w:rsid w:val="009636A0"/>
    <w:rsid w:val="0098182F"/>
    <w:rsid w:val="00984FED"/>
    <w:rsid w:val="009C7045"/>
    <w:rsid w:val="009F1DE8"/>
    <w:rsid w:val="009F676A"/>
    <w:rsid w:val="00A007B4"/>
    <w:rsid w:val="00A07DBD"/>
    <w:rsid w:val="00A1756A"/>
    <w:rsid w:val="00A40680"/>
    <w:rsid w:val="00A412CB"/>
    <w:rsid w:val="00A85D79"/>
    <w:rsid w:val="00A9410C"/>
    <w:rsid w:val="00AB52C9"/>
    <w:rsid w:val="00B16DD3"/>
    <w:rsid w:val="00B42E4D"/>
    <w:rsid w:val="00B65241"/>
    <w:rsid w:val="00B84DDD"/>
    <w:rsid w:val="00B87DF6"/>
    <w:rsid w:val="00BA7A5C"/>
    <w:rsid w:val="00BC6C8C"/>
    <w:rsid w:val="00BD1DC5"/>
    <w:rsid w:val="00C17861"/>
    <w:rsid w:val="00C22608"/>
    <w:rsid w:val="00C34001"/>
    <w:rsid w:val="00C37B10"/>
    <w:rsid w:val="00C66AB4"/>
    <w:rsid w:val="00C7671C"/>
    <w:rsid w:val="00C91D58"/>
    <w:rsid w:val="00C92AC2"/>
    <w:rsid w:val="00C97F56"/>
    <w:rsid w:val="00CA542D"/>
    <w:rsid w:val="00CA6E01"/>
    <w:rsid w:val="00CC4DEC"/>
    <w:rsid w:val="00CE074F"/>
    <w:rsid w:val="00D10243"/>
    <w:rsid w:val="00D53D41"/>
    <w:rsid w:val="00D6074B"/>
    <w:rsid w:val="00D67F5E"/>
    <w:rsid w:val="00D70015"/>
    <w:rsid w:val="00D70BCE"/>
    <w:rsid w:val="00D70DCF"/>
    <w:rsid w:val="00D951B4"/>
    <w:rsid w:val="00DA1484"/>
    <w:rsid w:val="00DC2436"/>
    <w:rsid w:val="00DE3228"/>
    <w:rsid w:val="00DE5E80"/>
    <w:rsid w:val="00E05936"/>
    <w:rsid w:val="00E224EE"/>
    <w:rsid w:val="00E32844"/>
    <w:rsid w:val="00E67BA4"/>
    <w:rsid w:val="00E67F3B"/>
    <w:rsid w:val="00E84511"/>
    <w:rsid w:val="00E90E0C"/>
    <w:rsid w:val="00EE3230"/>
    <w:rsid w:val="00EE3B7B"/>
    <w:rsid w:val="00EF4A43"/>
    <w:rsid w:val="00F76C16"/>
    <w:rsid w:val="00F83142"/>
    <w:rsid w:val="00F8771E"/>
    <w:rsid w:val="00F97CA3"/>
    <w:rsid w:val="00FA014A"/>
    <w:rsid w:val="00FE0B0A"/>
    <w:rsid w:val="017B63F9"/>
    <w:rsid w:val="030071CA"/>
    <w:rsid w:val="03311F28"/>
    <w:rsid w:val="07AE2006"/>
    <w:rsid w:val="09776334"/>
    <w:rsid w:val="0AB3614A"/>
    <w:rsid w:val="0B346493"/>
    <w:rsid w:val="0C8239E8"/>
    <w:rsid w:val="13515910"/>
    <w:rsid w:val="14BC6CC4"/>
    <w:rsid w:val="176820C2"/>
    <w:rsid w:val="1775494C"/>
    <w:rsid w:val="1831126E"/>
    <w:rsid w:val="1A527109"/>
    <w:rsid w:val="1C2C6E58"/>
    <w:rsid w:val="1DA16D31"/>
    <w:rsid w:val="1DDB29EC"/>
    <w:rsid w:val="1F5E7E5E"/>
    <w:rsid w:val="1FC77B05"/>
    <w:rsid w:val="20827181"/>
    <w:rsid w:val="225C3C81"/>
    <w:rsid w:val="23E97F38"/>
    <w:rsid w:val="248E1426"/>
    <w:rsid w:val="25A94EE1"/>
    <w:rsid w:val="25BD6579"/>
    <w:rsid w:val="281026FA"/>
    <w:rsid w:val="299E2E0B"/>
    <w:rsid w:val="29FC4125"/>
    <w:rsid w:val="2A9E1780"/>
    <w:rsid w:val="2CB00818"/>
    <w:rsid w:val="2CC24A7A"/>
    <w:rsid w:val="30C330FA"/>
    <w:rsid w:val="31847A9C"/>
    <w:rsid w:val="32C0209F"/>
    <w:rsid w:val="333B066B"/>
    <w:rsid w:val="33B77259"/>
    <w:rsid w:val="33C53B6B"/>
    <w:rsid w:val="34540E35"/>
    <w:rsid w:val="346B466B"/>
    <w:rsid w:val="37761B90"/>
    <w:rsid w:val="380D2FFA"/>
    <w:rsid w:val="39997C19"/>
    <w:rsid w:val="3A44715B"/>
    <w:rsid w:val="3CBC0BA6"/>
    <w:rsid w:val="3E2A1862"/>
    <w:rsid w:val="3E565C74"/>
    <w:rsid w:val="418A341C"/>
    <w:rsid w:val="423B545E"/>
    <w:rsid w:val="42A97407"/>
    <w:rsid w:val="43647A48"/>
    <w:rsid w:val="439A2AC1"/>
    <w:rsid w:val="465F0FDF"/>
    <w:rsid w:val="46DA5A5F"/>
    <w:rsid w:val="470537DA"/>
    <w:rsid w:val="475F2464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4C1EB9"/>
    <w:rsid w:val="54744797"/>
    <w:rsid w:val="54FC184D"/>
    <w:rsid w:val="5616109A"/>
    <w:rsid w:val="56D62CEE"/>
    <w:rsid w:val="57772CF1"/>
    <w:rsid w:val="58030A90"/>
    <w:rsid w:val="5C6C6636"/>
    <w:rsid w:val="5D0578A1"/>
    <w:rsid w:val="5DD57AC0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B762F"/>
    <w:rsid w:val="684E6F14"/>
    <w:rsid w:val="68C60301"/>
    <w:rsid w:val="68FA22E2"/>
    <w:rsid w:val="69CC38F9"/>
    <w:rsid w:val="6A58142C"/>
    <w:rsid w:val="6B0075F0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30047B"/>
    <w:rsid w:val="798C2E03"/>
    <w:rsid w:val="7B0559CF"/>
    <w:rsid w:val="7C7452C5"/>
    <w:rsid w:val="7E8258AE"/>
    <w:rsid w:val="7EB83BAF"/>
    <w:rsid w:val="7F240109"/>
    <w:rsid w:val="7F5B72D1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3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215</Words>
  <Characters>1231</Characters>
  <Lines>10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2020-04-28T06:06:00Z</dcterms:created>
  <dc:creator>lenovo</dc:creator>
  <cp:lastModifiedBy>董廷俊</cp:lastModifiedBy>
  <dcterms:modified xsi:type="dcterms:W3CDTF">2020-08-14T01:02:26Z</dcterms:modified>
  <dc:title>附件20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