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CESI宋体-GB13000" w:hAnsi="CESI宋体-GB13000" w:eastAsia="仿宋_GB2312"/>
          <w:sz w:val="32"/>
          <w:szCs w:val="32"/>
          <w:lang w:val="en-US" w:eastAsia="zh-CN"/>
        </w:rPr>
      </w:pPr>
      <w:r>
        <w:rPr>
          <w:rFonts w:hint="eastAsia" w:ascii="CESI宋体-GB13000" w:hAnsi="CESI宋体-GB13000" w:eastAsia="黑体" w:cs="黑体"/>
          <w:b w:val="0"/>
          <w:sz w:val="32"/>
          <w:szCs w:val="32"/>
          <w:lang w:val="en-US" w:eastAsia="zh-CN"/>
        </w:rPr>
        <w:t xml:space="preserve">附件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CESI宋体-GB13000" w:hAnsi="CESI宋体-GB13000" w:eastAsia="方正小标宋简体" w:cs="方正小标宋简体"/>
          <w:b w:val="0"/>
          <w:sz w:val="32"/>
          <w:szCs w:val="32"/>
          <w:lang w:eastAsia="zh-CN"/>
        </w:rPr>
      </w:pPr>
      <w:bookmarkStart w:id="0" w:name="_GoBack"/>
      <w:r>
        <w:rPr>
          <w:rFonts w:hint="eastAsia" w:ascii="CESI宋体-GB13000" w:hAnsi="CESI宋体-GB13000" w:eastAsia="方正小标宋简体" w:cs="方正小标宋简体"/>
          <w:sz w:val="32"/>
          <w:szCs w:val="32"/>
          <w:lang w:val="en-US" w:eastAsia="zh-CN"/>
        </w:rPr>
        <w:t>2023</w:t>
      </w:r>
      <w:r>
        <w:rPr>
          <w:rFonts w:hint="eastAsia" w:ascii="CESI宋体-GB13000" w:hAnsi="CESI宋体-GB13000" w:eastAsia="方正小标宋简体" w:cs="方正小标宋简体"/>
          <w:sz w:val="32"/>
          <w:szCs w:val="32"/>
        </w:rPr>
        <w:t>年北京市地方计量技术规范</w:t>
      </w:r>
      <w:r>
        <w:rPr>
          <w:rFonts w:hint="eastAsia" w:ascii="CESI宋体-GB13000" w:hAnsi="CESI宋体-GB13000" w:eastAsia="方正小标宋简体" w:cs="方正小标宋简体"/>
          <w:sz w:val="32"/>
          <w:szCs w:val="32"/>
          <w:lang w:eastAsia="zh-CN"/>
        </w:rPr>
        <w:t>制修订计划</w:t>
      </w:r>
    </w:p>
    <w:bookmarkEnd w:id="0"/>
    <w:tbl>
      <w:tblPr>
        <w:tblStyle w:val="4"/>
        <w:tblW w:w="14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1"/>
        <w:gridCol w:w="5466"/>
        <w:gridCol w:w="3737"/>
        <w:gridCol w:w="835"/>
        <w:gridCol w:w="2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exact"/>
          <w:tblHeader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CESI宋体-GB13000" w:hAnsi="CESI宋体-GB13000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宋体-GB13000" w:hAnsi="CESI宋体-GB13000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项目编号</w:t>
            </w:r>
          </w:p>
        </w:tc>
        <w:tc>
          <w:tcPr>
            <w:tcW w:w="54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CESI宋体-GB13000" w:hAnsi="CESI宋体-GB13000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宋体-GB13000" w:hAnsi="CESI宋体-GB13000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3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CESI宋体-GB13000" w:hAnsi="CESI宋体-GB13000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宋体-GB13000" w:hAnsi="CESI宋体-GB13000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主要起草单位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CESI宋体-GB13000" w:hAnsi="CESI宋体-GB13000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宋体-GB13000" w:hAnsi="CESI宋体-GB13000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制修订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CESI宋体-GB13000" w:hAnsi="CESI宋体-GB13000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宋体-GB13000" w:hAnsi="CESI宋体-GB13000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2023001</w:t>
            </w:r>
          </w:p>
        </w:tc>
        <w:tc>
          <w:tcPr>
            <w:tcW w:w="54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高精度数字温度计校准规范</w:t>
            </w:r>
          </w:p>
        </w:tc>
        <w:tc>
          <w:tcPr>
            <w:tcW w:w="3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京津冀共建计量技术规范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2023002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气相分子吸收光谱仪校准规范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京津冀共建计量技术规范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2023003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电力电容电感测试仪校准规范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天津市计量监督检测科学研究院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京津冀共建计量技术规范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2023004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钢筋标距仪校准规范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天津市计量监督检测科学研究院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京津冀共建计量技术规范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2023005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交直流数字高压表校准规范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河北省计量监督检测研究院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京津冀共建计量技术规范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2023006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天然气质量参数计量技术规范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河北省计量监督检测研究院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京津冀共建计量技术规范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2023007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气象五参数检测仪校准规范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华北大区共建计量技术规范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2023008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水质硬度在线分析仪校准规范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天津市计量监督检测科学研究院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华北大区共建计量技术规范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2023009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太阳电池组件校准规范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天津市计量监督检测科学研究院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华北大区共建计量技术规范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2023010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汽车制造专用加注机校准规范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河北省计量监督检测研究院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华北大区共建计量技术规范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2023011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导轨式电能表校准规范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山西省检验检测中心(山西省标准计量技术研究院)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华北大区共建计量技术规范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2023012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三维激光扫描法卧式金属罐容积测试规范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60" w:afterAutospacing="0" w:line="28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instrText xml:space="preserve"> HYPERLINK "https://www.baidu.com/link?url=cSokcG-O_Y9ppLKOPfM-9mnmnqiaDenHIiL0YY6jNO4vO7EUDGJkhOLmDuf6lt8e&amp;wd=&amp;eqid=82da03d2000809770000000264368fd0" \t "/home/scjgj/Documents\\x/_blank"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内蒙古自治区计量测试研究院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华北大区共建计量技术规范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2023013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直流高压发生器校准规范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60" w:afterAutospacing="0" w:line="28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instrText xml:space="preserve"> HYPERLINK "https://www.baidu.com/link?url=cSokcG-O_Y9ppLKOPfM-9mnmnqiaDenHIiL0YY6jNO4vO7EUDGJkhOLmDuf6lt8e&amp;wd=&amp;eqid=82da03d2000809770000000264368fd0" \t "/home/scjgj/Documents\\x/_blank"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内蒙古自治区计量测试研究院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华北大区共建计量技术规范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2023014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测量仪器与智能传感科技成果概念验证评价规范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中国计量科学研究院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2023015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智能电能表检定周期调整实施规范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修订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2023016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智能电能表现场校验规范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修订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2023017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智能电能表远程校准规范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2023018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智能电表电动车充电辨识模组校准规范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2023019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机场跑道异物检测系统校准规范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2023020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超声多普勒流量计校准规范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2023021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零气发生器校准规范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2023022</w:t>
            </w:r>
          </w:p>
        </w:tc>
        <w:tc>
          <w:tcPr>
            <w:tcW w:w="54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滤膜自动称重系统校准规范</w:t>
            </w:r>
          </w:p>
        </w:tc>
        <w:tc>
          <w:tcPr>
            <w:tcW w:w="3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2023023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固定污染源温室气体排放连续监测系统校准规范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2023024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重型汽车氮氧化物快速检测仪校准规范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2023025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扬尘监测系统在线校准规范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2023026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黑炭监测仪校准规范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2023027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气体稀释装置校准规范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2023028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便携式傅里叶变换红外气体分析仪校准规范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2023029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微风风速仪校准规范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2023030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液相色谱仪自动进样器校准规范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2023031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核酸快速检测仪校准规范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2023032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气体活塞定标筒校准规范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2023033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鲁尔圆锥接头性能测试仪校准规范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2023034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环氧乙烷灭菌器校准规范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2023035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小型压力蒸汽灭菌器温度、压力参数校准规范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2023036</w:t>
            </w:r>
          </w:p>
        </w:tc>
        <w:tc>
          <w:tcPr>
            <w:tcW w:w="546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干式恒温器校准规范</w:t>
            </w:r>
          </w:p>
        </w:tc>
        <w:tc>
          <w:tcPr>
            <w:tcW w:w="37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2023037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罗维朋比色计校准规范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2023038</w:t>
            </w:r>
          </w:p>
        </w:tc>
        <w:tc>
          <w:tcPr>
            <w:tcW w:w="546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基于金属矩形波导的石墨烯材料吸波和屏蔽性能校准规范</w:t>
            </w:r>
          </w:p>
        </w:tc>
        <w:tc>
          <w:tcPr>
            <w:tcW w:w="373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2023039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石墨烯散热片热扩散系数及导热系数校准规范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2023040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石墨烯粉体材料光学法粒度测量技术规范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2023041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工业中控系统设备电参数测量单元在线计量校准规范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2023042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拉伸冲击试验机校准规范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2023043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仪器化冲击标准试样校准规范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2023044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生产线立式储液罐的压力、流量参数在线校准规范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北京市计量检测科学研究院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2023045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药物溶出度仪温度参数校准规范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北京市东城区计量检测所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2023046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过氧化氢检测仪校准规范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北京市大兴区计量检测所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2023047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液态红油式差压计校准规范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北京市大兴区计量检测所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2023048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电阻法血糖仪校准规范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北京优量云产业计量技术创新</w:t>
            </w:r>
          </w:p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研究院有限公司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2023049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电子罐秤校准规范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北京优量云产业计量技术创新</w:t>
            </w:r>
          </w:p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研究院有限公司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2023050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痕量水分仪校准规范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中国航空工业集团公司北京长城</w:t>
            </w:r>
          </w:p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计量测试技术研究所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2023051</w:t>
            </w:r>
          </w:p>
        </w:tc>
        <w:tc>
          <w:tcPr>
            <w:tcW w:w="546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辉光放电光谱仪校准规范</w:t>
            </w:r>
          </w:p>
        </w:tc>
        <w:tc>
          <w:tcPr>
            <w:tcW w:w="373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钢研纳克检测技术股份有限公司</w:t>
            </w:r>
          </w:p>
        </w:tc>
        <w:tc>
          <w:tcPr>
            <w:tcW w:w="83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制定</w:t>
            </w:r>
          </w:p>
        </w:tc>
        <w:tc>
          <w:tcPr>
            <w:tcW w:w="264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jc w:val="both"/>
        <w:rPr>
          <w:rFonts w:hint="eastAsia" w:ascii="CESI宋体-GB13000" w:hAnsi="CESI宋体-GB13000" w:eastAsia="仿宋_GB2312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15" w:charSpace="0"/>
        </w:sect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DRjNWU0OTEzZjYwZGY2NDU5YmY1NDgwYThlMWMifQ=="/>
  </w:docVars>
  <w:rsids>
    <w:rsidRoot w:val="24C676D4"/>
    <w:rsid w:val="24C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2023-08-30T13:43:00Z</dcterms:created>
  <dc:creator>杜成杰</dc:creator>
  <cp:lastModifiedBy>杜成杰</cp:lastModifiedBy>
  <dcterms:modified xsi:type="dcterms:W3CDTF">2023-08-30T13:43:38Z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6C2C8F35B50D425AA374E2DF34A1C315_11</vt:lpwstr>
  </property>
</Properties>
</file>