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1.检验判定依据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GB/T 29862《纺织品 纤维含量的标识》；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GB/T 5296.4《消费品使用说明 第4部分：纺织品和服装》；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GB/T 14272《羽绒服装》；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GB 31701《婴幼儿及儿童纺织产品安全技术规范》；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企业自我声明公开执行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-US" w:eastAsia="zh-CN"/>
        </w:rPr>
        <w:t>的团体标准、企业标准及产品明示质量要求。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2.检验项目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  <w:t>纤维成分及含量，甲醛含量，pH值，耐水色牢度，耐酸汗渍色牢度，耐碱汗渍色牢度，耐干摩擦色牢度，耐湿摩擦色牢度，可分解致癌芳香胺染料，耐唾液色牢度，重金属，邻苯二甲酸酯，填充物的要求，附件的要求，其他要求，羽绒含绒量/绒子含量，充绒量共17项。其中甲醛含量，pH值，可分解致癌芳香胺染料，重金属，邻苯二甲酸酯，附件的要求，其他要求为安全性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75A72204"/>
    <w:rsid w:val="75A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319</Characters>
  <Lines>0</Lines>
  <Paragraphs>0</Paragraphs>
  <TotalTime>0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2023-08-28T03:17:00Z</dcterms:created>
  <dc:creator>小杜儿～</dc:creator>
  <cp:lastModifiedBy>小杜儿～</cp:lastModifiedBy>
  <dcterms:modified xsi:type="dcterms:W3CDTF">2023-08-28T03:17:35Z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42DE3FC0A0E34488AF675712C9A7DED2_11</vt:lpwstr>
  </property>
</Properties>
</file>