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607"/>
        <w:gridCol w:w="1722"/>
        <w:gridCol w:w="1144"/>
        <w:gridCol w:w="1717"/>
        <w:gridCol w:w="1067"/>
        <w:gridCol w:w="1660"/>
        <w:gridCol w:w="4007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北京张家湾亮佳百货商店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无锡市本钿科技有限公司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新本冈田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TDT036Z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北京市汤河兴旺小卖部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天津醒狮电动车业有限公司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FLYING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PIGEON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TDT023Z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北京津延川商贸有限公司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天津钻豹科技有限公司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TDT84-1Z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2023/4/23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北京轩垣科技有限公司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天津深铃科技发展有限公司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TAILG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TDW1277Z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北京乔庄陈洪自行车商店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SUNRA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TDT9660Z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、控制系统（过流保护功能）、充电器与蓄电池（蓄电池防篡改）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北京于家务文利鲜肉摊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浙江钻豹电动车股份有限公司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ZUB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TDT522Z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北京温泉祥成自行车修理部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LIMA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TDT2210Z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电气装置（导线布线安装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北京温泉祥成自行车修理部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河北立马车业科技有限公司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LIMA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TDT2202Z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、电池管理系统（BMS）（数据上传功能）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北京市西集瑞诚商店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天津华贵源电动车业有限公司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LVNENG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TDT1049Z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北京丰益安达商贸有限公司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天津钻豹科技有限公司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TDT68Z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北京丰益安达商贸有限公司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浙江钻豹电动车股份有限公司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ZUB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TDT522Z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北京靖融森商贸中心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河南绿佳车业有限公司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TDT1993Z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北京佳美捷自行车商店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湖北新日电动车有限公司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XIN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RI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TDT8067Z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、整车质量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北京佳美捷自行车商店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天津新日机电有限公司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XIN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RI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TDT5150Z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尺寸限值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北京摩旅科技有限公司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SUNRA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TDT9660Z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整车质量、控制系统(过流保护功能）、充电器与蓄电池（蓄电池防篡改）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北京盛通平顺商贸有限公司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天津钻豹科技有限公司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TDT80Z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电气装置（导线布线安装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短路保护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北京怡博兴建筑材料有限公司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江苏绿能电动车科技有限公司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LVNENG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TDT068Z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2023/4/21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整车质量、充电器与蓄电池（蓄电池防篡改）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北京庆诚利信商贸有限公司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天津钻豹科技有限公司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TDT68Z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整车质量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充电器与蓄电池（蓄电池防篡改）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北京昌隆杰达商贸有限公司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天津钻豹科技有限公司</w:t>
            </w:r>
          </w:p>
        </w:tc>
        <w:tc>
          <w:tcPr>
            <w:tcW w:w="11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五星钻豹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TDT77Z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bidi="ar"/>
              </w:rPr>
              <w:t>电气装置（短路保护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u w:val="none"/>
                <w:lang w:eastAsia="zh-CN" w:bidi="ar"/>
              </w:rPr>
              <w:t>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2C3C047A"/>
    <w:rsid w:val="2C3C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1441</Characters>
  <Lines>0</Lines>
  <Paragraphs>0</Paragraphs>
  <TotalTime>0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2023-06-20T09:25:00Z</dcterms:created>
  <dc:creator>小杜儿～</dc:creator>
  <cp:lastModifiedBy>小杜儿～</cp:lastModifiedBy>
  <dcterms:modified xsi:type="dcterms:W3CDTF">2023-06-20T09:25:20Z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CCEDD76E736C41FFA7D71DE89A8A04E9_11</vt:lpwstr>
  </property>
</Properties>
</file>