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2257"/>
        <w:gridCol w:w="2067"/>
        <w:gridCol w:w="1116"/>
        <w:gridCol w:w="1450"/>
        <w:gridCol w:w="1034"/>
        <w:gridCol w:w="1533"/>
        <w:gridCol w:w="3467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39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4"/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北京锋程科技有限责任公司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天津市小刀新能源科技有限公司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小刀XDAO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北京博利通达信息咨询中心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台铃科技（江苏）股份有限公司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台铃TAILG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5302-1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北京华泰懋隆电动自行车商行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Luyuan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TDT2213Z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2023-04-18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北京华泰懋隆电动自行车商行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绿源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Luyuan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TDT22063Z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2023-03-06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北京市漷县子胥电动车销售部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河南立马电动车科技有限公司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立马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LIMA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TDT47Z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2022-07-24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北京刘春凤自行车商店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河南绿佳车业有限公司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绿佳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TDT1993Z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2022-07-25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北京阜康隆达电动自行车商行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台铃科技（江苏）股份有限公司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TDT5298Z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2022-12-25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电池管理系统（BMS）（数据上传功能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北京雅牛商贸中心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江苏小牛电动科技有限公司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小牛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NIU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TDR58Z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2023-02-05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北京格林睿智文化传播有限责任公司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台铃科技（江苏）股份有限公司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TDT5298Z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整车质量、电池管理系统（BMS）（数据上传功能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北京格林睿智文化传播有限责任公司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天津深铃科技发展有限公司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TAILG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TDW1277Z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2022-06-23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尺寸限值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en-US" w:bidi="ar"/>
              </w:rPr>
              <w:t>北京市朝阳区金盏乡唐斌自行车修理部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江苏新日电动车股份有限公司</w:t>
            </w:r>
          </w:p>
        </w:tc>
        <w:tc>
          <w:tcPr>
            <w:tcW w:w="111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新日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SUNRA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TDT9660Z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整车质量、控制系统（过流保护功能）、充电器与蓄电池（蓄电池防篡改）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76935A2B"/>
    <w:rsid w:val="769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655</Words>
  <Characters>865</Characters>
  <Lines>0</Lines>
  <Paragraphs>0</Paragraphs>
  <TotalTime>0</TotalTime>
  <ScaleCrop>false</ScaleCrop>
  <LinksUpToDate>false</LinksUpToDate>
  <CharactersWithSpaces>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2023-06-07T08:40:00Z</dcterms:created>
  <dc:creator>小杜儿～</dc:creator>
  <cp:lastModifiedBy>小杜儿～</cp:lastModifiedBy>
  <dcterms:modified xsi:type="dcterms:W3CDTF">2023-06-07T08:40:49Z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0C3EEBB29F414662B133C79C05DB9EF0_11</vt:lpwstr>
  </property>
</Properties>
</file>