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不合格项目说明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标签标识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标签标识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作为通过文字、图形、符号等说明产品质量、使用方法及其他内容的一种信息载体</w:t>
      </w:r>
      <w:r>
        <w:rPr>
          <w:rFonts w:hint="eastAsia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不仅是生产经营者对产品质量做出的一种承诺，也是对产品性能、用途、注意事项的说明。完整的标识标签不仅可以传递质量安全信息、确保可追溯性、保护知情消费权、指导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用户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正确使用，同时还可以降低交易成本、规避风险等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。《食品安全国家标准 食品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接触材料及制品通用安全要求》（GB 4806.1）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规定，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标签标识需要包括标识内容、符合性声明、食品接触标识、特殊使用要求信息以及标识位置等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抽查发现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部分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食品用</w:t>
      </w:r>
      <w:r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金属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制品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未标注符合性声明、未标示树脂名称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标签标识项目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不符合标准要求。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影响消费者、用户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对该制品是否适合接触食品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作出判断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易造成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>合理使用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原材料要求（材料成分）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eastAsia="仿宋_GB2312"/>
          <w:sz w:val="30"/>
          <w:szCs w:val="30"/>
          <w:highlight w:val="none"/>
        </w:rPr>
        <w:t>GB 4806.9《食品安全国家标准 食品接触用金属材料及制品》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0"/>
          <w:szCs w:val="30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食品用</w:t>
      </w:r>
      <w:r>
        <w:rPr>
          <w:rFonts w:hint="default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金属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制品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应明确标示金属基材</w:t>
      </w:r>
      <w:r>
        <w:rPr>
          <w:rFonts w:hint="eastAsia" w:eastAsia="仿宋_GB2312" w:cs="Times New Roman"/>
          <w:color w:val="auto"/>
          <w:kern w:val="0"/>
          <w:sz w:val="30"/>
          <w:szCs w:val="30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材料类型及材料成分，或以我国标准牌号或统一数字代号表示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0"/>
          <w:szCs w:val="30"/>
          <w:lang w:val="en-US" w:eastAsia="zh-CN"/>
        </w:rPr>
        <w:t>。</w:t>
      </w:r>
      <w:r>
        <w:rPr>
          <w:rFonts w:hint="default" w:eastAsia="仿宋_GB2312"/>
          <w:sz w:val="30"/>
          <w:szCs w:val="30"/>
        </w:rPr>
        <w:t>金属基材材料成分</w:t>
      </w:r>
      <w:r>
        <w:rPr>
          <w:rFonts w:hint="default" w:eastAsia="仿宋_GB2312"/>
          <w:sz w:val="30"/>
          <w:szCs w:val="30"/>
          <w:lang w:val="en-US" w:eastAsia="zh-CN"/>
        </w:rPr>
        <w:t>含量高低直接影响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食品用</w:t>
      </w:r>
      <w:r>
        <w:rPr>
          <w:rFonts w:hint="default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金属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制品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在大气条件下</w:t>
      </w:r>
      <w:r>
        <w:rPr>
          <w:rFonts w:hint="default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耐锈性和在各种液体介质中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耐蚀性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元素</w:t>
      </w:r>
      <w:r>
        <w:rPr>
          <w:rFonts w:hint="default" w:eastAsia="仿宋_GB2312"/>
          <w:sz w:val="30"/>
          <w:szCs w:val="30"/>
        </w:rPr>
        <w:t>成分</w:t>
      </w:r>
      <w:r>
        <w:rPr>
          <w:rFonts w:hint="default" w:eastAsia="仿宋_GB2312"/>
          <w:sz w:val="30"/>
          <w:szCs w:val="30"/>
          <w:lang w:val="en-US" w:eastAsia="zh-CN"/>
        </w:rPr>
        <w:t>含量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过低或过高会</w:t>
      </w:r>
      <w:r>
        <w:rPr>
          <w:rFonts w:hint="eastAsia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降低产品的抗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氧化性</w:t>
      </w:r>
      <w:r>
        <w:rPr>
          <w:rFonts w:hint="eastAsia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抗腐蚀性</w:t>
      </w:r>
      <w:r>
        <w:rPr>
          <w:rFonts w:hint="eastAsia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影响产品的使用性能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使用寿命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严重时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危害人体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健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康。</w:t>
      </w:r>
      <w:r>
        <w:rPr>
          <w:rFonts w:hint="default" w:eastAsia="仿宋_GB2312"/>
          <w:sz w:val="30"/>
          <w:szCs w:val="30"/>
        </w:rPr>
        <w:t>产品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 w:bidi="ar-SA"/>
        </w:rPr>
        <w:t>标示</w:t>
      </w:r>
      <w:r>
        <w:rPr>
          <w:rFonts w:hint="default" w:eastAsia="仿宋_GB2312"/>
          <w:sz w:val="30"/>
          <w:szCs w:val="30"/>
        </w:rPr>
        <w:t>成分或牌号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不真实、</w:t>
      </w:r>
      <w:r>
        <w:rPr>
          <w:rFonts w:hint="default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准确的</w:t>
      </w:r>
      <w:r>
        <w:rPr>
          <w:rFonts w:hint="default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会误导消费者购买。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三、</w:t>
      </w: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工作压力</w:t>
      </w:r>
    </w:p>
    <w:p>
      <w:pPr>
        <w:spacing w:beforeLines="0" w:afterLines="0" w:line="480" w:lineRule="exact"/>
        <w:ind w:firstLine="600" w:firstLineChars="200"/>
        <w:rPr>
          <w:rFonts w:hint="default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工作压力</w:t>
      </w:r>
      <w:r>
        <w:rPr>
          <w:rFonts w:hint="default" w:eastAsia="仿宋_GB2312"/>
          <w:sz w:val="30"/>
          <w:szCs w:val="30"/>
          <w:lang w:val="en-US" w:eastAsia="zh-CN"/>
        </w:rPr>
        <w:t>反映了</w:t>
      </w:r>
      <w:r>
        <w:rPr>
          <w:rFonts w:hint="default" w:eastAsia="仿宋_GB2312"/>
          <w:sz w:val="30"/>
          <w:szCs w:val="30"/>
        </w:rPr>
        <w:t>压力锅的</w:t>
      </w:r>
      <w:r>
        <w:rPr>
          <w:rFonts w:hint="default" w:eastAsia="仿宋_GB2312"/>
          <w:sz w:val="30"/>
          <w:szCs w:val="30"/>
          <w:lang w:val="en-US" w:eastAsia="zh-CN"/>
        </w:rPr>
        <w:t>工作能力</w:t>
      </w:r>
      <w:r>
        <w:rPr>
          <w:rFonts w:hint="default" w:eastAsia="仿宋_GB2312"/>
          <w:sz w:val="30"/>
          <w:szCs w:val="30"/>
        </w:rPr>
        <w:t>。GB 15066-2004《不锈钢压力锅》标准规定工作压力为0.9倍~1.1倍公称工作压力，超出标准要求的产品存在爆锅隐患，使用寿命也相对较短。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四、泄压压力</w:t>
      </w:r>
    </w:p>
    <w:p>
      <w:pPr>
        <w:spacing w:beforeLines="0" w:afterLines="0" w:line="480" w:lineRule="exact"/>
        <w:ind w:firstLine="600" w:firstLineChars="200"/>
        <w:rPr>
          <w:rFonts w:hint="default" w:eastAsia="仿宋_GB2312"/>
          <w:sz w:val="30"/>
          <w:szCs w:val="30"/>
        </w:rPr>
      </w:pPr>
      <w:r>
        <w:rPr>
          <w:rFonts w:hint="default" w:eastAsia="仿宋_GB2312"/>
          <w:sz w:val="30"/>
          <w:szCs w:val="30"/>
        </w:rPr>
        <w:t>泄压压力</w:t>
      </w:r>
      <w:r>
        <w:rPr>
          <w:rFonts w:hint="default" w:eastAsia="仿宋_GB2312"/>
          <w:sz w:val="30"/>
          <w:szCs w:val="30"/>
          <w:lang w:val="en-US" w:eastAsia="zh-CN"/>
        </w:rPr>
        <w:t>反映了</w:t>
      </w:r>
      <w:r>
        <w:rPr>
          <w:rFonts w:hint="default" w:eastAsia="仿宋_GB2312"/>
          <w:sz w:val="30"/>
          <w:szCs w:val="30"/>
        </w:rPr>
        <w:t>压力锅的</w:t>
      </w:r>
      <w:r>
        <w:rPr>
          <w:rFonts w:hint="default" w:eastAsia="仿宋_GB2312"/>
          <w:sz w:val="30"/>
          <w:szCs w:val="30"/>
          <w:lang w:val="en-US" w:eastAsia="zh-CN"/>
        </w:rPr>
        <w:t>安全上限</w:t>
      </w:r>
      <w:r>
        <w:rPr>
          <w:rFonts w:hint="default" w:eastAsia="仿宋_GB2312"/>
          <w:sz w:val="30"/>
          <w:szCs w:val="30"/>
        </w:rPr>
        <w:t>。GB 15066-2004《不锈钢压力锅》标准规定当锅内压力在大于2倍~3.5倍最大公称工作压力范围内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default" w:eastAsia="仿宋_GB2312"/>
          <w:sz w:val="30"/>
          <w:szCs w:val="30"/>
        </w:rPr>
        <w:t>且最大压力不超过350kPa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default" w:eastAsia="仿宋_GB2312"/>
          <w:sz w:val="30"/>
          <w:szCs w:val="30"/>
        </w:rPr>
        <w:t>泄压结构应自动排气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default" w:eastAsia="仿宋_GB2312"/>
          <w:sz w:val="30"/>
          <w:szCs w:val="30"/>
        </w:rPr>
        <w:t>使锅内压力连续下降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default" w:eastAsia="仿宋_GB2312"/>
          <w:sz w:val="30"/>
          <w:szCs w:val="30"/>
        </w:rPr>
        <w:t>应在60s内释放到20kPa以下</w:t>
      </w:r>
      <w:r>
        <w:rPr>
          <w:rFonts w:hint="default" w:eastAsia="仿宋_GB2312"/>
          <w:sz w:val="30"/>
          <w:szCs w:val="30"/>
          <w:lang w:eastAsia="zh-CN"/>
        </w:rPr>
        <w:t>。</w:t>
      </w:r>
      <w:r>
        <w:rPr>
          <w:rFonts w:hint="default" w:eastAsia="仿宋_GB2312"/>
          <w:sz w:val="30"/>
          <w:szCs w:val="30"/>
        </w:rPr>
        <w:t>GB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default" w:eastAsia="仿宋_GB2312"/>
          <w:sz w:val="30"/>
          <w:szCs w:val="30"/>
        </w:rPr>
        <w:t>13623-2003《铝压力锅安全及性能要求》标准规定当锅内压力在大于2倍~3.5倍最大公称工作压力范围内，泄压结构应自动排气，使锅内压力连续下降，应在60s内释放到20kPa以下</w:t>
      </w:r>
      <w:r>
        <w:rPr>
          <w:rFonts w:hint="default" w:eastAsia="仿宋_GB2312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检验发现</w:t>
      </w:r>
      <w:r>
        <w:rPr>
          <w:rFonts w:hint="default" w:eastAsia="仿宋_GB2312" w:cs="Times New Roman"/>
          <w:sz w:val="30"/>
          <w:szCs w:val="30"/>
          <w:lang w:val="en-US" w:eastAsia="zh-CN"/>
        </w:rPr>
        <w:t>部分</w:t>
      </w:r>
      <w:r>
        <w:rPr>
          <w:rFonts w:hint="default" w:eastAsia="仿宋_GB2312"/>
          <w:sz w:val="30"/>
          <w:szCs w:val="30"/>
        </w:rPr>
        <w:t>不锈钢</w:t>
      </w:r>
      <w:r>
        <w:rPr>
          <w:rFonts w:hint="default" w:eastAsia="仿宋_GB2312" w:cs="Times New Roman"/>
          <w:sz w:val="30"/>
          <w:szCs w:val="30"/>
          <w:lang w:val="en-US" w:eastAsia="zh-CN"/>
        </w:rPr>
        <w:t>压力锅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产品</w:t>
      </w:r>
      <w:r>
        <w:rPr>
          <w:rFonts w:hint="default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在标准规定的试验条件下</w:t>
      </w:r>
      <w:r>
        <w:rPr>
          <w:rFonts w:hint="default" w:eastAsia="仿宋_GB2312"/>
          <w:sz w:val="30"/>
          <w:szCs w:val="30"/>
        </w:rPr>
        <w:t>未自动排气</w:t>
      </w:r>
      <w:r>
        <w:rPr>
          <w:rFonts w:hint="default" w:eastAsia="仿宋_GB2312"/>
          <w:sz w:val="30"/>
          <w:szCs w:val="30"/>
          <w:lang w:val="en-US" w:eastAsia="zh-CN"/>
        </w:rPr>
        <w:t>或</w:t>
      </w:r>
      <w:r>
        <w:rPr>
          <w:rFonts w:hint="default" w:eastAsia="仿宋_GB2312"/>
          <w:sz w:val="30"/>
          <w:szCs w:val="30"/>
        </w:rPr>
        <w:t>密封圈排气60s时，锅内压力</w:t>
      </w:r>
      <w:r>
        <w:rPr>
          <w:rFonts w:hint="default" w:eastAsia="仿宋_GB2312"/>
          <w:sz w:val="30"/>
          <w:szCs w:val="30"/>
          <w:lang w:val="en-US" w:eastAsia="zh-CN"/>
        </w:rPr>
        <w:t>未达到标准要求；</w:t>
      </w:r>
      <w:r>
        <w:rPr>
          <w:rFonts w:hint="default" w:eastAsia="仿宋_GB2312" w:cs="Times New Roman"/>
          <w:sz w:val="30"/>
          <w:szCs w:val="30"/>
          <w:lang w:val="en-US" w:eastAsia="zh-CN"/>
        </w:rPr>
        <w:t>个别</w:t>
      </w:r>
      <w:r>
        <w:rPr>
          <w:rFonts w:hint="default" w:eastAsia="仿宋_GB2312"/>
          <w:sz w:val="30"/>
          <w:szCs w:val="30"/>
        </w:rPr>
        <w:t>铝压力锅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密封圈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与泄</w:t>
      </w:r>
      <w:r>
        <w:rPr>
          <w:rFonts w:hint="eastAsia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机构（泄压口）不匹配，</w:t>
      </w:r>
      <w:r>
        <w:rPr>
          <w:rFonts w:hint="default" w:eastAsia="仿宋_GB2312" w:cs="Times New Roman"/>
          <w:b w:val="0"/>
          <w:bCs w:val="0"/>
          <w:i w:val="0"/>
          <w:caps w:val="0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在标准规定的试验条件下发生</w:t>
      </w:r>
      <w:r>
        <w:rPr>
          <w:rFonts w:hint="default" w:eastAsia="仿宋_GB2312"/>
          <w:sz w:val="30"/>
          <w:szCs w:val="30"/>
        </w:rPr>
        <w:t>爆炸，泄压口处密封圈断裂</w:t>
      </w:r>
      <w:r>
        <w:rPr>
          <w:rFonts w:hint="default" w:eastAsia="仿宋_GB2312"/>
          <w:sz w:val="30"/>
          <w:szCs w:val="30"/>
          <w:lang w:val="en-US" w:eastAsia="zh-CN"/>
        </w:rPr>
        <w:t>，存在安全隐患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五、安全压力</w:t>
      </w:r>
    </w:p>
    <w:p>
      <w:pPr>
        <w:tabs>
          <w:tab w:val="left" w:pos="900"/>
        </w:tabs>
        <w:spacing w:line="480" w:lineRule="exact"/>
        <w:ind w:firstLine="60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30"/>
          <w:szCs w:val="30"/>
        </w:rPr>
        <w:t>安全压力是压力锅安全阀排气时表计压力值，是压力锅产品的安全技术要求 。GB 13623-2003《铝压力锅安全及性能要 求》标准规定安全压力为1.4倍～2倍最大公称工作压力时，安全阀应排气。检验发现个别压力锅产品在标准规定的试验条件下，安全阀</w:t>
      </w:r>
      <w:r>
        <w:rPr>
          <w:rFonts w:hint="eastAsia" w:eastAsia="仿宋_GB2312"/>
          <w:sz w:val="30"/>
          <w:szCs w:val="30"/>
          <w:lang w:val="en-US" w:eastAsia="zh-CN"/>
        </w:rPr>
        <w:t>未</w:t>
      </w:r>
      <w:r>
        <w:rPr>
          <w:rFonts w:hint="eastAsia" w:eastAsia="仿宋_GB2312"/>
          <w:sz w:val="30"/>
          <w:szCs w:val="30"/>
        </w:rPr>
        <w:t>排气。不符合标准要求的产品使用寿命较短，甚至存在爆锅隐患。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549AB"/>
    <w:multiLevelType w:val="singleLevel"/>
    <w:tmpl w:val="63A549A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049D7DDC"/>
    <w:rsid w:val="049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2023-02-24T02:14:00Z</dcterms:created>
  <dc:creator>小杜儿～</dc:creator>
  <cp:lastModifiedBy>小杜儿～</cp:lastModifiedBy>
  <dcterms:modified xsi:type="dcterms:W3CDTF">2023-02-24T02:14:13Z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4CA1863FCCB148D8BE9C217B9D9F527D</vt:lpwstr>
  </property>
</Properties>
</file>