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beforeLines="0" w:afterLines="0" w:line="48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 4806.1《食品安全国家标准 食品接触材料及制品通用安全要求》；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4806.9《食品安全国家标准 食品接触用金属材料及制品》；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4806.10《食品安全国家标准 食品接触用涂料及涂层》；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4806.11《食品安全国家标准 食品接触用橡胶材料及制品》；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9685 《食品安全国家标准 食品接触材料及制品用添加剂使用标准》；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13623《铝压力锅安全及性能要求》；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15066《不锈钢压力锅》；</w:t>
      </w:r>
    </w:p>
    <w:p>
      <w:pPr>
        <w:spacing w:beforeLines="0" w:afterLines="0" w:line="48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企业自我声明公开执行的团体标准、企业标准及产品明示质量要求。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  <w:t>2.检验项目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食品安全</w:t>
      </w:r>
      <w:r>
        <w:rPr>
          <w:rFonts w:eastAsia="仿宋_GB2312"/>
          <w:b/>
          <w:sz w:val="30"/>
          <w:szCs w:val="30"/>
          <w:highlight w:val="none"/>
        </w:rPr>
        <w:t>指标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 w:val="0"/>
          <w:bCs/>
          <w:i w:val="0"/>
          <w:iCs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</w:rPr>
        <w:t>不锈钢金属制品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感官要求、铅（Pb）、铬（Cr）、镍（Ni）、镉（Cd）、砷（As）、原材料要求(材料成分)共7个项目。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 w:val="0"/>
          <w:bCs/>
          <w:i w:val="0"/>
          <w:iCs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/>
          <w:sz w:val="30"/>
          <w:szCs w:val="30"/>
          <w:highlight w:val="none"/>
        </w:rPr>
        <w:t>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</w:rPr>
        <w:t>其他金属制品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感官要求、铅（Pb）、镉（Cd）、砷（As）、原材料要求(材料成分)共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/>
          <w:sz w:val="30"/>
          <w:szCs w:val="30"/>
          <w:highlight w:val="none"/>
        </w:rPr>
        <w:t>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3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</w:rPr>
        <w:t>金属涂层制品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涂层感官要求、总迁移量、高锰酸钾消耗量、重金属（以Pb计）、双酚A特定迁移量、特定迁移总量（以甲醛计）、邻苯类增塑剂特定迁移量、原材料要求（材料成分）共8个项目。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 w:val="0"/>
          <w:bCs/>
          <w:i w:val="0"/>
          <w:iCs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/>
          <w:sz w:val="30"/>
          <w:szCs w:val="30"/>
          <w:highlight w:val="none"/>
        </w:rPr>
        <w:t>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4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</w:rPr>
        <w:t>橡胶件和密封圈（限压力锅产品）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总迁移量、高锰酸钾消耗量、重金属（以Pb计）共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产品性能</w:t>
      </w:r>
      <w:r>
        <w:rPr>
          <w:rFonts w:eastAsia="仿宋_GB2312"/>
          <w:b/>
          <w:sz w:val="30"/>
          <w:szCs w:val="30"/>
          <w:highlight w:val="none"/>
        </w:rPr>
        <w:t>指标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</w:rPr>
        <w:t>压力锅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 w:val="0"/>
          <w:bCs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.1.1</w:t>
      </w:r>
      <w:r>
        <w:rPr>
          <w:rFonts w:hint="eastAsia" w:eastAsia="仿宋_GB2312"/>
          <w:b/>
          <w:sz w:val="30"/>
          <w:szCs w:val="30"/>
          <w:highlight w:val="none"/>
        </w:rPr>
        <w:t>铝压力锅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标志、手柄结构、常规氧化膜、手柄连接牢固性、手柄温升、合盖安全性、工作压力、限压阀体、密封性、安全压力、耐热压、开盖安全性、防堵安全性、耐内压力、泄压压力、破坏压力、使用说明书</w:t>
      </w:r>
      <w:r>
        <w:rPr>
          <w:rFonts w:hint="eastAsia" w:eastAsia="仿宋_GB2312"/>
          <w:b w:val="0"/>
          <w:bCs/>
          <w:sz w:val="30"/>
          <w:szCs w:val="30"/>
          <w:highlight w:val="none"/>
        </w:rPr>
        <w:t>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17</w:t>
      </w:r>
      <w:r>
        <w:rPr>
          <w:rFonts w:hint="eastAsia" w:eastAsia="仿宋_GB2312"/>
          <w:b w:val="0"/>
          <w:bCs/>
          <w:sz w:val="30"/>
          <w:szCs w:val="30"/>
          <w:highlight w:val="none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 w:val="0"/>
          <w:bCs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_GB2312"/>
          <w:b/>
          <w:sz w:val="30"/>
          <w:szCs w:val="30"/>
          <w:highlight w:val="none"/>
        </w:rPr>
        <w:t>不锈钢压力锅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标志、合盖安全性、工作压力、限压阀体、密封性、安全压力、耐热压、开盖安全性、防堵安全性、耐内压力、泄压压力、破坏压力、使用说明书</w:t>
      </w:r>
      <w:r>
        <w:rPr>
          <w:rFonts w:hint="eastAsia" w:eastAsia="仿宋_GB2312"/>
          <w:b w:val="0"/>
          <w:bCs/>
          <w:sz w:val="30"/>
          <w:szCs w:val="30"/>
          <w:highlight w:val="none"/>
        </w:rPr>
        <w:t>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13</w:t>
      </w:r>
      <w:r>
        <w:rPr>
          <w:rFonts w:hint="eastAsia" w:eastAsia="仿宋_GB2312"/>
          <w:b w:val="0"/>
          <w:bCs/>
          <w:sz w:val="30"/>
          <w:szCs w:val="30"/>
          <w:highlight w:val="none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3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</w:rPr>
        <w:t>其它指标（标签标识）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标识内容、符合性声明、食品接触标识、特殊使用要求信息、标识位置共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ODQxNTNiZmY2OGY3YzZiYjE0NWFjNzI2ODM3NDkifQ=="/>
  </w:docVars>
  <w:rsids>
    <w:rsidRoot w:val="64CD7359"/>
    <w:rsid w:val="64C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2023-02-24T02:13:00Z</dcterms:created>
  <dc:creator>小杜儿～</dc:creator>
  <cp:lastModifiedBy>小杜儿～</cp:lastModifiedBy>
  <dcterms:modified xsi:type="dcterms:W3CDTF">2023-02-24T02:13:29Z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A2E4FE252E914DECB211A04F7D887EF5</vt:lpwstr>
  </property>
</Properties>
</file>