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exact"/>
        <w:jc w:val="left"/>
        <w:rPr>
          <w:rFonts w:ascii="Verdana"/>
          <w:b w:val="0"/>
          <w:bCs w:val="0"/>
          <w:color w:val="auto"/>
          <w:sz w:val="44"/>
        </w:rPr>
      </w:pPr>
      <w:r>
        <w:rPr>
          <w:rFonts w:hint="eastAsia" w:ascii="黑体" w:eastAsia="黑体"/>
          <w:b w:val="0"/>
          <w:bCs w:val="0"/>
          <w:color w:val="auto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检验项目</w:t>
      </w:r>
    </w:p>
    <w:p>
      <w:pPr>
        <w:wordWrap w:val="0"/>
        <w:spacing w:line="300" w:lineRule="exact"/>
        <w:jc w:val="center"/>
        <w:textAlignment w:val="top"/>
        <w:rPr>
          <w:rFonts w:ascii="方正小标宋简体" w:hAnsi="方正小标宋简体" w:eastAsia="方正小标宋简体" w:cs="方正小标宋简体"/>
          <w:b w:val="0"/>
          <w:bCs w:val="0"/>
          <w:color w:val="auto"/>
          <w:sz w:val="44"/>
        </w:rPr>
      </w:pPr>
    </w:p>
    <w:p>
      <w:pPr>
        <w:spacing w:line="500" w:lineRule="exact"/>
        <w:ind w:firstLine="600" w:firstLineChars="200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eastAsia="zh-CN"/>
        </w:rPr>
        <w:t>1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.检验判定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</w:rPr>
        <w:t>依据</w:t>
      </w:r>
      <w:bookmarkStart w:id="0" w:name="_GoBack"/>
      <w:bookmarkEnd w:id="0"/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GB 17761《电动自行车安全技术规范》；</w:t>
      </w:r>
    </w:p>
    <w:p>
      <w:pPr>
        <w:widowControl/>
        <w:spacing w:line="578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T/BBIA 4《电动自行车用锂离子动力电池组 技术规范》；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GB/T 22199.1《电动助力车用阀控式铅酸蓄电池 第1部分：技术条件》；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QB/T 2947.1《电动自行车用蓄电池及充电器 第1部分：密封铅酸蓄电池及充电器》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；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GB/T 5169.11《电工电子产品着火危险试验 第11部分：灼热丝/热丝基本试验方法 成品的灼热丝可燃性试验方法（GWEPT）》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；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现行有效的企业标准、团体标准、地方标准及产品明示质量要求。</w:t>
      </w:r>
    </w:p>
    <w:p>
      <w:pPr>
        <w:spacing w:line="500" w:lineRule="exact"/>
        <w:ind w:firstLine="600" w:firstLineChars="200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2.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eastAsia="zh-CN"/>
        </w:rPr>
        <w:t>检验项目</w:t>
      </w:r>
    </w:p>
    <w:p>
      <w:pPr>
        <w:spacing w:line="500" w:lineRule="exact"/>
        <w:ind w:firstLine="600" w:firstLineChars="200"/>
        <w:outlineLvl w:val="1"/>
        <w:rPr>
          <w:rFonts w:hint="eastAsia" w:ascii="楷体_GB2312" w:hAnsi="楷体_GB2312" w:eastAsia="楷体_GB2312" w:cs="楷体_GB2312"/>
          <w:b w:val="0"/>
          <w:bCs/>
          <w:strike w:val="0"/>
          <w:dstrike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trike w:val="0"/>
          <w:dstrike w:val="0"/>
          <w:color w:val="auto"/>
          <w:sz w:val="30"/>
          <w:szCs w:val="30"/>
          <w:highlight w:val="none"/>
          <w:lang w:val="en-US" w:eastAsia="zh-CN"/>
        </w:rPr>
        <w:t>2.1电动自行车</w:t>
      </w:r>
    </w:p>
    <w:p>
      <w:pPr>
        <w:numPr>
          <w:ilvl w:val="0"/>
          <w:numId w:val="0"/>
        </w:numPr>
        <w:spacing w:line="500" w:lineRule="exact"/>
        <w:ind w:firstLine="600" w:firstLineChars="200"/>
        <w:rPr>
          <w:rFonts w:hint="eastAsia" w:ascii="楷体_GB2312" w:hAnsi="楷体_GB2312" w:eastAsia="楷体_GB2312" w:cs="楷体_GB2312"/>
          <w:b w:val="0"/>
          <w:bCs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  <w:t>2.1.1产品安全性指标</w:t>
      </w:r>
    </w:p>
    <w:p>
      <w:pPr>
        <w:numPr>
          <w:ilvl w:val="0"/>
          <w:numId w:val="0"/>
        </w:num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highlight w:val="none"/>
          <w:u w:val="none"/>
        </w:rPr>
        <w:t>车速限值、制动性能、整车质量、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highlight w:val="none"/>
          <w:u w:val="none"/>
          <w:lang w:eastAsia="zh-CN"/>
        </w:rPr>
        <w:t>尺寸限值、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highlight w:val="none"/>
          <w:u w:val="none"/>
        </w:rPr>
        <w:t>淋水涉水性能、电气装置（导线布线安装、短路保护、电气强度）、控制系统（制动断电功能、过流保护功能、防失控功能）、充电器与蓄电池（充电器、蓄电池的最大输出电压、蓄电池防篡改）、防火性能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  <w:t>共9个大项，15个小项。</w:t>
      </w:r>
    </w:p>
    <w:p>
      <w:pPr>
        <w:numPr>
          <w:ilvl w:val="0"/>
          <w:numId w:val="0"/>
        </w:numPr>
        <w:spacing w:line="500" w:lineRule="exact"/>
        <w:ind w:firstLine="600" w:firstLineChars="200"/>
        <w:rPr>
          <w:rFonts w:hint="eastAsia" w:ascii="楷体_GB2312" w:hAnsi="楷体_GB2312" w:eastAsia="楷体_GB2312" w:cs="楷体_GB2312"/>
          <w:b w:val="0"/>
          <w:bCs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  <w:t>2.1.2产品性能指标</w:t>
      </w:r>
    </w:p>
    <w:p>
      <w:pPr>
        <w:numPr>
          <w:ilvl w:val="0"/>
          <w:numId w:val="0"/>
        </w:numPr>
        <w:spacing w:line="500" w:lineRule="exact"/>
        <w:ind w:firstLine="600" w:firstLineChars="200"/>
        <w:rPr>
          <w:rFonts w:hint="eastAsia" w:eastAsia="仿宋_GB2312"/>
          <w:strike w:val="0"/>
          <w:dstrike w:val="0"/>
          <w:color w:val="auto"/>
          <w:sz w:val="30"/>
          <w:szCs w:val="30"/>
          <w:highlight w:val="none"/>
          <w:u w:val="none"/>
        </w:rPr>
      </w:pPr>
      <w:r>
        <w:rPr>
          <w:rFonts w:hint="eastAsia" w:eastAsia="仿宋_GB2312"/>
          <w:strike w:val="0"/>
          <w:dstrike w:val="0"/>
          <w:color w:val="auto"/>
          <w:sz w:val="30"/>
          <w:szCs w:val="30"/>
          <w:highlight w:val="none"/>
          <w:u w:val="none"/>
        </w:rPr>
        <w:t>电动机额定连续输出功率</w:t>
      </w:r>
    </w:p>
    <w:p>
      <w:pPr>
        <w:numPr>
          <w:ilvl w:val="0"/>
          <w:numId w:val="0"/>
        </w:numPr>
        <w:spacing w:line="500" w:lineRule="exact"/>
        <w:ind w:firstLine="600" w:firstLineChars="200"/>
        <w:rPr>
          <w:rFonts w:hint="eastAsia" w:ascii="楷体_GB2312" w:hAnsi="楷体_GB2312" w:eastAsia="楷体_GB2312" w:cs="楷体_GB2312"/>
          <w:b w:val="0"/>
          <w:bCs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  <w:t>2.2随车蓄电池</w:t>
      </w:r>
    </w:p>
    <w:p>
      <w:pPr>
        <w:spacing w:line="500" w:lineRule="exact"/>
        <w:ind w:firstLine="602" w:firstLineChars="200"/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0"/>
          <w:szCs w:val="30"/>
          <w:highlight w:val="none"/>
          <w:u w:val="none"/>
        </w:rPr>
        <w:t>产品明示执行标准</w:t>
      </w: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T/BBIA 4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  <w:t>过充电、自由跌落、过充电保护、过放电保护、短路保护、放电过流保护6个项目为安全性指标，标识、电池管理系统（BMS）（数据实时采集功能、故障报警功能、通讯功能、数据上传功能）2个项目为其他指标。</w:t>
      </w:r>
    </w:p>
    <w:p>
      <w:pPr>
        <w:numPr>
          <w:ilvl w:val="0"/>
          <w:numId w:val="0"/>
        </w:numPr>
        <w:spacing w:line="500" w:lineRule="exact"/>
        <w:ind w:firstLine="602" w:firstLineChars="200"/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0"/>
          <w:szCs w:val="30"/>
          <w:highlight w:val="none"/>
          <w:u w:val="none"/>
        </w:rPr>
        <w:t>产品明示执行标准</w:t>
      </w: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0"/>
          <w:szCs w:val="30"/>
          <w:highlight w:val="none"/>
        </w:rPr>
        <w:t>QB/T2947.</w:t>
      </w: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0"/>
          <w:szCs w:val="30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highlight w:val="none"/>
          <w:u w:val="none"/>
        </w:rPr>
        <w:t>耐振动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highlight w:val="none"/>
          <w:u w:val="none"/>
          <w:lang w:eastAsia="zh-CN"/>
        </w:rPr>
        <w:t>性能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  <w:t>1个项目，为安全性指标。</w:t>
      </w:r>
    </w:p>
    <w:p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0"/>
          <w:szCs w:val="30"/>
          <w:highlight w:val="none"/>
          <w:u w:val="none"/>
        </w:rPr>
        <w:t>产品明示执行标准</w:t>
      </w: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0"/>
          <w:szCs w:val="30"/>
          <w:highlight w:val="none"/>
        </w:rPr>
        <w:t>GB/T22199.1</w:t>
      </w: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0"/>
          <w:szCs w:val="30"/>
          <w:highlight w:val="none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highlight w:val="none"/>
          <w:u w:val="none"/>
        </w:rPr>
        <w:t>耐振动能力、防爆能力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  <w:t>2个项目，全部为安全性指标。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6B546FB6"/>
    <w:rsid w:val="6B54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528</Words>
  <Characters>610</Characters>
  <Lines>0</Lines>
  <Paragraphs>0</Paragraphs>
  <TotalTime>0</TotalTime>
  <ScaleCrop>false</ScaleCrop>
  <LinksUpToDate>false</LinksUpToDate>
  <CharactersWithSpaces>621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2023-07-24T06:37:00Z</dcterms:created>
  <dc:creator>小杜儿～</dc:creator>
  <cp:lastModifiedBy>小杜儿～</cp:lastModifiedBy>
  <dcterms:modified xsi:type="dcterms:W3CDTF">2023-07-24T06:37:49Z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8DB12DCCD6CB4AE3A598BEEAF9315513_11</vt:lpwstr>
  </property>
</Properties>
</file>