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adjustRightInd w:val="0"/>
        <w:snapToGrid w:val="0"/>
        <w:spacing w:line="560" w:lineRule="exact"/>
        <w:ind w:firstLine="880" w:firstLineChars="200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</w:p>
    <w:p>
      <w:pPr>
        <w:pStyle w:val="9"/>
        <w:numPr>
          <w:ilvl w:val="0"/>
          <w:numId w:val="1"/>
        </w:numPr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氟虫腈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氟虫腈是一种苯基吡唑类杀虫剂，对害虫以胃毒作用为主，兼有触杀和一定的内吸作用。农业部第</w:t>
      </w:r>
      <w:r>
        <w:rPr>
          <w:rFonts w:eastAsia="仿宋_GB2312"/>
          <w:color w:val="000000"/>
          <w:sz w:val="32"/>
          <w:szCs w:val="32"/>
        </w:rPr>
        <w:t>1157</w:t>
      </w:r>
      <w:r>
        <w:rPr>
          <w:rFonts w:hint="eastAsia" w:eastAsia="仿宋_GB2312"/>
          <w:color w:val="000000"/>
          <w:sz w:val="32"/>
          <w:szCs w:val="32"/>
        </w:rPr>
        <w:t>号公告规定，自</w:t>
      </w:r>
      <w:r>
        <w:rPr>
          <w:rFonts w:eastAsia="仿宋_GB2312"/>
          <w:color w:val="000000"/>
          <w:sz w:val="32"/>
          <w:szCs w:val="32"/>
        </w:rPr>
        <w:t>2009</w:t>
      </w:r>
      <w:r>
        <w:rPr>
          <w:rFonts w:hint="eastAsia" w:eastAsia="仿宋_GB2312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hint="eastAsia" w:eastAsia="仿宋_GB2312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日起，禁止在所有农作物上使用氟虫腈（玉米等部分旱田种子包衣除外）。《食品安全国家标准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）规定，叶菜类蔬菜中氟虫腈的最大残留限量值为</w:t>
      </w:r>
      <w:r>
        <w:rPr>
          <w:rFonts w:eastAsia="仿宋_GB2312"/>
          <w:color w:val="000000"/>
          <w:sz w:val="32"/>
          <w:szCs w:val="32"/>
        </w:rPr>
        <w:t>0.02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仿宋"/>
          <w:color w:val="000000"/>
          <w:sz w:val="32"/>
          <w:szCs w:val="32"/>
        </w:rPr>
      </w:pPr>
      <w:r>
        <w:rPr>
          <w:rFonts w:hint="eastAsia" w:ascii="Times New Roman" w:hAnsi="Times New Roman" w:eastAsia="黑体" w:cs="仿宋"/>
          <w:color w:val="000000"/>
          <w:sz w:val="32"/>
          <w:szCs w:val="32"/>
        </w:rPr>
        <w:t>菌落总数</w:t>
      </w:r>
    </w:p>
    <w:p>
      <w:pPr>
        <w:pStyle w:val="9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 w:cs="仿宋"/>
          <w:color w:val="000000"/>
          <w:sz w:val="32"/>
          <w:szCs w:val="32"/>
        </w:rPr>
        <w:t>菌落总数是指示性微生物指标，主要用来评价食品清洁度，反映食品是否符合卫生要求。</w:t>
      </w:r>
      <w:r>
        <w:rPr>
          <w:rFonts w:hint="eastAsia" w:eastAsia="仿宋_GB2312" w:cs="黑体"/>
          <w:sz w:val="32"/>
          <w:szCs w:val="32"/>
        </w:rPr>
        <w:t>《食品安全国家标准 饮料》（</w:t>
      </w:r>
      <w:r>
        <w:rPr>
          <w:rFonts w:eastAsia="仿宋_GB2312" w:cs="黑体"/>
          <w:sz w:val="32"/>
          <w:szCs w:val="32"/>
        </w:rPr>
        <w:t>GB 7101</w:t>
      </w:r>
      <w:r>
        <w:rPr>
          <w:rFonts w:hint="eastAsia" w:eastAsia="仿宋_GB2312" w:cs="黑体"/>
          <w:sz w:val="32"/>
          <w:szCs w:val="32"/>
        </w:rPr>
        <w:t>）对固体饮料中的菌落总数规定同批次</w:t>
      </w:r>
      <w:r>
        <w:rPr>
          <w:rFonts w:eastAsia="仿宋_GB2312" w:cs="黑体"/>
          <w:sz w:val="32"/>
          <w:szCs w:val="32"/>
        </w:rPr>
        <w:t>5</w:t>
      </w:r>
      <w:r>
        <w:rPr>
          <w:rFonts w:hint="eastAsia" w:eastAsia="仿宋_GB2312" w:cs="黑体"/>
          <w:sz w:val="32"/>
          <w:szCs w:val="32"/>
        </w:rPr>
        <w:t>个独立包装产品中菌落总数检测结果不允许有超过</w:t>
      </w:r>
      <w:r>
        <w:rPr>
          <w:rFonts w:eastAsia="仿宋_GB2312" w:cs="黑体"/>
          <w:sz w:val="32"/>
          <w:szCs w:val="32"/>
        </w:rPr>
        <w:t>5×10</w:t>
      </w:r>
      <w:r>
        <w:rPr>
          <w:rFonts w:eastAsia="仿宋_GB2312" w:cs="黑体"/>
          <w:sz w:val="32"/>
          <w:szCs w:val="32"/>
          <w:vertAlign w:val="superscript"/>
        </w:rPr>
        <w:t>4</w:t>
      </w:r>
      <w:r>
        <w:rPr>
          <w:rFonts w:eastAsia="仿宋_GB2312" w:cs="黑体"/>
          <w:sz w:val="32"/>
          <w:szCs w:val="32"/>
        </w:rPr>
        <w:t xml:space="preserve"> CFU/g</w:t>
      </w:r>
      <w:r>
        <w:rPr>
          <w:rFonts w:hint="eastAsia" w:eastAsia="仿宋_GB2312" w:cs="黑体"/>
          <w:sz w:val="32"/>
          <w:szCs w:val="32"/>
        </w:rPr>
        <w:t>的，且至少</w:t>
      </w:r>
      <w:r>
        <w:rPr>
          <w:rFonts w:eastAsia="仿宋_GB2312" w:cs="黑体"/>
          <w:sz w:val="32"/>
          <w:szCs w:val="32"/>
        </w:rPr>
        <w:t>3</w:t>
      </w:r>
      <w:r>
        <w:rPr>
          <w:rFonts w:hint="eastAsia" w:eastAsia="仿宋_GB2312" w:cs="黑体"/>
          <w:sz w:val="32"/>
          <w:szCs w:val="32"/>
        </w:rPr>
        <w:t>个包装产品检测结果不超过</w:t>
      </w:r>
      <w:r>
        <w:rPr>
          <w:rFonts w:eastAsia="仿宋_GB2312" w:cs="黑体"/>
          <w:sz w:val="32"/>
          <w:szCs w:val="32"/>
        </w:rPr>
        <w:t>10</w:t>
      </w:r>
      <w:r>
        <w:rPr>
          <w:rFonts w:eastAsia="仿宋_GB2312" w:cs="黑体"/>
          <w:sz w:val="32"/>
          <w:szCs w:val="32"/>
          <w:vertAlign w:val="superscript"/>
        </w:rPr>
        <w:t xml:space="preserve">3 </w:t>
      </w:r>
      <w:r>
        <w:rPr>
          <w:rFonts w:eastAsia="仿宋_GB2312" w:cs="黑体"/>
          <w:sz w:val="32"/>
          <w:szCs w:val="32"/>
        </w:rPr>
        <w:t>CFU/g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地西泮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地西泮又名安定，为镇静剂类药物，主要用于抗焦虑、镇静催眠，还可用于抗癫痫和抗惊厥。《食品安全国家标准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食品中兽药最大残留限量》（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）规定，地西泮是允许作治疗用，但不得在动物性食品中检出的兽药。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甲拌磷</w:t>
      </w:r>
    </w:p>
    <w:p>
      <w:pPr>
        <w:pStyle w:val="17"/>
        <w:spacing w:line="560" w:lineRule="exact"/>
        <w:ind w:firstLine="640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甲拌磷是有机磷类的高毒广谱内吸性杀虫剂，有触杀、胃毒、熏蒸作用，对刺吸式口器和咀嚼式口器害虫具有较好的防治作用。</w:t>
      </w:r>
      <w:r>
        <w:rPr>
          <w:rFonts w:ascii="Times New Roman" w:hAnsi="Times New Roman" w:eastAsia="仿宋_GB2312"/>
          <w:color w:val="000000"/>
          <w:sz w:val="32"/>
          <w:szCs w:val="32"/>
        </w:rPr>
        <w:t>2002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sz w:val="32"/>
          <w:szCs w:val="32"/>
        </w:rPr>
        <w:t>6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sz w:val="32"/>
          <w:szCs w:val="32"/>
        </w:rPr>
        <w:t>5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日发布的农业部第</w:t>
      </w:r>
      <w:r>
        <w:rPr>
          <w:rFonts w:ascii="Times New Roman" w:hAnsi="Times New Roman" w:eastAsia="仿宋_GB2312"/>
          <w:color w:val="000000"/>
          <w:sz w:val="32"/>
          <w:szCs w:val="32"/>
        </w:rPr>
        <w:t>199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号公告规定在蔬菜、果树、茶叶、中草药材上不得使用甲拌磷。《食品安全国家标准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）规定，茄果类蔬菜中甲拌磷的最大残留限量为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0.01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恩诺沙星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</w:t>
      </w:r>
      <w:r>
        <w:rPr>
          <w:rFonts w:hint="eastAsia" w:ascii="Times New Roman" w:hAnsi="Times New Roman" w:eastAsia="仿宋_GB2312"/>
          <w:sz w:val="32"/>
          <w:szCs w:val="32"/>
        </w:rPr>
        <w:t>《食品安全国家标准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>食品中兽药最大残留限量》（</w:t>
      </w:r>
      <w:r>
        <w:rPr>
          <w:rFonts w:ascii="Times New Roman" w:hAnsi="Times New Roman" w:eastAsia="仿宋_GB2312" w:cs="Times New Roman"/>
          <w:sz w:val="32"/>
          <w:szCs w:val="32"/>
        </w:rPr>
        <w:t>GB 31650</w:t>
      </w:r>
      <w:r>
        <w:rPr>
          <w:rFonts w:hint="eastAsia" w:ascii="Times New Roman" w:hAnsi="Times New Roman" w:eastAsia="仿宋_GB2312"/>
          <w:sz w:val="32"/>
          <w:szCs w:val="32"/>
        </w:rPr>
        <w:t>）规定，鱼中恩诺沙星的最大残留限量为</w:t>
      </w:r>
      <w:r>
        <w:rPr>
          <w:rFonts w:ascii="Times New Roman" w:hAnsi="Times New Roman" w:eastAsia="仿宋_GB2312"/>
          <w:sz w:val="32"/>
          <w:szCs w:val="32"/>
        </w:rPr>
        <w:t>100</w:t>
      </w:r>
      <w:r>
        <w:rPr>
          <w:rFonts w:hint="eastAsia" w:ascii="Times New Roman" w:hAnsi="Times New Roman" w:eastAsia="仿宋_GB2312"/>
          <w:sz w:val="32"/>
          <w:szCs w:val="32"/>
        </w:rPr>
        <w:t>μ</w:t>
      </w:r>
      <w:r>
        <w:rPr>
          <w:rFonts w:ascii="Times New Roman" w:hAnsi="Times New Roman" w:eastAsia="仿宋_GB2312"/>
          <w:sz w:val="32"/>
          <w:szCs w:val="32"/>
        </w:rPr>
        <w:t>g/kg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克百威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 w:cs="黑体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克百威，又名呋喃丹，是一种广谱性杀虫、杀螨、杀线虫剂。克百威属于高毒农药，</w:t>
      </w:r>
      <w:r>
        <w:rPr>
          <w:rFonts w:hint="eastAsia" w:eastAsia="仿宋_GB2312" w:cs="黑体"/>
          <w:sz w:val="32"/>
          <w:szCs w:val="32"/>
        </w:rPr>
        <w:t>农业部第</w:t>
      </w:r>
      <w:r>
        <w:rPr>
          <w:rFonts w:eastAsia="仿宋_GB2312" w:cs="黑体"/>
          <w:sz w:val="32"/>
          <w:szCs w:val="32"/>
        </w:rPr>
        <w:t>199</w:t>
      </w:r>
      <w:r>
        <w:rPr>
          <w:rFonts w:hint="eastAsia" w:eastAsia="仿宋_GB2312" w:cs="黑体"/>
          <w:sz w:val="32"/>
          <w:szCs w:val="32"/>
        </w:rPr>
        <w:t>号公告明确规定克百威不得用于蔬菜、果树、茶叶、中草药材上。《食品安全国家标准</w:t>
      </w:r>
      <w:r>
        <w:rPr>
          <w:rFonts w:eastAsia="仿宋_GB2312" w:cs="黑体"/>
          <w:sz w:val="32"/>
          <w:szCs w:val="32"/>
        </w:rPr>
        <w:t xml:space="preserve"> </w:t>
      </w:r>
      <w:r>
        <w:rPr>
          <w:rFonts w:hint="eastAsia" w:eastAsia="仿宋_GB2312" w:cs="黑体"/>
          <w:sz w:val="32"/>
          <w:szCs w:val="32"/>
        </w:rPr>
        <w:t>食品中农药最大残留限量》（</w:t>
      </w:r>
      <w:r>
        <w:rPr>
          <w:rFonts w:eastAsia="仿宋_GB2312" w:cs="黑体"/>
          <w:sz w:val="32"/>
          <w:szCs w:val="32"/>
        </w:rPr>
        <w:t>GB 2763</w:t>
      </w:r>
      <w:r>
        <w:rPr>
          <w:rFonts w:hint="eastAsia" w:eastAsia="仿宋_GB2312" w:cs="黑体"/>
          <w:sz w:val="32"/>
          <w:szCs w:val="32"/>
        </w:rPr>
        <w:t>）规定，豆类蔬菜中克百威的最大残留限量为</w:t>
      </w:r>
      <w:r>
        <w:rPr>
          <w:rFonts w:eastAsia="仿宋_GB2312" w:cs="黑体"/>
          <w:sz w:val="32"/>
          <w:szCs w:val="32"/>
        </w:rPr>
        <w:t>0.02 mg/kg</w:t>
      </w:r>
      <w:r>
        <w:rPr>
          <w:rFonts w:hint="eastAsia" w:eastAsia="仿宋_GB2312" w:cs="黑体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噻虫胺，具有根内吸活性和层间传导性，</w:t>
      </w:r>
      <w:r>
        <w:rPr>
          <w:rFonts w:eastAsia="仿宋_GB2312"/>
          <w:color w:val="000000"/>
          <w:sz w:val="32"/>
          <w:szCs w:val="32"/>
        </w:rPr>
        <w:t>能</w:t>
      </w:r>
      <w:r>
        <w:rPr>
          <w:rFonts w:hint="eastAsia" w:eastAsia="仿宋_GB2312"/>
          <w:color w:val="000000"/>
          <w:sz w:val="32"/>
          <w:szCs w:val="32"/>
        </w:rPr>
        <w:t>防治水稻、玉米、油菜、果树和蔬菜、柑橘的刺吸式和咀嚼式害虫，如飞虱、椿象、蚜虫和烟粉虱。《食品安全国家标准 食品中农药最大残留限量》（GB 2763）规定，根茎类蔬菜中噻虫胺的最大残留限量为</w:t>
      </w:r>
      <w:r>
        <w:rPr>
          <w:rFonts w:eastAsia="仿宋_GB2312"/>
          <w:color w:val="000000"/>
          <w:sz w:val="32"/>
          <w:szCs w:val="32"/>
        </w:rPr>
        <w:t>0.</w:t>
      </w:r>
      <w:r>
        <w:rPr>
          <w:rFonts w:hint="eastAsia" w:eastAsia="仿宋_GB2312"/>
          <w:color w:val="000000"/>
          <w:sz w:val="32"/>
          <w:szCs w:val="32"/>
        </w:rPr>
        <w:t>2 mg/kg。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371566379">
    <w:nsid w:val="51C0712B"/>
    <w:multiLevelType w:val="multilevel"/>
    <w:tmpl w:val="51C0712B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37156637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0aIVSI1lhZTdLnnR8BKArD04uVQ=" w:salt="GyF/7fTxPPQHMbZlKjbfzA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B73"/>
    <w:rsid w:val="0004548C"/>
    <w:rsid w:val="00045988"/>
    <w:rsid w:val="0004743B"/>
    <w:rsid w:val="00054964"/>
    <w:rsid w:val="00057CF0"/>
    <w:rsid w:val="00060A1E"/>
    <w:rsid w:val="00060A49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998"/>
    <w:rsid w:val="00077B25"/>
    <w:rsid w:val="00077E1C"/>
    <w:rsid w:val="00080836"/>
    <w:rsid w:val="00080E18"/>
    <w:rsid w:val="0008374A"/>
    <w:rsid w:val="0009327B"/>
    <w:rsid w:val="00094F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65FE"/>
    <w:rsid w:val="000D67B6"/>
    <w:rsid w:val="000D7EF0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38A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F7E"/>
    <w:rsid w:val="001553FE"/>
    <w:rsid w:val="001563C0"/>
    <w:rsid w:val="00156A6A"/>
    <w:rsid w:val="001575C1"/>
    <w:rsid w:val="00160FB6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4162"/>
    <w:rsid w:val="001A6EB4"/>
    <w:rsid w:val="001A76CB"/>
    <w:rsid w:val="001A7792"/>
    <w:rsid w:val="001B1569"/>
    <w:rsid w:val="001B3B46"/>
    <w:rsid w:val="001B3EE1"/>
    <w:rsid w:val="001B7D47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792"/>
    <w:rsid w:val="00207230"/>
    <w:rsid w:val="0020732E"/>
    <w:rsid w:val="00210E66"/>
    <w:rsid w:val="00213D96"/>
    <w:rsid w:val="00216E7C"/>
    <w:rsid w:val="00216EF6"/>
    <w:rsid w:val="00217B14"/>
    <w:rsid w:val="00223F0A"/>
    <w:rsid w:val="00226A84"/>
    <w:rsid w:val="00234DE7"/>
    <w:rsid w:val="00237976"/>
    <w:rsid w:val="002410EB"/>
    <w:rsid w:val="00241109"/>
    <w:rsid w:val="0024276D"/>
    <w:rsid w:val="002436F7"/>
    <w:rsid w:val="002448DC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2F72"/>
    <w:rsid w:val="002A7878"/>
    <w:rsid w:val="002A7A92"/>
    <w:rsid w:val="002B4B10"/>
    <w:rsid w:val="002B6033"/>
    <w:rsid w:val="002B6ED2"/>
    <w:rsid w:val="002C087A"/>
    <w:rsid w:val="002C0FF8"/>
    <w:rsid w:val="002C29BF"/>
    <w:rsid w:val="002C2A8A"/>
    <w:rsid w:val="002C4015"/>
    <w:rsid w:val="002C57AC"/>
    <w:rsid w:val="002C6988"/>
    <w:rsid w:val="002C7DC8"/>
    <w:rsid w:val="002D18AD"/>
    <w:rsid w:val="002D406D"/>
    <w:rsid w:val="002D49F7"/>
    <w:rsid w:val="002D4E3A"/>
    <w:rsid w:val="002D7942"/>
    <w:rsid w:val="002E1D5D"/>
    <w:rsid w:val="002E1DB7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8B1"/>
    <w:rsid w:val="00383DD4"/>
    <w:rsid w:val="00384357"/>
    <w:rsid w:val="00384EE2"/>
    <w:rsid w:val="00391FF9"/>
    <w:rsid w:val="003928EE"/>
    <w:rsid w:val="00397D18"/>
    <w:rsid w:val="003A0DA7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2091D"/>
    <w:rsid w:val="00421FD1"/>
    <w:rsid w:val="00423B74"/>
    <w:rsid w:val="00423DEA"/>
    <w:rsid w:val="00424F83"/>
    <w:rsid w:val="00426DBF"/>
    <w:rsid w:val="00427E0A"/>
    <w:rsid w:val="0043185F"/>
    <w:rsid w:val="00432456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5179"/>
    <w:rsid w:val="004614C1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2838"/>
    <w:rsid w:val="004B4DF5"/>
    <w:rsid w:val="004B6413"/>
    <w:rsid w:val="004B6AFB"/>
    <w:rsid w:val="004B746D"/>
    <w:rsid w:val="004C06B9"/>
    <w:rsid w:val="004C2AF2"/>
    <w:rsid w:val="004C379B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2D4"/>
    <w:rsid w:val="004E6681"/>
    <w:rsid w:val="004E7B71"/>
    <w:rsid w:val="004F0237"/>
    <w:rsid w:val="004F1A70"/>
    <w:rsid w:val="004F244A"/>
    <w:rsid w:val="004F67DE"/>
    <w:rsid w:val="004F6C65"/>
    <w:rsid w:val="00503C79"/>
    <w:rsid w:val="00505EEC"/>
    <w:rsid w:val="0050686A"/>
    <w:rsid w:val="00506CE6"/>
    <w:rsid w:val="005103CB"/>
    <w:rsid w:val="005121F9"/>
    <w:rsid w:val="0051578A"/>
    <w:rsid w:val="00516D1B"/>
    <w:rsid w:val="005203BF"/>
    <w:rsid w:val="00521C41"/>
    <w:rsid w:val="00523A2E"/>
    <w:rsid w:val="00526329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3A38"/>
    <w:rsid w:val="005A3D45"/>
    <w:rsid w:val="005A4DF3"/>
    <w:rsid w:val="005A537D"/>
    <w:rsid w:val="005A5CB5"/>
    <w:rsid w:val="005A72FC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7C4C"/>
    <w:rsid w:val="006A4201"/>
    <w:rsid w:val="006B0E22"/>
    <w:rsid w:val="006B2017"/>
    <w:rsid w:val="006B6528"/>
    <w:rsid w:val="006C00C9"/>
    <w:rsid w:val="006C1844"/>
    <w:rsid w:val="006C2274"/>
    <w:rsid w:val="006C23EC"/>
    <w:rsid w:val="006C562B"/>
    <w:rsid w:val="006D10A4"/>
    <w:rsid w:val="006D3C30"/>
    <w:rsid w:val="006D4102"/>
    <w:rsid w:val="006D5154"/>
    <w:rsid w:val="006D7405"/>
    <w:rsid w:val="006E277B"/>
    <w:rsid w:val="006E2949"/>
    <w:rsid w:val="006E33D5"/>
    <w:rsid w:val="006E4F4C"/>
    <w:rsid w:val="006E745C"/>
    <w:rsid w:val="006E76D4"/>
    <w:rsid w:val="006E77CD"/>
    <w:rsid w:val="006F13DE"/>
    <w:rsid w:val="006F21D1"/>
    <w:rsid w:val="006F3CA5"/>
    <w:rsid w:val="006F5D08"/>
    <w:rsid w:val="00700FBA"/>
    <w:rsid w:val="007011EE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2006A"/>
    <w:rsid w:val="00721C67"/>
    <w:rsid w:val="0072540D"/>
    <w:rsid w:val="00725D84"/>
    <w:rsid w:val="00726355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7AC0"/>
    <w:rsid w:val="007A022B"/>
    <w:rsid w:val="007A2AA4"/>
    <w:rsid w:val="007A48C8"/>
    <w:rsid w:val="007A5157"/>
    <w:rsid w:val="007A78CF"/>
    <w:rsid w:val="007B0C8B"/>
    <w:rsid w:val="007B0E4B"/>
    <w:rsid w:val="007B14E7"/>
    <w:rsid w:val="007B2378"/>
    <w:rsid w:val="007B43D3"/>
    <w:rsid w:val="007B491A"/>
    <w:rsid w:val="007B4BC5"/>
    <w:rsid w:val="007C012A"/>
    <w:rsid w:val="007C0516"/>
    <w:rsid w:val="007C3EF6"/>
    <w:rsid w:val="007C4D17"/>
    <w:rsid w:val="007D4742"/>
    <w:rsid w:val="007E0630"/>
    <w:rsid w:val="007E27E9"/>
    <w:rsid w:val="007E2EFA"/>
    <w:rsid w:val="007E518B"/>
    <w:rsid w:val="007F342E"/>
    <w:rsid w:val="007F6521"/>
    <w:rsid w:val="00800671"/>
    <w:rsid w:val="008019D1"/>
    <w:rsid w:val="008030BC"/>
    <w:rsid w:val="0080385B"/>
    <w:rsid w:val="008060E3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72C2"/>
    <w:rsid w:val="0085281D"/>
    <w:rsid w:val="00852FBB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F40"/>
    <w:rsid w:val="008C34D8"/>
    <w:rsid w:val="008C37A1"/>
    <w:rsid w:val="008D069F"/>
    <w:rsid w:val="008D2415"/>
    <w:rsid w:val="008D2B24"/>
    <w:rsid w:val="008D2C5F"/>
    <w:rsid w:val="008E330A"/>
    <w:rsid w:val="008E3A54"/>
    <w:rsid w:val="008E51AE"/>
    <w:rsid w:val="008F13CF"/>
    <w:rsid w:val="008F387C"/>
    <w:rsid w:val="008F48EB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E3F"/>
    <w:rsid w:val="00914028"/>
    <w:rsid w:val="00915A92"/>
    <w:rsid w:val="00917AD6"/>
    <w:rsid w:val="00920D0B"/>
    <w:rsid w:val="00920F8F"/>
    <w:rsid w:val="00921023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5078"/>
    <w:rsid w:val="00945250"/>
    <w:rsid w:val="00945DBE"/>
    <w:rsid w:val="00946214"/>
    <w:rsid w:val="00953961"/>
    <w:rsid w:val="00956EF9"/>
    <w:rsid w:val="00960F49"/>
    <w:rsid w:val="009629CE"/>
    <w:rsid w:val="009635AD"/>
    <w:rsid w:val="00963E06"/>
    <w:rsid w:val="00971768"/>
    <w:rsid w:val="00971D21"/>
    <w:rsid w:val="00974377"/>
    <w:rsid w:val="00976786"/>
    <w:rsid w:val="0098067D"/>
    <w:rsid w:val="00982088"/>
    <w:rsid w:val="00982AC8"/>
    <w:rsid w:val="009843E5"/>
    <w:rsid w:val="00985D0D"/>
    <w:rsid w:val="0098622F"/>
    <w:rsid w:val="00986675"/>
    <w:rsid w:val="00986AE1"/>
    <w:rsid w:val="00995284"/>
    <w:rsid w:val="009961DD"/>
    <w:rsid w:val="009A237D"/>
    <w:rsid w:val="009A2D71"/>
    <w:rsid w:val="009A3AF1"/>
    <w:rsid w:val="009A500D"/>
    <w:rsid w:val="009A75E2"/>
    <w:rsid w:val="009B04E3"/>
    <w:rsid w:val="009B243F"/>
    <w:rsid w:val="009B25BE"/>
    <w:rsid w:val="009B46D1"/>
    <w:rsid w:val="009B5531"/>
    <w:rsid w:val="009B7D01"/>
    <w:rsid w:val="009C6F97"/>
    <w:rsid w:val="009D0549"/>
    <w:rsid w:val="009D151F"/>
    <w:rsid w:val="009D1683"/>
    <w:rsid w:val="009D16BA"/>
    <w:rsid w:val="009D5BAA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17E5"/>
    <w:rsid w:val="00A31C9C"/>
    <w:rsid w:val="00A34908"/>
    <w:rsid w:val="00A35505"/>
    <w:rsid w:val="00A40CD4"/>
    <w:rsid w:val="00A42093"/>
    <w:rsid w:val="00A42C7B"/>
    <w:rsid w:val="00A4387B"/>
    <w:rsid w:val="00A44972"/>
    <w:rsid w:val="00A4570D"/>
    <w:rsid w:val="00A47D5F"/>
    <w:rsid w:val="00A526A3"/>
    <w:rsid w:val="00A554BD"/>
    <w:rsid w:val="00A61052"/>
    <w:rsid w:val="00A6442C"/>
    <w:rsid w:val="00A65383"/>
    <w:rsid w:val="00A70905"/>
    <w:rsid w:val="00A71EFC"/>
    <w:rsid w:val="00A7304C"/>
    <w:rsid w:val="00A74AF7"/>
    <w:rsid w:val="00A842E8"/>
    <w:rsid w:val="00A84623"/>
    <w:rsid w:val="00A86395"/>
    <w:rsid w:val="00A86F1D"/>
    <w:rsid w:val="00A93CD3"/>
    <w:rsid w:val="00A940BE"/>
    <w:rsid w:val="00A94326"/>
    <w:rsid w:val="00A9533E"/>
    <w:rsid w:val="00A97B1F"/>
    <w:rsid w:val="00AA2973"/>
    <w:rsid w:val="00AA2F10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7A9F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C7"/>
    <w:rsid w:val="00AE5D50"/>
    <w:rsid w:val="00AE65ED"/>
    <w:rsid w:val="00AE67E5"/>
    <w:rsid w:val="00AE723C"/>
    <w:rsid w:val="00AE7F0D"/>
    <w:rsid w:val="00AF253F"/>
    <w:rsid w:val="00AF25D3"/>
    <w:rsid w:val="00AF3FC1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6E8A"/>
    <w:rsid w:val="00BB0141"/>
    <w:rsid w:val="00BB1D57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E70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64D"/>
    <w:rsid w:val="00C10F31"/>
    <w:rsid w:val="00C25757"/>
    <w:rsid w:val="00C26364"/>
    <w:rsid w:val="00C27CD0"/>
    <w:rsid w:val="00C30FB1"/>
    <w:rsid w:val="00C3522D"/>
    <w:rsid w:val="00C360E7"/>
    <w:rsid w:val="00C3761D"/>
    <w:rsid w:val="00C45A7D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74CB"/>
    <w:rsid w:val="00CC19DE"/>
    <w:rsid w:val="00CC1EBE"/>
    <w:rsid w:val="00CC2278"/>
    <w:rsid w:val="00CC7CC6"/>
    <w:rsid w:val="00CD048B"/>
    <w:rsid w:val="00CD5519"/>
    <w:rsid w:val="00CE6C03"/>
    <w:rsid w:val="00CF016D"/>
    <w:rsid w:val="00CF11E8"/>
    <w:rsid w:val="00CF1441"/>
    <w:rsid w:val="00CF23FC"/>
    <w:rsid w:val="00CF413D"/>
    <w:rsid w:val="00CF4730"/>
    <w:rsid w:val="00D03B6A"/>
    <w:rsid w:val="00D03FA6"/>
    <w:rsid w:val="00D13533"/>
    <w:rsid w:val="00D14B06"/>
    <w:rsid w:val="00D16179"/>
    <w:rsid w:val="00D174D4"/>
    <w:rsid w:val="00D21D50"/>
    <w:rsid w:val="00D24DCD"/>
    <w:rsid w:val="00D25BBB"/>
    <w:rsid w:val="00D262CC"/>
    <w:rsid w:val="00D2774B"/>
    <w:rsid w:val="00D277BF"/>
    <w:rsid w:val="00D33FE0"/>
    <w:rsid w:val="00D361B2"/>
    <w:rsid w:val="00D3636A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93698"/>
    <w:rsid w:val="00D978B1"/>
    <w:rsid w:val="00DA28FE"/>
    <w:rsid w:val="00DA4A6D"/>
    <w:rsid w:val="00DA4EE0"/>
    <w:rsid w:val="00DA5520"/>
    <w:rsid w:val="00DA7798"/>
    <w:rsid w:val="00DB1958"/>
    <w:rsid w:val="00DB26A4"/>
    <w:rsid w:val="00DB2A23"/>
    <w:rsid w:val="00DC125D"/>
    <w:rsid w:val="00DC12EC"/>
    <w:rsid w:val="00DC29C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4BFA"/>
    <w:rsid w:val="00DF6B8E"/>
    <w:rsid w:val="00E00278"/>
    <w:rsid w:val="00E004B9"/>
    <w:rsid w:val="00E03E1E"/>
    <w:rsid w:val="00E12E1F"/>
    <w:rsid w:val="00E138E3"/>
    <w:rsid w:val="00E13AB0"/>
    <w:rsid w:val="00E13AFF"/>
    <w:rsid w:val="00E15D64"/>
    <w:rsid w:val="00E16D44"/>
    <w:rsid w:val="00E2104E"/>
    <w:rsid w:val="00E21F64"/>
    <w:rsid w:val="00E226D8"/>
    <w:rsid w:val="00E22800"/>
    <w:rsid w:val="00E24114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F0FA3"/>
    <w:rsid w:val="00EF150E"/>
    <w:rsid w:val="00EF20E7"/>
    <w:rsid w:val="00EF2B78"/>
    <w:rsid w:val="00EF5489"/>
    <w:rsid w:val="00EF5532"/>
    <w:rsid w:val="00EF6B8E"/>
    <w:rsid w:val="00F009C5"/>
    <w:rsid w:val="00F048C3"/>
    <w:rsid w:val="00F05768"/>
    <w:rsid w:val="00F05A64"/>
    <w:rsid w:val="00F1345F"/>
    <w:rsid w:val="00F1550F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30AC"/>
    <w:rsid w:val="00F642F4"/>
    <w:rsid w:val="00F65989"/>
    <w:rsid w:val="00F716BE"/>
    <w:rsid w:val="00F721A8"/>
    <w:rsid w:val="00F74A1B"/>
    <w:rsid w:val="00F82C19"/>
    <w:rsid w:val="00F873EE"/>
    <w:rsid w:val="00F90804"/>
    <w:rsid w:val="00F932DE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7E74"/>
    <w:rsid w:val="00FF184F"/>
    <w:rsid w:val="00FF2037"/>
    <w:rsid w:val="00FF6202"/>
    <w:rsid w:val="00FF6DF9"/>
    <w:rsid w:val="02642F1B"/>
    <w:rsid w:val="02CB2D30"/>
    <w:rsid w:val="04BC1EA8"/>
    <w:rsid w:val="04E82683"/>
    <w:rsid w:val="05A66F69"/>
    <w:rsid w:val="0775236D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8F6D68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5C3784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0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1">
    <w:name w:val="apple-converted-space"/>
    <w:basedOn w:val="10"/>
    <w:qFormat/>
    <w:uiPriority w:val="0"/>
    <w:rPr/>
  </w:style>
  <w:style w:type="character" w:customStyle="1" w:styleId="22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3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4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163</Words>
  <Characters>932</Characters>
  <Lines>7</Lines>
  <Paragraphs>2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dtj</cp:lastModifiedBy>
  <cp:lastPrinted>2022-07-28T07:05:00Z</cp:lastPrinted>
  <dcterms:modified xsi:type="dcterms:W3CDTF">2022-08-10T08:57:51Z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