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9"/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脱氢乙酸及其钠盐作为食品添加剂，广泛用作防腐剂，对霉菌具有较强的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抑制作用。</w:t>
      </w:r>
      <w:r>
        <w:rPr>
          <w:rFonts w:hint="eastAsia" w:eastAsia="仿宋_GB2312"/>
          <w:color w:val="000000"/>
          <w:sz w:val="32"/>
          <w:szCs w:val="32"/>
        </w:rPr>
        <w:t>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食品添加剂使用标准》（</w:t>
      </w:r>
      <w:r>
        <w:rPr>
          <w:rFonts w:eastAsia="仿宋_GB2312"/>
          <w:color w:val="000000"/>
          <w:sz w:val="32"/>
          <w:szCs w:val="32"/>
        </w:rPr>
        <w:t>GB 2760</w:t>
      </w:r>
      <w:r>
        <w:rPr>
          <w:rFonts w:hint="eastAsia" w:eastAsia="仿宋_GB2312"/>
          <w:color w:val="000000"/>
          <w:sz w:val="32"/>
          <w:szCs w:val="32"/>
        </w:rPr>
        <w:t>）未规定香辛料类调味品中允许使用脱氢乙酸及其钠盐，即不得使用。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13"/>
        <w:spacing w:line="560" w:lineRule="exact"/>
        <w:ind w:firstLine="0" w:firstLineChars="0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ascii="Times New Roman" w:hAnsi="Times New Roman" w:eastAsia="仿宋_GB2312"/>
          <w:color w:val="000000"/>
          <w:sz w:val="32"/>
          <w:szCs w:val="32"/>
        </w:rPr>
        <w:t>2002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日发布的农业部第</w:t>
      </w:r>
      <w:r>
        <w:rPr>
          <w:rFonts w:ascii="Times New Roman" w:hAnsi="Times New Roman" w:eastAsia="仿宋_GB2312"/>
          <w:color w:val="000000"/>
          <w:sz w:val="32"/>
          <w:szCs w:val="32"/>
        </w:rPr>
        <w:t>199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）规定，叶菜类蔬菜中甲拌磷的最大残留限量为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0.01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pStyle w:val="9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</w:t>
      </w:r>
      <w:r>
        <w:rPr>
          <w:rFonts w:hint="eastAsia" w:eastAsia="仿宋_GB2312"/>
          <w:bCs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食品中农药最大残留限量》（</w:t>
      </w:r>
      <w:r>
        <w:rPr>
          <w:rFonts w:eastAsia="仿宋_GB2312"/>
          <w:bCs/>
          <w:sz w:val="32"/>
          <w:szCs w:val="32"/>
        </w:rPr>
        <w:t>GB 2763</w:t>
      </w:r>
      <w:r>
        <w:rPr>
          <w:rFonts w:hint="eastAsia" w:eastAsia="仿宋_GB2312"/>
          <w:bCs/>
          <w:sz w:val="32"/>
          <w:szCs w:val="32"/>
        </w:rPr>
        <w:t>）规定，韭菜中腐霉利的最大残留限量为</w:t>
      </w:r>
      <w:r>
        <w:rPr>
          <w:rFonts w:eastAsia="仿宋_GB2312"/>
          <w:bCs/>
          <w:sz w:val="32"/>
          <w:szCs w:val="32"/>
        </w:rPr>
        <w:t>0.2 mg/kg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ascii="Times New Roman" w:hAnsi="Times New Roman" w:eastAsia="仿宋_GB2312"/>
          <w:color w:val="000000"/>
          <w:sz w:val="32"/>
          <w:szCs w:val="32"/>
        </w:rPr>
        <w:t>DNFP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ascii="Times New Roman" w:hAnsi="Times New Roman" w:eastAsia="仿宋_GB2312"/>
          <w:color w:val="000000"/>
          <w:sz w:val="32"/>
          <w:szCs w:val="32"/>
        </w:rPr>
        <w:t>WHO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0.5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</w:t>
      </w:r>
      <w:r>
        <w:rPr>
          <w:rFonts w:hint="eastAsia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熟肉制品》（</w:t>
      </w:r>
      <w:r>
        <w:rPr>
          <w:rFonts w:eastAsia="仿宋_GB2312"/>
          <w:sz w:val="32"/>
          <w:szCs w:val="32"/>
        </w:rPr>
        <w:t>GB 2726</w:t>
      </w:r>
      <w:r>
        <w:rPr>
          <w:rFonts w:hint="eastAsia" w:eastAsia="仿宋_GB2312"/>
          <w:sz w:val="32"/>
          <w:szCs w:val="32"/>
        </w:rPr>
        <w:t>）对预包装的熟肉制品（发酵肉制品类除外）中的菌落总数规定同批次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个独立包装产品中菌落总数检测结果不允许有超过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  <w:vertAlign w:val="superscript"/>
        </w:rPr>
        <w:t>5</w:t>
      </w:r>
      <w:r>
        <w:rPr>
          <w:rFonts w:eastAsia="仿宋_GB2312"/>
          <w:sz w:val="32"/>
          <w:szCs w:val="32"/>
        </w:rPr>
        <w:t xml:space="preserve"> CFU/g</w:t>
      </w:r>
      <w:r>
        <w:rPr>
          <w:rFonts w:hint="eastAsia" w:eastAsia="仿宋_GB2312"/>
          <w:sz w:val="32"/>
          <w:szCs w:val="32"/>
        </w:rPr>
        <w:t>的，且至少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个包装产品检测结果不超过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  <w:vertAlign w:val="superscript"/>
        </w:rPr>
        <w:t>4</w:t>
      </w:r>
      <w:r>
        <w:rPr>
          <w:rFonts w:eastAsia="仿宋_GB2312"/>
          <w:sz w:val="32"/>
          <w:szCs w:val="32"/>
        </w:rPr>
        <w:t xml:space="preserve"> CFU/g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熟肉制品》（</w:t>
      </w:r>
      <w:r>
        <w:rPr>
          <w:rFonts w:eastAsia="仿宋_GB2312"/>
          <w:color w:val="000000"/>
          <w:sz w:val="32"/>
          <w:szCs w:val="32"/>
        </w:rPr>
        <w:t>GB 2726</w:t>
      </w:r>
      <w:r>
        <w:rPr>
          <w:rFonts w:hint="eastAsia" w:eastAsia="仿宋_GB2312"/>
          <w:color w:val="000000"/>
          <w:sz w:val="32"/>
          <w:szCs w:val="32"/>
        </w:rPr>
        <w:t>）对熟肉制品中的大肠菌群规定同批次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）规定，豆类蔬菜中倍硫磷的最大残留限量为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五氯酚酸钠</w:t>
      </w:r>
    </w:p>
    <w:p>
      <w:pPr>
        <w:pStyle w:val="14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五氯酚酸钠属于有机氯农药，常用作除草剂、杀菌剂。动物产品的五氯酚酸钠残留，可导致对人体的急性毒性作用。《食品动物中禁止使用的药品及其他化合物清单》（农业农村部公告第</w:t>
      </w:r>
      <w:r>
        <w:rPr>
          <w:rFonts w:ascii="Times New Roman" w:hAnsi="Times New Roman" w:eastAsia="仿宋_GB2312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号）中规定，五氯酚酸钠为食品动物中禁止使用的药品（动物性食品中不得检出）。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61646187">
    <w:nsid w:val="74EC586B"/>
    <w:multiLevelType w:val="multilevel"/>
    <w:tmpl w:val="74EC586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616461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7zW8ISPx2hdQ8b3eVjvjFB7DGNY=" w:salt="xw5xoxTI1YeihCKhmatqe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2C5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5503C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D0E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41BA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5A3"/>
    <w:rsid w:val="00421FD1"/>
    <w:rsid w:val="00423B74"/>
    <w:rsid w:val="00423DEA"/>
    <w:rsid w:val="00425383"/>
    <w:rsid w:val="00426DBF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E719C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961E7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50D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E78F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4687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24114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5535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37DA7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5F702D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5CE7A9B"/>
    <w:rsid w:val="2604386C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6C31A89"/>
    <w:rsid w:val="37233895"/>
    <w:rsid w:val="376F3EFE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5D17A4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182</Words>
  <Characters>1040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2022-06-23T07:20:00Z</cp:lastPrinted>
  <dcterms:modified xsi:type="dcterms:W3CDTF">2022-06-24T09:29:07Z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