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adjustRightInd w:val="0"/>
        <w:snapToGrid w:val="0"/>
        <w:spacing w:line="560" w:lineRule="exact"/>
        <w:rPr>
          <w:rFonts w:ascii="Times New Roman" w:hAnsi="Times New Roman" w:eastAsia="黑体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eastAsia="黑体" w:cs="Times New Roman"/>
          <w:sz w:val="32"/>
          <w:szCs w:val="32"/>
        </w:rPr>
        <w:t>附件4</w:t>
      </w:r>
    </w:p>
    <w:p>
      <w:pPr>
        <w:adjustRightInd w:val="0"/>
        <w:snapToGrid w:val="0"/>
        <w:spacing w:line="560" w:lineRule="exact"/>
        <w:ind w:firstLine="880" w:firstLineChars="200"/>
        <w:jc w:val="center"/>
        <w:rPr>
          <w:rFonts w:ascii="Times New Roman" w:hAnsi="Times New Roman" w:eastAsia="方正小标宋简体" w:cs="Times New Roman"/>
          <w:bCs/>
          <w:sz w:val="44"/>
          <w:szCs w:val="44"/>
        </w:rPr>
      </w:pPr>
      <w:r>
        <w:rPr>
          <w:rFonts w:ascii="Times New Roman" w:hAnsi="Times New Roman" w:eastAsia="方正小标宋简体" w:cs="Times New Roman"/>
          <w:bCs/>
          <w:sz w:val="44"/>
          <w:szCs w:val="44"/>
        </w:rPr>
        <w:t>不合格项目说明</w:t>
      </w:r>
    </w:p>
    <w:p>
      <w:pPr>
        <w:pStyle w:val="13"/>
        <w:adjustRightInd w:val="0"/>
        <w:snapToGrid w:val="0"/>
        <w:spacing w:line="560" w:lineRule="exact"/>
        <w:ind w:firstLine="640" w:firstLineChars="200"/>
        <w:jc w:val="left"/>
        <w:rPr>
          <w:rFonts w:ascii="Times New Roman" w:hAnsi="Times New Roman" w:eastAsia="黑体" w:cs="仿宋"/>
          <w:color w:val="000000"/>
          <w:sz w:val="32"/>
          <w:szCs w:val="32"/>
        </w:rPr>
      </w:pPr>
    </w:p>
    <w:p>
      <w:pPr>
        <w:pStyle w:val="8"/>
        <w:numPr>
          <w:ilvl w:val="0"/>
          <w:numId w:val="1"/>
        </w:numPr>
        <w:adjustRightInd w:val="0"/>
        <w:snapToGrid w:val="0"/>
        <w:spacing w:line="560" w:lineRule="exact"/>
        <w:ind w:left="0" w:firstLine="640" w:firstLineChars="200"/>
        <w:rPr>
          <w:rFonts w:eastAsia="黑体"/>
          <w:color w:val="000000"/>
          <w:sz w:val="32"/>
          <w:szCs w:val="32"/>
        </w:rPr>
      </w:pPr>
      <w:r>
        <w:rPr>
          <w:rFonts w:hint="eastAsia" w:eastAsia="黑体"/>
          <w:color w:val="000000"/>
          <w:sz w:val="32"/>
          <w:szCs w:val="32"/>
        </w:rPr>
        <w:t>水胺硫磷</w:t>
      </w:r>
    </w:p>
    <w:p>
      <w:pPr>
        <w:pStyle w:val="8"/>
        <w:adjustRightInd w:val="0"/>
        <w:snapToGrid w:val="0"/>
        <w:spacing w:line="560" w:lineRule="exact"/>
        <w:ind w:firstLine="640" w:firstLineChars="200"/>
        <w:rPr>
          <w:rFonts w:eastAsia="仿宋_GB2312" w:cs="黑体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水胺硫磷是胆碱酯酶抑制剂，具有触杀和胃毒作用，是一种广谱性有机磷类杀虫、杀螨剂，兼有杀卵作用。《食品安全国家标准 食品中农药最</w:t>
      </w:r>
      <w:r>
        <w:rPr>
          <w:rFonts w:hint="eastAsia" w:eastAsia="仿宋_GB2312" w:cs="黑体"/>
          <w:color w:val="000000"/>
          <w:sz w:val="32"/>
          <w:szCs w:val="32"/>
        </w:rPr>
        <w:t>大残留限量》（GB 2763）规定，柑橘类水果中水胺硫磷的最大残留限量为0.0</w:t>
      </w:r>
      <w:r>
        <w:rPr>
          <w:rFonts w:eastAsia="仿宋_GB2312" w:cs="黑体"/>
          <w:color w:val="000000"/>
          <w:sz w:val="32"/>
          <w:szCs w:val="32"/>
        </w:rPr>
        <w:t>2</w:t>
      </w:r>
      <w:r>
        <w:rPr>
          <w:rFonts w:hint="eastAsia" w:eastAsia="仿宋_GB2312" w:cs="黑体"/>
          <w:color w:val="000000"/>
          <w:sz w:val="32"/>
          <w:szCs w:val="32"/>
        </w:rPr>
        <w:t xml:space="preserve"> mg/kg。</w:t>
      </w:r>
    </w:p>
    <w:p>
      <w:pPr>
        <w:pStyle w:val="12"/>
        <w:numPr>
          <w:ilvl w:val="0"/>
          <w:numId w:val="1"/>
        </w:numPr>
        <w:adjustRightInd w:val="0"/>
        <w:snapToGrid w:val="0"/>
        <w:spacing w:line="560" w:lineRule="exact"/>
        <w:ind w:left="0" w:firstLine="640"/>
        <w:rPr>
          <w:rFonts w:ascii="Times New Roman" w:hAnsi="Times New Roman" w:eastAsia="黑体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黑体" w:cs="Times New Roman"/>
          <w:color w:val="000000"/>
          <w:sz w:val="32"/>
          <w:szCs w:val="32"/>
        </w:rPr>
        <w:t>地西泮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地西泮又名安定，为镇静剂类药物，主要用于焦虑、镇静催眠，还可用于抗癫痫和抗惊厥。《食品安全国家标准</w:t>
      </w:r>
      <w:r>
        <w:rPr>
          <w:rFonts w:ascii="Times New Roman" w:hAnsi="Times New Roman" w:eastAsia="仿宋_GB2312"/>
          <w:color w:val="000000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食品中兽药最大残留限量》（</w:t>
      </w:r>
      <w:r>
        <w:rPr>
          <w:rFonts w:ascii="Times New Roman" w:hAnsi="Times New Roman" w:eastAsia="仿宋_GB2312"/>
          <w:color w:val="000000"/>
          <w:sz w:val="32"/>
          <w:szCs w:val="32"/>
        </w:rPr>
        <w:t>GB 31650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）规定，地西泮是允许作治疗用，但不得在动物性食品中检出的兽药。</w:t>
      </w:r>
    </w:p>
    <w:p>
      <w:pPr>
        <w:pStyle w:val="13"/>
        <w:numPr>
          <w:ilvl w:val="0"/>
          <w:numId w:val="1"/>
        </w:numPr>
        <w:adjustRightInd w:val="0"/>
        <w:snapToGrid w:val="0"/>
        <w:spacing w:line="560" w:lineRule="exact"/>
        <w:ind w:left="0" w:firstLine="640" w:firstLineChars="200"/>
        <w:jc w:val="left"/>
        <w:rPr>
          <w:rFonts w:ascii="Times New Roman" w:hAnsi="Times New Roman" w:eastAsia="黑体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黑体"/>
          <w:color w:val="000000"/>
          <w:sz w:val="32"/>
          <w:szCs w:val="32"/>
        </w:rPr>
        <w:t>腐霉利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腐霉利是一种广谱内吸性的高效杀菌剂，主要用于果树、蔬菜作物的灰霉病、菌核病、褐腐病防治。《食品安全国家标准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食品中农药最大残留限量》（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GB 2763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）规定，韭菜中腐霉利的最大残留限量为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0.2 mg/kg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。</w:t>
      </w:r>
    </w:p>
    <w:p>
      <w:pPr>
        <w:pStyle w:val="12"/>
        <w:numPr>
          <w:ilvl w:val="0"/>
          <w:numId w:val="1"/>
        </w:numPr>
        <w:adjustRightInd w:val="0"/>
        <w:snapToGrid w:val="0"/>
        <w:spacing w:line="560" w:lineRule="exact"/>
        <w:ind w:left="0" w:firstLine="640"/>
        <w:rPr>
          <w:rFonts w:ascii="Times New Roman" w:hAnsi="Times New Roman" w:eastAsia="黑体"/>
          <w:color w:val="000000"/>
          <w:sz w:val="32"/>
          <w:szCs w:val="32"/>
        </w:rPr>
      </w:pPr>
      <w:r>
        <w:rPr>
          <w:rFonts w:hint="eastAsia" w:ascii="Times New Roman" w:hAnsi="Times New Roman" w:eastAsia="黑体"/>
          <w:color w:val="000000"/>
          <w:sz w:val="32"/>
          <w:szCs w:val="32"/>
        </w:rPr>
        <w:t>恩诺沙星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恩诺沙星属第三代喹诺酮类药物，是一种化学合成的广谱抑菌剂，用于治疗动物的皮肤感染、呼吸道感染等，是动物专用药物。</w:t>
      </w:r>
      <w:r>
        <w:rPr>
          <w:rFonts w:hint="eastAsia" w:ascii="Times New Roman" w:hAnsi="Times New Roman" w:eastAsia="仿宋_GB2312"/>
          <w:sz w:val="32"/>
          <w:szCs w:val="32"/>
        </w:rPr>
        <w:t>《食品安全国家标准</w:t>
      </w:r>
      <w:r>
        <w:rPr>
          <w:rFonts w:ascii="Times New Roman" w:hAnsi="Times New Roman" w:eastAsia="仿宋_GB2312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</w:rPr>
        <w:t>食品中兽药最大残留限量》（</w:t>
      </w:r>
      <w:r>
        <w:rPr>
          <w:rFonts w:ascii="Times New Roman" w:hAnsi="Times New Roman" w:eastAsia="仿宋_GB2312" w:cs="Times New Roman"/>
          <w:sz w:val="32"/>
          <w:szCs w:val="32"/>
        </w:rPr>
        <w:t>GB 31650</w:t>
      </w:r>
      <w:r>
        <w:rPr>
          <w:rFonts w:hint="eastAsia" w:ascii="Times New Roman" w:hAnsi="Times New Roman" w:eastAsia="仿宋_GB2312"/>
          <w:sz w:val="32"/>
          <w:szCs w:val="32"/>
        </w:rPr>
        <w:t>）规定，鱼中恩诺沙星的最大残留限量为</w:t>
      </w:r>
      <w:r>
        <w:rPr>
          <w:rFonts w:ascii="Times New Roman" w:hAnsi="Times New Roman" w:eastAsia="仿宋_GB2312"/>
          <w:sz w:val="32"/>
          <w:szCs w:val="32"/>
        </w:rPr>
        <w:t>100</w:t>
      </w:r>
      <w:r>
        <w:rPr>
          <w:rFonts w:hint="eastAsia" w:ascii="Times New Roman" w:hAnsi="Times New Roman" w:eastAsia="仿宋_GB2312"/>
          <w:sz w:val="32"/>
          <w:szCs w:val="32"/>
        </w:rPr>
        <w:t>μ</w:t>
      </w:r>
      <w:r>
        <w:rPr>
          <w:rFonts w:ascii="Times New Roman" w:hAnsi="Times New Roman" w:eastAsia="仿宋_GB2312"/>
          <w:sz w:val="32"/>
          <w:szCs w:val="32"/>
        </w:rPr>
        <w:t>g/kg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pStyle w:val="8"/>
        <w:numPr>
          <w:ilvl w:val="0"/>
          <w:numId w:val="1"/>
        </w:numPr>
        <w:adjustRightInd w:val="0"/>
        <w:snapToGrid w:val="0"/>
        <w:spacing w:line="560" w:lineRule="exact"/>
        <w:ind w:left="0"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菌落总数</w:t>
      </w:r>
    </w:p>
    <w:p>
      <w:pPr>
        <w:pStyle w:val="8"/>
        <w:spacing w:line="560" w:lineRule="exact"/>
        <w:ind w:firstLine="640" w:firstLineChars="200"/>
        <w:rPr>
          <w:rFonts w:eastAsia="仿宋_GB2312" w:cs="黑体"/>
          <w:sz w:val="32"/>
          <w:szCs w:val="32"/>
        </w:rPr>
      </w:pPr>
      <w:r>
        <w:rPr>
          <w:rFonts w:hint="eastAsia" w:eastAsia="仿宋_GB2312" w:cs="黑体"/>
          <w:sz w:val="32"/>
          <w:szCs w:val="32"/>
        </w:rPr>
        <w:t>菌落总数是指示性微生物指标，主要用来评价食品清洁度，反映食品在生产过程中是否符合卫生要求。《食品安全国家标准 酱油》（</w:t>
      </w:r>
      <w:r>
        <w:rPr>
          <w:rFonts w:eastAsia="仿宋_GB2312" w:cs="黑体"/>
          <w:sz w:val="32"/>
          <w:szCs w:val="32"/>
        </w:rPr>
        <w:t>GB 2717</w:t>
      </w:r>
      <w:r>
        <w:rPr>
          <w:rFonts w:hint="eastAsia" w:eastAsia="仿宋_GB2312" w:cs="黑体"/>
          <w:sz w:val="32"/>
          <w:szCs w:val="32"/>
        </w:rPr>
        <w:t>）对酱油中的菌落总数规定同批次</w:t>
      </w:r>
      <w:r>
        <w:rPr>
          <w:rFonts w:eastAsia="仿宋_GB2312" w:cs="黑体"/>
          <w:sz w:val="32"/>
          <w:szCs w:val="32"/>
        </w:rPr>
        <w:t>5</w:t>
      </w:r>
      <w:r>
        <w:rPr>
          <w:rFonts w:hint="eastAsia" w:eastAsia="仿宋_GB2312" w:cs="黑体"/>
          <w:sz w:val="32"/>
          <w:szCs w:val="32"/>
        </w:rPr>
        <w:t>个独立包装产品中菌落总数检测结果不允许有超过</w:t>
      </w:r>
      <w:r>
        <w:rPr>
          <w:rFonts w:eastAsia="仿宋_GB2312" w:cs="黑体"/>
          <w:sz w:val="32"/>
          <w:szCs w:val="32"/>
        </w:rPr>
        <w:t>5×10</w:t>
      </w:r>
      <w:r>
        <w:rPr>
          <w:rFonts w:eastAsia="仿宋_GB2312" w:cs="黑体"/>
          <w:sz w:val="32"/>
          <w:szCs w:val="32"/>
          <w:vertAlign w:val="superscript"/>
        </w:rPr>
        <w:t>4</w:t>
      </w:r>
      <w:r>
        <w:rPr>
          <w:rFonts w:eastAsia="仿宋_GB2312" w:cs="黑体"/>
          <w:sz w:val="32"/>
          <w:szCs w:val="32"/>
        </w:rPr>
        <w:t xml:space="preserve"> CFU/mL</w:t>
      </w:r>
      <w:r>
        <w:rPr>
          <w:rFonts w:hint="eastAsia" w:eastAsia="仿宋_GB2312" w:cs="黑体"/>
          <w:sz w:val="32"/>
          <w:szCs w:val="32"/>
        </w:rPr>
        <w:t>的，且至少</w:t>
      </w:r>
      <w:r>
        <w:rPr>
          <w:rFonts w:eastAsia="仿宋_GB2312" w:cs="黑体"/>
          <w:sz w:val="32"/>
          <w:szCs w:val="32"/>
        </w:rPr>
        <w:t>3</w:t>
      </w:r>
      <w:r>
        <w:rPr>
          <w:rFonts w:hint="eastAsia" w:eastAsia="仿宋_GB2312" w:cs="黑体"/>
          <w:sz w:val="32"/>
          <w:szCs w:val="32"/>
        </w:rPr>
        <w:t>个包装产品检测结果不超过</w:t>
      </w:r>
      <w:r>
        <w:rPr>
          <w:rFonts w:eastAsia="仿宋_GB2312" w:cs="黑体"/>
          <w:sz w:val="32"/>
          <w:szCs w:val="32"/>
        </w:rPr>
        <w:t>5×10</w:t>
      </w:r>
      <w:r>
        <w:rPr>
          <w:rFonts w:eastAsia="仿宋_GB2312" w:cs="黑体"/>
          <w:sz w:val="32"/>
          <w:szCs w:val="32"/>
          <w:vertAlign w:val="superscript"/>
        </w:rPr>
        <w:t xml:space="preserve">3 </w:t>
      </w:r>
      <w:r>
        <w:rPr>
          <w:rFonts w:eastAsia="仿宋_GB2312" w:cs="黑体"/>
          <w:sz w:val="32"/>
          <w:szCs w:val="32"/>
        </w:rPr>
        <w:t>CFU/mL</w:t>
      </w:r>
      <w:r>
        <w:rPr>
          <w:rFonts w:hint="eastAsia" w:eastAsia="仿宋_GB2312" w:cs="黑体"/>
          <w:sz w:val="32"/>
          <w:szCs w:val="32"/>
        </w:rPr>
        <w:t>。</w:t>
      </w:r>
    </w:p>
    <w:p>
      <w:pPr>
        <w:pStyle w:val="8"/>
        <w:numPr>
          <w:ilvl w:val="0"/>
          <w:numId w:val="1"/>
        </w:numPr>
        <w:spacing w:line="560" w:lineRule="exact"/>
        <w:ind w:left="0" w:firstLine="640" w:firstLineChars="200"/>
        <w:rPr>
          <w:rFonts w:eastAsia="黑体"/>
          <w:color w:val="000000"/>
          <w:sz w:val="32"/>
          <w:szCs w:val="32"/>
        </w:rPr>
      </w:pPr>
      <w:r>
        <w:rPr>
          <w:rFonts w:hint="eastAsia" w:eastAsia="黑体"/>
          <w:color w:val="000000"/>
          <w:sz w:val="32"/>
          <w:szCs w:val="32"/>
        </w:rPr>
        <w:t>亚硫酸盐</w:t>
      </w:r>
    </w:p>
    <w:p>
      <w:pPr>
        <w:widowControl/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亚硫酸盐是食品加工中常用的漂白剂和防腐剂，使用后产生二氧化硫的残留。《豆芽卫生标准》（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GB 22556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）规定，豆芽中亚硫酸盐</w:t>
      </w:r>
      <w:r>
        <w:rPr>
          <w:rFonts w:ascii="Times New Roman" w:hAnsi="Times New Roman" w:eastAsia="仿宋_GB2312" w:cs="Arial"/>
          <w:spacing w:val="-2"/>
          <w:kern w:val="0"/>
          <w:sz w:val="32"/>
          <w:szCs w:val="32"/>
        </w:rPr>
        <w:t>(</w:t>
      </w:r>
      <w:r>
        <w:rPr>
          <w:rFonts w:hint="eastAsia" w:ascii="Times New Roman" w:hAnsi="Times New Roman" w:eastAsia="仿宋_GB2312" w:cs="Arial"/>
          <w:spacing w:val="-2"/>
          <w:kern w:val="0"/>
          <w:sz w:val="32"/>
          <w:szCs w:val="32"/>
        </w:rPr>
        <w:t>以</w:t>
      </w:r>
      <w:r>
        <w:rPr>
          <w:rFonts w:ascii="Times New Roman" w:hAnsi="Times New Roman" w:eastAsia="仿宋_GB2312" w:cs="Arial"/>
          <w:spacing w:val="-2"/>
          <w:kern w:val="0"/>
          <w:sz w:val="32"/>
          <w:szCs w:val="32"/>
        </w:rPr>
        <w:t>SO</w:t>
      </w:r>
      <w:r>
        <w:rPr>
          <w:rFonts w:ascii="Times New Roman" w:hAnsi="Times New Roman" w:eastAsia="仿宋_GB2312" w:cs="Arial"/>
          <w:spacing w:val="-2"/>
          <w:kern w:val="0"/>
          <w:sz w:val="32"/>
          <w:szCs w:val="32"/>
          <w:vertAlign w:val="subscript"/>
        </w:rPr>
        <w:t>2</w:t>
      </w:r>
      <w:r>
        <w:rPr>
          <w:rFonts w:hint="eastAsia" w:ascii="Times New Roman" w:hAnsi="Times New Roman" w:eastAsia="仿宋_GB2312" w:cs="Arial"/>
          <w:spacing w:val="-2"/>
          <w:kern w:val="0"/>
          <w:sz w:val="32"/>
          <w:szCs w:val="32"/>
        </w:rPr>
        <w:t>计</w:t>
      </w:r>
      <w:r>
        <w:rPr>
          <w:rFonts w:ascii="Times New Roman" w:hAnsi="Times New Roman" w:eastAsia="仿宋_GB2312" w:cs="Arial"/>
          <w:spacing w:val="-2"/>
          <w:kern w:val="0"/>
          <w:sz w:val="32"/>
          <w:szCs w:val="32"/>
        </w:rPr>
        <w:t>)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的最大残留限量为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0.02 g/kg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。</w:t>
      </w:r>
    </w:p>
    <w:p>
      <w:pPr>
        <w:pStyle w:val="13"/>
        <w:numPr>
          <w:ilvl w:val="0"/>
          <w:numId w:val="1"/>
        </w:numPr>
        <w:adjustRightInd w:val="0"/>
        <w:snapToGrid w:val="0"/>
        <w:spacing w:line="560" w:lineRule="exact"/>
        <w:ind w:left="0" w:firstLine="640" w:firstLineChars="200"/>
        <w:jc w:val="left"/>
        <w:rPr>
          <w:rFonts w:ascii="Times New Roman" w:hAnsi="Times New Roman" w:eastAsia="黑体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黑体" w:cs="Times New Roman"/>
          <w:color w:val="000000"/>
          <w:sz w:val="32"/>
          <w:szCs w:val="32"/>
        </w:rPr>
        <w:t>大肠菌群</w:t>
      </w:r>
    </w:p>
    <w:p>
      <w:pPr>
        <w:pStyle w:val="8"/>
        <w:spacing w:line="56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大肠菌群是国内外通用的食品污染常用指示菌之一。食品中检出大肠菌群，提示被肠道致病菌污染的可能性较大。《食品安全国家标准</w:t>
      </w:r>
      <w:r>
        <w:rPr>
          <w:rFonts w:eastAsia="仿宋_GB2312"/>
          <w:color w:val="000000"/>
          <w:sz w:val="32"/>
          <w:szCs w:val="32"/>
        </w:rPr>
        <w:t xml:space="preserve"> </w:t>
      </w:r>
      <w:r>
        <w:rPr>
          <w:rFonts w:hint="eastAsia" w:eastAsia="仿宋_GB2312"/>
          <w:color w:val="000000"/>
          <w:sz w:val="32"/>
          <w:szCs w:val="32"/>
        </w:rPr>
        <w:t>熟肉制品》（</w:t>
      </w:r>
      <w:r>
        <w:rPr>
          <w:rFonts w:eastAsia="仿宋_GB2312"/>
          <w:color w:val="000000"/>
          <w:sz w:val="32"/>
          <w:szCs w:val="32"/>
        </w:rPr>
        <w:t>GB 2726</w:t>
      </w:r>
      <w:r>
        <w:rPr>
          <w:rFonts w:hint="eastAsia" w:eastAsia="仿宋_GB2312"/>
          <w:color w:val="000000"/>
          <w:sz w:val="32"/>
          <w:szCs w:val="32"/>
        </w:rPr>
        <w:t>）对熟肉制品中的大肠菌群规定同批次</w:t>
      </w:r>
      <w:r>
        <w:rPr>
          <w:rFonts w:eastAsia="仿宋_GB2312"/>
          <w:color w:val="000000"/>
          <w:sz w:val="32"/>
          <w:szCs w:val="32"/>
        </w:rPr>
        <w:t>5</w:t>
      </w:r>
      <w:r>
        <w:rPr>
          <w:rFonts w:hint="eastAsia" w:eastAsia="仿宋_GB2312"/>
          <w:color w:val="000000"/>
          <w:sz w:val="32"/>
          <w:szCs w:val="32"/>
        </w:rPr>
        <w:t>个独立包装产品中大肠菌群检测结果不允许有超过</w:t>
      </w:r>
      <w:r>
        <w:rPr>
          <w:rFonts w:eastAsia="仿宋_GB2312"/>
          <w:color w:val="000000"/>
          <w:sz w:val="32"/>
          <w:szCs w:val="32"/>
        </w:rPr>
        <w:t>10</w:t>
      </w:r>
      <w:r>
        <w:rPr>
          <w:rFonts w:eastAsia="仿宋_GB2312"/>
          <w:color w:val="000000"/>
          <w:sz w:val="32"/>
          <w:szCs w:val="32"/>
          <w:vertAlign w:val="superscript"/>
        </w:rPr>
        <w:t>2</w:t>
      </w:r>
      <w:r>
        <w:rPr>
          <w:rFonts w:eastAsia="仿宋_GB2312"/>
          <w:color w:val="000000"/>
          <w:sz w:val="32"/>
          <w:szCs w:val="32"/>
        </w:rPr>
        <w:t xml:space="preserve"> CFU/g</w:t>
      </w:r>
      <w:r>
        <w:rPr>
          <w:rFonts w:hint="eastAsia" w:eastAsia="仿宋_GB2312"/>
          <w:color w:val="000000"/>
          <w:sz w:val="32"/>
          <w:szCs w:val="32"/>
        </w:rPr>
        <w:t>的，且至少</w:t>
      </w:r>
      <w:r>
        <w:rPr>
          <w:rFonts w:eastAsia="仿宋_GB2312"/>
          <w:color w:val="000000"/>
          <w:sz w:val="32"/>
          <w:szCs w:val="32"/>
        </w:rPr>
        <w:t>3</w:t>
      </w:r>
      <w:r>
        <w:rPr>
          <w:rFonts w:hint="eastAsia" w:eastAsia="仿宋_GB2312"/>
          <w:color w:val="000000"/>
          <w:sz w:val="32"/>
          <w:szCs w:val="32"/>
        </w:rPr>
        <w:t>个包装产品检测结果不超过</w:t>
      </w:r>
      <w:r>
        <w:rPr>
          <w:rFonts w:eastAsia="仿宋_GB2312"/>
          <w:color w:val="000000"/>
          <w:sz w:val="32"/>
          <w:szCs w:val="32"/>
        </w:rPr>
        <w:t>10 CFU/g</w:t>
      </w:r>
      <w:r>
        <w:rPr>
          <w:rFonts w:hint="eastAsia" w:eastAsia="仿宋_GB2312"/>
          <w:color w:val="000000"/>
          <w:sz w:val="32"/>
          <w:szCs w:val="32"/>
        </w:rPr>
        <w:t>。</w:t>
      </w:r>
    </w:p>
    <w:p>
      <w:pPr>
        <w:pStyle w:val="12"/>
        <w:numPr>
          <w:ilvl w:val="0"/>
          <w:numId w:val="1"/>
        </w:numPr>
        <w:spacing w:line="560" w:lineRule="exact"/>
        <w:ind w:left="0" w:firstLine="64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维生素</w:t>
      </w:r>
      <w:r>
        <w:rPr>
          <w:rFonts w:ascii="Times New Roman" w:hAnsi="Times New Roman" w:eastAsia="黑体" w:cs="Times New Roman"/>
          <w:sz w:val="32"/>
          <w:szCs w:val="32"/>
        </w:rPr>
        <w:t>A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维生素A 是人类必需的脂溶性维生素，主要生理功能包括维持人体暗视力，维持皮肤和黏膜健康等。《金盖金维牌多种维生素咀嚼片》（Q/ZNTZ 0033S）中规定，产品中维生素A（以视黄醇计）含量应在</w:t>
      </w:r>
      <w:r>
        <w:rPr>
          <w:rFonts w:ascii="Times New Roman" w:hAnsi="Times New Roman" w:eastAsia="仿宋_GB2312" w:cs="Times New Roman"/>
          <w:sz w:val="32"/>
          <w:szCs w:val="32"/>
        </w:rPr>
        <w:t>96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μg/片~</w:t>
      </w:r>
      <w:r>
        <w:rPr>
          <w:rFonts w:ascii="Times New Roman" w:hAnsi="Times New Roman" w:eastAsia="仿宋_GB2312" w:cs="Times New Roman"/>
          <w:sz w:val="32"/>
          <w:szCs w:val="32"/>
        </w:rPr>
        <w:t>198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μg/片范围内。</w:t>
      </w:r>
    </w:p>
    <w:p>
      <w:pPr>
        <w:pStyle w:val="12"/>
        <w:numPr>
          <w:ilvl w:val="0"/>
          <w:numId w:val="1"/>
        </w:numPr>
        <w:adjustRightInd w:val="0"/>
        <w:snapToGrid w:val="0"/>
        <w:spacing w:line="560" w:lineRule="exact"/>
        <w:ind w:left="0" w:firstLine="640"/>
        <w:rPr>
          <w:rFonts w:ascii="Times New Roman" w:hAnsi="Times New Roman" w:eastAsia="黑体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黑体" w:cs="Times New Roman"/>
          <w:color w:val="000000"/>
          <w:sz w:val="32"/>
          <w:szCs w:val="32"/>
        </w:rPr>
        <w:t>N-二甲基亚硝胺</w:t>
      </w:r>
    </w:p>
    <w:p>
      <w:pPr>
        <w:adjustRightInd w:val="0"/>
        <w:snapToGrid w:val="0"/>
        <w:spacing w:line="560" w:lineRule="exact"/>
        <w:ind w:firstLine="640" w:firstLineChars="200"/>
        <w:textAlignment w:val="baseline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N-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二甲基亚硝胺是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N-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亚硝胺类化合物的一种，可以由亚硝酸盐和胺类在适宜的条件下形成，食品中天然存在的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N-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亚硝胺类化合物含量极微。</w:t>
      </w:r>
      <w:r>
        <w:rPr>
          <w:rFonts w:ascii="Times New Roman" w:hAnsi="Times New Roman" w:eastAsia="仿宋_GB2312" w:cs="Times New Roman"/>
          <w:sz w:val="32"/>
          <w:szCs w:val="32"/>
        </w:rPr>
        <w:t>N-</w:t>
      </w:r>
      <w:r>
        <w:rPr>
          <w:rFonts w:ascii="Times New Roman" w:hAnsi="Times New Roman" w:eastAsia="仿宋" w:cs="仿宋"/>
          <w:color w:val="000000"/>
          <w:sz w:val="32"/>
          <w:szCs w:val="32"/>
        </w:rPr>
        <w:t>二甲基亚硝胺是国际公认的毒性较大的污染物，</w:t>
      </w:r>
      <w:r>
        <w:rPr>
          <w:rFonts w:hint="eastAsia" w:ascii="Times New Roman" w:hAnsi="Times New Roman" w:eastAsia="仿宋_GB2312" w:cs="仿宋"/>
          <w:color w:val="000000"/>
          <w:sz w:val="32"/>
          <w:szCs w:val="32"/>
        </w:rPr>
        <w:t>对人体健康存在安全隐患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《食品安全国家标准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食品中污染物限量》（</w:t>
      </w:r>
      <w:r>
        <w:rPr>
          <w:rFonts w:ascii="Times New Roman" w:hAnsi="Times New Roman" w:eastAsia="仿宋_GB2312" w:cs="Times New Roman"/>
          <w:sz w:val="32"/>
          <w:szCs w:val="32"/>
        </w:rPr>
        <w:t>GB 2762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）规定，干制水产品中</w:t>
      </w:r>
      <w:r>
        <w:rPr>
          <w:rFonts w:ascii="Times New Roman" w:hAnsi="Times New Roman" w:eastAsia="仿宋_GB2312" w:cs="Times New Roman"/>
          <w:sz w:val="32"/>
          <w:szCs w:val="32"/>
        </w:rPr>
        <w:t>N-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二甲基亚硝胺最大限量值为</w:t>
      </w:r>
      <w:r>
        <w:rPr>
          <w:rFonts w:ascii="Times New Roman" w:hAnsi="Times New Roman" w:eastAsia="仿宋_GB2312" w:cs="Times New Roman"/>
          <w:sz w:val="32"/>
          <w:szCs w:val="32"/>
        </w:rPr>
        <w:t>4.0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</w:rPr>
        <w:t>μg/kg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</w:t>
      </w:r>
    </w:p>
    <w:p>
      <w:pPr>
        <w:pStyle w:val="12"/>
        <w:numPr>
          <w:ilvl w:val="0"/>
          <w:numId w:val="1"/>
        </w:numPr>
        <w:spacing w:line="560" w:lineRule="exact"/>
        <w:ind w:left="0" w:firstLine="632"/>
        <w:rPr>
          <w:rFonts w:ascii="黑体" w:hAnsi="黑体" w:eastAsia="黑体" w:cs="Arial"/>
          <w:spacing w:val="-2"/>
          <w:kern w:val="0"/>
          <w:sz w:val="32"/>
          <w:szCs w:val="32"/>
        </w:rPr>
      </w:pPr>
      <w:r>
        <w:rPr>
          <w:rFonts w:hint="eastAsia" w:ascii="黑体" w:hAnsi="黑体" w:eastAsia="黑体" w:cs="Arial"/>
          <w:spacing w:val="-2"/>
          <w:kern w:val="0"/>
          <w:sz w:val="32"/>
          <w:szCs w:val="32"/>
        </w:rPr>
        <w:t>呋喃唑酮代谢物</w:t>
      </w:r>
    </w:p>
    <w:p>
      <w:pPr>
        <w:pStyle w:val="8"/>
        <w:spacing w:line="560" w:lineRule="exact"/>
        <w:ind w:firstLine="632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eastAsia="仿宋_GB2312"/>
          <w:spacing w:val="-2"/>
          <w:kern w:val="0"/>
          <w:sz w:val="32"/>
          <w:szCs w:val="32"/>
        </w:rPr>
        <w:t>呋喃唑酮为硝基呋喃类广谱抗菌药，对常见的革兰氏阴性菌和阳性菌有抑制作用。硝基呋喃类原型药在生物体内代谢迅速，和蛋白质结合而相当稳定，故常利用对其代谢物的检测来反应硝基呋喃类药物的残留状况。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研究发现硝基呋喃类药物及其代谢物对人体健康存在安全隐患，因此我国2002年12月24日发布的原农业部公告235号中将呋喃唑酮列为禁止用于所有食品动物的兽药。</w:t>
      </w:r>
      <w:r>
        <w:rPr>
          <w:rFonts w:hint="eastAsia" w:eastAsia="仿宋_GB2312" w:cs="Arial"/>
          <w:sz w:val="32"/>
          <w:szCs w:val="32"/>
        </w:rPr>
        <w:t>《食品动物中禁止使用的药品及其他化合物清单》（农业农村部公告第250号）</w:t>
      </w:r>
      <w:r>
        <w:rPr>
          <w:rFonts w:hint="eastAsia" w:ascii="仿宋_GB2312" w:eastAsia="仿宋_GB2312"/>
          <w:bCs/>
          <w:sz w:val="32"/>
          <w:szCs w:val="32"/>
        </w:rPr>
        <w:t>中，也将其列为食品动物中禁止使用的药品。</w:t>
      </w:r>
    </w:p>
    <w:p>
      <w:pPr>
        <w:pStyle w:val="8"/>
        <w:numPr>
          <w:ilvl w:val="0"/>
          <w:numId w:val="1"/>
        </w:numPr>
        <w:spacing w:line="560" w:lineRule="exact"/>
        <w:ind w:left="0" w:firstLine="640" w:firstLineChars="200"/>
        <w:rPr>
          <w:rFonts w:eastAsia="黑体"/>
          <w:color w:val="000000"/>
          <w:sz w:val="32"/>
          <w:szCs w:val="32"/>
        </w:rPr>
      </w:pPr>
      <w:r>
        <w:rPr>
          <w:rFonts w:hint="eastAsia" w:eastAsia="黑体"/>
          <w:color w:val="000000"/>
          <w:sz w:val="32"/>
          <w:szCs w:val="32"/>
        </w:rPr>
        <w:t>镉</w:t>
      </w:r>
    </w:p>
    <w:p>
      <w:pPr>
        <w:pStyle w:val="8"/>
        <w:spacing w:line="56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镉属于重金属污染物指标，联合国环境规划署（</w:t>
      </w:r>
      <w:r>
        <w:rPr>
          <w:rFonts w:eastAsia="仿宋_GB2312"/>
          <w:color w:val="000000"/>
          <w:sz w:val="32"/>
          <w:szCs w:val="32"/>
        </w:rPr>
        <w:t>DNFP</w:t>
      </w:r>
      <w:r>
        <w:rPr>
          <w:rFonts w:hint="eastAsia" w:eastAsia="仿宋_GB2312"/>
          <w:color w:val="000000"/>
          <w:sz w:val="32"/>
          <w:szCs w:val="32"/>
        </w:rPr>
        <w:t>）和国际职业卫生重金属委员会将镉列入重点研究的环境污染物，世界卫生组织（</w:t>
      </w:r>
      <w:r>
        <w:rPr>
          <w:rFonts w:eastAsia="仿宋_GB2312"/>
          <w:color w:val="000000"/>
          <w:sz w:val="32"/>
          <w:szCs w:val="32"/>
        </w:rPr>
        <w:t>WHO</w:t>
      </w:r>
      <w:r>
        <w:rPr>
          <w:rFonts w:hint="eastAsia" w:eastAsia="仿宋_GB2312"/>
          <w:color w:val="000000"/>
          <w:sz w:val="32"/>
          <w:szCs w:val="32"/>
        </w:rPr>
        <w:t>）则将其作为优先研究的食品污染物。《食品安全国家标准</w:t>
      </w:r>
      <w:r>
        <w:rPr>
          <w:rFonts w:eastAsia="仿宋_GB2312"/>
          <w:color w:val="000000"/>
          <w:sz w:val="32"/>
          <w:szCs w:val="32"/>
        </w:rPr>
        <w:t xml:space="preserve"> </w:t>
      </w:r>
      <w:r>
        <w:rPr>
          <w:rFonts w:hint="eastAsia" w:eastAsia="仿宋_GB2312"/>
          <w:color w:val="000000"/>
          <w:sz w:val="32"/>
          <w:szCs w:val="32"/>
        </w:rPr>
        <w:t>食品中污染物限量》（</w:t>
      </w:r>
      <w:r>
        <w:rPr>
          <w:rFonts w:eastAsia="仿宋_GB2312"/>
          <w:color w:val="000000"/>
          <w:sz w:val="32"/>
          <w:szCs w:val="32"/>
        </w:rPr>
        <w:t>GB 2762</w:t>
      </w:r>
      <w:r>
        <w:rPr>
          <w:rFonts w:hint="eastAsia" w:eastAsia="仿宋_GB2312"/>
          <w:color w:val="000000"/>
          <w:sz w:val="32"/>
          <w:szCs w:val="32"/>
        </w:rPr>
        <w:t>）规定，鲜、冻甲壳类水产动物中镉的限量值为</w:t>
      </w:r>
      <w:r>
        <w:rPr>
          <w:rFonts w:eastAsia="仿宋_GB2312"/>
          <w:color w:val="000000"/>
          <w:sz w:val="32"/>
          <w:szCs w:val="32"/>
        </w:rPr>
        <w:t>0.5 mg/kg</w:t>
      </w:r>
      <w:r>
        <w:rPr>
          <w:rFonts w:hint="eastAsia" w:eastAsia="仿宋_GB2312"/>
          <w:color w:val="000000"/>
          <w:sz w:val="32"/>
          <w:szCs w:val="32"/>
        </w:rPr>
        <w:t>。</w:t>
      </w:r>
    </w:p>
    <w:p>
      <w:pPr>
        <w:pStyle w:val="8"/>
        <w:numPr>
          <w:ilvl w:val="0"/>
          <w:numId w:val="1"/>
        </w:numPr>
        <w:spacing w:line="560" w:lineRule="exact"/>
        <w:ind w:left="0" w:firstLine="640" w:firstLineChars="200"/>
        <w:rPr>
          <w:rFonts w:eastAsia="黑体"/>
          <w:color w:val="000000"/>
          <w:sz w:val="32"/>
          <w:szCs w:val="32"/>
        </w:rPr>
      </w:pPr>
      <w:r>
        <w:rPr>
          <w:rFonts w:hint="eastAsia" w:eastAsia="黑体"/>
          <w:color w:val="000000"/>
          <w:sz w:val="32"/>
          <w:szCs w:val="32"/>
        </w:rPr>
        <w:t>灭蝇胺</w:t>
      </w:r>
    </w:p>
    <w:p>
      <w:pPr>
        <w:pStyle w:val="8"/>
        <w:spacing w:line="58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灭蝇胺又名环丙氨嗪，是一种具有触杀功能的昆虫生长调节剂，干扰蜕皮和蛹化。《食品安全国家标准</w:t>
      </w:r>
      <w:r>
        <w:rPr>
          <w:rFonts w:eastAsia="仿宋_GB2312"/>
          <w:sz w:val="32"/>
          <w:szCs w:val="32"/>
        </w:rPr>
        <w:t xml:space="preserve"> </w:t>
      </w:r>
      <w:r>
        <w:rPr>
          <w:rFonts w:hint="eastAsia" w:eastAsia="仿宋_GB2312"/>
          <w:sz w:val="32"/>
          <w:szCs w:val="32"/>
        </w:rPr>
        <w:t>食品中农药最大残留限量》（</w:t>
      </w:r>
      <w:r>
        <w:rPr>
          <w:rFonts w:eastAsia="仿宋_GB2312"/>
          <w:sz w:val="32"/>
          <w:szCs w:val="32"/>
        </w:rPr>
        <w:t>GB 2763</w:t>
      </w:r>
      <w:r>
        <w:rPr>
          <w:rFonts w:hint="eastAsia" w:eastAsia="仿宋_GB2312"/>
          <w:sz w:val="32"/>
          <w:szCs w:val="32"/>
        </w:rPr>
        <w:t>）规定，豇豆中灭蝇胺的最大残留限量为</w:t>
      </w:r>
      <w:r>
        <w:rPr>
          <w:rFonts w:eastAsia="仿宋_GB2312"/>
          <w:sz w:val="32"/>
          <w:szCs w:val="32"/>
        </w:rPr>
        <w:t>0.5 mg/kg</w:t>
      </w:r>
      <w:r>
        <w:rPr>
          <w:rFonts w:hint="eastAsia" w:eastAsia="仿宋_GB2312"/>
          <w:sz w:val="32"/>
          <w:szCs w:val="32"/>
        </w:rPr>
        <w:t>。</w:t>
      </w:r>
    </w:p>
    <w:p>
      <w:pPr>
        <w:pStyle w:val="8"/>
        <w:numPr>
          <w:ilvl w:val="0"/>
          <w:numId w:val="1"/>
        </w:numPr>
        <w:adjustRightInd w:val="0"/>
        <w:snapToGrid w:val="0"/>
        <w:spacing w:line="560" w:lineRule="exact"/>
        <w:ind w:left="0" w:firstLine="640" w:firstLineChars="200"/>
        <w:rPr>
          <w:rFonts w:eastAsia="黑体"/>
          <w:color w:val="000000"/>
          <w:sz w:val="32"/>
          <w:szCs w:val="32"/>
        </w:rPr>
      </w:pPr>
      <w:r>
        <w:rPr>
          <w:rFonts w:hint="eastAsia" w:eastAsia="黑体"/>
          <w:color w:val="000000"/>
          <w:sz w:val="32"/>
          <w:szCs w:val="32"/>
        </w:rPr>
        <w:t>噻虫嗪</w:t>
      </w:r>
    </w:p>
    <w:p>
      <w:pPr>
        <w:pStyle w:val="8"/>
        <w:adjustRightInd w:val="0"/>
        <w:snapToGrid w:val="0"/>
        <w:spacing w:line="560" w:lineRule="exact"/>
        <w:ind w:firstLine="640" w:firstLineChars="200"/>
        <w:rPr>
          <w:rFonts w:eastAsia="仿宋_GB2312"/>
          <w:bCs/>
          <w:color w:val="000000"/>
          <w:sz w:val="32"/>
          <w:szCs w:val="32"/>
        </w:rPr>
      </w:pPr>
      <w:r>
        <w:rPr>
          <w:rFonts w:hint="eastAsia" w:eastAsia="仿宋_GB2312"/>
          <w:bCs/>
          <w:color w:val="000000"/>
          <w:sz w:val="32"/>
          <w:szCs w:val="32"/>
        </w:rPr>
        <w:t>噻虫嗪是具有触杀、胃毒和内吸作用的杀虫剂，能被迅速吸收到植物体内，并在木质部向顶传导，能防治蚜虫、粉虱、蓟马、稻飞虱等害虫。《食品安全国家标准</w:t>
      </w:r>
      <w:r>
        <w:rPr>
          <w:rFonts w:eastAsia="仿宋_GB2312"/>
          <w:bCs/>
          <w:color w:val="000000"/>
          <w:sz w:val="32"/>
          <w:szCs w:val="32"/>
        </w:rPr>
        <w:t xml:space="preserve"> </w:t>
      </w:r>
      <w:r>
        <w:rPr>
          <w:rFonts w:hint="eastAsia" w:eastAsia="仿宋_GB2312"/>
          <w:bCs/>
          <w:color w:val="000000"/>
          <w:sz w:val="32"/>
          <w:szCs w:val="32"/>
        </w:rPr>
        <w:t>食品中农药最大残留限量》（</w:t>
      </w:r>
      <w:r>
        <w:rPr>
          <w:rFonts w:eastAsia="仿宋_GB2312"/>
          <w:bCs/>
          <w:color w:val="000000"/>
          <w:sz w:val="32"/>
          <w:szCs w:val="32"/>
        </w:rPr>
        <w:t>GB 2763</w:t>
      </w:r>
      <w:r>
        <w:rPr>
          <w:rFonts w:hint="eastAsia" w:eastAsia="仿宋_GB2312"/>
          <w:bCs/>
          <w:color w:val="000000"/>
          <w:sz w:val="32"/>
          <w:szCs w:val="32"/>
        </w:rPr>
        <w:t>）规定，香蕉中噻虫嗪的最大残留限量为</w:t>
      </w:r>
      <w:r>
        <w:rPr>
          <w:rFonts w:eastAsia="仿宋_GB2312"/>
          <w:bCs/>
          <w:color w:val="000000"/>
          <w:sz w:val="32"/>
          <w:szCs w:val="32"/>
        </w:rPr>
        <w:t>0.02 mg/kg</w:t>
      </w:r>
      <w:r>
        <w:rPr>
          <w:rFonts w:hint="eastAsia" w:eastAsia="仿宋_GB2312"/>
          <w:bCs/>
          <w:color w:val="000000"/>
          <w:sz w:val="32"/>
          <w:szCs w:val="32"/>
        </w:rPr>
        <w:t>。</w:t>
      </w:r>
    </w:p>
    <w:p>
      <w:pPr>
        <w:pStyle w:val="12"/>
        <w:numPr>
          <w:ilvl w:val="0"/>
          <w:numId w:val="1"/>
        </w:numPr>
        <w:adjustRightInd w:val="0"/>
        <w:snapToGrid w:val="0"/>
        <w:spacing w:line="560" w:lineRule="exact"/>
        <w:ind w:left="0" w:firstLine="640"/>
        <w:rPr>
          <w:rFonts w:ascii="黑体" w:hAnsi="黑体" w:eastAsia="黑体"/>
          <w:color w:val="000000"/>
          <w:sz w:val="32"/>
          <w:szCs w:val="32"/>
        </w:rPr>
      </w:pPr>
      <w:r>
        <w:rPr>
          <w:rFonts w:ascii="黑体" w:hAnsi="黑体" w:eastAsia="黑体"/>
          <w:color w:val="000000"/>
          <w:sz w:val="32"/>
          <w:szCs w:val="32"/>
        </w:rPr>
        <w:t>6-</w:t>
      </w:r>
      <w:r>
        <w:rPr>
          <w:rFonts w:hint="eastAsia" w:ascii="黑体" w:hAnsi="黑体" w:eastAsia="黑体"/>
          <w:color w:val="000000"/>
          <w:sz w:val="32"/>
          <w:szCs w:val="32"/>
        </w:rPr>
        <w:t>苄基腺嘌呤（6-BA）</w:t>
      </w:r>
    </w:p>
    <w:p>
      <w:pPr>
        <w:adjustRightInd w:val="0"/>
        <w:snapToGrid w:val="0"/>
        <w:spacing w:line="560" w:lineRule="exact"/>
        <w:ind w:firstLine="640" w:firstLineChars="200"/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6-苄基腺嘌呤（6-BA）是植物生长调节剂，主要用于防止落花落果、抑制豆类生根，并能调节植物株内激素的平衡，但由于其对人体有一定积累毒性，《国家食品药品监督管理总局、农业部、国家卫生和计划生育委员会关于豆芽生产过程中禁止使用6-苄基腺嘌呤等物质的公告》（2015年第11号）规定豆芽生产经营过程中禁止使用6-苄基腺嘌呤。</w:t>
      </w:r>
    </w:p>
    <w:p>
      <w:pPr>
        <w:pStyle w:val="12"/>
        <w:numPr>
          <w:ilvl w:val="0"/>
          <w:numId w:val="1"/>
        </w:numPr>
        <w:spacing w:line="560" w:lineRule="exact"/>
        <w:ind w:left="0" w:firstLine="640"/>
        <w:rPr>
          <w:rFonts w:ascii="Times New Roman" w:hAnsi="Times New Roman" w:eastAsia="黑体"/>
          <w:bCs/>
          <w:sz w:val="32"/>
          <w:szCs w:val="32"/>
        </w:rPr>
      </w:pPr>
      <w:r>
        <w:rPr>
          <w:rFonts w:hint="eastAsia" w:ascii="Times New Roman" w:hAnsi="Times New Roman" w:eastAsia="黑体"/>
          <w:bCs/>
          <w:sz w:val="32"/>
          <w:szCs w:val="32"/>
        </w:rPr>
        <w:t>霉菌和酵母</w:t>
      </w:r>
    </w:p>
    <w:p>
      <w:pPr>
        <w:pStyle w:val="8"/>
        <w:spacing w:line="560" w:lineRule="exact"/>
        <w:ind w:firstLine="640" w:firstLineChars="200"/>
        <w:rPr>
          <w:rFonts w:eastAsia="仿宋_GB2312" w:cs="仿宋"/>
          <w:color w:val="000000"/>
          <w:sz w:val="32"/>
          <w:szCs w:val="32"/>
        </w:rPr>
      </w:pPr>
      <w:r>
        <w:rPr>
          <w:rFonts w:hint="eastAsia" w:eastAsia="仿宋_GB2312" w:cs="仿宋"/>
          <w:color w:val="000000"/>
          <w:sz w:val="32"/>
          <w:szCs w:val="32"/>
        </w:rPr>
        <w:t>霉菌和酵母是自然界中常见的真菌，可使食品腐败变质，破坏食品的色、香、味，降低食品的食用价值。《食品安全国家标准</w:t>
      </w:r>
      <w:r>
        <w:rPr>
          <w:rFonts w:eastAsia="仿宋_GB2312" w:cs="仿宋"/>
          <w:color w:val="000000"/>
          <w:sz w:val="32"/>
          <w:szCs w:val="32"/>
        </w:rPr>
        <w:t xml:space="preserve"> </w:t>
      </w:r>
      <w:r>
        <w:rPr>
          <w:rFonts w:hint="eastAsia" w:eastAsia="仿宋_GB2312" w:cs="仿宋"/>
          <w:color w:val="000000"/>
          <w:sz w:val="32"/>
          <w:szCs w:val="32"/>
        </w:rPr>
        <w:t>保健食品》（</w:t>
      </w:r>
      <w:r>
        <w:rPr>
          <w:rFonts w:eastAsia="仿宋_GB2312" w:cs="仿宋"/>
          <w:color w:val="000000"/>
          <w:sz w:val="32"/>
          <w:szCs w:val="32"/>
        </w:rPr>
        <w:t>GB 16740</w:t>
      </w:r>
      <w:r>
        <w:rPr>
          <w:rFonts w:hint="eastAsia" w:eastAsia="仿宋_GB2312" w:cs="仿宋"/>
          <w:color w:val="000000"/>
          <w:sz w:val="32"/>
          <w:szCs w:val="32"/>
        </w:rPr>
        <w:t>）规定，</w:t>
      </w:r>
      <w:r>
        <w:rPr>
          <w:rFonts w:hint="eastAsia" w:eastAsia="仿宋_GB2312"/>
          <w:sz w:val="32"/>
          <w:szCs w:val="32"/>
        </w:rPr>
        <w:t>保健食品中</w:t>
      </w:r>
      <w:r>
        <w:rPr>
          <w:rFonts w:hint="eastAsia" w:eastAsia="仿宋_GB2312" w:cs="仿宋"/>
          <w:color w:val="000000"/>
          <w:sz w:val="32"/>
          <w:szCs w:val="32"/>
        </w:rPr>
        <w:t>霉菌和酵母应</w:t>
      </w:r>
      <w:r>
        <w:rPr>
          <w:rFonts w:hint="eastAsia" w:eastAsia="仿宋_GB2312"/>
          <w:bCs/>
          <w:sz w:val="32"/>
          <w:szCs w:val="32"/>
        </w:rPr>
        <w:t>不超过</w:t>
      </w:r>
      <w:r>
        <w:rPr>
          <w:rFonts w:eastAsia="仿宋_GB2312" w:cs="仿宋"/>
          <w:color w:val="000000"/>
          <w:sz w:val="32"/>
          <w:szCs w:val="32"/>
        </w:rPr>
        <w:t>50 CFU/g</w:t>
      </w:r>
      <w:r>
        <w:rPr>
          <w:rFonts w:hint="eastAsia" w:eastAsia="仿宋_GB2312" w:cs="仿宋"/>
          <w:color w:val="000000"/>
          <w:sz w:val="32"/>
          <w:szCs w:val="32"/>
        </w:rPr>
        <w:t>。</w:t>
      </w:r>
    </w:p>
    <w:p>
      <w:pPr>
        <w:pStyle w:val="8"/>
        <w:spacing w:line="560" w:lineRule="exact"/>
        <w:ind w:firstLine="640" w:firstLineChars="200"/>
        <w:rPr>
          <w:rFonts w:eastAsia="仿宋_GB2312"/>
          <w:color w:val="00000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127550839">
    <w:nsid w:val="43350F77"/>
    <w:multiLevelType w:val="multilevel"/>
    <w:tmpl w:val="43350F77"/>
    <w:lvl w:ilvl="0" w:tentative="1">
      <w:start w:val="1"/>
      <w:numFmt w:val="chineseCountingThousand"/>
      <w:suff w:val="nothing"/>
      <w:lvlText w:val="%1、"/>
      <w:lvlJc w:val="left"/>
      <w:pPr>
        <w:ind w:left="420" w:hanging="420"/>
      </w:pPr>
      <w:rPr>
        <w:rFonts w:hint="eastAsia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1275508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trackRevisions w:val="1"/>
  <w:documentProtection w:formatting="1" w:enforcement="1" w:cryptProviderType="rsaFull" w:cryptAlgorithmClass="hash" w:cryptAlgorithmType="typeAny" w:cryptAlgorithmSid="4" w:cryptSpinCount="0" w:hash="PqDcobtIVX9moEDRbvNAsp9SN7Q=" w:salt="3UpLJ2C89ITlo2J+itPH4g==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41375B"/>
    <w:rsid w:val="00000556"/>
    <w:rsid w:val="0000722A"/>
    <w:rsid w:val="00007960"/>
    <w:rsid w:val="000124B8"/>
    <w:rsid w:val="0001353A"/>
    <w:rsid w:val="0001759A"/>
    <w:rsid w:val="000232AB"/>
    <w:rsid w:val="0002465E"/>
    <w:rsid w:val="00024E30"/>
    <w:rsid w:val="0002533C"/>
    <w:rsid w:val="000273D3"/>
    <w:rsid w:val="00027F40"/>
    <w:rsid w:val="00031311"/>
    <w:rsid w:val="00041F52"/>
    <w:rsid w:val="00044B73"/>
    <w:rsid w:val="0004548C"/>
    <w:rsid w:val="00045988"/>
    <w:rsid w:val="0004743B"/>
    <w:rsid w:val="00060A1E"/>
    <w:rsid w:val="00060A49"/>
    <w:rsid w:val="0006564C"/>
    <w:rsid w:val="00070113"/>
    <w:rsid w:val="000721BA"/>
    <w:rsid w:val="00072B05"/>
    <w:rsid w:val="0007322D"/>
    <w:rsid w:val="00073965"/>
    <w:rsid w:val="00077998"/>
    <w:rsid w:val="00077B25"/>
    <w:rsid w:val="00077E1C"/>
    <w:rsid w:val="00080836"/>
    <w:rsid w:val="00080E18"/>
    <w:rsid w:val="0008374A"/>
    <w:rsid w:val="0009327B"/>
    <w:rsid w:val="00094F66"/>
    <w:rsid w:val="00097A7B"/>
    <w:rsid w:val="000A03C2"/>
    <w:rsid w:val="000A757F"/>
    <w:rsid w:val="000B2B78"/>
    <w:rsid w:val="000B3C1C"/>
    <w:rsid w:val="000B4437"/>
    <w:rsid w:val="000D08E7"/>
    <w:rsid w:val="000D10DB"/>
    <w:rsid w:val="000D30AF"/>
    <w:rsid w:val="000D65FE"/>
    <w:rsid w:val="000D67B6"/>
    <w:rsid w:val="000D7EF0"/>
    <w:rsid w:val="000E1F3A"/>
    <w:rsid w:val="000E5A7A"/>
    <w:rsid w:val="000E6EAC"/>
    <w:rsid w:val="000F36C0"/>
    <w:rsid w:val="000F453A"/>
    <w:rsid w:val="000F7157"/>
    <w:rsid w:val="00101B3E"/>
    <w:rsid w:val="00103CC9"/>
    <w:rsid w:val="00105FC6"/>
    <w:rsid w:val="00106345"/>
    <w:rsid w:val="001117C0"/>
    <w:rsid w:val="00112775"/>
    <w:rsid w:val="001138AD"/>
    <w:rsid w:val="00114CC3"/>
    <w:rsid w:val="00116159"/>
    <w:rsid w:val="00116273"/>
    <w:rsid w:val="00116FB7"/>
    <w:rsid w:val="0012192F"/>
    <w:rsid w:val="00122EEA"/>
    <w:rsid w:val="00126C46"/>
    <w:rsid w:val="00135232"/>
    <w:rsid w:val="00136D16"/>
    <w:rsid w:val="00137AEA"/>
    <w:rsid w:val="0014162B"/>
    <w:rsid w:val="0014636E"/>
    <w:rsid w:val="00150969"/>
    <w:rsid w:val="001511FD"/>
    <w:rsid w:val="001549DC"/>
    <w:rsid w:val="00154F7E"/>
    <w:rsid w:val="001553FE"/>
    <w:rsid w:val="001563C0"/>
    <w:rsid w:val="00156A6A"/>
    <w:rsid w:val="001575C1"/>
    <w:rsid w:val="00160FB6"/>
    <w:rsid w:val="00163A30"/>
    <w:rsid w:val="00170331"/>
    <w:rsid w:val="0017062A"/>
    <w:rsid w:val="00171761"/>
    <w:rsid w:val="001817F1"/>
    <w:rsid w:val="00181A9A"/>
    <w:rsid w:val="00182AC2"/>
    <w:rsid w:val="0018502D"/>
    <w:rsid w:val="001906D6"/>
    <w:rsid w:val="00190D0D"/>
    <w:rsid w:val="00193AC7"/>
    <w:rsid w:val="00194008"/>
    <w:rsid w:val="001949CE"/>
    <w:rsid w:val="00195B79"/>
    <w:rsid w:val="001A2FE6"/>
    <w:rsid w:val="001A3EF3"/>
    <w:rsid w:val="001A4162"/>
    <w:rsid w:val="001A76CB"/>
    <w:rsid w:val="001A7792"/>
    <w:rsid w:val="001B3B46"/>
    <w:rsid w:val="001B7D47"/>
    <w:rsid w:val="001C4076"/>
    <w:rsid w:val="001C41D1"/>
    <w:rsid w:val="001C47E3"/>
    <w:rsid w:val="001C48ED"/>
    <w:rsid w:val="001C503B"/>
    <w:rsid w:val="001C5E32"/>
    <w:rsid w:val="001E403A"/>
    <w:rsid w:val="001E428D"/>
    <w:rsid w:val="001E4C33"/>
    <w:rsid w:val="001E6A98"/>
    <w:rsid w:val="001E6FB8"/>
    <w:rsid w:val="001E7716"/>
    <w:rsid w:val="001F09AA"/>
    <w:rsid w:val="001F45CF"/>
    <w:rsid w:val="002038E5"/>
    <w:rsid w:val="00204556"/>
    <w:rsid w:val="00206792"/>
    <w:rsid w:val="00210E66"/>
    <w:rsid w:val="00213D96"/>
    <w:rsid w:val="00216E7C"/>
    <w:rsid w:val="00223F0A"/>
    <w:rsid w:val="00226A84"/>
    <w:rsid w:val="00234DE7"/>
    <w:rsid w:val="00237976"/>
    <w:rsid w:val="002410EB"/>
    <w:rsid w:val="00241109"/>
    <w:rsid w:val="0024276D"/>
    <w:rsid w:val="002448DC"/>
    <w:rsid w:val="002524A1"/>
    <w:rsid w:val="0025266C"/>
    <w:rsid w:val="0025551C"/>
    <w:rsid w:val="002576C9"/>
    <w:rsid w:val="002631B2"/>
    <w:rsid w:val="00266CA0"/>
    <w:rsid w:val="0027015C"/>
    <w:rsid w:val="00270462"/>
    <w:rsid w:val="00271DF9"/>
    <w:rsid w:val="00276C8C"/>
    <w:rsid w:val="00280609"/>
    <w:rsid w:val="002816F8"/>
    <w:rsid w:val="00281DFF"/>
    <w:rsid w:val="002831AF"/>
    <w:rsid w:val="00291085"/>
    <w:rsid w:val="002914B6"/>
    <w:rsid w:val="00293D17"/>
    <w:rsid w:val="002A1A79"/>
    <w:rsid w:val="002A2F72"/>
    <w:rsid w:val="002A7878"/>
    <w:rsid w:val="002A7A92"/>
    <w:rsid w:val="002B4B10"/>
    <w:rsid w:val="002B6033"/>
    <w:rsid w:val="002B6ED2"/>
    <w:rsid w:val="002C0FF8"/>
    <w:rsid w:val="002C29BF"/>
    <w:rsid w:val="002C4015"/>
    <w:rsid w:val="002C57AC"/>
    <w:rsid w:val="002C6988"/>
    <w:rsid w:val="002C7DC8"/>
    <w:rsid w:val="002D18AD"/>
    <w:rsid w:val="002D406D"/>
    <w:rsid w:val="002D49F7"/>
    <w:rsid w:val="002D4E3A"/>
    <w:rsid w:val="002E1D5D"/>
    <w:rsid w:val="002E1DB7"/>
    <w:rsid w:val="002E6560"/>
    <w:rsid w:val="002F0471"/>
    <w:rsid w:val="002F06B6"/>
    <w:rsid w:val="002F0CC3"/>
    <w:rsid w:val="002F0F1D"/>
    <w:rsid w:val="002F11C4"/>
    <w:rsid w:val="002F32B9"/>
    <w:rsid w:val="002F3392"/>
    <w:rsid w:val="002F51AE"/>
    <w:rsid w:val="002F70B8"/>
    <w:rsid w:val="003013F3"/>
    <w:rsid w:val="00305463"/>
    <w:rsid w:val="00305ECD"/>
    <w:rsid w:val="003139FD"/>
    <w:rsid w:val="00322B50"/>
    <w:rsid w:val="00325406"/>
    <w:rsid w:val="003266BE"/>
    <w:rsid w:val="00330311"/>
    <w:rsid w:val="00332FFB"/>
    <w:rsid w:val="00333EF4"/>
    <w:rsid w:val="003343D3"/>
    <w:rsid w:val="003350FF"/>
    <w:rsid w:val="00335352"/>
    <w:rsid w:val="00336E26"/>
    <w:rsid w:val="003411CF"/>
    <w:rsid w:val="00344313"/>
    <w:rsid w:val="00345DB6"/>
    <w:rsid w:val="00351DC2"/>
    <w:rsid w:val="003552B8"/>
    <w:rsid w:val="003560C1"/>
    <w:rsid w:val="00357549"/>
    <w:rsid w:val="0036031A"/>
    <w:rsid w:val="0036790E"/>
    <w:rsid w:val="00372099"/>
    <w:rsid w:val="00372450"/>
    <w:rsid w:val="0037416E"/>
    <w:rsid w:val="00380D10"/>
    <w:rsid w:val="003838B1"/>
    <w:rsid w:val="00383DD4"/>
    <w:rsid w:val="00384357"/>
    <w:rsid w:val="00384EE2"/>
    <w:rsid w:val="00391FF9"/>
    <w:rsid w:val="003928EE"/>
    <w:rsid w:val="00397D18"/>
    <w:rsid w:val="003A0DA7"/>
    <w:rsid w:val="003A59ED"/>
    <w:rsid w:val="003A6290"/>
    <w:rsid w:val="003B008E"/>
    <w:rsid w:val="003B4E49"/>
    <w:rsid w:val="003B6D95"/>
    <w:rsid w:val="003C1068"/>
    <w:rsid w:val="003C3301"/>
    <w:rsid w:val="003C4C35"/>
    <w:rsid w:val="003D3777"/>
    <w:rsid w:val="003D5354"/>
    <w:rsid w:val="003D7B00"/>
    <w:rsid w:val="003E1817"/>
    <w:rsid w:val="003E29AD"/>
    <w:rsid w:val="003E473B"/>
    <w:rsid w:val="003E5B35"/>
    <w:rsid w:val="003F0C78"/>
    <w:rsid w:val="003F3046"/>
    <w:rsid w:val="003F54AC"/>
    <w:rsid w:val="003F5BA3"/>
    <w:rsid w:val="003F6606"/>
    <w:rsid w:val="0040004A"/>
    <w:rsid w:val="00400590"/>
    <w:rsid w:val="00400C51"/>
    <w:rsid w:val="00401B9E"/>
    <w:rsid w:val="00404081"/>
    <w:rsid w:val="00404DB0"/>
    <w:rsid w:val="00406480"/>
    <w:rsid w:val="00411B58"/>
    <w:rsid w:val="0041375B"/>
    <w:rsid w:val="00413936"/>
    <w:rsid w:val="0041638A"/>
    <w:rsid w:val="0042091D"/>
    <w:rsid w:val="00421FD1"/>
    <w:rsid w:val="00423B74"/>
    <w:rsid w:val="00423DEA"/>
    <w:rsid w:val="00426DBF"/>
    <w:rsid w:val="0043185F"/>
    <w:rsid w:val="00432456"/>
    <w:rsid w:val="00432F27"/>
    <w:rsid w:val="004360CE"/>
    <w:rsid w:val="00437BF7"/>
    <w:rsid w:val="00440E93"/>
    <w:rsid w:val="00441BD6"/>
    <w:rsid w:val="00442C0A"/>
    <w:rsid w:val="0044308F"/>
    <w:rsid w:val="0044385F"/>
    <w:rsid w:val="00443E6B"/>
    <w:rsid w:val="00445C02"/>
    <w:rsid w:val="00446112"/>
    <w:rsid w:val="0045088B"/>
    <w:rsid w:val="004517D7"/>
    <w:rsid w:val="00455179"/>
    <w:rsid w:val="00461642"/>
    <w:rsid w:val="004625A3"/>
    <w:rsid w:val="00464AB7"/>
    <w:rsid w:val="00464D1C"/>
    <w:rsid w:val="004723ED"/>
    <w:rsid w:val="0047472D"/>
    <w:rsid w:val="00476807"/>
    <w:rsid w:val="00476C50"/>
    <w:rsid w:val="00482271"/>
    <w:rsid w:val="00484B74"/>
    <w:rsid w:val="004915D6"/>
    <w:rsid w:val="004A13E3"/>
    <w:rsid w:val="004A3844"/>
    <w:rsid w:val="004A3AEB"/>
    <w:rsid w:val="004A5696"/>
    <w:rsid w:val="004A6140"/>
    <w:rsid w:val="004A68A6"/>
    <w:rsid w:val="004A7D21"/>
    <w:rsid w:val="004B2838"/>
    <w:rsid w:val="004B4DF5"/>
    <w:rsid w:val="004B6AFB"/>
    <w:rsid w:val="004B746D"/>
    <w:rsid w:val="004C06B9"/>
    <w:rsid w:val="004C2AF2"/>
    <w:rsid w:val="004C6282"/>
    <w:rsid w:val="004C76D7"/>
    <w:rsid w:val="004D1F0F"/>
    <w:rsid w:val="004D30FC"/>
    <w:rsid w:val="004D3F9B"/>
    <w:rsid w:val="004D4D63"/>
    <w:rsid w:val="004E0E4A"/>
    <w:rsid w:val="004E2BF7"/>
    <w:rsid w:val="004E32D4"/>
    <w:rsid w:val="004E6681"/>
    <w:rsid w:val="004E7B71"/>
    <w:rsid w:val="004F0237"/>
    <w:rsid w:val="004F1A70"/>
    <w:rsid w:val="004F244A"/>
    <w:rsid w:val="004F67DE"/>
    <w:rsid w:val="004F6C65"/>
    <w:rsid w:val="00503C79"/>
    <w:rsid w:val="00505EEC"/>
    <w:rsid w:val="0050686A"/>
    <w:rsid w:val="00506CE6"/>
    <w:rsid w:val="005103CB"/>
    <w:rsid w:val="005121F9"/>
    <w:rsid w:val="0051578A"/>
    <w:rsid w:val="00516D1B"/>
    <w:rsid w:val="00521C41"/>
    <w:rsid w:val="00523A2E"/>
    <w:rsid w:val="00526329"/>
    <w:rsid w:val="005301DE"/>
    <w:rsid w:val="00532A67"/>
    <w:rsid w:val="0053679C"/>
    <w:rsid w:val="0054280C"/>
    <w:rsid w:val="005432C1"/>
    <w:rsid w:val="005438E4"/>
    <w:rsid w:val="0054794C"/>
    <w:rsid w:val="00547DB0"/>
    <w:rsid w:val="00550AA7"/>
    <w:rsid w:val="00551081"/>
    <w:rsid w:val="00556801"/>
    <w:rsid w:val="00557F67"/>
    <w:rsid w:val="00561925"/>
    <w:rsid w:val="00563950"/>
    <w:rsid w:val="00565FB6"/>
    <w:rsid w:val="00576150"/>
    <w:rsid w:val="00576538"/>
    <w:rsid w:val="00577030"/>
    <w:rsid w:val="00577C2E"/>
    <w:rsid w:val="0058064C"/>
    <w:rsid w:val="005814E7"/>
    <w:rsid w:val="00581F67"/>
    <w:rsid w:val="00582C92"/>
    <w:rsid w:val="005860E9"/>
    <w:rsid w:val="00586410"/>
    <w:rsid w:val="005870EF"/>
    <w:rsid w:val="00591EC1"/>
    <w:rsid w:val="00593E4A"/>
    <w:rsid w:val="00594C50"/>
    <w:rsid w:val="00597DAF"/>
    <w:rsid w:val="005A048D"/>
    <w:rsid w:val="005A0738"/>
    <w:rsid w:val="005A3A38"/>
    <w:rsid w:val="005A3D45"/>
    <w:rsid w:val="005A4DF3"/>
    <w:rsid w:val="005A537D"/>
    <w:rsid w:val="005A72FC"/>
    <w:rsid w:val="005B1F2F"/>
    <w:rsid w:val="005B22BA"/>
    <w:rsid w:val="005B48AE"/>
    <w:rsid w:val="005B4946"/>
    <w:rsid w:val="005B5F5E"/>
    <w:rsid w:val="005C0188"/>
    <w:rsid w:val="005C0C55"/>
    <w:rsid w:val="005C1C92"/>
    <w:rsid w:val="005C5061"/>
    <w:rsid w:val="005C5A96"/>
    <w:rsid w:val="005C73D1"/>
    <w:rsid w:val="005E403E"/>
    <w:rsid w:val="005E56F4"/>
    <w:rsid w:val="005E59CA"/>
    <w:rsid w:val="005F73C0"/>
    <w:rsid w:val="005F7E77"/>
    <w:rsid w:val="00603D05"/>
    <w:rsid w:val="006053E3"/>
    <w:rsid w:val="00605651"/>
    <w:rsid w:val="006118C6"/>
    <w:rsid w:val="006235F6"/>
    <w:rsid w:val="0062417F"/>
    <w:rsid w:val="00625B3B"/>
    <w:rsid w:val="00632C22"/>
    <w:rsid w:val="00634087"/>
    <w:rsid w:val="0063489B"/>
    <w:rsid w:val="00635B2F"/>
    <w:rsid w:val="0063787C"/>
    <w:rsid w:val="0063790E"/>
    <w:rsid w:val="00647F51"/>
    <w:rsid w:val="00650D63"/>
    <w:rsid w:val="00655A6F"/>
    <w:rsid w:val="00655CEE"/>
    <w:rsid w:val="00656433"/>
    <w:rsid w:val="0066369E"/>
    <w:rsid w:val="00663EB3"/>
    <w:rsid w:val="00665A7B"/>
    <w:rsid w:val="00665D43"/>
    <w:rsid w:val="00665F7C"/>
    <w:rsid w:val="006717A8"/>
    <w:rsid w:val="00677D77"/>
    <w:rsid w:val="00680C1C"/>
    <w:rsid w:val="00680EE3"/>
    <w:rsid w:val="00681FEA"/>
    <w:rsid w:val="006831D9"/>
    <w:rsid w:val="00683FB2"/>
    <w:rsid w:val="00684287"/>
    <w:rsid w:val="00684C46"/>
    <w:rsid w:val="006854F2"/>
    <w:rsid w:val="006A4201"/>
    <w:rsid w:val="006B0E22"/>
    <w:rsid w:val="006B2017"/>
    <w:rsid w:val="006B6528"/>
    <w:rsid w:val="006C00C9"/>
    <w:rsid w:val="006C1844"/>
    <w:rsid w:val="006C562B"/>
    <w:rsid w:val="006D10A4"/>
    <w:rsid w:val="006D3C30"/>
    <w:rsid w:val="006D4102"/>
    <w:rsid w:val="006D7405"/>
    <w:rsid w:val="006E277B"/>
    <w:rsid w:val="006E2949"/>
    <w:rsid w:val="006E33D5"/>
    <w:rsid w:val="006E745C"/>
    <w:rsid w:val="006E76D4"/>
    <w:rsid w:val="006E77CD"/>
    <w:rsid w:val="006F13DE"/>
    <w:rsid w:val="006F3CA5"/>
    <w:rsid w:val="006F5D08"/>
    <w:rsid w:val="00700FBA"/>
    <w:rsid w:val="00701B31"/>
    <w:rsid w:val="00704C4C"/>
    <w:rsid w:val="00704E7E"/>
    <w:rsid w:val="007064CB"/>
    <w:rsid w:val="007074F8"/>
    <w:rsid w:val="00707C7B"/>
    <w:rsid w:val="00707C91"/>
    <w:rsid w:val="00713238"/>
    <w:rsid w:val="00713A5C"/>
    <w:rsid w:val="0072006A"/>
    <w:rsid w:val="00721C67"/>
    <w:rsid w:val="0072540D"/>
    <w:rsid w:val="00725D84"/>
    <w:rsid w:val="00737862"/>
    <w:rsid w:val="007405AF"/>
    <w:rsid w:val="007405D4"/>
    <w:rsid w:val="00742608"/>
    <w:rsid w:val="00742EE4"/>
    <w:rsid w:val="007437ED"/>
    <w:rsid w:val="00744125"/>
    <w:rsid w:val="00744B5C"/>
    <w:rsid w:val="007510C7"/>
    <w:rsid w:val="007516D7"/>
    <w:rsid w:val="00756527"/>
    <w:rsid w:val="00756794"/>
    <w:rsid w:val="00764207"/>
    <w:rsid w:val="007678E1"/>
    <w:rsid w:val="007742DF"/>
    <w:rsid w:val="0077527E"/>
    <w:rsid w:val="007771B0"/>
    <w:rsid w:val="00780AFB"/>
    <w:rsid w:val="00781D95"/>
    <w:rsid w:val="00781DC4"/>
    <w:rsid w:val="00782096"/>
    <w:rsid w:val="0078585D"/>
    <w:rsid w:val="00786988"/>
    <w:rsid w:val="00797AC0"/>
    <w:rsid w:val="007A022B"/>
    <w:rsid w:val="007A2AA4"/>
    <w:rsid w:val="007A48C8"/>
    <w:rsid w:val="007A5157"/>
    <w:rsid w:val="007A78CF"/>
    <w:rsid w:val="007B0E4B"/>
    <w:rsid w:val="007B14E7"/>
    <w:rsid w:val="007B2378"/>
    <w:rsid w:val="007B4BC5"/>
    <w:rsid w:val="007C012A"/>
    <w:rsid w:val="007C0516"/>
    <w:rsid w:val="007C3EF6"/>
    <w:rsid w:val="007C4D17"/>
    <w:rsid w:val="007D4742"/>
    <w:rsid w:val="007E0630"/>
    <w:rsid w:val="007E27E9"/>
    <w:rsid w:val="007E2EFA"/>
    <w:rsid w:val="007E518B"/>
    <w:rsid w:val="007F342E"/>
    <w:rsid w:val="007F6521"/>
    <w:rsid w:val="00800671"/>
    <w:rsid w:val="008019D1"/>
    <w:rsid w:val="008030BC"/>
    <w:rsid w:val="0080385B"/>
    <w:rsid w:val="008060E3"/>
    <w:rsid w:val="00807915"/>
    <w:rsid w:val="00807FB1"/>
    <w:rsid w:val="008101E8"/>
    <w:rsid w:val="008146CF"/>
    <w:rsid w:val="008249C0"/>
    <w:rsid w:val="00824BED"/>
    <w:rsid w:val="00825891"/>
    <w:rsid w:val="008300A0"/>
    <w:rsid w:val="008307C2"/>
    <w:rsid w:val="0083190A"/>
    <w:rsid w:val="00841629"/>
    <w:rsid w:val="00842D60"/>
    <w:rsid w:val="0084349E"/>
    <w:rsid w:val="008452F9"/>
    <w:rsid w:val="008472C2"/>
    <w:rsid w:val="0085281D"/>
    <w:rsid w:val="00852FBB"/>
    <w:rsid w:val="00856909"/>
    <w:rsid w:val="00857019"/>
    <w:rsid w:val="00857791"/>
    <w:rsid w:val="00857C39"/>
    <w:rsid w:val="00863EF8"/>
    <w:rsid w:val="00865E5E"/>
    <w:rsid w:val="00870871"/>
    <w:rsid w:val="0087636A"/>
    <w:rsid w:val="008805D0"/>
    <w:rsid w:val="00880D13"/>
    <w:rsid w:val="0088298F"/>
    <w:rsid w:val="00882D00"/>
    <w:rsid w:val="00884B03"/>
    <w:rsid w:val="008869A6"/>
    <w:rsid w:val="00887940"/>
    <w:rsid w:val="00893B67"/>
    <w:rsid w:val="008956BC"/>
    <w:rsid w:val="008A2085"/>
    <w:rsid w:val="008A24D2"/>
    <w:rsid w:val="008A510D"/>
    <w:rsid w:val="008A6B65"/>
    <w:rsid w:val="008B1118"/>
    <w:rsid w:val="008B1974"/>
    <w:rsid w:val="008B54ED"/>
    <w:rsid w:val="008B7FB2"/>
    <w:rsid w:val="008C0541"/>
    <w:rsid w:val="008C34D8"/>
    <w:rsid w:val="008C37A1"/>
    <w:rsid w:val="008D069F"/>
    <w:rsid w:val="008D2415"/>
    <w:rsid w:val="008D2B24"/>
    <w:rsid w:val="008D2C5F"/>
    <w:rsid w:val="008E330A"/>
    <w:rsid w:val="008E51AE"/>
    <w:rsid w:val="008F13CF"/>
    <w:rsid w:val="008F387C"/>
    <w:rsid w:val="008F48EB"/>
    <w:rsid w:val="008F769E"/>
    <w:rsid w:val="008F7FDF"/>
    <w:rsid w:val="009019DB"/>
    <w:rsid w:val="00901CB2"/>
    <w:rsid w:val="00903925"/>
    <w:rsid w:val="009040A4"/>
    <w:rsid w:val="00905019"/>
    <w:rsid w:val="00907486"/>
    <w:rsid w:val="00907789"/>
    <w:rsid w:val="00914028"/>
    <w:rsid w:val="00917AD6"/>
    <w:rsid w:val="00920D0B"/>
    <w:rsid w:val="00920F8F"/>
    <w:rsid w:val="00921023"/>
    <w:rsid w:val="00926CC8"/>
    <w:rsid w:val="00927304"/>
    <w:rsid w:val="009309A4"/>
    <w:rsid w:val="009312A8"/>
    <w:rsid w:val="00932EB8"/>
    <w:rsid w:val="00932F77"/>
    <w:rsid w:val="00934E4C"/>
    <w:rsid w:val="00937786"/>
    <w:rsid w:val="009377EF"/>
    <w:rsid w:val="00940313"/>
    <w:rsid w:val="00941319"/>
    <w:rsid w:val="0094168A"/>
    <w:rsid w:val="009420C5"/>
    <w:rsid w:val="009433B4"/>
    <w:rsid w:val="00945078"/>
    <w:rsid w:val="00945250"/>
    <w:rsid w:val="00945DBE"/>
    <w:rsid w:val="00946214"/>
    <w:rsid w:val="00953961"/>
    <w:rsid w:val="00956EF9"/>
    <w:rsid w:val="009629CE"/>
    <w:rsid w:val="009635AD"/>
    <w:rsid w:val="00971768"/>
    <w:rsid w:val="00971D21"/>
    <w:rsid w:val="00974377"/>
    <w:rsid w:val="00976786"/>
    <w:rsid w:val="0098067D"/>
    <w:rsid w:val="00982AC8"/>
    <w:rsid w:val="009843E5"/>
    <w:rsid w:val="00985D0D"/>
    <w:rsid w:val="0098622F"/>
    <w:rsid w:val="00986AE1"/>
    <w:rsid w:val="00995284"/>
    <w:rsid w:val="009961DD"/>
    <w:rsid w:val="009A237D"/>
    <w:rsid w:val="009A2D71"/>
    <w:rsid w:val="009A3AF1"/>
    <w:rsid w:val="009A500D"/>
    <w:rsid w:val="009A75E2"/>
    <w:rsid w:val="009B243F"/>
    <w:rsid w:val="009B25BE"/>
    <w:rsid w:val="009B46D1"/>
    <w:rsid w:val="009B5531"/>
    <w:rsid w:val="009B7D01"/>
    <w:rsid w:val="009C6F97"/>
    <w:rsid w:val="009D0549"/>
    <w:rsid w:val="009D151F"/>
    <w:rsid w:val="009D1683"/>
    <w:rsid w:val="009D5BAA"/>
    <w:rsid w:val="009E5936"/>
    <w:rsid w:val="009E6C85"/>
    <w:rsid w:val="009F0ABE"/>
    <w:rsid w:val="009F5964"/>
    <w:rsid w:val="009F6DC5"/>
    <w:rsid w:val="00A010DB"/>
    <w:rsid w:val="00A035F5"/>
    <w:rsid w:val="00A04015"/>
    <w:rsid w:val="00A052C6"/>
    <w:rsid w:val="00A0755A"/>
    <w:rsid w:val="00A07D12"/>
    <w:rsid w:val="00A10F5B"/>
    <w:rsid w:val="00A1214E"/>
    <w:rsid w:val="00A12255"/>
    <w:rsid w:val="00A1509A"/>
    <w:rsid w:val="00A16A14"/>
    <w:rsid w:val="00A24642"/>
    <w:rsid w:val="00A25E3E"/>
    <w:rsid w:val="00A268B2"/>
    <w:rsid w:val="00A317E5"/>
    <w:rsid w:val="00A31C9C"/>
    <w:rsid w:val="00A34908"/>
    <w:rsid w:val="00A35505"/>
    <w:rsid w:val="00A40CD4"/>
    <w:rsid w:val="00A42093"/>
    <w:rsid w:val="00A42C7B"/>
    <w:rsid w:val="00A44972"/>
    <w:rsid w:val="00A47D5F"/>
    <w:rsid w:val="00A526A3"/>
    <w:rsid w:val="00A554BD"/>
    <w:rsid w:val="00A61052"/>
    <w:rsid w:val="00A6442C"/>
    <w:rsid w:val="00A65383"/>
    <w:rsid w:val="00A70905"/>
    <w:rsid w:val="00A7304C"/>
    <w:rsid w:val="00A74AF7"/>
    <w:rsid w:val="00A842E8"/>
    <w:rsid w:val="00A84623"/>
    <w:rsid w:val="00A86F1D"/>
    <w:rsid w:val="00A93CD3"/>
    <w:rsid w:val="00A940BE"/>
    <w:rsid w:val="00A9533E"/>
    <w:rsid w:val="00A97B1F"/>
    <w:rsid w:val="00AA2973"/>
    <w:rsid w:val="00AA2F10"/>
    <w:rsid w:val="00AA7B16"/>
    <w:rsid w:val="00AB360F"/>
    <w:rsid w:val="00AB3A11"/>
    <w:rsid w:val="00AB4B83"/>
    <w:rsid w:val="00AB54C1"/>
    <w:rsid w:val="00AB7426"/>
    <w:rsid w:val="00AC649D"/>
    <w:rsid w:val="00AC7A9F"/>
    <w:rsid w:val="00AD0426"/>
    <w:rsid w:val="00AD2EF1"/>
    <w:rsid w:val="00AD4512"/>
    <w:rsid w:val="00AD46E5"/>
    <w:rsid w:val="00AD5227"/>
    <w:rsid w:val="00AD5893"/>
    <w:rsid w:val="00AD5CD9"/>
    <w:rsid w:val="00AD74FF"/>
    <w:rsid w:val="00AE08E2"/>
    <w:rsid w:val="00AE0D19"/>
    <w:rsid w:val="00AE1206"/>
    <w:rsid w:val="00AE14B2"/>
    <w:rsid w:val="00AE325D"/>
    <w:rsid w:val="00AE65ED"/>
    <w:rsid w:val="00AE67E5"/>
    <w:rsid w:val="00AE723C"/>
    <w:rsid w:val="00AE7F0D"/>
    <w:rsid w:val="00AF253F"/>
    <w:rsid w:val="00AF3FC1"/>
    <w:rsid w:val="00AF73F7"/>
    <w:rsid w:val="00B1194D"/>
    <w:rsid w:val="00B12BDA"/>
    <w:rsid w:val="00B1307F"/>
    <w:rsid w:val="00B13951"/>
    <w:rsid w:val="00B20C69"/>
    <w:rsid w:val="00B221D7"/>
    <w:rsid w:val="00B22380"/>
    <w:rsid w:val="00B304F4"/>
    <w:rsid w:val="00B30710"/>
    <w:rsid w:val="00B30FCC"/>
    <w:rsid w:val="00B322D3"/>
    <w:rsid w:val="00B32D90"/>
    <w:rsid w:val="00B3726A"/>
    <w:rsid w:val="00B41298"/>
    <w:rsid w:val="00B417C0"/>
    <w:rsid w:val="00B42652"/>
    <w:rsid w:val="00B42E27"/>
    <w:rsid w:val="00B45B14"/>
    <w:rsid w:val="00B47C7F"/>
    <w:rsid w:val="00B506EA"/>
    <w:rsid w:val="00B5194D"/>
    <w:rsid w:val="00B5212E"/>
    <w:rsid w:val="00B53241"/>
    <w:rsid w:val="00B54CFB"/>
    <w:rsid w:val="00B55BCC"/>
    <w:rsid w:val="00B56C94"/>
    <w:rsid w:val="00B6008A"/>
    <w:rsid w:val="00B62376"/>
    <w:rsid w:val="00B667FD"/>
    <w:rsid w:val="00B71F43"/>
    <w:rsid w:val="00B75B44"/>
    <w:rsid w:val="00B76396"/>
    <w:rsid w:val="00B86294"/>
    <w:rsid w:val="00B932A2"/>
    <w:rsid w:val="00B93358"/>
    <w:rsid w:val="00B94902"/>
    <w:rsid w:val="00B954D7"/>
    <w:rsid w:val="00B97163"/>
    <w:rsid w:val="00BA1766"/>
    <w:rsid w:val="00BA23A0"/>
    <w:rsid w:val="00BA32CB"/>
    <w:rsid w:val="00BA6E8A"/>
    <w:rsid w:val="00BB0141"/>
    <w:rsid w:val="00BB1D57"/>
    <w:rsid w:val="00BB30A8"/>
    <w:rsid w:val="00BC2D0C"/>
    <w:rsid w:val="00BC3C9C"/>
    <w:rsid w:val="00BC5FCF"/>
    <w:rsid w:val="00BC6168"/>
    <w:rsid w:val="00BD71C3"/>
    <w:rsid w:val="00BE20FE"/>
    <w:rsid w:val="00BE5EEC"/>
    <w:rsid w:val="00BF08DB"/>
    <w:rsid w:val="00BF2E8A"/>
    <w:rsid w:val="00BF452E"/>
    <w:rsid w:val="00C01F7E"/>
    <w:rsid w:val="00C02A64"/>
    <w:rsid w:val="00C06138"/>
    <w:rsid w:val="00C1064D"/>
    <w:rsid w:val="00C10F31"/>
    <w:rsid w:val="00C25757"/>
    <w:rsid w:val="00C26364"/>
    <w:rsid w:val="00C27CD0"/>
    <w:rsid w:val="00C3522D"/>
    <w:rsid w:val="00C360E7"/>
    <w:rsid w:val="00C3761D"/>
    <w:rsid w:val="00C45A7D"/>
    <w:rsid w:val="00C531D5"/>
    <w:rsid w:val="00C53768"/>
    <w:rsid w:val="00C54A98"/>
    <w:rsid w:val="00C55C32"/>
    <w:rsid w:val="00C6195E"/>
    <w:rsid w:val="00C6456C"/>
    <w:rsid w:val="00C64659"/>
    <w:rsid w:val="00C6678C"/>
    <w:rsid w:val="00C705BF"/>
    <w:rsid w:val="00C72112"/>
    <w:rsid w:val="00C752C4"/>
    <w:rsid w:val="00C80AB9"/>
    <w:rsid w:val="00C817FC"/>
    <w:rsid w:val="00C81B77"/>
    <w:rsid w:val="00C83F4A"/>
    <w:rsid w:val="00C84C9D"/>
    <w:rsid w:val="00C9165A"/>
    <w:rsid w:val="00C916ED"/>
    <w:rsid w:val="00C917C5"/>
    <w:rsid w:val="00C91F2B"/>
    <w:rsid w:val="00C9364D"/>
    <w:rsid w:val="00C944FD"/>
    <w:rsid w:val="00C97536"/>
    <w:rsid w:val="00CA1B05"/>
    <w:rsid w:val="00CA2C4F"/>
    <w:rsid w:val="00CA4538"/>
    <w:rsid w:val="00CB1D22"/>
    <w:rsid w:val="00CB2FBE"/>
    <w:rsid w:val="00CB5357"/>
    <w:rsid w:val="00CC19DE"/>
    <w:rsid w:val="00CC2278"/>
    <w:rsid w:val="00CC7CC6"/>
    <w:rsid w:val="00CD048B"/>
    <w:rsid w:val="00CE6C03"/>
    <w:rsid w:val="00CF11E8"/>
    <w:rsid w:val="00CF1441"/>
    <w:rsid w:val="00CF23FC"/>
    <w:rsid w:val="00CF413D"/>
    <w:rsid w:val="00CF4730"/>
    <w:rsid w:val="00D03B6A"/>
    <w:rsid w:val="00D03FA6"/>
    <w:rsid w:val="00D13533"/>
    <w:rsid w:val="00D14B06"/>
    <w:rsid w:val="00D16179"/>
    <w:rsid w:val="00D174D4"/>
    <w:rsid w:val="00D21D50"/>
    <w:rsid w:val="00D24DCD"/>
    <w:rsid w:val="00D262CC"/>
    <w:rsid w:val="00D2774B"/>
    <w:rsid w:val="00D33FE0"/>
    <w:rsid w:val="00D361B2"/>
    <w:rsid w:val="00D44911"/>
    <w:rsid w:val="00D463B6"/>
    <w:rsid w:val="00D55832"/>
    <w:rsid w:val="00D62A70"/>
    <w:rsid w:val="00D7013F"/>
    <w:rsid w:val="00D71251"/>
    <w:rsid w:val="00D712A9"/>
    <w:rsid w:val="00D73E49"/>
    <w:rsid w:val="00D7483A"/>
    <w:rsid w:val="00D80E1C"/>
    <w:rsid w:val="00D82481"/>
    <w:rsid w:val="00D83609"/>
    <w:rsid w:val="00D8406B"/>
    <w:rsid w:val="00D856E3"/>
    <w:rsid w:val="00D860B4"/>
    <w:rsid w:val="00D86801"/>
    <w:rsid w:val="00D93698"/>
    <w:rsid w:val="00D978B1"/>
    <w:rsid w:val="00DA28FE"/>
    <w:rsid w:val="00DA4EE0"/>
    <w:rsid w:val="00DA5520"/>
    <w:rsid w:val="00DA7798"/>
    <w:rsid w:val="00DB1958"/>
    <w:rsid w:val="00DB2A23"/>
    <w:rsid w:val="00DC125D"/>
    <w:rsid w:val="00DC29C3"/>
    <w:rsid w:val="00DC607C"/>
    <w:rsid w:val="00DC744E"/>
    <w:rsid w:val="00DC76A9"/>
    <w:rsid w:val="00DD1B01"/>
    <w:rsid w:val="00DD1E5B"/>
    <w:rsid w:val="00DD280B"/>
    <w:rsid w:val="00DD321E"/>
    <w:rsid w:val="00DE3375"/>
    <w:rsid w:val="00DE417B"/>
    <w:rsid w:val="00DE5BD5"/>
    <w:rsid w:val="00DE6098"/>
    <w:rsid w:val="00DE7E77"/>
    <w:rsid w:val="00DF0F64"/>
    <w:rsid w:val="00DF4BFA"/>
    <w:rsid w:val="00DF6B8E"/>
    <w:rsid w:val="00E00278"/>
    <w:rsid w:val="00E03E1E"/>
    <w:rsid w:val="00E12E1F"/>
    <w:rsid w:val="00E138E3"/>
    <w:rsid w:val="00E13AFF"/>
    <w:rsid w:val="00E15D64"/>
    <w:rsid w:val="00E16D44"/>
    <w:rsid w:val="00E226D8"/>
    <w:rsid w:val="00E22800"/>
    <w:rsid w:val="00E307C5"/>
    <w:rsid w:val="00E30E0C"/>
    <w:rsid w:val="00E31690"/>
    <w:rsid w:val="00E32BBA"/>
    <w:rsid w:val="00E33487"/>
    <w:rsid w:val="00E47061"/>
    <w:rsid w:val="00E53455"/>
    <w:rsid w:val="00E53B69"/>
    <w:rsid w:val="00E546E1"/>
    <w:rsid w:val="00E551B7"/>
    <w:rsid w:val="00E554FB"/>
    <w:rsid w:val="00E618F7"/>
    <w:rsid w:val="00E6303B"/>
    <w:rsid w:val="00E659FF"/>
    <w:rsid w:val="00E66BCB"/>
    <w:rsid w:val="00E6700F"/>
    <w:rsid w:val="00E733F2"/>
    <w:rsid w:val="00E76B2C"/>
    <w:rsid w:val="00E775F6"/>
    <w:rsid w:val="00E777C5"/>
    <w:rsid w:val="00E8293D"/>
    <w:rsid w:val="00E868B9"/>
    <w:rsid w:val="00E873FC"/>
    <w:rsid w:val="00E92BBD"/>
    <w:rsid w:val="00E94EC5"/>
    <w:rsid w:val="00E95728"/>
    <w:rsid w:val="00E95FC3"/>
    <w:rsid w:val="00E96BEB"/>
    <w:rsid w:val="00E97F14"/>
    <w:rsid w:val="00EA4697"/>
    <w:rsid w:val="00EA5B2E"/>
    <w:rsid w:val="00EA6B4E"/>
    <w:rsid w:val="00EB0D7B"/>
    <w:rsid w:val="00EB2644"/>
    <w:rsid w:val="00EB31D6"/>
    <w:rsid w:val="00EB3888"/>
    <w:rsid w:val="00EB4608"/>
    <w:rsid w:val="00EB52B0"/>
    <w:rsid w:val="00EB7684"/>
    <w:rsid w:val="00EC20AF"/>
    <w:rsid w:val="00EC5ABD"/>
    <w:rsid w:val="00EC5D96"/>
    <w:rsid w:val="00EC7C99"/>
    <w:rsid w:val="00ED06B5"/>
    <w:rsid w:val="00ED1B6F"/>
    <w:rsid w:val="00ED68BC"/>
    <w:rsid w:val="00ED7A87"/>
    <w:rsid w:val="00ED7D29"/>
    <w:rsid w:val="00EE0166"/>
    <w:rsid w:val="00EE1B4C"/>
    <w:rsid w:val="00EE1D14"/>
    <w:rsid w:val="00EE3EDD"/>
    <w:rsid w:val="00EE4E8F"/>
    <w:rsid w:val="00EE631E"/>
    <w:rsid w:val="00EF0FA3"/>
    <w:rsid w:val="00EF150E"/>
    <w:rsid w:val="00EF20E7"/>
    <w:rsid w:val="00EF2B78"/>
    <w:rsid w:val="00EF5489"/>
    <w:rsid w:val="00EF5532"/>
    <w:rsid w:val="00EF6B8E"/>
    <w:rsid w:val="00F009C5"/>
    <w:rsid w:val="00F05768"/>
    <w:rsid w:val="00F05A64"/>
    <w:rsid w:val="00F1345F"/>
    <w:rsid w:val="00F1550F"/>
    <w:rsid w:val="00F21A8F"/>
    <w:rsid w:val="00F21CF5"/>
    <w:rsid w:val="00F21FDE"/>
    <w:rsid w:val="00F252CF"/>
    <w:rsid w:val="00F26674"/>
    <w:rsid w:val="00F30D8B"/>
    <w:rsid w:val="00F32677"/>
    <w:rsid w:val="00F3388E"/>
    <w:rsid w:val="00F404E9"/>
    <w:rsid w:val="00F41E45"/>
    <w:rsid w:val="00F42374"/>
    <w:rsid w:val="00F4282E"/>
    <w:rsid w:val="00F42F61"/>
    <w:rsid w:val="00F460EB"/>
    <w:rsid w:val="00F47CC2"/>
    <w:rsid w:val="00F47D45"/>
    <w:rsid w:val="00F506A2"/>
    <w:rsid w:val="00F5187A"/>
    <w:rsid w:val="00F51944"/>
    <w:rsid w:val="00F54A53"/>
    <w:rsid w:val="00F57CC3"/>
    <w:rsid w:val="00F630AC"/>
    <w:rsid w:val="00F642F4"/>
    <w:rsid w:val="00F65989"/>
    <w:rsid w:val="00F721A8"/>
    <w:rsid w:val="00F74A1B"/>
    <w:rsid w:val="00F82C19"/>
    <w:rsid w:val="00F90804"/>
    <w:rsid w:val="00F932DE"/>
    <w:rsid w:val="00F94A60"/>
    <w:rsid w:val="00F96208"/>
    <w:rsid w:val="00F9686D"/>
    <w:rsid w:val="00F97D45"/>
    <w:rsid w:val="00FA093B"/>
    <w:rsid w:val="00FA14BF"/>
    <w:rsid w:val="00FA19CA"/>
    <w:rsid w:val="00FA2AB0"/>
    <w:rsid w:val="00FA4E0B"/>
    <w:rsid w:val="00FA6058"/>
    <w:rsid w:val="00FB23C3"/>
    <w:rsid w:val="00FB6EB4"/>
    <w:rsid w:val="00FC0A1A"/>
    <w:rsid w:val="00FC118D"/>
    <w:rsid w:val="00FC1788"/>
    <w:rsid w:val="00FC5ECE"/>
    <w:rsid w:val="00FD0D2B"/>
    <w:rsid w:val="00FD755C"/>
    <w:rsid w:val="00FE1651"/>
    <w:rsid w:val="00FE26C6"/>
    <w:rsid w:val="00FE2E36"/>
    <w:rsid w:val="00FE7E74"/>
    <w:rsid w:val="00FF184F"/>
    <w:rsid w:val="00FF2037"/>
    <w:rsid w:val="00FF6202"/>
    <w:rsid w:val="02CB2D30"/>
    <w:rsid w:val="04BC1EA8"/>
    <w:rsid w:val="04E82683"/>
    <w:rsid w:val="0775236D"/>
    <w:rsid w:val="07E97D8C"/>
    <w:rsid w:val="09483C7C"/>
    <w:rsid w:val="0A0951E6"/>
    <w:rsid w:val="0A527D2F"/>
    <w:rsid w:val="0AB57A19"/>
    <w:rsid w:val="0B7F1C4E"/>
    <w:rsid w:val="0C514428"/>
    <w:rsid w:val="0D9A7BAD"/>
    <w:rsid w:val="102764FF"/>
    <w:rsid w:val="113D0687"/>
    <w:rsid w:val="12215158"/>
    <w:rsid w:val="12E416EB"/>
    <w:rsid w:val="138723A9"/>
    <w:rsid w:val="148F6D68"/>
    <w:rsid w:val="15320B1A"/>
    <w:rsid w:val="16B92CCA"/>
    <w:rsid w:val="183C7BEA"/>
    <w:rsid w:val="18B018A3"/>
    <w:rsid w:val="18C12588"/>
    <w:rsid w:val="192F766B"/>
    <w:rsid w:val="1ABE13C0"/>
    <w:rsid w:val="1B822355"/>
    <w:rsid w:val="1CC25FA0"/>
    <w:rsid w:val="1CF347D0"/>
    <w:rsid w:val="1D7754BC"/>
    <w:rsid w:val="1D9F266C"/>
    <w:rsid w:val="1DFA1AED"/>
    <w:rsid w:val="230920D1"/>
    <w:rsid w:val="23143057"/>
    <w:rsid w:val="23A40AAA"/>
    <w:rsid w:val="24576A36"/>
    <w:rsid w:val="24612402"/>
    <w:rsid w:val="24B634D6"/>
    <w:rsid w:val="265D7E74"/>
    <w:rsid w:val="274318C9"/>
    <w:rsid w:val="28514C0F"/>
    <w:rsid w:val="28754EB1"/>
    <w:rsid w:val="2B2614CB"/>
    <w:rsid w:val="2B363469"/>
    <w:rsid w:val="2C6F100E"/>
    <w:rsid w:val="2CD305FF"/>
    <w:rsid w:val="2D8C4802"/>
    <w:rsid w:val="2DB22102"/>
    <w:rsid w:val="2E100838"/>
    <w:rsid w:val="31080C0B"/>
    <w:rsid w:val="311D2E05"/>
    <w:rsid w:val="316902DB"/>
    <w:rsid w:val="32C55D9E"/>
    <w:rsid w:val="357069F0"/>
    <w:rsid w:val="37714620"/>
    <w:rsid w:val="39473A65"/>
    <w:rsid w:val="3B1757A3"/>
    <w:rsid w:val="3CE15633"/>
    <w:rsid w:val="3E452F8E"/>
    <w:rsid w:val="407B5D1E"/>
    <w:rsid w:val="429B6EFD"/>
    <w:rsid w:val="42CB6326"/>
    <w:rsid w:val="43142BEC"/>
    <w:rsid w:val="43780A4C"/>
    <w:rsid w:val="45776CA3"/>
    <w:rsid w:val="49643738"/>
    <w:rsid w:val="4ABB422A"/>
    <w:rsid w:val="4B3854D9"/>
    <w:rsid w:val="4ECE6222"/>
    <w:rsid w:val="4F2101A3"/>
    <w:rsid w:val="4FB63332"/>
    <w:rsid w:val="508A31F9"/>
    <w:rsid w:val="50F37181"/>
    <w:rsid w:val="510612FC"/>
    <w:rsid w:val="514C7C9E"/>
    <w:rsid w:val="54F742B5"/>
    <w:rsid w:val="55475EC8"/>
    <w:rsid w:val="555743EB"/>
    <w:rsid w:val="556278BC"/>
    <w:rsid w:val="55C36911"/>
    <w:rsid w:val="56374413"/>
    <w:rsid w:val="578A4C11"/>
    <w:rsid w:val="58054B0A"/>
    <w:rsid w:val="587B0306"/>
    <w:rsid w:val="58F44FE1"/>
    <w:rsid w:val="598D4CFC"/>
    <w:rsid w:val="5A1412AA"/>
    <w:rsid w:val="5B8039E8"/>
    <w:rsid w:val="5D421A5F"/>
    <w:rsid w:val="5D8A0D6F"/>
    <w:rsid w:val="5DA332DC"/>
    <w:rsid w:val="5F9C225E"/>
    <w:rsid w:val="5FDA7DCD"/>
    <w:rsid w:val="60F04EEB"/>
    <w:rsid w:val="613C41A8"/>
    <w:rsid w:val="621E5D60"/>
    <w:rsid w:val="646C7EC4"/>
    <w:rsid w:val="649F0D7A"/>
    <w:rsid w:val="66E65852"/>
    <w:rsid w:val="681C300C"/>
    <w:rsid w:val="685745C2"/>
    <w:rsid w:val="68965191"/>
    <w:rsid w:val="69685240"/>
    <w:rsid w:val="6B0D1D37"/>
    <w:rsid w:val="6BE04ACA"/>
    <w:rsid w:val="6CF97F62"/>
    <w:rsid w:val="6D553BC6"/>
    <w:rsid w:val="6D7425D3"/>
    <w:rsid w:val="6ECF5C49"/>
    <w:rsid w:val="6F1C5868"/>
    <w:rsid w:val="708578FF"/>
    <w:rsid w:val="70C95C99"/>
    <w:rsid w:val="72E12EA7"/>
    <w:rsid w:val="732E63CA"/>
    <w:rsid w:val="733846E6"/>
    <w:rsid w:val="73A00325"/>
    <w:rsid w:val="73A231E6"/>
    <w:rsid w:val="741F11FF"/>
    <w:rsid w:val="755C6709"/>
    <w:rsid w:val="76A63449"/>
    <w:rsid w:val="7832624F"/>
    <w:rsid w:val="792F6650"/>
    <w:rsid w:val="79697735"/>
    <w:rsid w:val="7BD24F25"/>
    <w:rsid w:val="7C4A692C"/>
    <w:rsid w:val="7DA8429D"/>
    <w:rsid w:val="7FB90011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99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qFormat="1" w:uiPriority="99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qFormat="1" w:unhideWhenUsed="0" w:uiPriority="0" w:semiHidden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99" w:name="Balloon Text"/>
    <w:lsdException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unhideWhenUsed/>
    <w:uiPriority w:val="1"/>
  </w:style>
  <w:style w:type="table" w:default="1" w:styleId="11">
    <w:name w:val="Normal Table"/>
    <w:unhideWhenUsed/>
    <w:uiPriority w:val="99"/>
    <w:tblPr>
      <w:tblStyle w:val="11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annotation text"/>
    <w:basedOn w:val="1"/>
    <w:unhideWhenUsed/>
    <w:qFormat/>
    <w:uiPriority w:val="99"/>
    <w:pPr>
      <w:jc w:val="left"/>
    </w:p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4">
    <w:name w:val="Balloon Text"/>
    <w:basedOn w:val="1"/>
    <w:link w:val="18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Body Text First Indent 2"/>
    <w:basedOn w:val="3"/>
    <w:qFormat/>
    <w:uiPriority w:val="0"/>
    <w:pPr>
      <w:adjustRightInd w:val="0"/>
      <w:ind w:left="0" w:leftChars="0" w:firstLine="880" w:firstLineChars="200"/>
    </w:pPr>
    <w:rPr>
      <w:rFonts w:eastAsia="仿宋" w:cs="Times New Roman"/>
      <w:sz w:val="32"/>
    </w:rPr>
  </w:style>
  <w:style w:type="paragraph" w:styleId="7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0"/>
    <w:rPr>
      <w:rFonts w:ascii="Times New Roman" w:hAnsi="Times New Roman" w:cs="Times New Roman"/>
      <w:sz w:val="24"/>
    </w:rPr>
  </w:style>
  <w:style w:type="character" w:styleId="10">
    <w:name w:val="annotation reference"/>
    <w:basedOn w:val="9"/>
    <w:unhideWhenUsed/>
    <w:qFormat/>
    <w:uiPriority w:val="99"/>
    <w:rPr>
      <w:sz w:val="21"/>
      <w:szCs w:val="21"/>
    </w:rPr>
  </w:style>
  <w:style w:type="paragraph" w:customStyle="1" w:styleId="12">
    <w:name w:val="List Paragraph"/>
    <w:basedOn w:val="1"/>
    <w:qFormat/>
    <w:uiPriority w:val="34"/>
    <w:pPr>
      <w:ind w:firstLine="420" w:firstLineChars="200"/>
    </w:pPr>
  </w:style>
  <w:style w:type="paragraph" w:customStyle="1" w:styleId="13">
    <w:name w:val="p0"/>
    <w:basedOn w:val="1"/>
    <w:qFormat/>
    <w:uiPriority w:val="0"/>
    <w:pPr>
      <w:widowControl/>
    </w:pPr>
    <w:rPr>
      <w:rFonts w:ascii="Calibri" w:hAnsi="Calibri" w:eastAsia="宋体" w:cs="宋体"/>
      <w:kern w:val="0"/>
      <w:szCs w:val="21"/>
    </w:rPr>
  </w:style>
  <w:style w:type="paragraph" w:customStyle="1" w:styleId="14">
    <w:name w:val="列表段落1"/>
    <w:basedOn w:val="1"/>
    <w:qFormat/>
    <w:uiPriority w:val="34"/>
    <w:pPr>
      <w:ind w:firstLine="420" w:firstLineChars="200"/>
    </w:pPr>
  </w:style>
  <w:style w:type="paragraph" w:customStyle="1" w:styleId="15">
    <w:name w:val="列出段落1"/>
    <w:basedOn w:val="1"/>
    <w:qFormat/>
    <w:uiPriority w:val="34"/>
    <w:pPr>
      <w:ind w:firstLine="420" w:firstLineChars="200"/>
    </w:pPr>
  </w:style>
  <w:style w:type="character" w:customStyle="1" w:styleId="16">
    <w:name w:val="页眉 字符"/>
    <w:basedOn w:val="9"/>
    <w:link w:val="7"/>
    <w:qFormat/>
    <w:uiPriority w:val="99"/>
    <w:rPr>
      <w:sz w:val="18"/>
      <w:szCs w:val="18"/>
    </w:rPr>
  </w:style>
  <w:style w:type="character" w:customStyle="1" w:styleId="17">
    <w:name w:val="页脚 字符"/>
    <w:basedOn w:val="9"/>
    <w:link w:val="5"/>
    <w:qFormat/>
    <w:uiPriority w:val="99"/>
    <w:rPr>
      <w:sz w:val="18"/>
      <w:szCs w:val="18"/>
    </w:rPr>
  </w:style>
  <w:style w:type="character" w:customStyle="1" w:styleId="18">
    <w:name w:val="批注框文本 字符"/>
    <w:basedOn w:val="9"/>
    <w:link w:val="4"/>
    <w:semiHidden/>
    <w:qFormat/>
    <w:uiPriority w:val="99"/>
    <w:rPr>
      <w:rFonts w:ascii="Calibri" w:hAnsi="Calibri" w:eastAsia="宋体" w:cs="黑体"/>
      <w:sz w:val="18"/>
      <w:szCs w:val="18"/>
    </w:rPr>
  </w:style>
  <w:style w:type="character" w:customStyle="1" w:styleId="19">
    <w:name w:val="apple-converted-space"/>
    <w:basedOn w:val="9"/>
    <w:qFormat/>
    <w:uiPriority w:val="0"/>
    <w:rPr/>
  </w:style>
  <w:style w:type="character" w:customStyle="1" w:styleId="20">
    <w:name w:val="fontstyle01"/>
    <w:basedOn w:val="9"/>
    <w:qFormat/>
    <w:uiPriority w:val="0"/>
    <w:rPr>
      <w:rFonts w:hint="eastAsia" w:ascii="宋体" w:hAnsi="宋体" w:eastAsia="宋体"/>
      <w:color w:val="000000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CFQS</Company>
  <Pages>4</Pages>
  <Words>304</Words>
  <Characters>1734</Characters>
  <Lines>14</Lines>
  <Paragraphs>4</Paragraphs>
  <TotalTime>0</TotalTime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2020-07-15T03:17:00Z</dcterms:created>
  <dc:creator>1</dc:creator>
  <cp:lastModifiedBy>董廷俊</cp:lastModifiedBy>
  <cp:lastPrinted>2021-12-23T07:17:00Z</cp:lastPrinted>
  <dcterms:modified xsi:type="dcterms:W3CDTF">2021-12-31T07:41:16Z</dcterms:modified>
  <dc:title>附件4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  <property fmtid="{D5CDD505-2E9C-101B-9397-08002B2CF9AE}" pid="3" name="ICV">
    <vt:lpwstr>2B73AC262AED4653ABD2B99081D7FD85</vt:lpwstr>
  </property>
</Properties>
</file>