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</w:t>
      </w:r>
      <w:bookmarkStart w:id="2" w:name="_GoBack"/>
      <w:bookmarkEnd w:id="2"/>
      <w:r>
        <w:rPr>
          <w:rFonts w:hint="eastAsia" w:ascii="Times New Roman" w:hAnsi="Times New Roman" w:eastAsia="方正小标宋简体"/>
          <w:bCs/>
          <w:sz w:val="44"/>
          <w:szCs w:val="44"/>
        </w:rPr>
        <w:t>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菌落总数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Courier New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菌落总数是指示性微生物指标，主要用来评价食品清洁度，反映食品在生产过程中是否符合卫生要求。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《食品安全国家标准 膨化食品》（GB 17401）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 w:cs="Courier New"/>
          <w:kern w:val="0"/>
          <w:sz w:val="32"/>
          <w:szCs w:val="32"/>
        </w:rPr>
        <w:t>预包装膨化食品</w:t>
      </w:r>
      <w:r>
        <w:rPr>
          <w:rFonts w:hint="eastAsia" w:ascii="Times New Roman" w:hAnsi="Times New Roman" w:eastAsia="仿宋_GB2312"/>
          <w:sz w:val="32"/>
          <w:szCs w:val="32"/>
        </w:rPr>
        <w:t>中的菌落总数规定同批次5个独立包装产品中菌落总数检测结果不允许有超过10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 xml:space="preserve"> CFU/g的，且至少3个包装产品检测结果不超过10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 xml:space="preserve">4 </w:t>
      </w:r>
      <w:r>
        <w:rPr>
          <w:rFonts w:hint="eastAsia" w:ascii="Times New Roman" w:hAnsi="Times New Roman" w:eastAsia="仿宋_GB2312"/>
          <w:sz w:val="32"/>
          <w:szCs w:val="32"/>
        </w:rPr>
        <w:t>CFU/g。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）规定，除鱼外，动物肌肉中恩诺沙星(以恩诺沙星与环丙沙星之和计)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最大残留限量为100</w:t>
      </w:r>
      <w:r>
        <w:rPr>
          <w:rFonts w:ascii="Times New Roman" w:hAnsi="Times New Roman" w:eastAsia="仿宋_GB2312"/>
          <w:sz w:val="32"/>
          <w:szCs w:val="32"/>
        </w:rPr>
        <w:t xml:space="preserve"> μg/kg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孔雀石绿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孔雀石绿别名碱性绿、盐基块绿、孔雀绿，是一种三苯甲烷结构的工业染料。孔雀石绿可在鱼体内长时间残留，通过食物链可能对人体产生致畸、致癌和致突变等危害。《食品动物中禁止使用的药品及其他化合物清单》（农业农村部公告第250号），明确规定食品动物禁止使用孔雀石绿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油酸、亚油酸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脂肪酸组成是植物油的特征性理化指标，可以直观的反映出植物油的营养价值，不同植物油有相对稳定的脂肪酸组成比例。植物油中的脂肪酸主要成分是不饱和脂肪酸，其中油酸属于单不饱和脂肪酸、亚油酸属于多不饱和脂肪酸。包括油酸、亚油酸等是芝麻油脂肪酸中主要组成。《芝麻油》（GB/T 8233）规定芝麻油主要脂肪酸组成中油酸(C18∶1)范围为3</w:t>
      </w:r>
      <w:r>
        <w:rPr>
          <w:rFonts w:eastAsia="仿宋_GB2312"/>
          <w:bCs/>
          <w:sz w:val="32"/>
          <w:szCs w:val="32"/>
        </w:rPr>
        <w:t>4.4</w:t>
      </w:r>
      <w:r>
        <w:rPr>
          <w:rFonts w:hint="eastAsia" w:eastAsia="仿宋_GB2312"/>
          <w:bCs/>
          <w:sz w:val="32"/>
          <w:szCs w:val="32"/>
        </w:rPr>
        <w:t>%</w:t>
      </w:r>
      <w:r>
        <w:rPr>
          <w:rFonts w:eastAsia="仿宋_GB2312"/>
          <w:bCs/>
          <w:sz w:val="32"/>
          <w:szCs w:val="32"/>
        </w:rPr>
        <w:t>~45.5%</w:t>
      </w:r>
      <w:r>
        <w:rPr>
          <w:rFonts w:hint="eastAsia" w:eastAsia="仿宋_GB2312"/>
          <w:bCs/>
          <w:sz w:val="32"/>
          <w:szCs w:val="32"/>
        </w:rPr>
        <w:t>，亚油酸(C18∶</w:t>
      </w: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)范围为3</w:t>
      </w:r>
      <w:r>
        <w:rPr>
          <w:rFonts w:eastAsia="仿宋_GB2312"/>
          <w:bCs/>
          <w:sz w:val="32"/>
          <w:szCs w:val="32"/>
        </w:rPr>
        <w:t>6.9%~47.9%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58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谷氨酸钠</w:t>
      </w:r>
    </w:p>
    <w:p>
      <w:pPr>
        <w:pStyle w:val="5"/>
        <w:widowControl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仿宋"/>
          <w:color w:val="000000"/>
          <w:sz w:val="32"/>
          <w:szCs w:val="32"/>
        </w:rPr>
        <w:t>谷氨酸钠是味精的主要成分，它具有特殊的鲜味，主要用于食品、菜肴的增鲜，反映味精的品质质量。《谷氨酸钠(味精)》（GB/T 8967）中规定加盐味精中谷氨酸钠含量≥</w:t>
      </w:r>
      <w:r>
        <w:rPr>
          <w:rFonts w:eastAsia="仿宋_GB2312" w:cs="仿宋"/>
          <w:color w:val="000000"/>
          <w:sz w:val="32"/>
          <w:szCs w:val="32"/>
        </w:rPr>
        <w:t>80</w:t>
      </w:r>
      <w:r>
        <w:rPr>
          <w:rFonts w:hint="eastAsia" w:eastAsia="仿宋_GB2312" w:cs="仿宋"/>
          <w:color w:val="000000"/>
          <w:sz w:val="32"/>
          <w:szCs w:val="32"/>
        </w:rPr>
        <w:t>.0%。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6-苄基腺嘌呤</w:t>
      </w:r>
      <w:r>
        <w:rPr>
          <w:rFonts w:hint="eastAsia" w:eastAsia="黑体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6-BA</w:t>
      </w:r>
      <w:r>
        <w:rPr>
          <w:rFonts w:hint="eastAsia" w:eastAsia="黑体"/>
          <w:color w:val="000000"/>
          <w:sz w:val="32"/>
          <w:szCs w:val="32"/>
        </w:rPr>
        <w:t>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eastAsia="仿宋_GB2312" w:cs="黑体"/>
          <w:color w:val="000000"/>
          <w:sz w:val="32"/>
          <w:szCs w:val="32"/>
        </w:rPr>
        <w:t>6-苄基腺嘌呤</w:t>
      </w:r>
      <w:r>
        <w:rPr>
          <w:rFonts w:hint="eastAsia" w:eastAsia="仿宋_GB2312" w:cs="黑体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6-BA</w:t>
      </w:r>
      <w:r>
        <w:rPr>
          <w:rFonts w:hint="eastAsia" w:eastAsia="仿宋_GB2312" w:cs="黑体"/>
          <w:color w:val="000000"/>
          <w:sz w:val="32"/>
          <w:szCs w:val="32"/>
        </w:rPr>
        <w:t>）</w:t>
      </w:r>
      <w:r>
        <w:rPr>
          <w:rFonts w:eastAsia="仿宋_GB2312" w:cs="黑体"/>
          <w:color w:val="000000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酸价</w:t>
      </w:r>
    </w:p>
    <w:p>
      <w:pPr>
        <w:pStyle w:val="5"/>
        <w:spacing w:line="580" w:lineRule="exact"/>
        <w:ind w:firstLine="640" w:firstLineChars="20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</w:rPr>
        <w:t>酸价是脂肪中游离脂肪酸含量的标志，</w:t>
      </w:r>
      <w:r>
        <w:rPr>
          <w:rFonts w:eastAsia="仿宋_GB2312"/>
          <w:sz w:val="32"/>
          <w:szCs w:val="32"/>
        </w:rPr>
        <w:t>主要反映食品中的油脂酸败程度。食品中酸价超标</w:t>
      </w:r>
      <w:r>
        <w:rPr>
          <w:rFonts w:hint="eastAsia" w:eastAsia="仿宋_GB2312"/>
          <w:sz w:val="32"/>
          <w:szCs w:val="32"/>
        </w:rPr>
        <w:t>可能</w:t>
      </w:r>
      <w:r>
        <w:rPr>
          <w:rFonts w:eastAsia="仿宋_GB2312"/>
          <w:sz w:val="32"/>
          <w:szCs w:val="32"/>
        </w:rPr>
        <w:t>产生哈喇味。</w:t>
      </w:r>
      <w:r>
        <w:rPr>
          <w:rFonts w:hint="eastAsia" w:eastAsia="仿宋_GB2312"/>
          <w:bCs/>
          <w:sz w:val="32"/>
          <w:szCs w:val="32"/>
        </w:rPr>
        <w:t>《食品安全国家标准 糕点、面包》（</w:t>
      </w:r>
      <w:r>
        <w:rPr>
          <w:rFonts w:eastAsia="仿宋_GB2312"/>
          <w:bCs/>
          <w:sz w:val="32"/>
          <w:szCs w:val="32"/>
        </w:rPr>
        <w:t>GB 7099</w:t>
      </w:r>
      <w:r>
        <w:rPr>
          <w:rFonts w:hint="eastAsia" w:eastAsia="仿宋_GB2312"/>
          <w:bCs/>
          <w:sz w:val="32"/>
          <w:szCs w:val="32"/>
        </w:rPr>
        <w:t>）</w:t>
      </w:r>
      <w:r>
        <w:rPr>
          <w:rFonts w:eastAsia="仿宋_GB2312"/>
          <w:bCs/>
          <w:sz w:val="32"/>
          <w:szCs w:val="32"/>
        </w:rPr>
        <w:t>中规定，</w:t>
      </w:r>
      <w:r>
        <w:rPr>
          <w:rFonts w:hint="eastAsia" w:eastAsia="仿宋_GB2312"/>
          <w:bCs/>
          <w:sz w:val="32"/>
          <w:szCs w:val="32"/>
        </w:rPr>
        <w:t>面包</w:t>
      </w:r>
      <w:r>
        <w:rPr>
          <w:rFonts w:eastAsia="仿宋_GB2312"/>
          <w:bCs/>
          <w:sz w:val="32"/>
          <w:szCs w:val="32"/>
        </w:rPr>
        <w:t>中的酸价</w:t>
      </w: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以脂肪计</w:t>
      </w:r>
      <w:r>
        <w:rPr>
          <w:rFonts w:hint="eastAsia" w:eastAsia="仿宋_GB2312"/>
          <w:bCs/>
          <w:sz w:val="32"/>
          <w:szCs w:val="32"/>
        </w:rPr>
        <w:t>）（KOH）</w:t>
      </w:r>
      <w:r>
        <w:rPr>
          <w:rFonts w:eastAsia="仿宋_GB2312"/>
          <w:bCs/>
          <w:sz w:val="32"/>
          <w:szCs w:val="32"/>
        </w:rPr>
        <w:t>应不超过5 mg/g。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金刚烷胺、金刚乙胺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金刚烷胺、金刚乙胺是人用抗病毒药，移植兽用缺乏科学规范、安全有效实验数据，用于动物病毒性疫病不但给动物疫病控制带来不良后果，而且影响国家动物疫病防控政策的实施。依据《兽药地方标准废止目录》（农业部公告第560号）规定，自公告发布之日（2005年10月28日）起6个月后，不得再经营和使用抗病毒药物金刚烷胺、金刚乙胺，即动物性食品中不得检出金刚烷胺、金刚乙胺。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十三、</w:t>
      </w:r>
      <w:r>
        <w:rPr>
          <w:rFonts w:hint="eastAsia" w:ascii="黑体" w:hAnsi="黑体" w:eastAsia="黑体"/>
          <w:color w:val="000000"/>
          <w:sz w:val="32"/>
          <w:szCs w:val="32"/>
        </w:rPr>
        <w:t>总糖分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总糖分是衡量食糖质量高低的重要指标，总糖分越高说明糖越纯，其他物质含量越少。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《绵白糖》（</w:t>
      </w:r>
      <w:r>
        <w:rPr>
          <w:rFonts w:ascii="Times New Roman" w:hAnsi="Times New Roman" w:eastAsia="仿宋_GB2312"/>
          <w:kern w:val="0"/>
          <w:sz w:val="32"/>
          <w:szCs w:val="32"/>
        </w:rPr>
        <w:t>GB/T 1445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）规定，精制绵白糖中</w:t>
      </w:r>
      <w:r>
        <w:rPr>
          <w:rFonts w:hint="eastAsia" w:ascii="Times New Roman" w:hAnsi="Times New Roman" w:eastAsia="仿宋_GB2312"/>
          <w:sz w:val="32"/>
          <w:szCs w:val="32"/>
        </w:rPr>
        <w:t>总糖分≥98.4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g/100g。赤砂糖（</w:t>
      </w:r>
      <w:r>
        <w:rPr>
          <w:rFonts w:ascii="Times New Roman" w:hAnsi="Times New Roman" w:eastAsia="仿宋_GB2312"/>
          <w:kern w:val="0"/>
          <w:sz w:val="32"/>
          <w:szCs w:val="32"/>
        </w:rPr>
        <w:t>QB/T 2343.1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）规定一级赤砂糖中总糖分(蔗糖分+还原糖分)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≥92.0</w:t>
      </w:r>
      <w:r>
        <w:rPr>
          <w:rFonts w:ascii="Times New Roman" w:hAnsi="Times New Roman" w:eastAsia="仿宋_GB2312"/>
          <w:kern w:val="0"/>
          <w:sz w:val="32"/>
          <w:szCs w:val="32"/>
        </w:rPr>
        <w:t>%。</w:t>
      </w:r>
    </w:p>
    <w:p>
      <w:pPr>
        <w:pStyle w:val="5"/>
        <w:adjustRightInd w:val="0"/>
        <w:snapToGrid w:val="0"/>
        <w:spacing w:line="560" w:lineRule="exact"/>
        <w:ind w:firstLine="632" w:firstLineChars="200"/>
        <w:rPr>
          <w:rFonts w:eastAsia="黑体" w:cs="Arial"/>
          <w:spacing w:val="-2"/>
          <w:kern w:val="0"/>
          <w:sz w:val="32"/>
          <w:szCs w:val="32"/>
        </w:rPr>
      </w:pPr>
      <w:r>
        <w:rPr>
          <w:rFonts w:hint="eastAsia" w:eastAsia="黑体" w:cs="Arial"/>
          <w:spacing w:val="-2"/>
          <w:kern w:val="0"/>
          <w:sz w:val="32"/>
          <w:szCs w:val="32"/>
        </w:rPr>
        <w:t>十四、还原糖分</w:t>
      </w:r>
    </w:p>
    <w:p>
      <w:pPr>
        <w:pStyle w:val="5"/>
        <w:adjustRightInd w:val="0"/>
        <w:snapToGrid w:val="0"/>
        <w:spacing w:line="560" w:lineRule="exact"/>
        <w:ind w:firstLine="632" w:firstLineChars="200"/>
        <w:rPr>
          <w:rFonts w:eastAsia="仿宋_GB2312" w:cs="黑体"/>
          <w:kern w:val="0"/>
          <w:sz w:val="32"/>
          <w:szCs w:val="32"/>
        </w:rPr>
      </w:pPr>
      <w:r>
        <w:rPr>
          <w:rFonts w:hint="eastAsia" w:eastAsia="仿宋_GB2312" w:cs="Arial"/>
          <w:spacing w:val="-2"/>
          <w:kern w:val="0"/>
          <w:sz w:val="32"/>
          <w:szCs w:val="32"/>
        </w:rPr>
        <w:t>还原糖分是食糖的质量指标之一，反</w:t>
      </w:r>
      <w:r>
        <w:rPr>
          <w:rFonts w:hint="eastAsia" w:eastAsia="仿宋_GB2312"/>
          <w:kern w:val="0"/>
          <w:sz w:val="32"/>
          <w:szCs w:val="32"/>
        </w:rPr>
        <w:t>映了食糖中还原糖的含量。还原糖分是区分绵白糖和白砂糖的主要参数之一，绵白糖的外观和口感与还原糖的含量密切相关。</w:t>
      </w:r>
      <w:bookmarkStart w:id="0" w:name="OLE_LINK3"/>
      <w:r>
        <w:rPr>
          <w:rFonts w:hint="eastAsia" w:eastAsia="仿宋_GB2312"/>
          <w:kern w:val="0"/>
          <w:sz w:val="32"/>
          <w:szCs w:val="32"/>
        </w:rPr>
        <w:t>《绵白糖》</w:t>
      </w:r>
      <w:bookmarkEnd w:id="0"/>
      <w:r>
        <w:rPr>
          <w:rFonts w:hint="eastAsia" w:eastAsia="仿宋_GB2312"/>
          <w:kern w:val="0"/>
          <w:sz w:val="32"/>
          <w:szCs w:val="32"/>
        </w:rPr>
        <w:t>（</w:t>
      </w:r>
      <w:bookmarkStart w:id="1" w:name="OLE_LINK2"/>
      <w:r>
        <w:rPr>
          <w:rFonts w:eastAsia="仿宋_GB2312"/>
          <w:kern w:val="0"/>
          <w:sz w:val="32"/>
          <w:szCs w:val="32"/>
        </w:rPr>
        <w:t>GB/T 1445</w:t>
      </w:r>
      <w:bookmarkEnd w:id="1"/>
      <w:r>
        <w:rPr>
          <w:rFonts w:hint="eastAsia" w:eastAsia="仿宋_GB2312"/>
          <w:kern w:val="0"/>
          <w:sz w:val="32"/>
          <w:szCs w:val="32"/>
        </w:rPr>
        <w:t>）规定，绵白糖中还原糖分为</w:t>
      </w:r>
      <w:r>
        <w:rPr>
          <w:rFonts w:eastAsia="仿宋_GB2312"/>
          <w:kern w:val="0"/>
          <w:sz w:val="32"/>
          <w:szCs w:val="32"/>
        </w:rPr>
        <w:t>1.5</w:t>
      </w:r>
      <w:r>
        <w:rPr>
          <w:rFonts w:hint="eastAsia" w:eastAsia="仿宋_GB2312"/>
          <w:kern w:val="0"/>
          <w:sz w:val="32"/>
          <w:szCs w:val="32"/>
        </w:rPr>
        <w:t xml:space="preserve"> g/100g～</w:t>
      </w:r>
      <w:r>
        <w:rPr>
          <w:rFonts w:eastAsia="仿宋_GB2312"/>
          <w:kern w:val="0"/>
          <w:sz w:val="32"/>
          <w:szCs w:val="32"/>
        </w:rPr>
        <w:t>2.5</w:t>
      </w:r>
      <w:r>
        <w:rPr>
          <w:rFonts w:hint="eastAsia" w:eastAsia="仿宋_GB2312"/>
          <w:kern w:val="0"/>
          <w:sz w:val="32"/>
          <w:szCs w:val="32"/>
        </w:rPr>
        <w:t xml:space="preserve"> g/100g。</w:t>
      </w:r>
    </w:p>
    <w:p>
      <w:pPr>
        <w:pStyle w:val="5"/>
        <w:spacing w:line="560" w:lineRule="exact"/>
        <w:ind w:left="640"/>
        <w:rPr>
          <w:rFonts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3645658">
    <w:nsid w:val="1C3B425A"/>
    <w:multiLevelType w:val="multilevel"/>
    <w:tmpl w:val="1C3B425A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736456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OkPL00VMK6AW0bQBSae9dGjl/3w=" w:salt="guckCfm4QD+f/bAmu6M8F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C798E"/>
    <w:rsid w:val="000D7EF0"/>
    <w:rsid w:val="000E1F3A"/>
    <w:rsid w:val="0011342D"/>
    <w:rsid w:val="00116FB7"/>
    <w:rsid w:val="0012192F"/>
    <w:rsid w:val="00126C46"/>
    <w:rsid w:val="00135232"/>
    <w:rsid w:val="0014162B"/>
    <w:rsid w:val="0014636E"/>
    <w:rsid w:val="00150969"/>
    <w:rsid w:val="001549DC"/>
    <w:rsid w:val="001563C0"/>
    <w:rsid w:val="00156A6A"/>
    <w:rsid w:val="001575C1"/>
    <w:rsid w:val="0017062A"/>
    <w:rsid w:val="00171761"/>
    <w:rsid w:val="00181A9A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6FB8"/>
    <w:rsid w:val="001F45CF"/>
    <w:rsid w:val="00213D96"/>
    <w:rsid w:val="00226A84"/>
    <w:rsid w:val="0024276D"/>
    <w:rsid w:val="00271DF9"/>
    <w:rsid w:val="00281DFF"/>
    <w:rsid w:val="00291085"/>
    <w:rsid w:val="002914B6"/>
    <w:rsid w:val="00293D17"/>
    <w:rsid w:val="002B6033"/>
    <w:rsid w:val="002C29BF"/>
    <w:rsid w:val="002C6988"/>
    <w:rsid w:val="002D18AD"/>
    <w:rsid w:val="002D406D"/>
    <w:rsid w:val="002E1D5D"/>
    <w:rsid w:val="002F06B6"/>
    <w:rsid w:val="002F11C4"/>
    <w:rsid w:val="002F70B8"/>
    <w:rsid w:val="003013F3"/>
    <w:rsid w:val="00305463"/>
    <w:rsid w:val="00322FEA"/>
    <w:rsid w:val="003343D3"/>
    <w:rsid w:val="003350FF"/>
    <w:rsid w:val="00344313"/>
    <w:rsid w:val="003552B8"/>
    <w:rsid w:val="00357549"/>
    <w:rsid w:val="00372099"/>
    <w:rsid w:val="003A59ED"/>
    <w:rsid w:val="003A5C17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61642"/>
    <w:rsid w:val="00464D1C"/>
    <w:rsid w:val="00476807"/>
    <w:rsid w:val="00482271"/>
    <w:rsid w:val="004A3844"/>
    <w:rsid w:val="004A3AEB"/>
    <w:rsid w:val="004A5696"/>
    <w:rsid w:val="004A7D21"/>
    <w:rsid w:val="004B2838"/>
    <w:rsid w:val="004D1F0F"/>
    <w:rsid w:val="004D3F9B"/>
    <w:rsid w:val="004E6681"/>
    <w:rsid w:val="004E7B71"/>
    <w:rsid w:val="004F1A70"/>
    <w:rsid w:val="004F244A"/>
    <w:rsid w:val="004F67DE"/>
    <w:rsid w:val="005103CB"/>
    <w:rsid w:val="005121F9"/>
    <w:rsid w:val="00515518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D4907"/>
    <w:rsid w:val="005E59CA"/>
    <w:rsid w:val="00605651"/>
    <w:rsid w:val="00607A88"/>
    <w:rsid w:val="006118C6"/>
    <w:rsid w:val="00632C22"/>
    <w:rsid w:val="00634087"/>
    <w:rsid w:val="00647F51"/>
    <w:rsid w:val="00656433"/>
    <w:rsid w:val="0066369E"/>
    <w:rsid w:val="00665A7B"/>
    <w:rsid w:val="00665F7C"/>
    <w:rsid w:val="00681FEA"/>
    <w:rsid w:val="00684C46"/>
    <w:rsid w:val="006854F2"/>
    <w:rsid w:val="006B6528"/>
    <w:rsid w:val="006C1844"/>
    <w:rsid w:val="006D10A4"/>
    <w:rsid w:val="006D7405"/>
    <w:rsid w:val="006E2949"/>
    <w:rsid w:val="006E33D5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37482"/>
    <w:rsid w:val="00737862"/>
    <w:rsid w:val="007405AF"/>
    <w:rsid w:val="00742608"/>
    <w:rsid w:val="00744B5C"/>
    <w:rsid w:val="007678E1"/>
    <w:rsid w:val="007771B0"/>
    <w:rsid w:val="00780AFB"/>
    <w:rsid w:val="00781D95"/>
    <w:rsid w:val="00781DC4"/>
    <w:rsid w:val="00782096"/>
    <w:rsid w:val="007A2AA4"/>
    <w:rsid w:val="007B14E7"/>
    <w:rsid w:val="007C4D17"/>
    <w:rsid w:val="007C5940"/>
    <w:rsid w:val="007E518B"/>
    <w:rsid w:val="007F342E"/>
    <w:rsid w:val="007F6521"/>
    <w:rsid w:val="00800671"/>
    <w:rsid w:val="0080385B"/>
    <w:rsid w:val="008060E3"/>
    <w:rsid w:val="00807656"/>
    <w:rsid w:val="008101E8"/>
    <w:rsid w:val="008249C0"/>
    <w:rsid w:val="00842D60"/>
    <w:rsid w:val="008452F9"/>
    <w:rsid w:val="008472C2"/>
    <w:rsid w:val="00852FBB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46D1"/>
    <w:rsid w:val="009D5BAA"/>
    <w:rsid w:val="009F6DC5"/>
    <w:rsid w:val="00A04015"/>
    <w:rsid w:val="00A07D12"/>
    <w:rsid w:val="00A10F5B"/>
    <w:rsid w:val="00A12255"/>
    <w:rsid w:val="00A1509A"/>
    <w:rsid w:val="00A24642"/>
    <w:rsid w:val="00A31C9C"/>
    <w:rsid w:val="00A34908"/>
    <w:rsid w:val="00A35505"/>
    <w:rsid w:val="00A526A3"/>
    <w:rsid w:val="00A65383"/>
    <w:rsid w:val="00A74AF7"/>
    <w:rsid w:val="00A760EC"/>
    <w:rsid w:val="00A87613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158C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6111F"/>
    <w:rsid w:val="00C705BF"/>
    <w:rsid w:val="00C752C4"/>
    <w:rsid w:val="00C944FD"/>
    <w:rsid w:val="00CA2C4F"/>
    <w:rsid w:val="00CA4538"/>
    <w:rsid w:val="00CC7CC6"/>
    <w:rsid w:val="00CD048B"/>
    <w:rsid w:val="00CF11E8"/>
    <w:rsid w:val="00D12511"/>
    <w:rsid w:val="00D16179"/>
    <w:rsid w:val="00D21D50"/>
    <w:rsid w:val="00D23C2E"/>
    <w:rsid w:val="00D262CC"/>
    <w:rsid w:val="00D361B2"/>
    <w:rsid w:val="00D463B6"/>
    <w:rsid w:val="00D53435"/>
    <w:rsid w:val="00D80E1C"/>
    <w:rsid w:val="00D8406B"/>
    <w:rsid w:val="00D860B4"/>
    <w:rsid w:val="00D86801"/>
    <w:rsid w:val="00DA28FE"/>
    <w:rsid w:val="00DA7798"/>
    <w:rsid w:val="00DB1958"/>
    <w:rsid w:val="00DB2A23"/>
    <w:rsid w:val="00DC607C"/>
    <w:rsid w:val="00DD1B01"/>
    <w:rsid w:val="00DE5BD5"/>
    <w:rsid w:val="00E00278"/>
    <w:rsid w:val="00E07DA6"/>
    <w:rsid w:val="00E12E1F"/>
    <w:rsid w:val="00E15D64"/>
    <w:rsid w:val="00E16D44"/>
    <w:rsid w:val="00E226D8"/>
    <w:rsid w:val="00E30DE5"/>
    <w:rsid w:val="00E30E0C"/>
    <w:rsid w:val="00E32BBA"/>
    <w:rsid w:val="00E53455"/>
    <w:rsid w:val="00E554FB"/>
    <w:rsid w:val="00E618F7"/>
    <w:rsid w:val="00E66BCB"/>
    <w:rsid w:val="00E76B2C"/>
    <w:rsid w:val="00E777C5"/>
    <w:rsid w:val="00E94EC5"/>
    <w:rsid w:val="00E95728"/>
    <w:rsid w:val="00EB7684"/>
    <w:rsid w:val="00EC20AF"/>
    <w:rsid w:val="00ED68BC"/>
    <w:rsid w:val="00ED7A87"/>
    <w:rsid w:val="00EE4E8F"/>
    <w:rsid w:val="00EF150E"/>
    <w:rsid w:val="00EF5489"/>
    <w:rsid w:val="00EF6B8E"/>
    <w:rsid w:val="00F05768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E26C6"/>
    <w:rsid w:val="00FF2037"/>
    <w:rsid w:val="09483C7C"/>
    <w:rsid w:val="0A0951E6"/>
    <w:rsid w:val="102764FF"/>
    <w:rsid w:val="12215158"/>
    <w:rsid w:val="12E416EB"/>
    <w:rsid w:val="148F6D68"/>
    <w:rsid w:val="18B018A3"/>
    <w:rsid w:val="1B822355"/>
    <w:rsid w:val="1CF347D0"/>
    <w:rsid w:val="1DFA1AED"/>
    <w:rsid w:val="23143057"/>
    <w:rsid w:val="290115A0"/>
    <w:rsid w:val="2B2614CB"/>
    <w:rsid w:val="2D8C4802"/>
    <w:rsid w:val="2E100838"/>
    <w:rsid w:val="31174DB3"/>
    <w:rsid w:val="311D2E05"/>
    <w:rsid w:val="32C55D9E"/>
    <w:rsid w:val="357069F0"/>
    <w:rsid w:val="37714620"/>
    <w:rsid w:val="39473A65"/>
    <w:rsid w:val="3B1757A3"/>
    <w:rsid w:val="3E452F8E"/>
    <w:rsid w:val="42CB6326"/>
    <w:rsid w:val="43713088"/>
    <w:rsid w:val="44554BB3"/>
    <w:rsid w:val="45776CA3"/>
    <w:rsid w:val="45DC5BC7"/>
    <w:rsid w:val="4ABB422A"/>
    <w:rsid w:val="4B3854D9"/>
    <w:rsid w:val="4EE24684"/>
    <w:rsid w:val="4FB63332"/>
    <w:rsid w:val="510612FC"/>
    <w:rsid w:val="556278BC"/>
    <w:rsid w:val="55C36911"/>
    <w:rsid w:val="58054B0A"/>
    <w:rsid w:val="587B0306"/>
    <w:rsid w:val="5D6D4256"/>
    <w:rsid w:val="5D8A0D6F"/>
    <w:rsid w:val="613C41A8"/>
    <w:rsid w:val="621E5D60"/>
    <w:rsid w:val="646C7EC4"/>
    <w:rsid w:val="649F0D7A"/>
    <w:rsid w:val="66E65852"/>
    <w:rsid w:val="68965191"/>
    <w:rsid w:val="6CF97F62"/>
    <w:rsid w:val="6DE622CE"/>
    <w:rsid w:val="6E001E96"/>
    <w:rsid w:val="6ECF5C49"/>
    <w:rsid w:val="6F1C5868"/>
    <w:rsid w:val="70C95C99"/>
    <w:rsid w:val="732E63CA"/>
    <w:rsid w:val="733846E6"/>
    <w:rsid w:val="73772726"/>
    <w:rsid w:val="741F11FF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307</Words>
  <Characters>1755</Characters>
  <Lines>14</Lines>
  <Paragraphs>4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2020-12-31T08:57:04Z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