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framePr/>
        <w:rPr>
          <w:rFonts w:ascii="Times New Roman"/>
        </w:rPr>
      </w:pPr>
      <w:r>
        <w:rPr>
          <w:rFonts w:ascii="Times New Roman"/>
        </w:rPr>
        <w:t>ICS</w:t>
      </w:r>
      <w:r>
        <w:rPr>
          <w:rFonts w:ascii="Times New Roman" w:cs="MS Mincho"/>
        </w:rPr>
        <w:t> </w:t>
      </w:r>
      <w:bookmarkStart w:id="0" w:name="ICS"/>
      <w:r>
        <w:rPr>
          <w:rFonts w:ascii="Times New Roman" w:cs="MS Mincho"/>
        </w:rPr>
        <w:t>13.060.30</w:t>
      </w:r>
      <w:bookmarkEnd w:id="0"/>
    </w:p>
    <w:p>
      <w:pPr>
        <w:pStyle w:val="44"/>
        <w:framePr/>
        <w:rPr>
          <w:rFonts w:ascii="Times New Roman"/>
        </w:rPr>
      </w:pPr>
      <w:r>
        <w:rPr>
          <w:rFonts w:ascii="Times New Roman"/>
        </w:rPr>
        <w:fldChar w:fldCharType="begin">
          <w:ffData>
            <w:name w:val="WXFLH"/>
            <w:enabled/>
            <w:calcOnExit w:val="0"/>
            <w:helpText w:type="text" w:val="请输入中国标准文献分类号："/>
            <w:textInput>
              <w:default w:val="CCS Z 01"/>
            </w:textInput>
          </w:ffData>
        </w:fldChar>
      </w:r>
      <w:r>
        <w:rPr>
          <w:rFonts w:ascii="Times New Roman"/>
        </w:rPr>
        <w:instrText xml:space="preserve"> </w:instrText>
      </w:r>
      <w:bookmarkStart w:id="1" w:name="WXFLH"/>
      <w:r>
        <w:rPr>
          <w:rFonts w:ascii="Times New Roman"/>
        </w:rPr>
        <w:instrText xml:space="preserve">FORMTEXT </w:instrText>
      </w:r>
      <w:r>
        <w:rPr>
          <w:rFonts w:ascii="Times New Roman"/>
        </w:rPr>
        <w:fldChar w:fldCharType="separate"/>
      </w:r>
      <w:r>
        <w:rPr>
          <w:rFonts w:ascii="Times New Roman"/>
        </w:rPr>
        <w:t>CCS Z 01</w:t>
      </w:r>
      <w:r>
        <w:rPr>
          <w:rFonts w:ascii="Times New Roman"/>
        </w:rPr>
        <w:fldChar w:fldCharType="end"/>
      </w:r>
      <w:bookmarkEnd w:id="1"/>
    </w:p>
    <w:tbl>
      <w:tblPr>
        <w:tblStyle w:val="19"/>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tcPr>
          <w:p>
            <w:pPr>
              <w:pStyle w:val="44"/>
              <w:framePr/>
              <w:rPr>
                <w:rFonts w:ascii="Times New Roman"/>
              </w:rPr>
            </w:pPr>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5"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矩形 2"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yK4v7NUAAAAHAQAADwAAAAAAAAABACAAAAAiAAAAZHJz&#10;L2Rvd25yZXYueG1sUEsBAhQAFAAAAAgAh07iQBZt/2iVAQAAEAMAAA4AAAAAAAAAAQAgAAAAJAEA&#10;AGRycy9lMm9Eb2MueG1sUEsFBgAAAAAGAAYAWQEAACsFAAAAAA==&#10;">
                      <v:fill on="t" focussize="0,0"/>
                      <v:stroke on="f"/>
                      <v:imagedata o:title=""/>
                      <o:lock v:ext="edit" aspectratio="f"/>
                    </v:rect>
                  </w:pict>
                </mc:Fallback>
              </mc:AlternateContent>
            </w:r>
            <w:r>
              <w:rPr>
                <w:rFonts w:ascii="Times New Roman"/>
              </w:rPr>
              <w:fldChar w:fldCharType="begin">
                <w:ffData>
                  <w:name w:val="BAH"/>
                  <w:enabled/>
                  <w:calcOnExit w:val="0"/>
                  <w:textInput/>
                </w:ffData>
              </w:fldChar>
            </w:r>
            <w:bookmarkStart w:id="2" w:name="BAH"/>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2"/>
          </w:p>
        </w:tc>
      </w:tr>
    </w:tbl>
    <w:p>
      <w:pPr>
        <w:pStyle w:val="22"/>
        <w:framePr/>
      </w:pPr>
      <w:r>
        <w:t>DB</w:t>
      </w:r>
      <w:r>
        <w:rPr>
          <w:rFonts w:hint="eastAsia"/>
        </w:rPr>
        <w:t>11</w:t>
      </w:r>
    </w:p>
    <w:p>
      <w:pPr>
        <w:pStyle w:val="24"/>
        <w:framePr/>
        <w:rPr>
          <w:rFonts w:ascii="Times New Roman" w:hAnsi="Times New Roman"/>
        </w:rPr>
      </w:pPr>
      <w:r>
        <w:rPr>
          <w:rFonts w:hint="eastAsia" w:ascii="Times New Roman" w:hAnsi="Times New Roman"/>
        </w:rPr>
        <w:t>北京市地方标准</w:t>
      </w:r>
    </w:p>
    <w:p>
      <w:pPr>
        <w:pStyle w:val="30"/>
        <w:framePr/>
        <w:rPr>
          <w:rFonts w:ascii="Times New Roman"/>
        </w:rPr>
      </w:pPr>
      <w:r>
        <w:rPr>
          <w:rFonts w:ascii="Times New Roman"/>
        </w:rPr>
        <w:t>DB</w:t>
      </w:r>
      <w:r>
        <w:rPr>
          <w:rFonts w:hint="eastAsia" w:ascii="Times New Roman"/>
        </w:rPr>
        <w:t>11</w:t>
      </w:r>
      <w:r>
        <w:rPr>
          <w:rFonts w:ascii="Times New Roman"/>
        </w:rPr>
        <w:t>/</w:t>
      </w:r>
      <w:r>
        <w:rPr>
          <w:rFonts w:hint="eastAsia" w:ascii="Times New Roman"/>
        </w:rPr>
        <w:t xml:space="preserve">T </w:t>
      </w:r>
      <w:bookmarkStart w:id="3" w:name="StdNo1"/>
      <w:r>
        <w:rPr>
          <w:rFonts w:hint="eastAsia" w:ascii="Times New Roman" w:hAnsi="Times New Roman" w:eastAsia="黑体" w:cs="Times New Roman"/>
          <w:sz w:val="28"/>
          <w:szCs w:val="28"/>
          <w:lang w:val="en-US" w:eastAsia="zh-CN" w:bidi="ar-SA"/>
        </w:rPr>
        <w:fldChar w:fldCharType="begin">
          <w:ffData>
            <w:name w:val="StdNo1"/>
            <w:enabled/>
            <w:calcOnExit w:val="0"/>
            <w:textInput>
              <w:default w:val="686"/>
            </w:textInput>
          </w:ffData>
        </w:fldChar>
      </w:r>
      <w:r>
        <w:rPr>
          <w:rFonts w:hint="eastAsia" w:ascii="Times New Roman" w:hAnsi="Times New Roman" w:eastAsia="黑体" w:cs="Times New Roman"/>
          <w:sz w:val="28"/>
          <w:szCs w:val="28"/>
          <w:lang w:val="en-US" w:eastAsia="zh-CN" w:bidi="ar-SA"/>
        </w:rPr>
        <w:instrText xml:space="preserve">FORMTEXT</w:instrText>
      </w:r>
      <w:r>
        <w:rPr>
          <w:rFonts w:hint="eastAsia" w:ascii="Times New Roman" w:hAnsi="Times New Roman" w:eastAsia="黑体" w:cs="Times New Roman"/>
          <w:sz w:val="28"/>
          <w:szCs w:val="28"/>
          <w:lang w:val="en-US" w:eastAsia="zh-CN" w:bidi="ar-SA"/>
        </w:rPr>
        <w:fldChar w:fldCharType="separate"/>
      </w:r>
      <w:r>
        <w:rPr>
          <w:rFonts w:hint="eastAsia" w:ascii="Times New Roman" w:hAnsi="Times New Roman" w:eastAsia="黑体" w:cs="Times New Roman"/>
          <w:sz w:val="28"/>
          <w:szCs w:val="28"/>
          <w:lang w:val="en-US" w:eastAsia="zh-CN" w:bidi="ar-SA"/>
        </w:rPr>
        <w:t>686</w:t>
      </w:r>
      <w:r>
        <w:rPr>
          <w:rFonts w:hint="eastAsia" w:ascii="Times New Roman" w:hAnsi="Times New Roman" w:eastAsia="黑体" w:cs="Times New Roman"/>
          <w:sz w:val="28"/>
          <w:szCs w:val="28"/>
          <w:lang w:val="en-US" w:eastAsia="zh-CN" w:bidi="ar-SA"/>
        </w:rPr>
        <w:fldChar w:fldCharType="end"/>
      </w:r>
      <w:bookmarkEnd w:id="3"/>
      <w:r>
        <w:rPr>
          <w:rFonts w:ascii="Times New Roman"/>
        </w:rPr>
        <w:t>—</w:t>
      </w:r>
      <w:bookmarkStart w:id="4" w:name="StdNo2"/>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4"/>
    </w:p>
    <w:tbl>
      <w:tblPr>
        <w:tblStyle w:val="1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pStyle w:val="47"/>
              <w:framePr/>
              <w:rPr>
                <w:rFonts w:ascii="Times New Roman"/>
              </w:rPr>
            </w:pPr>
            <w:bookmarkStart w:id="5" w:name="DT"/>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矩形 1"/>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矩形 1"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HmDyy9YAAAAIAQAADwAAAAAAAAABACAAAAAiAAAAZHJz&#10;L2Rvd25yZXYueG1sUEsBAhQAFAAAAAgAh07iQBSJXI6UAQAAEQMAAA4AAAAAAAAAAQAgAAAAJQEA&#10;AGRycy9lMm9Eb2MueG1sUEsFBgAAAAAGAAYAWQEAACsFA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5"/>
          </w:p>
        </w:tc>
      </w:tr>
    </w:tbl>
    <w:p>
      <w:pPr>
        <w:pStyle w:val="30"/>
        <w:framePr/>
        <w:rPr>
          <w:rFonts w:ascii="Times New Roman"/>
        </w:rPr>
      </w:pPr>
    </w:p>
    <w:p>
      <w:pPr>
        <w:pStyle w:val="30"/>
        <w:framePr/>
        <w:rPr>
          <w:rFonts w:ascii="Times New Roman"/>
        </w:rPr>
      </w:pPr>
    </w:p>
    <w:p>
      <w:pPr>
        <w:pStyle w:val="50"/>
        <w:framePr w:hAnchor="page" w:x="1291" w:y="14191"/>
      </w:pPr>
      <w:bookmarkStart w:id="6" w:name="FY"/>
      <w:r>
        <w:fldChar w:fldCharType="begin">
          <w:ffData>
            <w:name w:val="FY"/>
            <w:enabled/>
            <w:calcOnExit w:val="0"/>
            <w:textInput>
              <w:default w:val="XXXX"/>
              <w:maxLength w:val="4"/>
            </w:textInput>
          </w:ffData>
        </w:fldChar>
      </w:r>
      <w:r>
        <w:instrText xml:space="preserve"> FORMTEXT </w:instrText>
      </w:r>
      <w:r>
        <w:fldChar w:fldCharType="separate"/>
      </w:r>
      <w:r>
        <w:t>XXXX</w:t>
      </w:r>
      <w:r>
        <w:fldChar w:fldCharType="end"/>
      </w:r>
      <w:bookmarkEnd w:id="6"/>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bookmarkStart w:id="7" w:name="FD"/>
      <w:r>
        <w:fldChar w:fldCharType="begin">
          <w:ffData>
            <w:name w:val="FD"/>
            <w:enabled/>
            <w:calcOnExit w:val="0"/>
            <w:textInput>
              <w:default w:val="XX"/>
              <w:maxLength w:val="2"/>
            </w:textInput>
          </w:ffData>
        </w:fldChar>
      </w:r>
      <w:r>
        <w:instrText xml:space="preserve"> FORMTEXT </w:instrText>
      </w:r>
      <w:r>
        <w:fldChar w:fldCharType="separate"/>
      </w:r>
      <w:r>
        <w:t>XX</w:t>
      </w:r>
      <w:r>
        <w:fldChar w:fldCharType="end"/>
      </w:r>
      <w:bookmarkEnd w:id="7"/>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9251315</wp:posOffset>
                </wp:positionV>
                <wp:extent cx="6120130" cy="0"/>
                <wp:effectExtent l="0" t="0" r="33020" b="1905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728.45pt;height:0pt;width:481.9pt;mso-position-vertical-relative:page;z-index:251661312;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MtL/PXAAAACwEAAA8AAAAAAAAAAQAgAAAAIgAA&#10;AGRycy9kb3ducmV2LnhtbFBLAQIUABQAAAAIAIdO4kDlE6k90AEAAIoDAAAOAAAAAAAAAAEAIAAA&#10;ACYBAABkcnMvZTJvRG9jLnhtbFBLBQYAAAAABgAGAFkBAABoBQAAAAA=&#10;">
                <v:fill on="f" focussize="0,0"/>
                <v:stroke color="#000000" joinstyle="round"/>
                <v:imagedata o:title=""/>
                <o:lock v:ext="edit" aspectratio="f"/>
                <w10:anchorlock/>
              </v:line>
            </w:pict>
          </mc:Fallback>
        </mc:AlternateContent>
      </w:r>
    </w:p>
    <w:p>
      <w:pPr>
        <w:pStyle w:val="52"/>
        <w:framePr w:hAnchor="page" w:x="6826" w:y="14122"/>
      </w:pPr>
      <w:bookmarkStart w:id="8" w:name="SY"/>
      <w:r>
        <w:fldChar w:fldCharType="begin">
          <w:ffData>
            <w:name w:val="SY"/>
            <w:enabled/>
            <w:calcOnExit w:val="0"/>
            <w:textInput>
              <w:default w:val="XXXX"/>
              <w:maxLength w:val="4"/>
            </w:textInput>
          </w:ffData>
        </w:fldChar>
      </w:r>
      <w:r>
        <w:instrText xml:space="preserve"> FORMTEXT </w:instrText>
      </w:r>
      <w:r>
        <w:fldChar w:fldCharType="separate"/>
      </w:r>
      <w:r>
        <w:t>XXXX</w:t>
      </w:r>
      <w:r>
        <w:fldChar w:fldCharType="end"/>
      </w:r>
      <w:bookmarkEnd w:id="8"/>
      <w:r>
        <w:t xml:space="preserve"> - </w:t>
      </w:r>
      <w:bookmarkStart w:id="9" w:name="SM"/>
      <w:r>
        <w:fldChar w:fldCharType="begin">
          <w:ffData>
            <w:name w:val="SM"/>
            <w:enabled/>
            <w:calcOnExit w:val="0"/>
            <w:textInput>
              <w:default w:val="XX"/>
              <w:maxLength w:val="2"/>
            </w:textInput>
          </w:ffData>
        </w:fldChar>
      </w:r>
      <w:r>
        <w:instrText xml:space="preserve"> FORMTEXT </w:instrText>
      </w:r>
      <w:r>
        <w:fldChar w:fldCharType="separate"/>
      </w:r>
      <w:r>
        <w:t>XX</w:t>
      </w:r>
      <w:r>
        <w:fldChar w:fldCharType="end"/>
      </w:r>
      <w:bookmarkEnd w:id="9"/>
      <w:r>
        <w:t xml:space="preserve"> - </w:t>
      </w:r>
      <w:bookmarkStart w:id="10" w:name="SD"/>
      <w:r>
        <w:fldChar w:fldCharType="begin">
          <w:ffData>
            <w:name w:val="SD"/>
            <w:enabled/>
            <w:calcOnExit w:val="0"/>
            <w:textInput>
              <w:default w:val="XX"/>
              <w:maxLength w:val="2"/>
            </w:textInput>
          </w:ffData>
        </w:fldChar>
      </w:r>
      <w:r>
        <w:instrText xml:space="preserve"> FORMTEXT </w:instrText>
      </w:r>
      <w:r>
        <w:fldChar w:fldCharType="separate"/>
      </w:r>
      <w:r>
        <w:t>XX</w:t>
      </w:r>
      <w:r>
        <w:fldChar w:fldCharType="end"/>
      </w:r>
      <w:bookmarkEnd w:id="10"/>
      <w:r>
        <w:rPr>
          <w:rFonts w:hint="eastAsia"/>
        </w:rPr>
        <w:t>实施</w:t>
      </w:r>
    </w:p>
    <w:p>
      <w:pPr>
        <w:pStyle w:val="55"/>
        <w:framePr/>
        <w:rPr>
          <w:rFonts w:ascii="Times New Roman"/>
        </w:rPr>
      </w:pPr>
      <w:bookmarkStart w:id="11" w:name="fm"/>
      <w:r>
        <w:rPr>
          <w:rFonts w:ascii="Times New Roman"/>
          <w:shd w:val="clear" w:color="FFFFFF" w:fill="D9D9D9"/>
        </w:rPr>
        <w:fldChar w:fldCharType="begin">
          <w:ffData>
            <w:name w:val="fm"/>
            <w:enabled/>
            <w:calcOnExit w:val="0"/>
            <w:textInput>
              <w:default w:val="北京市市场监督管理局"/>
            </w:textInput>
          </w:ffData>
        </w:fldChar>
      </w:r>
      <w:r>
        <w:rPr>
          <w:rFonts w:ascii="Times New Roman"/>
          <w:shd w:val="clear" w:color="FFFFFF" w:fill="D9D9D9"/>
        </w:rPr>
        <w:instrText xml:space="preserve">FORMTEXT</w:instrText>
      </w:r>
      <w:r>
        <w:rPr>
          <w:rFonts w:ascii="Times New Roman"/>
          <w:shd w:val="clear" w:color="FFFFFF" w:fill="D9D9D9"/>
        </w:rPr>
        <w:fldChar w:fldCharType="separate"/>
      </w:r>
      <w:r>
        <w:rPr>
          <w:rFonts w:ascii="Times New Roman"/>
          <w:shd w:val="clear" w:color="FFFFFF" w:fill="D9D9D9"/>
        </w:rPr>
        <w:t>北京市市场监督管理局</w:t>
      </w:r>
      <w:r>
        <w:rPr>
          <w:rFonts w:ascii="Times New Roman"/>
          <w:shd w:val="clear" w:color="FFFFFF" w:fill="D9D9D9"/>
        </w:rPr>
        <w:fldChar w:fldCharType="end"/>
      </w:r>
      <w:r>
        <w:rPr>
          <w:rFonts w:hint="eastAsia" w:ascii="Times New Roman"/>
        </w:rPr>
        <w:t xml:space="preserve">   发布</w:t>
      </w:r>
    </w:p>
    <w:bookmarkEnd w:id="11"/>
    <w:p>
      <w:pPr>
        <w:pStyle w:val="55"/>
        <w:framePr/>
        <w:rPr>
          <w:rFonts w:ascii="Times New Roman"/>
        </w:rPr>
      </w:pPr>
    </w:p>
    <w:p>
      <w:pPr>
        <w:pStyle w:val="32"/>
        <w:framePr w:x="1135" w:y="5840"/>
        <w:rPr>
          <w:rFonts w:ascii="Times New Roman"/>
        </w:rPr>
      </w:pPr>
      <w:r>
        <w:rPr>
          <w:rFonts w:hint="eastAsia" w:ascii="Times New Roman"/>
        </w:rPr>
        <w:t>透水砖路面施工与验收规范</w:t>
      </w:r>
    </w:p>
    <w:p>
      <w:pPr>
        <w:pStyle w:val="32"/>
        <w:framePr w:x="1135" w:y="5840"/>
        <w:rPr>
          <w:rFonts w:ascii="Times New Roman"/>
        </w:rPr>
      </w:pPr>
      <w:r>
        <w:rPr>
          <w:rFonts w:hint="eastAsia" w:hAnsi="黑体" w:cs="黑体"/>
          <w:sz w:val="28"/>
          <w:szCs w:val="28"/>
        </w:rPr>
        <w:t>Standard for Construction and Acceptance of Water Permeable Surface</w:t>
      </w:r>
      <w:r>
        <w:rPr>
          <w:rFonts w:hint="eastAsia" w:ascii="Times New Roman"/>
        </w:rPr>
        <w:t xml:space="preserve"> </w:t>
      </w:r>
    </w:p>
    <w:p>
      <w:pPr>
        <w:pStyle w:val="37"/>
        <w:framePr w:x="1135" w:y="5840"/>
        <w:rPr>
          <w:rFonts w:ascii="Times New Roman"/>
        </w:rPr>
      </w:pPr>
      <w:r>
        <w:rPr>
          <w:rFonts w:ascii="Times New Roman"/>
        </w:rPr>
        <w:fldChar w:fldCharType="begin">
          <w:ffData>
            <w:name w:val="YZBS"/>
            <w:enabled/>
            <w:calcOnExit w:val="0"/>
            <w:textInput>
              <w:default w:val="点击此处添加与国际标准一致性程度的标识"/>
            </w:textInput>
          </w:ffData>
        </w:fldChar>
      </w:r>
      <w:bookmarkStart w:id="12" w:name="YZBS"/>
      <w:r>
        <w:rPr>
          <w:rFonts w:ascii="Times New Roman"/>
        </w:rPr>
        <w:instrText xml:space="preserve"> FORMTEXT </w:instrText>
      </w:r>
      <w:r>
        <w:rPr>
          <w:rFonts w:ascii="Times New Roman"/>
        </w:rPr>
        <w:fldChar w:fldCharType="separate"/>
      </w:r>
      <w:r>
        <w:rPr>
          <w:rFonts w:hint="eastAsia" w:ascii="Times New Roman"/>
        </w:rPr>
        <w:t>点击此处添加与国际标准一致性程度的标识</w:t>
      </w:r>
      <w:r>
        <w:rPr>
          <w:rFonts w:ascii="Times New Roman"/>
        </w:rPr>
        <w:fldChar w:fldCharType="end"/>
      </w:r>
      <w:bookmarkEnd w:id="12"/>
    </w:p>
    <w:tbl>
      <w:tblPr>
        <w:tblStyle w:val="19"/>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6"/>
              <w:framePr w:x="1135" w:y="5840"/>
              <w:jc w:val="both"/>
              <w:rPr>
                <w:rFonts w:ascii="Times New Roman"/>
              </w:rPr>
            </w:pPr>
            <w:r>
              <w:rPr>
                <w:rFonts w:ascii="Times New Roman"/>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9" name="矩形 9"/>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WJrpLVAAAACgEAAA8AAAAAAAAAAQAgAAAAIgAAAGRycy9k&#10;b3ducmV2LnhtbFBLAQIUABQAAAAIAIdO4kC1H0hmkwEAABEDAAAOAAAAAAAAAAEAIAAAACQBAABk&#10;cnMvZTJvRG9jLnhtbFBLBQYAAAAABgAGAFkBAAApBQ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10" name="矩形 10"/>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D4Yvl1gAAAAkBAAAPAAAAAAAAAAEAIAAAACIAAABkcnMv&#10;ZG93bnJldi54bWxQSwECFAAUAAAACACHTuJAAzaClpMBAAATAwAADgAAAAAAAAABACAAAAAlAQAA&#10;ZHJzL2Uyb0RvYy54bWxQSwUGAAAAAAYABgBZAQAAKg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5"/>
              <w:framePr w:x="1135" w:y="5840"/>
              <w:rPr>
                <w:rFonts w:ascii="Times New Roman"/>
              </w:rPr>
            </w:pPr>
            <w:bookmarkStart w:id="13" w:name="WCRQ"/>
            <w:r>
              <w:rPr>
                <w:rFonts w:ascii="Times New Roman" w:hAnsi="Times New Roman" w:eastAsia="宋体" w:cs="Times New Roman"/>
                <w:sz w:val="21"/>
                <w:szCs w:val="28"/>
                <w:lang w:val="en-US" w:eastAsia="zh-CN" w:bidi="ar-SA"/>
              </w:rPr>
              <w:fldChar w:fldCharType="begin">
                <w:ffData>
                  <w:name w:val="WCRQ"/>
                  <w:enabled/>
                  <w:calcOnExit w:val="0"/>
                  <w:textInput>
                    <w:default w:val="（征求意见稿）"/>
                  </w:textInput>
                </w:ffData>
              </w:fldChar>
            </w:r>
            <w:r>
              <w:rPr>
                <w:rFonts w:ascii="Times New Roman" w:hAnsi="Times New Roman" w:eastAsia="宋体" w:cs="Times New Roman"/>
                <w:sz w:val="21"/>
                <w:szCs w:val="28"/>
                <w:lang w:val="en-US" w:eastAsia="zh-CN" w:bidi="ar-SA"/>
              </w:rPr>
              <w:instrText xml:space="preserve">FORMTEXT</w:instrText>
            </w:r>
            <w:r>
              <w:rPr>
                <w:rFonts w:ascii="Times New Roman" w:hAnsi="Times New Roman" w:eastAsia="宋体" w:cs="Times New Roman"/>
                <w:sz w:val="21"/>
                <w:szCs w:val="28"/>
                <w:lang w:val="en-US" w:eastAsia="zh-CN" w:bidi="ar-SA"/>
              </w:rPr>
              <w:fldChar w:fldCharType="separate"/>
            </w:r>
            <w:r>
              <w:rPr>
                <w:rFonts w:ascii="Times New Roman" w:hAnsi="Times New Roman" w:eastAsia="宋体" w:cs="Times New Roman"/>
                <w:sz w:val="21"/>
                <w:szCs w:val="28"/>
                <w:lang w:val="en-US" w:eastAsia="zh-CN" w:bidi="ar-SA"/>
              </w:rPr>
              <w:t>（征求意见稿）</w:t>
            </w:r>
            <w:r>
              <w:rPr>
                <w:rFonts w:ascii="Times New Roman" w:hAnsi="Times New Roman" w:eastAsia="宋体" w:cs="Times New Roman"/>
                <w:sz w:val="21"/>
                <w:szCs w:val="28"/>
                <w:lang w:val="en-US" w:eastAsia="zh-CN" w:bidi="ar-SA"/>
              </w:rPr>
              <w:fldChar w:fldCharType="end"/>
            </w:r>
            <w:bookmarkEnd w:id="13"/>
          </w:p>
        </w:tc>
      </w:tr>
    </w:tbl>
    <w:p>
      <w:pPr>
        <w:pStyle w:val="31"/>
        <w:framePr w:x="1135" w:y="5840"/>
      </w:pPr>
      <w:r>
        <w:rPr>
          <w:rFonts w:hint="eastAsia"/>
        </w:rPr>
        <w:t xml:space="preserve">  </w:t>
      </w:r>
    </w:p>
    <w:tbl>
      <w:tblPr>
        <w:tblStyle w:val="19"/>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36"/>
              <w:framePr w:x="1135" w:y="5840"/>
              <w:rPr>
                <w:rFonts w:ascii="Times New Roman"/>
              </w:rPr>
            </w:pPr>
          </w:p>
          <w:p>
            <w:pPr>
              <w:pStyle w:val="36"/>
              <w:framePr w:x="1135" w:y="584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35"/>
              <w:framePr w:x="1135" w:y="584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35"/>
              <w:framePr w:x="1135" w:y="5840"/>
              <w:rPr>
                <w:rFonts w:ascii="Times New Roman"/>
              </w:rPr>
            </w:pPr>
          </w:p>
        </w:tc>
      </w:tr>
    </w:tbl>
    <w:p>
      <w:pPr>
        <w:pStyle w:val="28"/>
        <w:rPr>
          <w:rFonts w:asci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720" w:num="1"/>
          <w:docGrid w:type="lines" w:linePitch="312" w:charSpace="0"/>
        </w:sectPr>
      </w:pPr>
      <w:r>
        <w:rPr>
          <w:rFonts w:hint="eastAsia" w:ascii="Times New Roman"/>
        </w:rPr>
        <mc:AlternateContent>
          <mc:Choice Requires="wps">
            <w:drawing>
              <wp:anchor distT="0" distB="0" distL="114300" distR="114300" simplePos="0" relativeHeight="251665408" behindDoc="0" locked="0" layoutInCell="1" allowOverlap="1">
                <wp:simplePos x="0" y="0"/>
                <wp:positionH relativeFrom="column">
                  <wp:posOffset>-123825</wp:posOffset>
                </wp:positionH>
                <wp:positionV relativeFrom="paragraph">
                  <wp:posOffset>8937625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75pt;margin-top:703.75pt;height:0pt;width:481.9pt;z-index:251665408;mso-width-relative:page;mso-height-relative:page;" filled="f" stroked="t" coordsize="21600,21600" o:gfxdata="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FYVVB2AAAAA0BAAAPAAAAAAAAAAEAIAAAACIAAABkcnMvZG93bnJl&#10;di54bWxQSwECFAAUAAAACACHTuJAqE+DbsQBAABjAwAADgAAAAAAAAABACAAAAAnAQAAZHJzL2Uy&#10;b0RvYy54bWxQSwUGAAAAAAYABgBZAQAAXQUAAAAA&#10;">
                <v:fill on="f" focussize="0,0"/>
                <v:stroke weight="0.5pt" color="#000000 [3204]" miterlimit="8" joinstyle="miter"/>
                <v:imagedata o:title=""/>
                <o:lock v:ext="edit" aspectratio="f"/>
              </v:line>
            </w:pict>
          </mc:Fallback>
        </mc:AlternateContent>
      </w: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2339340</wp:posOffset>
                </wp:positionV>
                <wp:extent cx="6120130" cy="0"/>
                <wp:effectExtent l="0" t="0" r="33020" b="19050"/>
                <wp:wrapNone/>
                <wp:docPr id="6"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184.2pt;height:0pt;width:481.9pt;z-index:251662336;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XW8AjXAAAACQEAAA8AAAAAAAAAAQAgAAAAIgAA&#10;AGRycy9kb3ducmV2LnhtbFBLAQIUABQAAAAIAIdO4kBGVVVD0AEAAIoDAAAOAAAAAAAAAAEAIAAA&#10;ACYBAABkcnMvZTJvRG9jLnhtbFBLBQYAAAAABgAGAFkBAABoBQAAAAA=&#10;">
                <v:fill on="f" focussize="0,0"/>
                <v:stroke color="#000000" joinstyle="round"/>
                <v:imagedata o:title=""/>
                <o:lock v:ext="edit" aspectratio="f"/>
              </v:line>
            </w:pict>
          </mc:Fallback>
        </mc:AlternateContent>
      </w:r>
    </w:p>
    <w:p>
      <w:pPr>
        <w:tabs>
          <w:tab w:val="right" w:leader="dot" w:pos="9241"/>
        </w:tabs>
        <w:adjustRightInd/>
        <w:snapToGrid/>
        <w:spacing w:before="78" w:beforeLines="25" w:after="78" w:afterLines="25"/>
        <w:ind w:firstLine="0" w:firstLineChars="0"/>
        <w:jc w:val="left"/>
        <w:rPr>
          <w:rFonts w:ascii="Times New Roman" w:hAnsi="Times New Roman"/>
          <w:szCs w:val="22"/>
        </w:rPr>
      </w:pPr>
      <w:bookmarkStart w:id="14" w:name="_Toc1749927424_WPSOffice_Type1"/>
      <w:r>
        <w:rPr>
          <w:rFonts w:ascii="Times New Roman" w:hAnsi="Times New Roman"/>
          <w:szCs w:val="21"/>
        </w:rPr>
        <w:fldChar w:fldCharType="begin" w:fldLock="1"/>
      </w:r>
      <w:r>
        <w:rPr>
          <w:rFonts w:ascii="Times New Roman" w:hAnsi="Times New Roman"/>
          <w:szCs w:val="21"/>
        </w:rPr>
        <w:instrText xml:space="preserve"> </w:instrText>
      </w:r>
      <w:r>
        <w:rPr>
          <w:rFonts w:hint="eastAsia" w:ascii="Times New Roman" w:hAnsi="Times New Roman"/>
          <w:szCs w:val="21"/>
        </w:rPr>
        <w:instrText xml:space="preserve">TOC \h \z \t"前言、引言标题,1,参考文献、索引标题,1,章标题,1,参考文献,1,附录标识,1,一级条标题, 3,二级条标题, 4" \* MERGEFORMAT</w:instrText>
      </w:r>
      <w:r>
        <w:rPr>
          <w:rFonts w:ascii="Times New Roman" w:hAnsi="Times New Roman"/>
          <w:szCs w:val="21"/>
        </w:rPr>
        <w:instrText xml:space="preserve"> </w:instrText>
      </w:r>
      <w:r>
        <w:rPr>
          <w:rFonts w:ascii="Times New Roman" w:hAnsi="Times New Roman"/>
          <w:szCs w:val="21"/>
        </w:rPr>
        <w:fldChar w:fldCharType="separate"/>
      </w:r>
    </w:p>
    <w:sdt>
      <w:sdtPr>
        <w:rPr>
          <w:rFonts w:ascii="Times New Roman" w:hAnsi="Times New Roman" w:eastAsia="宋体" w:cs="Times New Roman"/>
          <w:color w:val="auto"/>
          <w:kern w:val="2"/>
          <w:sz w:val="21"/>
          <w:szCs w:val="24"/>
          <w:lang w:val="zh-CN"/>
        </w:rPr>
        <w:id w:val="-1627226363"/>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66"/>
            <w:spacing w:before="640" w:after="560" w:line="460" w:lineRule="exact"/>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lang w:val="zh-CN"/>
              <w14:textFill>
                <w14:solidFill>
                  <w14:schemeClr w14:val="tx1"/>
                </w14:solidFill>
              </w14:textFill>
            </w:rPr>
            <w:t>目 次</w:t>
          </w:r>
        </w:p>
        <w:p>
          <w:pPr>
            <w:pStyle w:val="12"/>
            <w:tabs>
              <w:tab w:val="right" w:leader="dot" w:pos="8296"/>
            </w:tabs>
            <w:ind w:firstLine="840" w:firstLineChars="400"/>
            <w:rPr>
              <w:rFonts w:asciiTheme="minorHAnsi" w:hAnsiTheme="minorHAnsi" w:eastAsiaTheme="minorEastAsia" w:cstheme="minorBidi"/>
              <w:szCs w:val="22"/>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"_Toc106212262" </w:instrText>
          </w:r>
          <w:r>
            <w:fldChar w:fldCharType="separate"/>
          </w:r>
          <w:r>
            <w:rPr>
              <w:rStyle w:val="17"/>
              <w:rFonts w:hint="eastAsia" w:ascii="Times New Roman"/>
            </w:rPr>
            <w:t>前</w:t>
          </w:r>
          <w:r>
            <w:rPr>
              <w:rStyle w:val="17"/>
              <w:rFonts w:ascii="Times New Roman"/>
            </w:rPr>
            <w:t>  </w:t>
          </w:r>
          <w:r>
            <w:rPr>
              <w:rStyle w:val="17"/>
              <w:rFonts w:hint="eastAsia" w:ascii="Times New Roman"/>
            </w:rPr>
            <w:t>言</w:t>
          </w:r>
          <w:r>
            <w:tab/>
          </w:r>
          <w:r>
            <w:fldChar w:fldCharType="begin"/>
          </w:r>
          <w:r>
            <w:instrText xml:space="preserve"> PAGEREF _Toc106212262 \h </w:instrText>
          </w:r>
          <w:r>
            <w:fldChar w:fldCharType="separate"/>
          </w:r>
          <w:r>
            <w:t>II</w:t>
          </w:r>
          <w:r>
            <w:fldChar w:fldCharType="end"/>
          </w:r>
          <w:r>
            <w:fldChar w:fldCharType="end"/>
          </w:r>
        </w:p>
        <w:p>
          <w:pPr>
            <w:pStyle w:val="14"/>
            <w:tabs>
              <w:tab w:val="right" w:leader="dot" w:pos="8296"/>
            </w:tabs>
            <w:ind w:firstLine="420"/>
            <w:rPr>
              <w:rFonts w:asciiTheme="minorHAnsi" w:hAnsiTheme="minorHAnsi" w:eastAsiaTheme="minorEastAsia" w:cstheme="minorBidi"/>
              <w:szCs w:val="22"/>
            </w:rPr>
          </w:pPr>
          <w:r>
            <w:fldChar w:fldCharType="begin"/>
          </w:r>
          <w:r>
            <w:instrText xml:space="preserve"> HYPERLINK \l "_Toc106212263" </w:instrText>
          </w:r>
          <w:r>
            <w:fldChar w:fldCharType="separate"/>
          </w:r>
          <w:r>
            <w:rPr>
              <w:rStyle w:val="17"/>
            </w:rPr>
            <w:t>1</w:t>
          </w:r>
          <w:r>
            <w:rPr>
              <w:rStyle w:val="17"/>
              <w:rFonts w:hint="eastAsia" w:ascii="Times New Roman"/>
            </w:rPr>
            <w:t xml:space="preserve"> 范围</w:t>
          </w:r>
          <w:r>
            <w:tab/>
          </w:r>
          <w:r>
            <w:fldChar w:fldCharType="begin"/>
          </w:r>
          <w:r>
            <w:instrText xml:space="preserve"> PAGEREF _Toc106212263 \h </w:instrText>
          </w:r>
          <w:r>
            <w:fldChar w:fldCharType="separate"/>
          </w:r>
          <w:r>
            <w:t>1</w:t>
          </w:r>
          <w:r>
            <w:fldChar w:fldCharType="end"/>
          </w:r>
          <w:r>
            <w:fldChar w:fldCharType="end"/>
          </w:r>
        </w:p>
        <w:p>
          <w:pPr>
            <w:pStyle w:val="14"/>
            <w:tabs>
              <w:tab w:val="right" w:leader="dot" w:pos="8296"/>
            </w:tabs>
            <w:ind w:firstLine="420"/>
            <w:rPr>
              <w:rFonts w:asciiTheme="minorHAnsi" w:hAnsiTheme="minorHAnsi" w:eastAsiaTheme="minorEastAsia" w:cstheme="minorBidi"/>
              <w:szCs w:val="22"/>
            </w:rPr>
          </w:pPr>
          <w:r>
            <w:fldChar w:fldCharType="begin"/>
          </w:r>
          <w:r>
            <w:instrText xml:space="preserve"> HYPERLINK \l "_Toc106212264" </w:instrText>
          </w:r>
          <w:r>
            <w:fldChar w:fldCharType="separate"/>
          </w:r>
          <w:r>
            <w:rPr>
              <w:rStyle w:val="17"/>
            </w:rPr>
            <w:t>2</w:t>
          </w:r>
          <w:r>
            <w:rPr>
              <w:rStyle w:val="17"/>
              <w:rFonts w:hint="eastAsia" w:ascii="Times New Roman"/>
            </w:rPr>
            <w:t xml:space="preserve"> 规范性引用文件</w:t>
          </w:r>
          <w:r>
            <w:tab/>
          </w:r>
          <w:r>
            <w:fldChar w:fldCharType="begin"/>
          </w:r>
          <w:r>
            <w:instrText xml:space="preserve"> PAGEREF _Toc106212264 \h </w:instrText>
          </w:r>
          <w:r>
            <w:fldChar w:fldCharType="separate"/>
          </w:r>
          <w:r>
            <w:t>1</w:t>
          </w:r>
          <w:r>
            <w:fldChar w:fldCharType="end"/>
          </w:r>
          <w:r>
            <w:fldChar w:fldCharType="end"/>
          </w:r>
        </w:p>
        <w:p>
          <w:pPr>
            <w:pStyle w:val="14"/>
            <w:tabs>
              <w:tab w:val="right" w:leader="dot" w:pos="8296"/>
            </w:tabs>
            <w:ind w:firstLine="420"/>
            <w:rPr>
              <w:rFonts w:asciiTheme="minorHAnsi" w:hAnsiTheme="minorHAnsi" w:eastAsiaTheme="minorEastAsia" w:cstheme="minorBidi"/>
              <w:szCs w:val="22"/>
            </w:rPr>
          </w:pPr>
          <w:r>
            <w:fldChar w:fldCharType="begin"/>
          </w:r>
          <w:r>
            <w:instrText xml:space="preserve"> HYPERLINK \l "_Toc106212265" </w:instrText>
          </w:r>
          <w:r>
            <w:fldChar w:fldCharType="separate"/>
          </w:r>
          <w:r>
            <w:rPr>
              <w:rStyle w:val="17"/>
            </w:rPr>
            <w:t>3</w:t>
          </w:r>
          <w:r>
            <w:rPr>
              <w:rStyle w:val="17"/>
              <w:rFonts w:hint="eastAsia" w:ascii="Times New Roman"/>
            </w:rPr>
            <w:t xml:space="preserve"> 术语和定义</w:t>
          </w:r>
          <w:r>
            <w:tab/>
          </w:r>
          <w:r>
            <w:fldChar w:fldCharType="begin"/>
          </w:r>
          <w:r>
            <w:instrText xml:space="preserve"> PAGEREF _Toc106212265 \h </w:instrText>
          </w:r>
          <w:r>
            <w:fldChar w:fldCharType="separate"/>
          </w:r>
          <w:r>
            <w:t>1</w:t>
          </w:r>
          <w:r>
            <w:fldChar w:fldCharType="end"/>
          </w:r>
          <w:r>
            <w:fldChar w:fldCharType="end"/>
          </w:r>
        </w:p>
        <w:p>
          <w:pPr>
            <w:pStyle w:val="14"/>
            <w:tabs>
              <w:tab w:val="right" w:leader="dot" w:pos="8296"/>
            </w:tabs>
            <w:ind w:firstLine="420"/>
            <w:rPr>
              <w:rFonts w:asciiTheme="minorHAnsi" w:hAnsiTheme="minorHAnsi" w:eastAsiaTheme="minorEastAsia" w:cstheme="minorBidi"/>
              <w:szCs w:val="22"/>
            </w:rPr>
          </w:pPr>
          <w:r>
            <w:fldChar w:fldCharType="begin"/>
          </w:r>
          <w:r>
            <w:instrText xml:space="preserve"> HYPERLINK \l "_Toc106212266" </w:instrText>
          </w:r>
          <w:r>
            <w:fldChar w:fldCharType="separate"/>
          </w:r>
          <w:r>
            <w:rPr>
              <w:rStyle w:val="17"/>
            </w:rPr>
            <w:t>4</w:t>
          </w:r>
          <w:r>
            <w:rPr>
              <w:rStyle w:val="17"/>
              <w:rFonts w:hint="eastAsia" w:ascii="Times New Roman"/>
            </w:rPr>
            <w:t xml:space="preserve"> 基本规定</w:t>
          </w:r>
          <w:r>
            <w:tab/>
          </w:r>
          <w:r>
            <w:fldChar w:fldCharType="begin"/>
          </w:r>
          <w:r>
            <w:instrText xml:space="preserve"> PAGEREF _Toc106212266 \h </w:instrText>
          </w:r>
          <w:r>
            <w:fldChar w:fldCharType="separate"/>
          </w:r>
          <w:r>
            <w:t>2</w:t>
          </w:r>
          <w:r>
            <w:fldChar w:fldCharType="end"/>
          </w:r>
          <w:r>
            <w:fldChar w:fldCharType="end"/>
          </w:r>
        </w:p>
        <w:p>
          <w:pPr>
            <w:pStyle w:val="14"/>
            <w:tabs>
              <w:tab w:val="right" w:leader="dot" w:pos="8296"/>
            </w:tabs>
            <w:ind w:firstLine="420"/>
            <w:rPr>
              <w:rFonts w:asciiTheme="minorHAnsi" w:hAnsiTheme="minorHAnsi" w:eastAsiaTheme="minorEastAsia" w:cstheme="minorBidi"/>
              <w:szCs w:val="22"/>
            </w:rPr>
          </w:pPr>
          <w:r>
            <w:fldChar w:fldCharType="begin"/>
          </w:r>
          <w:r>
            <w:instrText xml:space="preserve"> HYPERLINK \l "_Toc106212267" </w:instrText>
          </w:r>
          <w:r>
            <w:fldChar w:fldCharType="separate"/>
          </w:r>
          <w:r>
            <w:rPr>
              <w:rStyle w:val="17"/>
            </w:rPr>
            <w:t>5</w:t>
          </w:r>
          <w:r>
            <w:rPr>
              <w:rStyle w:val="17"/>
              <w:rFonts w:hint="eastAsia" w:ascii="Times New Roman"/>
            </w:rPr>
            <w:t xml:space="preserve"> 施工</w:t>
          </w:r>
          <w:r>
            <w:tab/>
          </w:r>
          <w:r>
            <w:fldChar w:fldCharType="begin"/>
          </w:r>
          <w:r>
            <w:instrText xml:space="preserve"> PAGEREF _Toc106212267 \h </w:instrText>
          </w:r>
          <w:r>
            <w:fldChar w:fldCharType="separate"/>
          </w:r>
          <w:r>
            <w:t>3</w:t>
          </w:r>
          <w:r>
            <w:fldChar w:fldCharType="end"/>
          </w:r>
          <w:r>
            <w:fldChar w:fldCharType="end"/>
          </w:r>
        </w:p>
        <w:p>
          <w:pPr>
            <w:pStyle w:val="14"/>
            <w:tabs>
              <w:tab w:val="right" w:leader="dot" w:pos="8296"/>
            </w:tabs>
            <w:ind w:firstLine="420"/>
            <w:rPr>
              <w:rFonts w:asciiTheme="minorHAnsi" w:hAnsiTheme="minorHAnsi" w:eastAsiaTheme="minorEastAsia" w:cstheme="minorBidi"/>
              <w:szCs w:val="22"/>
            </w:rPr>
          </w:pPr>
          <w:r>
            <w:fldChar w:fldCharType="begin"/>
          </w:r>
          <w:r>
            <w:instrText xml:space="preserve"> HYPERLINK \l "_Toc106212268" </w:instrText>
          </w:r>
          <w:r>
            <w:fldChar w:fldCharType="separate"/>
          </w:r>
          <w:r>
            <w:rPr>
              <w:rStyle w:val="17"/>
            </w:rPr>
            <w:t>6</w:t>
          </w:r>
          <w:r>
            <w:rPr>
              <w:rStyle w:val="17"/>
              <w:rFonts w:hint="eastAsia" w:ascii="Times New Roman"/>
            </w:rPr>
            <w:t xml:space="preserve"> 质量验收</w:t>
          </w:r>
          <w:r>
            <w:tab/>
          </w:r>
          <w:r>
            <w:fldChar w:fldCharType="begin"/>
          </w:r>
          <w:r>
            <w:instrText xml:space="preserve"> PAGEREF _Toc106212268 \h </w:instrText>
          </w:r>
          <w:r>
            <w:fldChar w:fldCharType="separate"/>
          </w:r>
          <w:r>
            <w:t>6</w:t>
          </w:r>
          <w:r>
            <w:fldChar w:fldCharType="end"/>
          </w:r>
          <w:r>
            <w:fldChar w:fldCharType="end"/>
          </w:r>
        </w:p>
        <w:p>
          <w:pPr>
            <w:pStyle w:val="14"/>
            <w:tabs>
              <w:tab w:val="right" w:leader="dot" w:pos="8296"/>
            </w:tabs>
            <w:ind w:firstLine="420"/>
            <w:rPr>
              <w:rFonts w:asciiTheme="minorHAnsi" w:hAnsiTheme="minorHAnsi" w:eastAsiaTheme="minorEastAsia" w:cstheme="minorBidi"/>
              <w:szCs w:val="22"/>
            </w:rPr>
          </w:pPr>
          <w:r>
            <w:fldChar w:fldCharType="begin"/>
          </w:r>
          <w:r>
            <w:instrText xml:space="preserve"> HYPERLINK \l "_Toc106212269" </w:instrText>
          </w:r>
          <w:r>
            <w:fldChar w:fldCharType="separate"/>
          </w:r>
          <w:r>
            <w:rPr>
              <w:rStyle w:val="17"/>
              <w:rFonts w:ascii="Times New Roman"/>
            </w:rPr>
            <w:t xml:space="preserve">6.1  </w:t>
          </w:r>
          <w:r>
            <w:rPr>
              <w:rStyle w:val="17"/>
              <w:rFonts w:hint="eastAsia" w:ascii="Times New Roman"/>
            </w:rPr>
            <w:t>一般规定</w:t>
          </w:r>
          <w:r>
            <w:tab/>
          </w:r>
          <w:r>
            <w:fldChar w:fldCharType="begin"/>
          </w:r>
          <w:r>
            <w:instrText xml:space="preserve"> PAGEREF _Toc106212269 \h </w:instrText>
          </w:r>
          <w:r>
            <w:fldChar w:fldCharType="separate"/>
          </w:r>
          <w:r>
            <w:t>6</w:t>
          </w:r>
          <w:r>
            <w:fldChar w:fldCharType="end"/>
          </w:r>
          <w:r>
            <w:fldChar w:fldCharType="end"/>
          </w:r>
        </w:p>
        <w:p>
          <w:pPr>
            <w:pStyle w:val="14"/>
            <w:tabs>
              <w:tab w:val="right" w:leader="dot" w:pos="8296"/>
            </w:tabs>
            <w:ind w:firstLine="420"/>
            <w:rPr>
              <w:rFonts w:asciiTheme="minorHAnsi" w:hAnsiTheme="minorHAnsi" w:eastAsiaTheme="minorEastAsia" w:cstheme="minorBidi"/>
              <w:szCs w:val="22"/>
            </w:rPr>
          </w:pPr>
          <w:r>
            <w:fldChar w:fldCharType="begin"/>
          </w:r>
          <w:r>
            <w:instrText xml:space="preserve"> HYPERLINK \l "_Toc106212270" </w:instrText>
          </w:r>
          <w:r>
            <w:fldChar w:fldCharType="separate"/>
          </w:r>
          <w:r>
            <w:rPr>
              <w:rStyle w:val="17"/>
            </w:rPr>
            <w:t>6.2</w:t>
          </w:r>
          <w:r>
            <w:rPr>
              <w:rStyle w:val="17"/>
              <w:rFonts w:hint="eastAsia" w:ascii="Times New Roman"/>
            </w:rPr>
            <w:t xml:space="preserve"> 主控项目</w:t>
          </w:r>
          <w:r>
            <w:tab/>
          </w:r>
          <w:r>
            <w:fldChar w:fldCharType="begin"/>
          </w:r>
          <w:r>
            <w:instrText xml:space="preserve"> PAGEREF _Toc106212270 \h </w:instrText>
          </w:r>
          <w:r>
            <w:fldChar w:fldCharType="separate"/>
          </w:r>
          <w:r>
            <w:t>6</w:t>
          </w:r>
          <w:r>
            <w:fldChar w:fldCharType="end"/>
          </w:r>
          <w:r>
            <w:fldChar w:fldCharType="end"/>
          </w:r>
        </w:p>
        <w:p>
          <w:pPr>
            <w:pStyle w:val="14"/>
            <w:tabs>
              <w:tab w:val="right" w:leader="dot" w:pos="8296"/>
            </w:tabs>
            <w:ind w:firstLine="420"/>
            <w:rPr>
              <w:rFonts w:asciiTheme="minorHAnsi" w:hAnsiTheme="minorHAnsi" w:eastAsiaTheme="minorEastAsia" w:cstheme="minorBidi"/>
              <w:szCs w:val="22"/>
            </w:rPr>
          </w:pPr>
          <w:r>
            <w:fldChar w:fldCharType="begin"/>
          </w:r>
          <w:r>
            <w:instrText xml:space="preserve"> HYPERLINK \l "_Toc106212271" </w:instrText>
          </w:r>
          <w:r>
            <w:fldChar w:fldCharType="separate"/>
          </w:r>
          <w:r>
            <w:rPr>
              <w:rStyle w:val="17"/>
            </w:rPr>
            <w:t>6.3</w:t>
          </w:r>
          <w:r>
            <w:rPr>
              <w:rStyle w:val="17"/>
              <w:rFonts w:hint="eastAsia" w:ascii="Times New Roman"/>
            </w:rPr>
            <w:t xml:space="preserve"> 一般项目</w:t>
          </w:r>
          <w:r>
            <w:tab/>
          </w:r>
          <w:r>
            <w:fldChar w:fldCharType="begin"/>
          </w:r>
          <w:r>
            <w:instrText xml:space="preserve"> PAGEREF _Toc106212271 \h </w:instrText>
          </w:r>
          <w:r>
            <w:fldChar w:fldCharType="separate"/>
          </w:r>
          <w:r>
            <w:t>7</w:t>
          </w:r>
          <w:r>
            <w:fldChar w:fldCharType="end"/>
          </w:r>
          <w:r>
            <w:fldChar w:fldCharType="end"/>
          </w:r>
        </w:p>
        <w:p>
          <w:pPr>
            <w:pStyle w:val="14"/>
            <w:tabs>
              <w:tab w:val="right" w:leader="dot" w:pos="8296"/>
            </w:tabs>
            <w:ind w:firstLine="420"/>
            <w:rPr>
              <w:rFonts w:asciiTheme="minorHAnsi" w:hAnsiTheme="minorHAnsi" w:eastAsiaTheme="minorEastAsia" w:cstheme="minorBidi"/>
              <w:szCs w:val="22"/>
            </w:rPr>
          </w:pPr>
          <w:r>
            <w:fldChar w:fldCharType="begin"/>
          </w:r>
          <w:r>
            <w:instrText xml:space="preserve"> HYPERLINK \l "_Toc106212272" </w:instrText>
          </w:r>
          <w:r>
            <w:fldChar w:fldCharType="separate"/>
          </w:r>
          <w:r>
            <w:rPr>
              <w:rStyle w:val="17"/>
            </w:rPr>
            <w:t>7</w:t>
          </w:r>
          <w:r>
            <w:rPr>
              <w:rStyle w:val="17"/>
              <w:rFonts w:hint="eastAsia" w:ascii="Times New Roman"/>
            </w:rPr>
            <w:t xml:space="preserve"> 运行维护</w:t>
          </w:r>
          <w:r>
            <w:tab/>
          </w:r>
          <w:r>
            <w:fldChar w:fldCharType="begin"/>
          </w:r>
          <w:r>
            <w:instrText xml:space="preserve"> PAGEREF _Toc106212272 \h </w:instrText>
          </w:r>
          <w:r>
            <w:fldChar w:fldCharType="separate"/>
          </w:r>
          <w:r>
            <w:t>7</w:t>
          </w:r>
          <w:r>
            <w:fldChar w:fldCharType="end"/>
          </w:r>
          <w:r>
            <w:fldChar w:fldCharType="end"/>
          </w:r>
        </w:p>
        <w:p>
          <w:pPr>
            <w:pStyle w:val="14"/>
            <w:tabs>
              <w:tab w:val="right" w:leader="dot" w:pos="8296"/>
            </w:tabs>
            <w:ind w:firstLine="420"/>
            <w:rPr>
              <w:rFonts w:asciiTheme="minorHAnsi" w:hAnsiTheme="minorHAnsi" w:eastAsiaTheme="minorEastAsia" w:cstheme="minorBidi"/>
              <w:szCs w:val="22"/>
            </w:rPr>
          </w:pPr>
          <w:r>
            <w:fldChar w:fldCharType="begin"/>
          </w:r>
          <w:r>
            <w:instrText xml:space="preserve"> HYPERLINK \l "_Toc106212273" </w:instrText>
          </w:r>
          <w:r>
            <w:fldChar w:fldCharType="separate"/>
          </w:r>
          <w:r>
            <w:rPr>
              <w:rStyle w:val="17"/>
            </w:rPr>
            <w:t>7.1</w:t>
          </w:r>
          <w:r>
            <w:rPr>
              <w:rStyle w:val="17"/>
              <w:rFonts w:hint="eastAsia" w:ascii="Times New Roman"/>
            </w:rPr>
            <w:t xml:space="preserve"> 一般规定</w:t>
          </w:r>
          <w:r>
            <w:tab/>
          </w:r>
          <w:r>
            <w:fldChar w:fldCharType="begin"/>
          </w:r>
          <w:r>
            <w:instrText xml:space="preserve"> PAGEREF _Toc106212273 \h </w:instrText>
          </w:r>
          <w:r>
            <w:fldChar w:fldCharType="separate"/>
          </w:r>
          <w:r>
            <w:t>7</w:t>
          </w:r>
          <w:r>
            <w:fldChar w:fldCharType="end"/>
          </w:r>
          <w:r>
            <w:fldChar w:fldCharType="end"/>
          </w:r>
        </w:p>
        <w:p>
          <w:pPr>
            <w:pStyle w:val="14"/>
            <w:tabs>
              <w:tab w:val="right" w:leader="dot" w:pos="8296"/>
            </w:tabs>
            <w:ind w:firstLine="420"/>
            <w:rPr>
              <w:rFonts w:asciiTheme="minorHAnsi" w:hAnsiTheme="minorHAnsi" w:eastAsiaTheme="minorEastAsia" w:cstheme="minorBidi"/>
              <w:szCs w:val="22"/>
            </w:rPr>
          </w:pPr>
          <w:r>
            <w:fldChar w:fldCharType="begin"/>
          </w:r>
          <w:r>
            <w:instrText xml:space="preserve"> HYPERLINK \l "_Toc106212274" </w:instrText>
          </w:r>
          <w:r>
            <w:fldChar w:fldCharType="separate"/>
          </w:r>
          <w:r>
            <w:rPr>
              <w:rStyle w:val="17"/>
            </w:rPr>
            <w:t>7.2</w:t>
          </w:r>
          <w:r>
            <w:rPr>
              <w:rStyle w:val="17"/>
              <w:rFonts w:hint="eastAsia" w:ascii="Times New Roman"/>
            </w:rPr>
            <w:t xml:space="preserve"> 维护要点</w:t>
          </w:r>
          <w:r>
            <w:tab/>
          </w:r>
          <w:r>
            <w:fldChar w:fldCharType="begin"/>
          </w:r>
          <w:r>
            <w:instrText xml:space="preserve"> PAGEREF _Toc106212274 \h </w:instrText>
          </w:r>
          <w:r>
            <w:fldChar w:fldCharType="separate"/>
          </w:r>
          <w:r>
            <w:t>7</w:t>
          </w:r>
          <w:r>
            <w:fldChar w:fldCharType="end"/>
          </w:r>
          <w:r>
            <w:fldChar w:fldCharType="end"/>
          </w:r>
        </w:p>
        <w:p>
          <w:pPr>
            <w:pStyle w:val="12"/>
            <w:tabs>
              <w:tab w:val="right" w:leader="dot" w:pos="9344"/>
            </w:tabs>
            <w:snapToGrid/>
            <w:spacing w:line="400" w:lineRule="exact"/>
            <w:ind w:firstLine="0" w:firstLineChars="0"/>
            <w:rPr>
              <w:rFonts w:ascii="Times New Roman" w:hAnsi="Times New Roman" w:eastAsiaTheme="minorEastAsia" w:cstheme="minorBidi"/>
              <w:szCs w:val="22"/>
            </w:rPr>
          </w:pPr>
          <w:r>
            <w:rPr>
              <w:rFonts w:ascii="Times New Roman" w:hAnsi="Times New Roman"/>
              <w:lang w:val="zh-CN"/>
            </w:rPr>
            <w:fldChar w:fldCharType="end"/>
          </w:r>
        </w:p>
      </w:sdtContent>
    </w:sdt>
    <w:p>
      <w:pPr>
        <w:ind w:firstLine="420"/>
        <w:rPr>
          <w:rFonts w:ascii="Times New Roman" w:hAnsi="Times New Roman"/>
        </w:rPr>
      </w:pPr>
      <w:r>
        <w:rPr>
          <w:rFonts w:ascii="Times New Roman" w:hAnsi="Times New Roman"/>
        </w:rPr>
        <w:fldChar w:fldCharType="end"/>
      </w:r>
    </w:p>
    <w:bookmarkEnd w:id="14"/>
    <w:p>
      <w:pPr>
        <w:ind w:firstLine="420"/>
        <w:rPr>
          <w:rFonts w:ascii="Times New Roman" w:hAnsi="Times New Roman"/>
        </w:rPr>
      </w:pPr>
      <w:r>
        <w:rPr>
          <w:rFonts w:hint="eastAsia" w:ascii="Times New Roman" w:hAnsi="Times New Roman"/>
        </w:rPr>
        <w:br w:type="page"/>
      </w:r>
    </w:p>
    <w:p>
      <w:pPr>
        <w:pStyle w:val="53"/>
        <w:tabs>
          <w:tab w:val="left" w:pos="1105"/>
          <w:tab w:val="center" w:pos="4677"/>
        </w:tabs>
        <w:rPr>
          <w:rFonts w:ascii="Times New Roman"/>
        </w:rPr>
      </w:pPr>
      <w:bookmarkStart w:id="15" w:name="_Toc106212262"/>
      <w:r>
        <w:rPr>
          <w:rFonts w:hint="eastAsia" w:ascii="Times New Roman"/>
        </w:rPr>
        <w:t>前</w:t>
      </w:r>
      <w:bookmarkStart w:id="16" w:name="BKQY"/>
      <w:r>
        <w:rPr>
          <w:rFonts w:ascii="Times New Roman"/>
        </w:rPr>
        <w:t>  </w:t>
      </w:r>
      <w:r>
        <w:rPr>
          <w:rFonts w:hint="eastAsia" w:ascii="Times New Roman"/>
        </w:rPr>
        <w:t>言</w:t>
      </w:r>
      <w:bookmarkEnd w:id="15"/>
      <w:bookmarkEnd w:id="16"/>
    </w:p>
    <w:p>
      <w:pPr>
        <w:pStyle w:val="28"/>
        <w:rPr>
          <w:rFonts w:ascii="Times New Roman"/>
        </w:rPr>
      </w:pPr>
      <w:r>
        <w:rPr>
          <w:rFonts w:hint="eastAsia"/>
        </w:rPr>
        <w:t>本</w:t>
      </w:r>
      <w:r>
        <w:t>文件按照</w:t>
      </w:r>
      <w:r>
        <w:rPr>
          <w:rFonts w:hint="eastAsia"/>
        </w:rPr>
        <w:t>GB/T 1.1—2020《标准化</w:t>
      </w:r>
      <w:r>
        <w:t>工作导则</w:t>
      </w:r>
      <w:r>
        <w:rPr>
          <w:rFonts w:hint="eastAsia"/>
        </w:rPr>
        <w:t xml:space="preserve"> 第1部分</w:t>
      </w:r>
      <w:r>
        <w:t>：标准化文件的结构和起草规则</w:t>
      </w:r>
      <w:r>
        <w:rPr>
          <w:rFonts w:hint="eastAsia"/>
        </w:rPr>
        <w:t>》的</w:t>
      </w:r>
      <w:r>
        <w:t>规定起草。</w:t>
      </w:r>
    </w:p>
    <w:p>
      <w:pPr>
        <w:pStyle w:val="28"/>
        <w:rPr>
          <w:rFonts w:ascii="Times New Roman"/>
        </w:rPr>
      </w:pPr>
      <w:r>
        <w:rPr>
          <w:rFonts w:hint="eastAsia" w:ascii="Times New Roman"/>
        </w:rPr>
        <w:t>本</w:t>
      </w:r>
      <w:r>
        <w:t>文件</w:t>
      </w:r>
      <w:r>
        <w:rPr>
          <w:rFonts w:hint="eastAsia" w:ascii="Times New Roman"/>
        </w:rPr>
        <w:t>由北京市水务局提出并归口。</w:t>
      </w:r>
      <w:bookmarkStart w:id="153" w:name="_GoBack"/>
      <w:bookmarkEnd w:id="153"/>
    </w:p>
    <w:p>
      <w:pPr>
        <w:pStyle w:val="28"/>
        <w:rPr>
          <w:rFonts w:ascii="Times New Roman"/>
        </w:rPr>
      </w:pPr>
      <w:r>
        <w:rPr>
          <w:rFonts w:hint="eastAsia" w:ascii="Times New Roman"/>
        </w:rPr>
        <w:t>本</w:t>
      </w:r>
      <w:r>
        <w:t>文件</w:t>
      </w:r>
      <w:r>
        <w:rPr>
          <w:rFonts w:hint="eastAsia" w:ascii="Times New Roman"/>
        </w:rPr>
        <w:t>由北京市水务局组织实施。</w:t>
      </w:r>
    </w:p>
    <w:p>
      <w:pPr>
        <w:pStyle w:val="28"/>
        <w:rPr>
          <w:rFonts w:ascii="Times New Roman"/>
        </w:rPr>
      </w:pPr>
      <w:r>
        <w:rPr>
          <w:rFonts w:hint="eastAsia" w:ascii="Times New Roman"/>
        </w:rPr>
        <w:t>本</w:t>
      </w:r>
      <w:r>
        <w:t>文件</w:t>
      </w:r>
      <w:r>
        <w:rPr>
          <w:rFonts w:hint="eastAsia" w:ascii="Times New Roman"/>
        </w:rPr>
        <w:t>起草单位：北京市水科学技术研究院</w:t>
      </w:r>
    </w:p>
    <w:p>
      <w:pPr>
        <w:pStyle w:val="28"/>
        <w:rPr>
          <w:rFonts w:ascii="Times New Roman"/>
        </w:rPr>
        <w:sectPr>
          <w:headerReference r:id="rId9" w:type="default"/>
          <w:footerReference r:id="rId10" w:type="default"/>
          <w:pgSz w:w="11906" w:h="16838"/>
          <w:pgMar w:top="1440" w:right="1800" w:bottom="1440" w:left="1800" w:header="851" w:footer="992" w:gutter="0"/>
          <w:pgNumType w:fmt="upperRoman" w:start="1"/>
          <w:cols w:space="720" w:num="1"/>
          <w:docGrid w:type="lines" w:linePitch="312" w:charSpace="0"/>
        </w:sectPr>
      </w:pPr>
      <w:r>
        <w:rPr>
          <w:rFonts w:hint="eastAsia" w:ascii="Times New Roman"/>
        </w:rPr>
        <w:t>本</w:t>
      </w:r>
      <w:r>
        <w:t>文件</w:t>
      </w:r>
      <w:r>
        <w:rPr>
          <w:rFonts w:hint="eastAsia" w:ascii="Times New Roman"/>
        </w:rPr>
        <w:t>主要起草人：</w:t>
      </w:r>
    </w:p>
    <w:p>
      <w:pPr>
        <w:ind w:firstLine="420"/>
        <w:rPr>
          <w:rFonts w:ascii="Times New Roman" w:hAnsi="Times New Roman"/>
        </w:rPr>
      </w:pPr>
    </w:p>
    <w:p>
      <w:pPr>
        <w:pStyle w:val="67"/>
        <w:spacing w:before="3" w:beforeLines="1" w:after="686" w:afterLines="220"/>
        <w:rPr>
          <w:rFonts w:ascii="Times New Roman" w:hAnsi="Times New Roman"/>
        </w:rPr>
      </w:pPr>
      <w:bookmarkStart w:id="17" w:name="_Toc488936054"/>
      <w:bookmarkStart w:id="18" w:name="_Toc527288051"/>
      <w:bookmarkStart w:id="19" w:name="_Toc488930743"/>
      <w:bookmarkStart w:id="20" w:name="_Toc527288050"/>
      <w:sdt>
        <w:sdtPr>
          <w:rPr>
            <w:rFonts w:ascii="Times New Roman" w:hAnsi="Times New Roman"/>
          </w:rPr>
          <w:alias w:val="标准名称"/>
          <w:tag w:val="标准名称"/>
          <w:id w:val="1795105741"/>
          <w:placeholder>
            <w:docPart w:val="8C0268DD9530476D9AD36700D744D22E"/>
          </w:placeholder>
          <w:text w:multiLine="1"/>
        </w:sdtPr>
        <w:sdtEndPr>
          <w:rPr>
            <w:rFonts w:ascii="Times New Roman" w:hAnsi="Times New Roman"/>
          </w:rPr>
        </w:sdtEndPr>
        <w:sdtContent>
          <w:r>
            <w:rPr>
              <w:rFonts w:hint="eastAsia" w:ascii="Times New Roman" w:hAnsi="Times New Roman"/>
            </w:rPr>
            <w:t>透水砖路面施工与验收规范</w:t>
          </w:r>
        </w:sdtContent>
      </w:sdt>
      <w:bookmarkStart w:id="21" w:name="StandardName"/>
      <w:bookmarkEnd w:id="21"/>
    </w:p>
    <w:p>
      <w:pPr>
        <w:pStyle w:val="49"/>
        <w:numPr>
          <w:ilvl w:val="0"/>
          <w:numId w:val="2"/>
        </w:numPr>
        <w:spacing w:before="312" w:after="312"/>
        <w:rPr>
          <w:rFonts w:ascii="Times New Roman"/>
        </w:rPr>
      </w:pPr>
      <w:bookmarkStart w:id="22" w:name="_Toc106212263"/>
      <w:bookmarkStart w:id="23" w:name="_Toc17878127"/>
      <w:r>
        <w:rPr>
          <w:rFonts w:hint="eastAsia" w:ascii="Times New Roman"/>
        </w:rPr>
        <w:t>范围</w:t>
      </w:r>
      <w:bookmarkEnd w:id="22"/>
      <w:bookmarkEnd w:id="23"/>
    </w:p>
    <w:p>
      <w:pPr>
        <w:pStyle w:val="28"/>
        <w:rPr>
          <w:rFonts w:ascii="Times New Roman"/>
        </w:rPr>
      </w:pPr>
      <w:r>
        <w:rPr>
          <w:rFonts w:hint="eastAsia" w:ascii="Times New Roman"/>
        </w:rPr>
        <w:t>本文件规定了透水砖路面施工的技术要求、检验规则、施工质量验收要求及运行维护要求等。</w:t>
      </w:r>
    </w:p>
    <w:p>
      <w:pPr>
        <w:pStyle w:val="28"/>
        <w:rPr>
          <w:rFonts w:ascii="Times New Roman"/>
        </w:rPr>
      </w:pPr>
      <w:r>
        <w:rPr>
          <w:rFonts w:hint="eastAsia" w:ascii="Times New Roman"/>
        </w:rPr>
        <w:t>本文件适用于新建、改建的透水砖路面，广场、庭院等透水性硬化地面施工、验收与运行维护。</w:t>
      </w:r>
    </w:p>
    <w:p>
      <w:pPr>
        <w:pStyle w:val="49"/>
        <w:numPr>
          <w:ilvl w:val="0"/>
          <w:numId w:val="2"/>
        </w:numPr>
        <w:spacing w:before="312" w:after="312"/>
        <w:rPr>
          <w:rFonts w:ascii="Times New Roman"/>
        </w:rPr>
      </w:pPr>
      <w:bookmarkStart w:id="24" w:name="_Toc106212264"/>
      <w:bookmarkStart w:id="25" w:name="_Toc17878128"/>
      <w:bookmarkStart w:id="26" w:name="_Toc1797031534_WPSOffice_Level1"/>
      <w:bookmarkStart w:id="27" w:name="_Toc725590844_WPSOffice_Level1"/>
      <w:r>
        <w:rPr>
          <w:rFonts w:hint="eastAsia" w:ascii="Times New Roman"/>
        </w:rPr>
        <w:t>规范性引用文件</w:t>
      </w:r>
      <w:bookmarkEnd w:id="24"/>
      <w:bookmarkEnd w:id="25"/>
    </w:p>
    <w:bookmarkEnd w:id="17"/>
    <w:bookmarkEnd w:id="18"/>
    <w:bookmarkEnd w:id="19"/>
    <w:bookmarkEnd w:id="26"/>
    <w:bookmarkEnd w:id="27"/>
    <w:p>
      <w:pPr>
        <w:pStyle w:val="28"/>
        <w:rPr>
          <w:rFonts w:ascii="Times New Roman"/>
        </w:rPr>
      </w:pPr>
      <w:r>
        <w:rPr>
          <w:rFonts w:hint="eastAsia"/>
        </w:rPr>
        <w:t>下列</w:t>
      </w:r>
      <w:r>
        <w:t>文件中的内容通过文中的规范性引用而构成本文件必不可少的条款。其中</w:t>
      </w:r>
      <w:r>
        <w:rPr>
          <w:rFonts w:hint="eastAsia"/>
        </w:rPr>
        <w:t>，</w:t>
      </w:r>
      <w:r>
        <w:t>注日期的引用文件，仅该日期对应的版本适用于本文件；不注日期的引用文件，</w:t>
      </w:r>
      <w:r>
        <w:rPr>
          <w:rFonts w:hint="eastAsia"/>
        </w:rPr>
        <w:t>其</w:t>
      </w:r>
      <w:r>
        <w:t>最新版本（</w:t>
      </w:r>
      <w:r>
        <w:rPr>
          <w:rFonts w:hint="eastAsia"/>
        </w:rPr>
        <w:t>包括</w:t>
      </w:r>
      <w:r>
        <w:t>所有的修改</w:t>
      </w:r>
      <w:r>
        <w:rPr>
          <w:rFonts w:hint="eastAsia"/>
        </w:rPr>
        <w:t>单</w:t>
      </w:r>
      <w:r>
        <w:t>）</w:t>
      </w:r>
      <w:r>
        <w:rPr>
          <w:rFonts w:hint="eastAsia"/>
        </w:rPr>
        <w:t>适用于</w:t>
      </w:r>
      <w:r>
        <w:t>本文件。</w:t>
      </w:r>
    </w:p>
    <w:p>
      <w:pPr>
        <w:ind w:firstLine="420"/>
        <w:rPr>
          <w:rFonts w:ascii="Times New Roman" w:hAnsi="Times New Roman"/>
        </w:rPr>
      </w:pPr>
      <w:r>
        <w:rPr>
          <w:rFonts w:hint="eastAsia" w:ascii="Times New Roman" w:hAnsi="Times New Roman"/>
        </w:rPr>
        <w:t>GB 50400  建筑与小区雨水控制及利用工程技术规范</w:t>
      </w:r>
    </w:p>
    <w:p>
      <w:pPr>
        <w:ind w:firstLine="420"/>
        <w:rPr>
          <w:rFonts w:ascii="Times New Roman" w:hAnsi="Times New Roman"/>
        </w:rPr>
      </w:pPr>
      <w:r>
        <w:rPr>
          <w:rFonts w:hint="eastAsia" w:ascii="Times New Roman" w:hAnsi="Times New Roman"/>
        </w:rPr>
        <w:t>GBT 25993  透水路面砖和透水路面板</w:t>
      </w:r>
    </w:p>
    <w:p>
      <w:pPr>
        <w:ind w:firstLine="420"/>
        <w:rPr>
          <w:rFonts w:ascii="Times New Roman" w:hAnsi="Times New Roman"/>
        </w:rPr>
      </w:pPr>
      <w:r>
        <w:rPr>
          <w:rFonts w:hint="eastAsia" w:ascii="Times New Roman" w:hAnsi="Times New Roman"/>
        </w:rPr>
        <w:t>GB 28635  混凝土路面砖</w:t>
      </w:r>
    </w:p>
    <w:p>
      <w:pPr>
        <w:ind w:firstLine="420"/>
        <w:rPr>
          <w:rFonts w:ascii="Times New Roman" w:hAnsi="Times New Roman"/>
        </w:rPr>
      </w:pPr>
      <w:r>
        <w:rPr>
          <w:rFonts w:hint="eastAsia" w:ascii="Times New Roman" w:hAnsi="Times New Roman"/>
        </w:rPr>
        <w:t>CJJT 188  透水砖路面技术规程</w:t>
      </w:r>
    </w:p>
    <w:p>
      <w:pPr>
        <w:ind w:firstLine="420"/>
        <w:rPr>
          <w:rFonts w:ascii="Times New Roman" w:hAnsi="Times New Roman"/>
        </w:rPr>
      </w:pPr>
      <w:r>
        <w:rPr>
          <w:rFonts w:hint="eastAsia" w:ascii="Times New Roman" w:hAnsi="Times New Roman"/>
        </w:rPr>
        <w:t>CJJT 135  透水水泥混凝土路面技术规程</w:t>
      </w:r>
    </w:p>
    <w:p>
      <w:pPr>
        <w:ind w:firstLine="420"/>
        <w:rPr>
          <w:rFonts w:ascii="Times New Roman" w:hAnsi="Times New Roman"/>
        </w:rPr>
      </w:pPr>
      <w:r>
        <w:rPr>
          <w:rFonts w:hint="eastAsia" w:ascii="Times New Roman" w:hAnsi="Times New Roman"/>
        </w:rPr>
        <w:t>CJJ 36  城镇道路养护技术规范</w:t>
      </w:r>
    </w:p>
    <w:p>
      <w:pPr>
        <w:ind w:firstLine="420"/>
        <w:rPr>
          <w:rFonts w:ascii="Times New Roman" w:hAnsi="Times New Roman"/>
        </w:rPr>
      </w:pPr>
      <w:r>
        <w:rPr>
          <w:rFonts w:hint="eastAsia" w:ascii="Times New Roman" w:hAnsi="Times New Roman"/>
        </w:rPr>
        <w:t>JGJ 63  混凝土用水标准</w:t>
      </w:r>
    </w:p>
    <w:p>
      <w:pPr>
        <w:ind w:firstLine="420"/>
        <w:rPr>
          <w:rFonts w:ascii="Times New Roman" w:hAnsi="Times New Roman"/>
        </w:rPr>
      </w:pPr>
      <w:r>
        <w:rPr>
          <w:rFonts w:hint="eastAsia" w:ascii="Times New Roman" w:hAnsi="Times New Roman"/>
        </w:rPr>
        <w:t>DB11/T 775-2010  透水混凝土路面技术规程</w:t>
      </w:r>
    </w:p>
    <w:p>
      <w:pPr>
        <w:ind w:firstLine="420"/>
        <w:rPr>
          <w:rFonts w:ascii="Times New Roman" w:hAnsi="Times New Roman"/>
        </w:rPr>
      </w:pPr>
      <w:r>
        <w:rPr>
          <w:rFonts w:hint="eastAsia" w:ascii="Times New Roman" w:hAnsi="Times New Roman"/>
        </w:rPr>
        <w:t>DB11/T 1073  城镇道路工程施工质量检验标准</w:t>
      </w:r>
    </w:p>
    <w:p>
      <w:pPr>
        <w:ind w:firstLine="420"/>
        <w:rPr>
          <w:rFonts w:ascii="Times New Roman" w:hAnsi="Times New Roman"/>
        </w:rPr>
      </w:pPr>
      <w:r>
        <w:rPr>
          <w:rFonts w:hint="eastAsia" w:ascii="Times New Roman" w:hAnsi="Times New Roman"/>
        </w:rPr>
        <w:t>DBJ01-45  北京市城市道路工程施工技术规程</w:t>
      </w:r>
    </w:p>
    <w:p>
      <w:pPr>
        <w:ind w:firstLine="420"/>
        <w:rPr>
          <w:rFonts w:ascii="Times New Roman"/>
        </w:rPr>
      </w:pPr>
      <w:r>
        <w:rPr>
          <w:rFonts w:hint="eastAsia" w:ascii="Times New Roman" w:hAnsi="Times New Roman"/>
        </w:rPr>
        <w:t>DB11/ 685  海绵城市雨水控制与利用工程设计规范</w:t>
      </w:r>
    </w:p>
    <w:p>
      <w:pPr>
        <w:pStyle w:val="49"/>
        <w:numPr>
          <w:ilvl w:val="0"/>
          <w:numId w:val="2"/>
        </w:numPr>
        <w:spacing w:before="312" w:after="312"/>
        <w:rPr>
          <w:rFonts w:ascii="Times New Roman"/>
        </w:rPr>
      </w:pPr>
      <w:bookmarkStart w:id="28" w:name="_Toc470611185"/>
      <w:bookmarkEnd w:id="28"/>
      <w:bookmarkStart w:id="29" w:name="_Toc470614912"/>
      <w:bookmarkStart w:id="30" w:name="_Toc470614997"/>
      <w:bookmarkStart w:id="31" w:name="_Toc488936055"/>
      <w:bookmarkStart w:id="32" w:name="_Toc1592304861_WPSOffice_Level1"/>
      <w:bookmarkStart w:id="33" w:name="_Toc488930744"/>
      <w:bookmarkStart w:id="34" w:name="_Toc527288052"/>
      <w:bookmarkStart w:id="35" w:name="_Toc470611595"/>
      <w:bookmarkStart w:id="36" w:name="_Toc470614220"/>
      <w:bookmarkStart w:id="37" w:name="_Toc470611820"/>
      <w:bookmarkStart w:id="38" w:name="_Toc470611221"/>
      <w:bookmarkStart w:id="39" w:name="_Toc106212265"/>
      <w:bookmarkStart w:id="40" w:name="_Toc494554347_WPSOffice_Level1"/>
      <w:r>
        <w:rPr>
          <w:rFonts w:hint="eastAsia" w:ascii="Times New Roman"/>
        </w:rPr>
        <w:t>术语</w:t>
      </w:r>
      <w:bookmarkEnd w:id="29"/>
      <w:bookmarkEnd w:id="30"/>
      <w:bookmarkEnd w:id="31"/>
      <w:bookmarkEnd w:id="32"/>
      <w:bookmarkEnd w:id="33"/>
      <w:bookmarkEnd w:id="34"/>
      <w:bookmarkEnd w:id="35"/>
      <w:bookmarkEnd w:id="36"/>
      <w:bookmarkEnd w:id="37"/>
      <w:bookmarkEnd w:id="38"/>
      <w:r>
        <w:rPr>
          <w:rFonts w:hint="eastAsia" w:ascii="Times New Roman"/>
        </w:rPr>
        <w:t>和定义</w:t>
      </w:r>
      <w:bookmarkEnd w:id="39"/>
      <w:bookmarkEnd w:id="40"/>
    </w:p>
    <w:p>
      <w:pPr>
        <w:pStyle w:val="28"/>
        <w:rPr>
          <w:rFonts w:hint="eastAsia"/>
        </w:rPr>
      </w:pPr>
      <w:r>
        <w:rPr>
          <w:rFonts w:hint="eastAsia"/>
        </w:rPr>
        <w:t>下列</w:t>
      </w:r>
      <w:r>
        <w:t>术语和定义适用于本文件。</w:t>
      </w:r>
    </w:p>
    <w:p>
      <w:pPr>
        <w:pStyle w:val="68"/>
        <w:numPr>
          <w:ilvl w:val="1"/>
          <w:numId w:val="0"/>
        </w:numPr>
        <w:ind w:left="420" w:hanging="420" w:hangingChars="200"/>
        <w:rPr>
          <w:rFonts w:ascii="Times New Roman"/>
        </w:rPr>
      </w:pPr>
      <w:bookmarkStart w:id="41" w:name="_Toc87209340"/>
      <w:r>
        <w:rPr>
          <w:rFonts w:ascii="Times New Roman" w:eastAsia="黑体"/>
        </w:rPr>
        <w:t>3.1</w:t>
      </w:r>
      <w:bookmarkEnd w:id="41"/>
      <w:r>
        <w:rPr>
          <w:rFonts w:ascii="Times New Roman" w:eastAsia="黑体"/>
        </w:rPr>
        <w:t xml:space="preserve"> </w:t>
      </w:r>
      <w:bookmarkStart w:id="42" w:name="_Hlk86572462"/>
    </w:p>
    <w:bookmarkEnd w:id="42"/>
    <w:p>
      <w:pPr>
        <w:pStyle w:val="28"/>
        <w:numPr>
          <w:ilvl w:val="1"/>
          <w:numId w:val="0"/>
        </w:numPr>
        <w:ind w:firstLine="420" w:firstLineChars="200"/>
        <w:rPr>
          <w:rFonts w:ascii="Times New Roman"/>
        </w:rPr>
      </w:pPr>
      <w:r>
        <w:rPr>
          <w:rFonts w:hint="eastAsia" w:ascii="Times New Roman" w:eastAsia="黑体"/>
        </w:rPr>
        <w:t>透水性能 permeability performance</w:t>
      </w:r>
      <w:r>
        <w:rPr>
          <w:rFonts w:ascii="Times New Roman" w:eastAsia="黑体"/>
        </w:rPr>
        <w:t xml:space="preserve"> </w:t>
      </w:r>
    </w:p>
    <w:p>
      <w:pPr>
        <w:ind w:firstLine="420"/>
        <w:rPr>
          <w:rFonts w:ascii="Times New Roman" w:hAnsi="Times New Roman"/>
        </w:rPr>
      </w:pPr>
      <w:r>
        <w:rPr>
          <w:rFonts w:hint="eastAsia" w:ascii="Times New Roman" w:hAnsi="Times New Roman"/>
        </w:rPr>
        <w:t>评价透水砖路面透水能力的指标。</w:t>
      </w:r>
    </w:p>
    <w:p>
      <w:pPr>
        <w:pStyle w:val="68"/>
        <w:numPr>
          <w:ilvl w:val="1"/>
          <w:numId w:val="0"/>
        </w:numPr>
        <w:ind w:left="420" w:hanging="420" w:hangingChars="200"/>
        <w:rPr>
          <w:rFonts w:ascii="Times New Roman" w:eastAsia="黑体"/>
        </w:rPr>
      </w:pPr>
      <w:r>
        <w:rPr>
          <w:rFonts w:hint="eastAsia" w:ascii="Times New Roman" w:eastAsia="黑体"/>
        </w:rPr>
        <w:t>3</w:t>
      </w:r>
      <w:r>
        <w:rPr>
          <w:rFonts w:ascii="Times New Roman" w:eastAsia="黑体"/>
        </w:rPr>
        <w:t>.2</w:t>
      </w:r>
    </w:p>
    <w:p>
      <w:pPr>
        <w:pStyle w:val="28"/>
        <w:numPr>
          <w:ilvl w:val="1"/>
          <w:numId w:val="0"/>
        </w:numPr>
        <w:ind w:firstLine="420" w:firstLineChars="200"/>
        <w:rPr>
          <w:rFonts w:ascii="Times New Roman" w:eastAsia="黑体"/>
        </w:rPr>
      </w:pPr>
      <w:r>
        <w:rPr>
          <w:rFonts w:hint="eastAsia" w:ascii="Times New Roman" w:eastAsia="黑体"/>
        </w:rPr>
        <w:t>透水砖 permeable brick</w:t>
      </w:r>
    </w:p>
    <w:p>
      <w:pPr>
        <w:ind w:firstLine="420"/>
        <w:rPr>
          <w:rFonts w:ascii="Times New Roman" w:hAnsi="Times New Roman"/>
        </w:rPr>
      </w:pPr>
      <w:r>
        <w:rPr>
          <w:rFonts w:hint="eastAsia" w:ascii="Times New Roman" w:hAnsi="Times New Roman"/>
        </w:rPr>
        <w:t>以无机非金属材料为主要原料，经成型等工艺处理后制成，具有较大水渗透性能的铺地砖。</w:t>
      </w:r>
    </w:p>
    <w:p>
      <w:pPr>
        <w:pStyle w:val="68"/>
        <w:numPr>
          <w:ilvl w:val="1"/>
          <w:numId w:val="0"/>
        </w:numPr>
        <w:ind w:left="420" w:hanging="420" w:hangingChars="200"/>
        <w:rPr>
          <w:rFonts w:ascii="Times New Roman"/>
        </w:rPr>
      </w:pPr>
      <w:bookmarkStart w:id="43" w:name="_Toc87209341"/>
      <w:r>
        <w:rPr>
          <w:rFonts w:ascii="Times New Roman" w:eastAsia="黑体"/>
        </w:rPr>
        <w:t>3.</w:t>
      </w:r>
      <w:bookmarkEnd w:id="43"/>
      <w:r>
        <w:rPr>
          <w:rFonts w:ascii="Times New Roman" w:eastAsia="黑体"/>
        </w:rPr>
        <w:t xml:space="preserve">3 </w:t>
      </w:r>
    </w:p>
    <w:p>
      <w:pPr>
        <w:pStyle w:val="28"/>
        <w:numPr>
          <w:ilvl w:val="1"/>
          <w:numId w:val="0"/>
        </w:numPr>
        <w:ind w:firstLine="420" w:firstLineChars="200"/>
        <w:rPr>
          <w:rFonts w:ascii="Times New Roman"/>
        </w:rPr>
      </w:pPr>
      <w:r>
        <w:rPr>
          <w:rFonts w:hint="eastAsia" w:ascii="Times New Roman" w:eastAsia="黑体"/>
        </w:rPr>
        <w:t>透水面层 permeable surface course</w:t>
      </w:r>
    </w:p>
    <w:p>
      <w:pPr>
        <w:ind w:firstLine="420"/>
        <w:rPr>
          <w:rFonts w:ascii="Times New Roman" w:hAnsi="Times New Roman"/>
        </w:rPr>
      </w:pPr>
      <w:r>
        <w:rPr>
          <w:rFonts w:hint="eastAsia" w:ascii="Times New Roman" w:hAnsi="Times New Roman"/>
        </w:rPr>
        <w:t>具有透水能力，且直接承受使用荷载及自然因素的影响，并将荷载传递到透水基层的透水砖路面结构层。</w:t>
      </w:r>
    </w:p>
    <w:p>
      <w:pPr>
        <w:pStyle w:val="68"/>
        <w:numPr>
          <w:ilvl w:val="1"/>
          <w:numId w:val="0"/>
        </w:numPr>
        <w:ind w:left="420" w:hanging="420" w:hangingChars="200"/>
        <w:rPr>
          <w:rFonts w:ascii="Times New Roman"/>
        </w:rPr>
      </w:pPr>
      <w:bookmarkStart w:id="44" w:name="_Toc87209342"/>
      <w:r>
        <w:rPr>
          <w:rFonts w:ascii="Times New Roman" w:eastAsia="黑体"/>
        </w:rPr>
        <w:t>3.</w:t>
      </w:r>
      <w:bookmarkEnd w:id="44"/>
      <w:r>
        <w:rPr>
          <w:rFonts w:ascii="Times New Roman" w:eastAsia="黑体"/>
        </w:rPr>
        <w:t xml:space="preserve">4 </w:t>
      </w:r>
    </w:p>
    <w:p>
      <w:pPr>
        <w:pStyle w:val="28"/>
        <w:numPr>
          <w:ilvl w:val="1"/>
          <w:numId w:val="0"/>
        </w:numPr>
        <w:ind w:firstLine="420" w:firstLineChars="200"/>
        <w:rPr>
          <w:rFonts w:ascii="Times New Roman"/>
        </w:rPr>
      </w:pPr>
      <w:r>
        <w:rPr>
          <w:rFonts w:hint="eastAsia" w:ascii="Times New Roman" w:eastAsia="黑体"/>
        </w:rPr>
        <w:t>透水找平层 permeable troweling course</w:t>
      </w:r>
      <w:r>
        <w:rPr>
          <w:rFonts w:ascii="Times New Roman" w:eastAsia="黑体"/>
        </w:rPr>
        <w:t xml:space="preserve">  </w:t>
      </w:r>
    </w:p>
    <w:p>
      <w:pPr>
        <w:ind w:firstLine="420"/>
        <w:rPr>
          <w:rFonts w:ascii="Times New Roman" w:hAnsi="Times New Roman"/>
        </w:rPr>
      </w:pPr>
      <w:r>
        <w:rPr>
          <w:rFonts w:hint="eastAsia" w:ascii="Times New Roman" w:hAnsi="Times New Roman"/>
        </w:rPr>
        <w:t>过渡透水基层和透水面层，实现面层与基层的粘结,且具有一定的透水能力，能够将面层下渗雨水传导到基层的构造层。</w:t>
      </w:r>
    </w:p>
    <w:p>
      <w:pPr>
        <w:pStyle w:val="68"/>
        <w:numPr>
          <w:ilvl w:val="1"/>
          <w:numId w:val="0"/>
        </w:numPr>
        <w:ind w:left="420" w:hanging="420" w:hangingChars="200"/>
        <w:rPr>
          <w:rFonts w:ascii="Times New Roman"/>
        </w:rPr>
      </w:pPr>
      <w:bookmarkStart w:id="45" w:name="_Toc87209343"/>
      <w:r>
        <w:rPr>
          <w:rFonts w:ascii="Times New Roman" w:eastAsia="黑体"/>
        </w:rPr>
        <w:t>3.</w:t>
      </w:r>
      <w:bookmarkEnd w:id="45"/>
      <w:r>
        <w:rPr>
          <w:rFonts w:ascii="Times New Roman" w:eastAsia="黑体"/>
        </w:rPr>
        <w:t>5</w:t>
      </w:r>
    </w:p>
    <w:p>
      <w:pPr>
        <w:pStyle w:val="28"/>
        <w:numPr>
          <w:ilvl w:val="1"/>
          <w:numId w:val="0"/>
        </w:numPr>
        <w:ind w:firstLine="420" w:firstLineChars="200"/>
        <w:rPr>
          <w:rFonts w:ascii="Times New Roman"/>
        </w:rPr>
      </w:pPr>
      <w:r>
        <w:rPr>
          <w:rFonts w:hint="eastAsia" w:ascii="Times New Roman" w:eastAsia="黑体"/>
        </w:rPr>
        <w:t>透水基层 permeable base course</w:t>
      </w:r>
    </w:p>
    <w:p>
      <w:pPr>
        <w:ind w:firstLine="420"/>
        <w:rPr>
          <w:rFonts w:ascii="Times New Roman" w:hAnsi="Times New Roman"/>
        </w:rPr>
      </w:pPr>
      <w:r>
        <w:rPr>
          <w:rFonts w:hint="eastAsia" w:ascii="Times New Roman" w:hAnsi="Times New Roman"/>
        </w:rPr>
        <w:t>设在透水找平层以下的结构层。主要承受由面层传递的荷载，并将荷载分布到透水垫层或土基上，且具有一定透水、贮水能力的结构层。当透水基层分为多层时，其最下面一层称为透水底基层。</w:t>
      </w:r>
    </w:p>
    <w:p>
      <w:pPr>
        <w:pStyle w:val="68"/>
        <w:numPr>
          <w:ilvl w:val="1"/>
          <w:numId w:val="0"/>
        </w:numPr>
        <w:ind w:left="420" w:hanging="420" w:hangingChars="200"/>
        <w:rPr>
          <w:rFonts w:ascii="Times New Roman"/>
        </w:rPr>
      </w:pPr>
      <w:bookmarkStart w:id="46" w:name="_Toc87209344"/>
      <w:r>
        <w:rPr>
          <w:rFonts w:ascii="Times New Roman" w:eastAsia="黑体"/>
        </w:rPr>
        <w:t>3.</w:t>
      </w:r>
      <w:bookmarkEnd w:id="46"/>
      <w:bookmarkStart w:id="47" w:name="_Hlk86573247"/>
      <w:r>
        <w:rPr>
          <w:rFonts w:ascii="Times New Roman" w:eastAsia="黑体"/>
        </w:rPr>
        <w:t>6</w:t>
      </w:r>
    </w:p>
    <w:bookmarkEnd w:id="47"/>
    <w:p>
      <w:pPr>
        <w:pStyle w:val="28"/>
        <w:numPr>
          <w:ilvl w:val="1"/>
          <w:numId w:val="0"/>
        </w:numPr>
        <w:ind w:firstLine="420" w:firstLineChars="200"/>
        <w:rPr>
          <w:rFonts w:ascii="Times New Roman"/>
        </w:rPr>
      </w:pPr>
      <w:r>
        <w:rPr>
          <w:rFonts w:hint="eastAsia" w:ascii="Times New Roman" w:eastAsia="黑体"/>
        </w:rPr>
        <w:t>级配 gradation</w:t>
      </w:r>
      <w:r>
        <w:rPr>
          <w:rFonts w:ascii="Times New Roman" w:eastAsia="黑体"/>
        </w:rPr>
        <w:t xml:space="preserve"> </w:t>
      </w:r>
    </w:p>
    <w:p>
      <w:pPr>
        <w:ind w:firstLine="420"/>
        <w:rPr>
          <w:rFonts w:ascii="Times New Roman" w:hAnsi="Times New Roman"/>
        </w:rPr>
      </w:pPr>
      <w:bookmarkStart w:id="48" w:name="_Hlk86573257"/>
      <w:r>
        <w:rPr>
          <w:rFonts w:hint="eastAsia" w:ascii="Times New Roman" w:hAnsi="Times New Roman"/>
        </w:rPr>
        <w:t>矿料的各种粒径范围颗粒重量的分配比例。按各种粒径范围的连续或中断，分为连续级配和间断级配；按混合料成型后空隙率的大小，分为开级配和密级配。</w:t>
      </w:r>
    </w:p>
    <w:bookmarkEnd w:id="48"/>
    <w:p>
      <w:pPr>
        <w:pStyle w:val="68"/>
        <w:numPr>
          <w:ilvl w:val="1"/>
          <w:numId w:val="0"/>
        </w:numPr>
        <w:ind w:left="420" w:hanging="420" w:hangingChars="200"/>
        <w:rPr>
          <w:rFonts w:ascii="Times New Roman"/>
        </w:rPr>
      </w:pPr>
      <w:bookmarkStart w:id="49" w:name="_Toc87209345"/>
      <w:r>
        <w:rPr>
          <w:rFonts w:ascii="Times New Roman" w:eastAsia="黑体"/>
        </w:rPr>
        <w:t>3.</w:t>
      </w:r>
      <w:bookmarkEnd w:id="49"/>
      <w:r>
        <w:rPr>
          <w:rFonts w:ascii="Times New Roman" w:eastAsia="黑体"/>
        </w:rPr>
        <w:t xml:space="preserve">7 </w:t>
      </w:r>
      <w:bookmarkStart w:id="50" w:name="_Hlk86573272"/>
    </w:p>
    <w:bookmarkEnd w:id="50"/>
    <w:p>
      <w:pPr>
        <w:pStyle w:val="28"/>
        <w:numPr>
          <w:ilvl w:val="1"/>
          <w:numId w:val="0"/>
        </w:numPr>
        <w:ind w:firstLine="420" w:firstLineChars="200"/>
        <w:rPr>
          <w:rFonts w:ascii="Times New Roman"/>
        </w:rPr>
      </w:pPr>
      <w:r>
        <w:rPr>
          <w:rFonts w:hint="eastAsia" w:ascii="Times New Roman" w:eastAsia="黑体"/>
        </w:rPr>
        <w:t>透水系数 permeability coefficient</w:t>
      </w:r>
    </w:p>
    <w:p>
      <w:pPr>
        <w:ind w:firstLine="420"/>
        <w:rPr>
          <w:rFonts w:ascii="Times New Roman" w:hAnsi="Times New Roman"/>
        </w:rPr>
      </w:pPr>
      <w:r>
        <w:rPr>
          <w:rFonts w:hint="eastAsia" w:ascii="Times New Roman" w:hAnsi="Times New Roman"/>
        </w:rPr>
        <w:t>单位时间内通过单位面积透水地面的水量。</w:t>
      </w:r>
    </w:p>
    <w:p>
      <w:pPr>
        <w:pStyle w:val="68"/>
        <w:numPr>
          <w:ilvl w:val="1"/>
          <w:numId w:val="0"/>
        </w:numPr>
        <w:ind w:left="420" w:hanging="420" w:hangingChars="200"/>
        <w:rPr>
          <w:rFonts w:ascii="Times New Roman"/>
        </w:rPr>
      </w:pPr>
      <w:bookmarkStart w:id="51" w:name="_Toc87209346"/>
      <w:r>
        <w:rPr>
          <w:rFonts w:ascii="Times New Roman" w:eastAsia="黑体"/>
        </w:rPr>
        <w:t>3.</w:t>
      </w:r>
      <w:bookmarkEnd w:id="51"/>
      <w:r>
        <w:rPr>
          <w:rFonts w:ascii="Times New Roman" w:eastAsia="黑体"/>
        </w:rPr>
        <w:t xml:space="preserve">8 </w:t>
      </w:r>
    </w:p>
    <w:p>
      <w:pPr>
        <w:pStyle w:val="28"/>
        <w:numPr>
          <w:ilvl w:val="1"/>
          <w:numId w:val="0"/>
        </w:numPr>
        <w:ind w:firstLine="420" w:firstLineChars="200"/>
        <w:rPr>
          <w:rFonts w:ascii="Times New Roman"/>
        </w:rPr>
      </w:pPr>
      <w:r>
        <w:rPr>
          <w:rFonts w:hint="eastAsia" w:ascii="Times New Roman" w:eastAsia="黑体"/>
        </w:rPr>
        <w:t>透水铺装地面 permeable pavement</w:t>
      </w:r>
    </w:p>
    <w:p>
      <w:pPr>
        <w:ind w:firstLine="420"/>
        <w:rPr>
          <w:rFonts w:ascii="Times New Roman" w:hAnsi="Times New Roman"/>
        </w:rPr>
      </w:pPr>
      <w:r>
        <w:rPr>
          <w:rFonts w:hint="eastAsia" w:ascii="Times New Roman" w:hAnsi="Times New Roman"/>
        </w:rPr>
        <w:t>可渗透、滞留和渗排雨水并满足一定要求的地面铺装结构。</w:t>
      </w:r>
    </w:p>
    <w:p>
      <w:pPr>
        <w:pStyle w:val="68"/>
        <w:numPr>
          <w:ilvl w:val="1"/>
          <w:numId w:val="0"/>
        </w:numPr>
        <w:ind w:left="420" w:hanging="420" w:hangingChars="200"/>
        <w:rPr>
          <w:rFonts w:ascii="Times New Roman"/>
        </w:rPr>
      </w:pPr>
      <w:bookmarkStart w:id="52" w:name="_Toc87209347"/>
      <w:r>
        <w:rPr>
          <w:rFonts w:ascii="Times New Roman" w:eastAsia="黑体"/>
        </w:rPr>
        <w:t>3.</w:t>
      </w:r>
      <w:bookmarkEnd w:id="52"/>
      <w:r>
        <w:rPr>
          <w:rFonts w:ascii="Times New Roman" w:eastAsia="黑体"/>
        </w:rPr>
        <w:t>9</w:t>
      </w:r>
    </w:p>
    <w:p>
      <w:pPr>
        <w:pStyle w:val="28"/>
        <w:numPr>
          <w:ilvl w:val="1"/>
          <w:numId w:val="0"/>
        </w:numPr>
        <w:ind w:firstLine="420" w:firstLineChars="200"/>
        <w:rPr>
          <w:rFonts w:ascii="Times New Roman"/>
        </w:rPr>
      </w:pPr>
      <w:r>
        <w:rPr>
          <w:rFonts w:hint="eastAsia" w:ascii="Times New Roman" w:eastAsia="黑体"/>
        </w:rPr>
        <w:t>互嵌式透水砖 permeable interlocking pavement</w:t>
      </w:r>
    </w:p>
    <w:p>
      <w:pPr>
        <w:ind w:firstLine="420"/>
        <w:rPr>
          <w:rFonts w:ascii="Times New Roman" w:hAnsi="Times New Roman"/>
        </w:rPr>
      </w:pPr>
      <w:r>
        <w:rPr>
          <w:rFonts w:hint="eastAsia" w:ascii="Times New Roman" w:hAnsi="Times New Roman"/>
        </w:rPr>
        <w:t>铺砖之间的缝隙填充细颗粒渗透材料，可通过缝隙渗透雨水的地面铺装结构。</w:t>
      </w:r>
    </w:p>
    <w:p>
      <w:pPr>
        <w:pStyle w:val="68"/>
        <w:numPr>
          <w:ilvl w:val="1"/>
          <w:numId w:val="0"/>
        </w:numPr>
        <w:ind w:left="420" w:hanging="420" w:hangingChars="200"/>
        <w:rPr>
          <w:rFonts w:ascii="Times New Roman"/>
        </w:rPr>
      </w:pPr>
      <w:bookmarkStart w:id="53" w:name="_Toc87209348"/>
      <w:r>
        <w:rPr>
          <w:rFonts w:ascii="Times New Roman" w:eastAsia="黑体"/>
        </w:rPr>
        <w:t>3.</w:t>
      </w:r>
      <w:bookmarkEnd w:id="53"/>
      <w:r>
        <w:rPr>
          <w:rFonts w:ascii="Times New Roman" w:eastAsia="黑体"/>
        </w:rPr>
        <w:t xml:space="preserve">10 </w:t>
      </w:r>
    </w:p>
    <w:p>
      <w:pPr>
        <w:pStyle w:val="28"/>
        <w:numPr>
          <w:ilvl w:val="1"/>
          <w:numId w:val="0"/>
        </w:numPr>
        <w:ind w:firstLine="420" w:firstLineChars="200"/>
        <w:rPr>
          <w:rFonts w:ascii="Times New Roman"/>
        </w:rPr>
      </w:pPr>
      <w:r>
        <w:rPr>
          <w:rFonts w:hint="eastAsia" w:ascii="Times New Roman" w:eastAsia="黑体"/>
        </w:rPr>
        <w:t>渗透管 penetration tube</w:t>
      </w:r>
      <w:r>
        <w:rPr>
          <w:rFonts w:ascii="Times New Roman" w:eastAsia="黑体"/>
        </w:rPr>
        <w:t xml:space="preserve"> </w:t>
      </w:r>
    </w:p>
    <w:p>
      <w:pPr>
        <w:ind w:firstLine="420"/>
        <w:rPr>
          <w:rFonts w:ascii="Times New Roman" w:hAnsi="Times New Roman"/>
        </w:rPr>
      </w:pPr>
      <w:r>
        <w:rPr>
          <w:rFonts w:hint="eastAsia" w:ascii="Times New Roman" w:hAnsi="Times New Roman"/>
        </w:rPr>
        <w:t>由无砂混凝土管或穿孔管等透水材料制成，设置于渗透基层内，辅助下渗雨水排放。</w:t>
      </w:r>
    </w:p>
    <w:bookmarkEnd w:id="20"/>
    <w:p>
      <w:pPr>
        <w:pStyle w:val="49"/>
        <w:numPr>
          <w:ilvl w:val="0"/>
          <w:numId w:val="2"/>
        </w:numPr>
        <w:spacing w:before="312" w:after="312"/>
        <w:rPr>
          <w:rFonts w:ascii="Times New Roman"/>
        </w:rPr>
      </w:pPr>
      <w:bookmarkStart w:id="54" w:name="_Toc130644903_WPSOffice_Level1"/>
      <w:bookmarkStart w:id="55" w:name="_Toc536014435_WPSOffice_Level1"/>
      <w:bookmarkStart w:id="56" w:name="_Hlk86573452"/>
      <w:bookmarkStart w:id="57" w:name="_Toc106212266"/>
      <w:r>
        <w:rPr>
          <w:rFonts w:hint="eastAsia" w:ascii="Times New Roman"/>
        </w:rPr>
        <w:t>基本规定</w:t>
      </w:r>
      <w:bookmarkEnd w:id="54"/>
      <w:bookmarkEnd w:id="55"/>
      <w:bookmarkEnd w:id="56"/>
      <w:bookmarkEnd w:id="57"/>
    </w:p>
    <w:p>
      <w:pPr>
        <w:pStyle w:val="77"/>
        <w:numPr>
          <w:ilvl w:val="1"/>
          <w:numId w:val="2"/>
        </w:numPr>
        <w:ind w:firstLineChars="0"/>
        <w:rPr>
          <w:rFonts w:ascii="Times New Roman" w:hAnsi="Times New Roman"/>
          <w:kern w:val="0"/>
          <w:szCs w:val="20"/>
        </w:rPr>
      </w:pPr>
      <w:bookmarkStart w:id="58" w:name="_Toc87209352"/>
      <w:bookmarkStart w:id="59" w:name="_Hlk86573495"/>
      <w:r>
        <w:rPr>
          <w:rFonts w:hint="eastAsia" w:ascii="Times New Roman" w:hAnsi="Times New Roman"/>
          <w:kern w:val="0"/>
          <w:szCs w:val="20"/>
        </w:rPr>
        <w:t>透水砖路面包括混凝土透水砖、草坪砖、互嵌式缝隙透水砖等多种透水铺装形式。透水砖路面典型结构自下而上由土基、透水底基层、透水基层、透水找平层、透水面层组成，其面层在边缘应有约束，见图1所示。</w:t>
      </w:r>
    </w:p>
    <w:bookmarkEnd w:id="58"/>
    <w:p>
      <w:pPr>
        <w:spacing w:line="360" w:lineRule="auto"/>
        <w:ind w:firstLine="0" w:firstLineChars="0"/>
        <w:jc w:val="center"/>
      </w:pPr>
      <w:r>
        <w:rPr>
          <w:rFonts w:hint="eastAsia"/>
        </w:rPr>
        <w:drawing>
          <wp:inline distT="0" distB="0" distL="0" distR="0">
            <wp:extent cx="4465955" cy="3162300"/>
            <wp:effectExtent l="0" t="0" r="1079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65955" cy="3162300"/>
                    </a:xfrm>
                    <a:prstGeom prst="rect">
                      <a:avLst/>
                    </a:prstGeom>
                    <a:noFill/>
                    <a:ln>
                      <a:noFill/>
                    </a:ln>
                  </pic:spPr>
                </pic:pic>
              </a:graphicData>
            </a:graphic>
          </wp:inline>
        </w:drawing>
      </w:r>
    </w:p>
    <w:p>
      <w:pPr>
        <w:pStyle w:val="84"/>
        <w:numPr>
          <w:ilvl w:val="0"/>
          <w:numId w:val="3"/>
        </w:numPr>
      </w:pPr>
      <w:bookmarkStart w:id="60" w:name="_Toc225136101"/>
      <w:bookmarkStart w:id="61" w:name="_Toc225136157"/>
      <w:r>
        <w:rPr>
          <w:rFonts w:hint="eastAsia"/>
        </w:rPr>
        <w:t>透水砖路面结构示意图</w:t>
      </w:r>
      <w:bookmarkEnd w:id="60"/>
      <w:bookmarkEnd w:id="61"/>
    </w:p>
    <w:p>
      <w:pPr>
        <w:pStyle w:val="69"/>
        <w:numPr>
          <w:ilvl w:val="1"/>
          <w:numId w:val="2"/>
        </w:numPr>
        <w:rPr>
          <w:rFonts w:ascii="Times New Roman"/>
        </w:rPr>
      </w:pPr>
      <w:r>
        <w:rPr>
          <w:rFonts w:hint="eastAsia" w:ascii="Times New Roman"/>
        </w:rPr>
        <w:t>透水砖路面施工工序应按GB 50400进行，一般应包括土基、底基层、基层、找平层、透水面层等。</w:t>
      </w:r>
    </w:p>
    <w:p>
      <w:pPr>
        <w:pStyle w:val="69"/>
        <w:numPr>
          <w:ilvl w:val="1"/>
          <w:numId w:val="2"/>
        </w:numPr>
        <w:rPr>
          <w:rFonts w:ascii="Times New Roman"/>
        </w:rPr>
      </w:pPr>
      <w:r>
        <w:rPr>
          <w:rFonts w:hint="eastAsia" w:ascii="Times New Roman"/>
        </w:rPr>
        <w:t>工程所需原材料、成品或预制构件的品种、规格、型号和强度等级应符合设计要求并进行进场验收。</w:t>
      </w:r>
    </w:p>
    <w:p>
      <w:pPr>
        <w:pStyle w:val="69"/>
        <w:numPr>
          <w:ilvl w:val="1"/>
          <w:numId w:val="2"/>
        </w:numPr>
        <w:rPr>
          <w:rFonts w:ascii="Times New Roman"/>
        </w:rPr>
      </w:pPr>
      <w:r>
        <w:rPr>
          <w:rFonts w:hint="eastAsia" w:ascii="Times New Roman"/>
        </w:rPr>
        <w:t>冬、雨期施工的工程应制定相应的施工技术措施。降雨、降雪期间应停止施工并采取作业面保护措施。</w:t>
      </w:r>
    </w:p>
    <w:p>
      <w:pPr>
        <w:pStyle w:val="69"/>
        <w:numPr>
          <w:ilvl w:val="1"/>
          <w:numId w:val="2"/>
        </w:numPr>
        <w:rPr>
          <w:rFonts w:ascii="Times New Roman"/>
        </w:rPr>
      </w:pPr>
      <w:r>
        <w:rPr>
          <w:rFonts w:hint="eastAsia" w:ascii="Times New Roman"/>
        </w:rPr>
        <w:t>透水砖路面施工与验收除符合本标准所规定的要求外，尚应满足设计文件、合同文件及我国现行的国家、行业、地方有关标准、规范的规定。</w:t>
      </w:r>
      <w:bookmarkStart w:id="62" w:name="_Toc87209355"/>
    </w:p>
    <w:p>
      <w:pPr>
        <w:pStyle w:val="49"/>
        <w:numPr>
          <w:ilvl w:val="0"/>
          <w:numId w:val="2"/>
        </w:numPr>
        <w:spacing w:before="312" w:after="312"/>
        <w:rPr>
          <w:rFonts w:ascii="Times New Roman"/>
        </w:rPr>
      </w:pPr>
      <w:bookmarkStart w:id="63" w:name="_Toc106212267"/>
      <w:r>
        <w:rPr>
          <w:rFonts w:hint="eastAsia" w:ascii="Times New Roman"/>
        </w:rPr>
        <w:t>施工</w:t>
      </w:r>
      <w:bookmarkEnd w:id="63"/>
    </w:p>
    <w:p>
      <w:pPr>
        <w:pStyle w:val="69"/>
        <w:numPr>
          <w:ilvl w:val="1"/>
          <w:numId w:val="2"/>
        </w:numPr>
        <w:rPr>
          <w:rFonts w:ascii="黑体" w:hAnsi="黑体" w:eastAsia="黑体" w:cs="黑体"/>
        </w:rPr>
      </w:pPr>
      <w:r>
        <w:rPr>
          <w:rFonts w:hint="eastAsia" w:ascii="黑体" w:hAnsi="黑体" w:eastAsia="黑体" w:cs="黑体"/>
        </w:rPr>
        <w:t>一般规定</w:t>
      </w:r>
    </w:p>
    <w:p>
      <w:pPr>
        <w:pStyle w:val="69"/>
        <w:numPr>
          <w:ilvl w:val="2"/>
          <w:numId w:val="2"/>
        </w:numPr>
        <w:rPr>
          <w:rFonts w:ascii="Times New Roman"/>
        </w:rPr>
      </w:pPr>
      <w:r>
        <w:rPr>
          <w:rFonts w:hint="eastAsia" w:ascii="Times New Roman"/>
        </w:rPr>
        <w:t>面层施工前应按规定对道路各结构层、排水系统及附属设施进行检查验收，验收合格后方可进行面层施工。</w:t>
      </w:r>
    </w:p>
    <w:p>
      <w:pPr>
        <w:pStyle w:val="69"/>
        <w:numPr>
          <w:ilvl w:val="2"/>
          <w:numId w:val="2"/>
        </w:numPr>
        <w:rPr>
          <w:rFonts w:ascii="Times New Roman"/>
        </w:rPr>
      </w:pPr>
      <w:r>
        <w:rPr>
          <w:rFonts w:hint="eastAsia" w:ascii="Times New Roman"/>
        </w:rPr>
        <w:t>施工前的准备工作，主要包括水电供应、搅拌、堆放场地、仓库、消防等设施。材料应妥善存放并按规定苫盖、保护。</w:t>
      </w:r>
    </w:p>
    <w:p>
      <w:pPr>
        <w:pStyle w:val="69"/>
        <w:numPr>
          <w:ilvl w:val="2"/>
          <w:numId w:val="2"/>
        </w:numPr>
        <w:rPr>
          <w:rFonts w:ascii="Times New Roman"/>
        </w:rPr>
      </w:pPr>
      <w:r>
        <w:rPr>
          <w:rFonts w:hint="eastAsia" w:ascii="Times New Roman"/>
        </w:rPr>
        <w:t>施工前应勘察周围地形，对于可能有客水汇入的路径应提前设置拦挡、导流措施；施工期间应通过施工围栏充分保护所有可渗透路面区域，免受周围雨水径流侵入，造成堵塞污染。</w:t>
      </w:r>
    </w:p>
    <w:p>
      <w:pPr>
        <w:pStyle w:val="69"/>
        <w:numPr>
          <w:ilvl w:val="2"/>
          <w:numId w:val="2"/>
        </w:numPr>
        <w:rPr>
          <w:rFonts w:ascii="Times New Roman"/>
        </w:rPr>
      </w:pPr>
      <w:r>
        <w:rPr>
          <w:rFonts w:hint="eastAsia" w:ascii="Times New Roman"/>
        </w:rPr>
        <w:t>施工前应按地勘报告复核场地地下水位及土壤渗透系数，复核数据应及时反馈给设计单位，得到确认后方可施工。</w:t>
      </w:r>
    </w:p>
    <w:p>
      <w:pPr>
        <w:pStyle w:val="69"/>
        <w:numPr>
          <w:ilvl w:val="2"/>
          <w:numId w:val="2"/>
        </w:numPr>
        <w:rPr>
          <w:rFonts w:ascii="Times New Roman"/>
        </w:rPr>
      </w:pPr>
      <w:r>
        <w:rPr>
          <w:rFonts w:hint="eastAsia" w:ascii="Times New Roman"/>
        </w:rPr>
        <w:t>为降低透水砖铺装结构施工期间受到温度、降雨、扰动等其他因素干扰，施工作业面不宜长期暴露，可以采取分区施工等方式控制单次施工面积，提升施工效率。</w:t>
      </w:r>
    </w:p>
    <w:p>
      <w:pPr>
        <w:pStyle w:val="69"/>
        <w:numPr>
          <w:ilvl w:val="2"/>
          <w:numId w:val="2"/>
        </w:numPr>
        <w:rPr>
          <w:rFonts w:ascii="Times New Roman"/>
        </w:rPr>
      </w:pPr>
      <w:r>
        <w:rPr>
          <w:rFonts w:hint="eastAsia" w:ascii="Times New Roman"/>
        </w:rPr>
        <w:t>施工过程中及完工后，透水砖铺装范围内禁止重型机械或车辆进入，避免因基础过渡压实而导致渗透能力降低。</w:t>
      </w:r>
    </w:p>
    <w:p>
      <w:pPr>
        <w:pStyle w:val="69"/>
        <w:numPr>
          <w:ilvl w:val="2"/>
          <w:numId w:val="2"/>
        </w:numPr>
        <w:rPr>
          <w:rFonts w:ascii="Times New Roman"/>
        </w:rPr>
      </w:pPr>
      <w:r>
        <w:rPr>
          <w:rFonts w:hint="eastAsia" w:ascii="Times New Roman"/>
        </w:rPr>
        <w:t>透水砖铺装各个工序的作业面范围内禁止堆放其他物品，特别是土、砂、石、水泥等建筑材料，避免造成堵塞影响渗透能力。</w:t>
      </w:r>
    </w:p>
    <w:p>
      <w:pPr>
        <w:pStyle w:val="69"/>
        <w:numPr>
          <w:ilvl w:val="2"/>
          <w:numId w:val="2"/>
        </w:numPr>
        <w:rPr>
          <w:rFonts w:ascii="Times New Roman"/>
        </w:rPr>
      </w:pPr>
      <w:r>
        <w:rPr>
          <w:rFonts w:hint="eastAsia" w:ascii="Times New Roman"/>
        </w:rPr>
        <w:t>施工所用混凝土、砂浆等拌制材料在运输过程中应注意保温防晒。</w:t>
      </w:r>
    </w:p>
    <w:p>
      <w:pPr>
        <w:pStyle w:val="69"/>
        <w:numPr>
          <w:ilvl w:val="2"/>
          <w:numId w:val="2"/>
        </w:numPr>
        <w:rPr>
          <w:rFonts w:ascii="Times New Roman"/>
        </w:rPr>
      </w:pPr>
      <w:r>
        <w:rPr>
          <w:rFonts w:hint="eastAsia" w:ascii="Times New Roman"/>
        </w:rPr>
        <w:t>透水砖面层与路缘石及其它构造物应接顺，不得有反坡、积水现象。</w:t>
      </w:r>
    </w:p>
    <w:p>
      <w:pPr>
        <w:pStyle w:val="69"/>
        <w:numPr>
          <w:ilvl w:val="2"/>
          <w:numId w:val="2"/>
        </w:numPr>
        <w:rPr>
          <w:rFonts w:ascii="Times New Roman"/>
        </w:rPr>
      </w:pPr>
      <w:r>
        <w:rPr>
          <w:rFonts w:hint="eastAsia" w:ascii="Times New Roman"/>
        </w:rPr>
        <w:t>透水砖及各结构层材料应满足GBT 25993、CJJT 188、DB11T 775及DB11T 1888的相关规定，结构缝透水砖参考GB 28635 的相关规定。</w:t>
      </w:r>
    </w:p>
    <w:p>
      <w:pPr>
        <w:pStyle w:val="77"/>
        <w:numPr>
          <w:ilvl w:val="1"/>
          <w:numId w:val="2"/>
        </w:numPr>
        <w:ind w:firstLineChars="0"/>
        <w:rPr>
          <w:rFonts w:ascii="黑体" w:hAnsi="黑体" w:eastAsia="黑体" w:cs="黑体"/>
          <w:kern w:val="0"/>
          <w:szCs w:val="20"/>
        </w:rPr>
      </w:pPr>
      <w:r>
        <w:rPr>
          <w:rFonts w:hint="eastAsia" w:ascii="黑体" w:hAnsi="黑体" w:eastAsia="黑体" w:cs="黑体"/>
          <w:kern w:val="0"/>
          <w:szCs w:val="20"/>
        </w:rPr>
        <w:t>土基</w:t>
      </w:r>
    </w:p>
    <w:p>
      <w:pPr>
        <w:pStyle w:val="69"/>
        <w:numPr>
          <w:ilvl w:val="2"/>
          <w:numId w:val="2"/>
        </w:numPr>
        <w:rPr>
          <w:rFonts w:ascii="Times New Roman"/>
        </w:rPr>
      </w:pPr>
      <w:r>
        <w:rPr>
          <w:rFonts w:hint="eastAsia" w:ascii="Times New Roman"/>
        </w:rPr>
        <w:t>透水铺装土基的土质、开挖深度、压实度等应符合设计要求。</w:t>
      </w:r>
    </w:p>
    <w:p>
      <w:pPr>
        <w:pStyle w:val="69"/>
        <w:numPr>
          <w:ilvl w:val="2"/>
          <w:numId w:val="2"/>
        </w:numPr>
        <w:rPr>
          <w:rFonts w:ascii="Times New Roman"/>
        </w:rPr>
      </w:pPr>
      <w:r>
        <w:rPr>
          <w:rFonts w:hint="eastAsia" w:ascii="Times New Roman"/>
        </w:rPr>
        <w:t>土基碾压应遵循先轻后重、先稳后振、先低后高、先慢后快、轮迹重叠的原则，从边缘向中央进行，达到设计要求压实度。当不适合采用压路机碾压时，应用小型机械夯实。壤土、黏土路基压实系数应大于90%。</w:t>
      </w:r>
    </w:p>
    <w:p>
      <w:pPr>
        <w:pStyle w:val="69"/>
        <w:numPr>
          <w:ilvl w:val="2"/>
          <w:numId w:val="2"/>
        </w:numPr>
        <w:rPr>
          <w:rFonts w:ascii="Times New Roman"/>
        </w:rPr>
      </w:pPr>
      <w:r>
        <w:rPr>
          <w:rFonts w:hint="eastAsia" w:ascii="Times New Roman"/>
        </w:rPr>
        <w:t>土基施工前应对施工测量成果校核，并按设计文件施工。</w:t>
      </w:r>
    </w:p>
    <w:p>
      <w:pPr>
        <w:pStyle w:val="69"/>
        <w:numPr>
          <w:ilvl w:val="2"/>
          <w:numId w:val="2"/>
        </w:numPr>
        <w:rPr>
          <w:rFonts w:ascii="Times New Roman"/>
        </w:rPr>
      </w:pPr>
      <w:r>
        <w:rPr>
          <w:rFonts w:hint="eastAsia" w:ascii="Times New Roman"/>
        </w:rPr>
        <w:t>土基碾压应从边缘向中央进行，达到设计要求压实度为止。不宜采用压路机碾压时，应用人工或振动振荡夯实机等夯实。</w:t>
      </w:r>
    </w:p>
    <w:p>
      <w:pPr>
        <w:pStyle w:val="69"/>
        <w:numPr>
          <w:ilvl w:val="2"/>
          <w:numId w:val="2"/>
        </w:numPr>
        <w:rPr>
          <w:rFonts w:ascii="Times New Roman"/>
        </w:rPr>
      </w:pPr>
      <w:r>
        <w:rPr>
          <w:rFonts w:hint="eastAsia" w:ascii="Times New Roman"/>
        </w:rPr>
        <w:t>土基施工应符合CJJ1的要求。</w:t>
      </w:r>
    </w:p>
    <w:p>
      <w:pPr>
        <w:pStyle w:val="69"/>
        <w:numPr>
          <w:ilvl w:val="2"/>
          <w:numId w:val="2"/>
        </w:numPr>
        <w:rPr>
          <w:rFonts w:ascii="Times New Roman"/>
        </w:rPr>
      </w:pPr>
      <w:r>
        <w:rPr>
          <w:rFonts w:hint="eastAsia" w:ascii="Times New Roman"/>
        </w:rPr>
        <w:t>暴雨过后应待积水排干后再施工，并应采取措施控制土基含水量，严格避免由于土壤含水量过高造成基础不稳定、承压能力不足等问题。</w:t>
      </w:r>
    </w:p>
    <w:p>
      <w:pPr>
        <w:pStyle w:val="77"/>
        <w:numPr>
          <w:ilvl w:val="1"/>
          <w:numId w:val="2"/>
        </w:numPr>
        <w:ind w:firstLineChars="0"/>
        <w:rPr>
          <w:rFonts w:ascii="黑体" w:hAnsi="黑体" w:eastAsia="黑体" w:cs="黑体"/>
          <w:kern w:val="0"/>
          <w:szCs w:val="20"/>
        </w:rPr>
      </w:pPr>
      <w:r>
        <w:rPr>
          <w:rFonts w:hint="eastAsia" w:ascii="黑体" w:hAnsi="黑体" w:eastAsia="黑体" w:cs="黑体"/>
          <w:kern w:val="0"/>
          <w:szCs w:val="20"/>
        </w:rPr>
        <w:t>透水底基层</w:t>
      </w:r>
    </w:p>
    <w:p>
      <w:pPr>
        <w:pStyle w:val="69"/>
        <w:numPr>
          <w:ilvl w:val="2"/>
          <w:numId w:val="2"/>
        </w:numPr>
        <w:rPr>
          <w:rFonts w:ascii="Times New Roman"/>
        </w:rPr>
      </w:pPr>
      <w:r>
        <w:rPr>
          <w:rFonts w:hint="eastAsia" w:ascii="Times New Roman"/>
        </w:rPr>
        <w:t>施工前应确认土基验收合格。</w:t>
      </w:r>
    </w:p>
    <w:p>
      <w:pPr>
        <w:pStyle w:val="69"/>
        <w:numPr>
          <w:ilvl w:val="2"/>
          <w:numId w:val="2"/>
        </w:numPr>
        <w:rPr>
          <w:rFonts w:ascii="Times New Roman"/>
        </w:rPr>
      </w:pPr>
      <w:r>
        <w:rPr>
          <w:rFonts w:hint="eastAsia" w:ascii="Times New Roman"/>
        </w:rPr>
        <w:t>宜采用透水性能较好的砂、级配碎石为材料，且符合下列要求：</w:t>
      </w:r>
    </w:p>
    <w:p>
      <w:pPr>
        <w:pStyle w:val="69"/>
        <w:numPr>
          <w:ilvl w:val="1"/>
          <w:numId w:val="4"/>
        </w:numPr>
        <w:ind w:left="850" w:hanging="425"/>
        <w:rPr>
          <w:rFonts w:ascii="Times New Roman"/>
        </w:rPr>
      </w:pPr>
      <w:r>
        <w:rPr>
          <w:rFonts w:hint="eastAsia" w:ascii="Times New Roman"/>
        </w:rPr>
        <w:t>宜选用中、粗砂或天然级配砂砾料，含泥量不大于5%，泥块含量小于2%，含水率小于3%。</w:t>
      </w:r>
    </w:p>
    <w:p>
      <w:pPr>
        <w:pStyle w:val="69"/>
        <w:numPr>
          <w:ilvl w:val="1"/>
          <w:numId w:val="4"/>
        </w:numPr>
        <w:ind w:left="850" w:hanging="425"/>
        <w:rPr>
          <w:rFonts w:ascii="Times New Roman"/>
        </w:rPr>
      </w:pPr>
      <w:r>
        <w:rPr>
          <w:rFonts w:hint="eastAsia" w:ascii="Times New Roman"/>
        </w:rPr>
        <w:t>级配碎石宜为质地坚韧、耐磨的破碎花岗岩或石灰石。集料中扁平、长条粒径含量不应超过10%，且不应含有粘土块、植物等物质。级配应符合表1规定。</w:t>
      </w:r>
    </w:p>
    <w:p>
      <w:pPr>
        <w:pStyle w:val="85"/>
      </w:pPr>
      <w:bookmarkStart w:id="64" w:name="_Toc225136158"/>
      <w:bookmarkStart w:id="65" w:name="_Toc225136103"/>
      <w:r>
        <w:rPr>
          <w:rFonts w:hint="eastAsia"/>
        </w:rPr>
        <w:t xml:space="preserve">表1 </w:t>
      </w:r>
      <w:r>
        <w:t>级配碎石颗粒组成表</w:t>
      </w:r>
      <w:bookmarkEnd w:id="64"/>
      <w:bookmarkEnd w:id="65"/>
    </w:p>
    <w:tbl>
      <w:tblPr>
        <w:tblStyle w:val="19"/>
        <w:tblW w:w="87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850"/>
        <w:gridCol w:w="992"/>
        <w:gridCol w:w="1276"/>
        <w:gridCol w:w="1134"/>
        <w:gridCol w:w="992"/>
        <w:gridCol w:w="993"/>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jc w:val="center"/>
        </w:trPr>
        <w:tc>
          <w:tcPr>
            <w:tcW w:w="1555" w:type="dxa"/>
          </w:tcPr>
          <w:p>
            <w:pPr>
              <w:pStyle w:val="28"/>
              <w:ind w:firstLine="0" w:firstLineChars="0"/>
              <w:jc w:val="center"/>
              <w:rPr>
                <w:sz w:val="18"/>
                <w:szCs w:val="18"/>
              </w:rPr>
            </w:pPr>
            <w:r>
              <w:rPr>
                <w:sz w:val="18"/>
                <w:szCs w:val="18"/>
              </w:rPr>
              <w:t>筛孔尺寸</w:t>
            </w:r>
            <w:r>
              <w:rPr>
                <w:rFonts w:hint="eastAsia"/>
                <w:sz w:val="18"/>
                <w:szCs w:val="18"/>
              </w:rPr>
              <w:t xml:space="preserve">  </w:t>
            </w:r>
            <w:r>
              <w:rPr>
                <w:sz w:val="18"/>
                <w:szCs w:val="18"/>
              </w:rPr>
              <w:t>mm</w:t>
            </w:r>
          </w:p>
        </w:tc>
        <w:tc>
          <w:tcPr>
            <w:tcW w:w="850" w:type="dxa"/>
          </w:tcPr>
          <w:p>
            <w:pPr>
              <w:pStyle w:val="28"/>
              <w:ind w:firstLine="0" w:firstLineChars="0"/>
              <w:jc w:val="center"/>
              <w:rPr>
                <w:sz w:val="18"/>
                <w:szCs w:val="18"/>
              </w:rPr>
            </w:pPr>
            <w:r>
              <w:rPr>
                <w:sz w:val="18"/>
                <w:szCs w:val="18"/>
              </w:rPr>
              <w:t>26.5</w:t>
            </w:r>
          </w:p>
        </w:tc>
        <w:tc>
          <w:tcPr>
            <w:tcW w:w="992" w:type="dxa"/>
          </w:tcPr>
          <w:p>
            <w:pPr>
              <w:pStyle w:val="28"/>
              <w:ind w:firstLine="0" w:firstLineChars="0"/>
              <w:jc w:val="center"/>
              <w:rPr>
                <w:sz w:val="18"/>
                <w:szCs w:val="18"/>
              </w:rPr>
            </w:pPr>
            <w:r>
              <w:rPr>
                <w:sz w:val="18"/>
                <w:szCs w:val="18"/>
              </w:rPr>
              <w:t>19</w:t>
            </w:r>
          </w:p>
        </w:tc>
        <w:tc>
          <w:tcPr>
            <w:tcW w:w="1276" w:type="dxa"/>
          </w:tcPr>
          <w:p>
            <w:pPr>
              <w:pStyle w:val="28"/>
              <w:ind w:firstLine="0" w:firstLineChars="0"/>
              <w:jc w:val="center"/>
              <w:rPr>
                <w:sz w:val="18"/>
                <w:szCs w:val="18"/>
              </w:rPr>
            </w:pPr>
            <w:r>
              <w:rPr>
                <w:rFonts w:hint="eastAsia"/>
                <w:sz w:val="18"/>
                <w:szCs w:val="18"/>
              </w:rPr>
              <w:t>13.2</w:t>
            </w:r>
          </w:p>
        </w:tc>
        <w:tc>
          <w:tcPr>
            <w:tcW w:w="1134" w:type="dxa"/>
          </w:tcPr>
          <w:p>
            <w:pPr>
              <w:pStyle w:val="28"/>
              <w:ind w:firstLine="0" w:firstLineChars="0"/>
              <w:jc w:val="center"/>
              <w:rPr>
                <w:sz w:val="18"/>
                <w:szCs w:val="18"/>
              </w:rPr>
            </w:pPr>
            <w:r>
              <w:rPr>
                <w:sz w:val="18"/>
                <w:szCs w:val="18"/>
              </w:rPr>
              <w:t>9.5</w:t>
            </w:r>
          </w:p>
        </w:tc>
        <w:tc>
          <w:tcPr>
            <w:tcW w:w="992" w:type="dxa"/>
          </w:tcPr>
          <w:p>
            <w:pPr>
              <w:pStyle w:val="28"/>
              <w:ind w:firstLine="0" w:firstLineChars="0"/>
              <w:jc w:val="center"/>
              <w:rPr>
                <w:sz w:val="18"/>
                <w:szCs w:val="18"/>
              </w:rPr>
            </w:pPr>
            <w:r>
              <w:rPr>
                <w:sz w:val="18"/>
                <w:szCs w:val="18"/>
              </w:rPr>
              <w:t>4.75</w:t>
            </w:r>
          </w:p>
        </w:tc>
        <w:tc>
          <w:tcPr>
            <w:tcW w:w="993" w:type="dxa"/>
          </w:tcPr>
          <w:p>
            <w:pPr>
              <w:pStyle w:val="28"/>
              <w:ind w:firstLine="0" w:firstLineChars="0"/>
              <w:jc w:val="center"/>
              <w:rPr>
                <w:sz w:val="18"/>
                <w:szCs w:val="18"/>
              </w:rPr>
            </w:pPr>
            <w:r>
              <w:rPr>
                <w:sz w:val="18"/>
                <w:szCs w:val="18"/>
              </w:rPr>
              <w:t>2.36</w:t>
            </w:r>
          </w:p>
        </w:tc>
        <w:tc>
          <w:tcPr>
            <w:tcW w:w="992" w:type="dxa"/>
          </w:tcPr>
          <w:p>
            <w:pPr>
              <w:pStyle w:val="28"/>
              <w:ind w:firstLine="0" w:firstLineChars="0"/>
              <w:jc w:val="center"/>
              <w:rPr>
                <w:sz w:val="18"/>
                <w:szCs w:val="18"/>
              </w:rPr>
            </w:pPr>
            <w:r>
              <w:rPr>
                <w:rFonts w:hint="eastAsia"/>
                <w:sz w:val="18"/>
                <w:szCs w:val="18"/>
              </w:rPr>
              <w:t>0.075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jc w:val="center"/>
        </w:trPr>
        <w:tc>
          <w:tcPr>
            <w:tcW w:w="1555" w:type="dxa"/>
          </w:tcPr>
          <w:p>
            <w:pPr>
              <w:pStyle w:val="28"/>
              <w:ind w:firstLine="0" w:firstLineChars="0"/>
              <w:jc w:val="center"/>
              <w:rPr>
                <w:sz w:val="18"/>
                <w:szCs w:val="18"/>
              </w:rPr>
            </w:pPr>
            <w:r>
              <w:rPr>
                <w:sz w:val="18"/>
                <w:szCs w:val="18"/>
              </w:rPr>
              <w:t>通过率</w:t>
            </w:r>
            <w:r>
              <w:rPr>
                <w:rFonts w:hint="eastAsia"/>
                <w:sz w:val="18"/>
                <w:szCs w:val="18"/>
              </w:rPr>
              <w:t xml:space="preserve">  </w:t>
            </w:r>
            <w:r>
              <w:rPr>
                <w:sz w:val="18"/>
                <w:szCs w:val="18"/>
              </w:rPr>
              <w:t>%</w:t>
            </w:r>
          </w:p>
        </w:tc>
        <w:tc>
          <w:tcPr>
            <w:tcW w:w="850" w:type="dxa"/>
          </w:tcPr>
          <w:p>
            <w:pPr>
              <w:pStyle w:val="28"/>
              <w:ind w:firstLine="0" w:firstLineChars="0"/>
              <w:jc w:val="center"/>
              <w:rPr>
                <w:sz w:val="18"/>
                <w:szCs w:val="18"/>
              </w:rPr>
            </w:pPr>
            <w:r>
              <w:rPr>
                <w:sz w:val="18"/>
                <w:szCs w:val="18"/>
              </w:rPr>
              <w:t>100</w:t>
            </w:r>
          </w:p>
        </w:tc>
        <w:tc>
          <w:tcPr>
            <w:tcW w:w="992" w:type="dxa"/>
          </w:tcPr>
          <w:p>
            <w:pPr>
              <w:pStyle w:val="28"/>
              <w:ind w:firstLine="0" w:firstLineChars="0"/>
              <w:jc w:val="center"/>
              <w:rPr>
                <w:sz w:val="18"/>
                <w:szCs w:val="18"/>
              </w:rPr>
            </w:pPr>
            <w:r>
              <w:rPr>
                <w:rFonts w:hint="eastAsia"/>
                <w:sz w:val="18"/>
                <w:szCs w:val="18"/>
              </w:rPr>
              <w:t>85</w:t>
            </w:r>
            <w:r>
              <w:rPr>
                <w:sz w:val="18"/>
                <w:szCs w:val="18"/>
              </w:rPr>
              <w:t>～</w:t>
            </w:r>
            <w:r>
              <w:rPr>
                <w:rFonts w:hint="eastAsia"/>
                <w:sz w:val="18"/>
                <w:szCs w:val="18"/>
              </w:rPr>
              <w:t>95</w:t>
            </w:r>
          </w:p>
        </w:tc>
        <w:tc>
          <w:tcPr>
            <w:tcW w:w="1276" w:type="dxa"/>
          </w:tcPr>
          <w:p>
            <w:pPr>
              <w:pStyle w:val="28"/>
              <w:ind w:firstLine="0" w:firstLineChars="0"/>
              <w:jc w:val="center"/>
              <w:rPr>
                <w:sz w:val="18"/>
                <w:szCs w:val="18"/>
              </w:rPr>
            </w:pPr>
            <w:r>
              <w:rPr>
                <w:rFonts w:hint="eastAsia"/>
                <w:sz w:val="18"/>
                <w:szCs w:val="18"/>
              </w:rPr>
              <w:t>65</w:t>
            </w:r>
            <w:r>
              <w:rPr>
                <w:sz w:val="18"/>
                <w:szCs w:val="18"/>
              </w:rPr>
              <w:t>～8</w:t>
            </w:r>
            <w:r>
              <w:rPr>
                <w:rFonts w:hint="eastAsia"/>
                <w:sz w:val="18"/>
                <w:szCs w:val="18"/>
              </w:rPr>
              <w:t>0</w:t>
            </w:r>
          </w:p>
        </w:tc>
        <w:tc>
          <w:tcPr>
            <w:tcW w:w="1134" w:type="dxa"/>
          </w:tcPr>
          <w:p>
            <w:pPr>
              <w:pStyle w:val="28"/>
              <w:ind w:firstLine="0" w:firstLineChars="0"/>
              <w:jc w:val="center"/>
              <w:rPr>
                <w:sz w:val="18"/>
                <w:szCs w:val="18"/>
              </w:rPr>
            </w:pPr>
            <w:r>
              <w:rPr>
                <w:rFonts w:hint="eastAsia"/>
                <w:sz w:val="18"/>
                <w:szCs w:val="18"/>
              </w:rPr>
              <w:t>55</w:t>
            </w:r>
            <w:r>
              <w:rPr>
                <w:sz w:val="18"/>
                <w:szCs w:val="18"/>
              </w:rPr>
              <w:t>～71</w:t>
            </w:r>
          </w:p>
        </w:tc>
        <w:tc>
          <w:tcPr>
            <w:tcW w:w="992" w:type="dxa"/>
          </w:tcPr>
          <w:p>
            <w:pPr>
              <w:pStyle w:val="28"/>
              <w:ind w:firstLine="0" w:firstLineChars="0"/>
              <w:jc w:val="center"/>
              <w:rPr>
                <w:sz w:val="18"/>
                <w:szCs w:val="18"/>
              </w:rPr>
            </w:pPr>
            <w:r>
              <w:rPr>
                <w:sz w:val="18"/>
                <w:szCs w:val="18"/>
              </w:rPr>
              <w:t>8～16</w:t>
            </w:r>
          </w:p>
        </w:tc>
        <w:tc>
          <w:tcPr>
            <w:tcW w:w="993" w:type="dxa"/>
          </w:tcPr>
          <w:p>
            <w:pPr>
              <w:pStyle w:val="28"/>
              <w:ind w:firstLine="0" w:firstLineChars="0"/>
              <w:jc w:val="center"/>
              <w:rPr>
                <w:sz w:val="18"/>
                <w:szCs w:val="18"/>
              </w:rPr>
            </w:pPr>
            <w:r>
              <w:rPr>
                <w:sz w:val="18"/>
                <w:szCs w:val="18"/>
              </w:rPr>
              <w:t>0～7</w:t>
            </w:r>
          </w:p>
        </w:tc>
        <w:tc>
          <w:tcPr>
            <w:tcW w:w="992" w:type="dxa"/>
          </w:tcPr>
          <w:p>
            <w:pPr>
              <w:pStyle w:val="28"/>
              <w:ind w:firstLine="0" w:firstLineChars="0"/>
              <w:jc w:val="center"/>
              <w:rPr>
                <w:sz w:val="18"/>
                <w:szCs w:val="18"/>
              </w:rPr>
            </w:pPr>
            <w:r>
              <w:rPr>
                <w:rFonts w:hint="eastAsia"/>
                <w:sz w:val="18"/>
                <w:szCs w:val="18"/>
              </w:rPr>
              <w:t>0</w:t>
            </w:r>
            <w:r>
              <w:rPr>
                <w:sz w:val="18"/>
                <w:szCs w:val="18"/>
              </w:rPr>
              <w:t>～</w:t>
            </w:r>
            <w:r>
              <w:rPr>
                <w:rFonts w:hint="eastAsia"/>
                <w:sz w:val="18"/>
                <w:szCs w:val="18"/>
              </w:rPr>
              <w:t>3</w:t>
            </w:r>
          </w:p>
        </w:tc>
      </w:tr>
    </w:tbl>
    <w:p>
      <w:pPr>
        <w:pStyle w:val="69"/>
        <w:numPr>
          <w:ilvl w:val="2"/>
          <w:numId w:val="2"/>
        </w:numPr>
        <w:rPr>
          <w:rFonts w:ascii="Times New Roman"/>
        </w:rPr>
      </w:pPr>
      <w:r>
        <w:rPr>
          <w:rFonts w:hint="eastAsia" w:ascii="Times New Roman"/>
        </w:rPr>
        <w:t>进行透水底基层摊铺，适量洒水并压实，压实度不小于93%。</w:t>
      </w:r>
    </w:p>
    <w:p>
      <w:pPr>
        <w:pStyle w:val="69"/>
        <w:numPr>
          <w:ilvl w:val="2"/>
          <w:numId w:val="2"/>
        </w:numPr>
        <w:rPr>
          <w:rFonts w:ascii="Times New Roman"/>
        </w:rPr>
      </w:pPr>
      <w:r>
        <w:rPr>
          <w:rFonts w:hint="eastAsia" w:ascii="Times New Roman"/>
        </w:rPr>
        <w:t>底基层厚度允许偏差不宜大于设计值的10%，且不宜大于20mm。</w:t>
      </w:r>
    </w:p>
    <w:p>
      <w:pPr>
        <w:pStyle w:val="69"/>
        <w:numPr>
          <w:ilvl w:val="2"/>
          <w:numId w:val="2"/>
        </w:numPr>
        <w:rPr>
          <w:rFonts w:ascii="Times New Roman"/>
        </w:rPr>
      </w:pPr>
      <w:r>
        <w:rPr>
          <w:rFonts w:hint="eastAsia" w:ascii="Times New Roman"/>
        </w:rPr>
        <w:t>碎石透水底基层施工执行DBJ 01-45。</w:t>
      </w:r>
    </w:p>
    <w:p>
      <w:pPr>
        <w:pStyle w:val="77"/>
        <w:numPr>
          <w:ilvl w:val="1"/>
          <w:numId w:val="2"/>
        </w:numPr>
        <w:ind w:firstLineChars="0"/>
        <w:rPr>
          <w:rFonts w:ascii="黑体" w:hAnsi="黑体" w:eastAsia="黑体" w:cs="黑体"/>
          <w:kern w:val="0"/>
          <w:szCs w:val="20"/>
        </w:rPr>
      </w:pPr>
      <w:r>
        <w:rPr>
          <w:rFonts w:hint="eastAsia" w:ascii="黑体" w:hAnsi="黑体" w:eastAsia="黑体" w:cs="黑体"/>
          <w:kern w:val="0"/>
          <w:szCs w:val="20"/>
        </w:rPr>
        <w:t>透水基层</w:t>
      </w:r>
    </w:p>
    <w:p>
      <w:pPr>
        <w:pStyle w:val="69"/>
        <w:numPr>
          <w:ilvl w:val="2"/>
          <w:numId w:val="2"/>
        </w:numPr>
        <w:rPr>
          <w:rFonts w:ascii="Times New Roman"/>
        </w:rPr>
      </w:pPr>
      <w:r>
        <w:rPr>
          <w:rFonts w:hint="eastAsia" w:ascii="Times New Roman"/>
        </w:rPr>
        <w:t>施工前应确认透水底基层验收合格。</w:t>
      </w:r>
    </w:p>
    <w:p>
      <w:pPr>
        <w:pStyle w:val="69"/>
        <w:numPr>
          <w:ilvl w:val="2"/>
          <w:numId w:val="2"/>
        </w:numPr>
        <w:rPr>
          <w:rFonts w:ascii="Times New Roman"/>
        </w:rPr>
      </w:pPr>
      <w:r>
        <w:rPr>
          <w:rFonts w:hint="eastAsia" w:ascii="Times New Roman"/>
        </w:rPr>
        <w:t>透水基层应采用强度高、透水性能良好、水稳定性好的透水材料，根据路面使用功能的不同，宜采用级配碎石或者透水混凝土。</w:t>
      </w:r>
    </w:p>
    <w:p>
      <w:pPr>
        <w:pStyle w:val="69"/>
        <w:numPr>
          <w:ilvl w:val="2"/>
          <w:numId w:val="2"/>
        </w:numPr>
        <w:rPr>
          <w:rFonts w:ascii="Times New Roman"/>
        </w:rPr>
      </w:pPr>
      <w:r>
        <w:rPr>
          <w:rFonts w:hint="eastAsia" w:ascii="Times New Roman"/>
        </w:rPr>
        <w:t>级配碎石基层材料与施工要求同本规程5.2.2～5.2.4。</w:t>
      </w:r>
    </w:p>
    <w:p>
      <w:pPr>
        <w:pStyle w:val="69"/>
        <w:numPr>
          <w:ilvl w:val="2"/>
          <w:numId w:val="2"/>
        </w:numPr>
        <w:rPr>
          <w:rFonts w:ascii="Times New Roman"/>
        </w:rPr>
      </w:pPr>
      <w:r>
        <w:rPr>
          <w:rFonts w:hint="eastAsia" w:ascii="Times New Roman"/>
        </w:rPr>
        <w:t>透水混凝土基层材料要求：</w:t>
      </w:r>
    </w:p>
    <w:p>
      <w:pPr>
        <w:pStyle w:val="69"/>
        <w:numPr>
          <w:ilvl w:val="1"/>
          <w:numId w:val="5"/>
        </w:numPr>
        <w:ind w:left="850" w:hanging="425"/>
        <w:rPr>
          <w:rFonts w:ascii="Times New Roman"/>
        </w:rPr>
      </w:pPr>
      <w:r>
        <w:rPr>
          <w:rFonts w:hint="eastAsia" w:ascii="Times New Roman"/>
        </w:rPr>
        <w:t>骨料宜采用粒径为5mm～10mm的单一级配，最大粒径不应超过15mm；</w:t>
      </w:r>
    </w:p>
    <w:p>
      <w:pPr>
        <w:pStyle w:val="69"/>
        <w:numPr>
          <w:ilvl w:val="1"/>
          <w:numId w:val="5"/>
        </w:numPr>
        <w:ind w:left="850" w:hanging="425"/>
        <w:rPr>
          <w:rFonts w:ascii="Times New Roman"/>
        </w:rPr>
      </w:pPr>
      <w:r>
        <w:rPr>
          <w:rFonts w:hint="eastAsia" w:ascii="Times New Roman"/>
        </w:rPr>
        <w:t>宜选用P.O42.5及以上强度等级硅酸盐或普通硅酸盐水泥；</w:t>
      </w:r>
    </w:p>
    <w:p>
      <w:pPr>
        <w:pStyle w:val="69"/>
        <w:numPr>
          <w:ilvl w:val="1"/>
          <w:numId w:val="5"/>
        </w:numPr>
        <w:ind w:left="850" w:hanging="425"/>
        <w:rPr>
          <w:rFonts w:ascii="Times New Roman"/>
        </w:rPr>
      </w:pPr>
      <w:r>
        <w:rPr>
          <w:rFonts w:hint="eastAsia" w:ascii="Times New Roman"/>
        </w:rPr>
        <w:t>用水应符合JGJ 63要求；</w:t>
      </w:r>
    </w:p>
    <w:p>
      <w:pPr>
        <w:pStyle w:val="69"/>
        <w:numPr>
          <w:ilvl w:val="1"/>
          <w:numId w:val="5"/>
        </w:numPr>
        <w:ind w:left="850" w:hanging="425"/>
        <w:rPr>
          <w:rFonts w:ascii="Times New Roman"/>
        </w:rPr>
      </w:pPr>
      <w:r>
        <w:rPr>
          <w:rFonts w:hint="eastAsia" w:ascii="Times New Roman"/>
        </w:rPr>
        <w:t>宜使用无氯盐类的防冻剂、引气剂、减水剂等外加剂。</w:t>
      </w:r>
    </w:p>
    <w:p>
      <w:pPr>
        <w:pStyle w:val="69"/>
        <w:numPr>
          <w:ilvl w:val="2"/>
          <w:numId w:val="2"/>
        </w:numPr>
        <w:rPr>
          <w:rFonts w:ascii="Times New Roman"/>
        </w:rPr>
      </w:pPr>
      <w:r>
        <w:rPr>
          <w:rFonts w:hint="eastAsia" w:ascii="Times New Roman"/>
        </w:rPr>
        <w:t>透水混凝土配制水泥用量宜在250kg/m</w:t>
      </w:r>
      <w:r>
        <w:rPr>
          <w:rFonts w:hint="eastAsia" w:ascii="Times New Roman"/>
          <w:vertAlign w:val="superscript"/>
        </w:rPr>
        <w:t>3</w:t>
      </w:r>
      <w:r>
        <w:rPr>
          <w:rFonts w:hint="eastAsia" w:ascii="Times New Roman"/>
        </w:rPr>
        <w:t>～350kg/m</w:t>
      </w:r>
      <w:r>
        <w:rPr>
          <w:rFonts w:hint="eastAsia" w:ascii="Times New Roman"/>
          <w:vertAlign w:val="superscript"/>
        </w:rPr>
        <w:t>3</w:t>
      </w:r>
      <w:r>
        <w:rPr>
          <w:rFonts w:hint="eastAsia" w:ascii="Times New Roman"/>
        </w:rPr>
        <w:t>，骨料用量宜为1400kg/m</w:t>
      </w:r>
      <w:r>
        <w:rPr>
          <w:rFonts w:hint="eastAsia" w:ascii="Times New Roman"/>
          <w:vertAlign w:val="superscript"/>
        </w:rPr>
        <w:t>3</w:t>
      </w:r>
      <w:r>
        <w:rPr>
          <w:rFonts w:hint="eastAsia" w:ascii="Times New Roman"/>
        </w:rPr>
        <w:t>～1600kg/m</w:t>
      </w:r>
      <w:r>
        <w:rPr>
          <w:rFonts w:hint="eastAsia" w:ascii="Times New Roman"/>
          <w:vertAlign w:val="superscript"/>
        </w:rPr>
        <w:t>3</w:t>
      </w:r>
      <w:r>
        <w:rPr>
          <w:rFonts w:hint="eastAsia" w:ascii="Times New Roman"/>
        </w:rPr>
        <w:t>，水灰比宜为0.25～0.40且应符合GB 50400要求。拌和时应控制水泥用量和水灰比。</w:t>
      </w:r>
    </w:p>
    <w:p>
      <w:pPr>
        <w:pStyle w:val="69"/>
        <w:numPr>
          <w:ilvl w:val="2"/>
          <w:numId w:val="2"/>
        </w:numPr>
        <w:rPr>
          <w:rFonts w:ascii="Times New Roman"/>
        </w:rPr>
      </w:pPr>
      <w:r>
        <w:rPr>
          <w:rFonts w:hint="eastAsia" w:ascii="Times New Roman"/>
        </w:rPr>
        <w:t>基层浇筑前，先用水湿润表面，并应采用平板振捣器夯实。在浇筑过程中不宜过度振捣或夯实。</w:t>
      </w:r>
    </w:p>
    <w:p>
      <w:pPr>
        <w:pStyle w:val="69"/>
        <w:numPr>
          <w:ilvl w:val="2"/>
          <w:numId w:val="2"/>
        </w:numPr>
        <w:rPr>
          <w:rFonts w:ascii="Times New Roman"/>
        </w:rPr>
      </w:pPr>
      <w:r>
        <w:rPr>
          <w:rFonts w:hint="eastAsia" w:ascii="Times New Roman"/>
        </w:rPr>
        <w:t>透水混凝土基层应设置纵横温度缝（膨胀缝和收缩缝）和施工缝。温度缝和施工缝间距可采用4.5m～5.5m，一般不超过6m或按设计要求确定。</w:t>
      </w:r>
    </w:p>
    <w:p>
      <w:pPr>
        <w:pStyle w:val="69"/>
        <w:numPr>
          <w:ilvl w:val="2"/>
          <w:numId w:val="2"/>
        </w:numPr>
        <w:rPr>
          <w:rFonts w:ascii="Times New Roman"/>
        </w:rPr>
      </w:pPr>
      <w:r>
        <w:rPr>
          <w:rFonts w:hint="eastAsia" w:ascii="Times New Roman"/>
        </w:rPr>
        <w:t>基层透水混凝土夯实成型后，方可在其上铺筑找平层、面层，且及时洒水养护、保持湿润，不宜时干时湿。</w:t>
      </w:r>
    </w:p>
    <w:p>
      <w:pPr>
        <w:pStyle w:val="69"/>
        <w:numPr>
          <w:ilvl w:val="2"/>
          <w:numId w:val="2"/>
        </w:numPr>
        <w:rPr>
          <w:rFonts w:ascii="Times New Roman"/>
        </w:rPr>
      </w:pPr>
      <w:r>
        <w:rPr>
          <w:rFonts w:hint="eastAsia" w:ascii="Times New Roman"/>
        </w:rPr>
        <w:t>渗透管宜设置在透水基层内，施工时需与透水土基层固定，渗透管环刚度需满足设计要求，且不宜小于SN4。</w:t>
      </w:r>
    </w:p>
    <w:p>
      <w:pPr>
        <w:pStyle w:val="77"/>
        <w:numPr>
          <w:ilvl w:val="1"/>
          <w:numId w:val="2"/>
        </w:numPr>
        <w:ind w:firstLineChars="0"/>
        <w:rPr>
          <w:rFonts w:ascii="黑体" w:hAnsi="黑体" w:eastAsia="黑体" w:cs="黑体"/>
          <w:kern w:val="0"/>
          <w:szCs w:val="20"/>
        </w:rPr>
      </w:pPr>
      <w:r>
        <w:rPr>
          <w:rFonts w:hint="eastAsia" w:ascii="黑体" w:hAnsi="黑体" w:eastAsia="黑体" w:cs="黑体"/>
          <w:kern w:val="0"/>
          <w:szCs w:val="20"/>
        </w:rPr>
        <w:t>透水找平层</w:t>
      </w:r>
    </w:p>
    <w:p>
      <w:pPr>
        <w:pStyle w:val="69"/>
        <w:numPr>
          <w:ilvl w:val="2"/>
          <w:numId w:val="2"/>
        </w:numPr>
        <w:rPr>
          <w:rFonts w:ascii="Times New Roman"/>
        </w:rPr>
      </w:pPr>
      <w:r>
        <w:rPr>
          <w:rFonts w:hint="eastAsia" w:ascii="Times New Roman"/>
        </w:rPr>
        <w:t>施工前应确认透水基层验收合格。</w:t>
      </w:r>
    </w:p>
    <w:p>
      <w:pPr>
        <w:pStyle w:val="69"/>
        <w:numPr>
          <w:ilvl w:val="2"/>
          <w:numId w:val="2"/>
        </w:numPr>
        <w:rPr>
          <w:rFonts w:ascii="Times New Roman"/>
        </w:rPr>
      </w:pPr>
      <w:r>
        <w:rPr>
          <w:rFonts w:hint="eastAsia" w:ascii="Times New Roman"/>
        </w:rPr>
        <w:t>透水粘结找平层的摊铺厚度：人行道应为30mm-40mm；停车场及车行道应为40mm-50mm。</w:t>
      </w:r>
    </w:p>
    <w:p>
      <w:pPr>
        <w:pStyle w:val="69"/>
        <w:numPr>
          <w:ilvl w:val="2"/>
          <w:numId w:val="2"/>
        </w:numPr>
        <w:rPr>
          <w:rFonts w:ascii="Times New Roman"/>
        </w:rPr>
      </w:pPr>
      <w:r>
        <w:rPr>
          <w:rFonts w:hint="eastAsia" w:ascii="Times New Roman"/>
        </w:rPr>
        <w:t>透水找平层应采用细石透水混凝土为材料，也可采用干砂、碎石、石屑为材料，材料应符合：</w:t>
      </w:r>
    </w:p>
    <w:p>
      <w:pPr>
        <w:pStyle w:val="69"/>
        <w:numPr>
          <w:ilvl w:val="1"/>
          <w:numId w:val="6"/>
        </w:numPr>
        <w:ind w:left="850" w:hanging="425"/>
        <w:rPr>
          <w:rFonts w:hint="eastAsia" w:ascii="Times New Roman"/>
        </w:rPr>
      </w:pPr>
      <w:r>
        <w:rPr>
          <w:rFonts w:hint="eastAsia" w:ascii="Times New Roman"/>
        </w:rPr>
        <w:t>碎石或石屑中针、片状颗粒含量小于10%；碎石中的含泥量小于1%；泥块含量小于0.5%；含水率小于2%。级配符合表2规定：</w:t>
      </w:r>
    </w:p>
    <w:p>
      <w:pPr>
        <w:pStyle w:val="85"/>
      </w:pPr>
      <w:bookmarkStart w:id="66" w:name="_Toc225136102"/>
      <w:bookmarkStart w:id="67" w:name="_Toc225136159"/>
      <w:r>
        <w:rPr>
          <w:rFonts w:hint="eastAsia"/>
        </w:rPr>
        <w:t>表2 找平层用碎石或石屑级配要求</w:t>
      </w:r>
      <w:bookmarkEnd w:id="66"/>
      <w:bookmarkEnd w:id="67"/>
    </w:p>
    <w:tbl>
      <w:tblPr>
        <w:tblStyle w:val="19"/>
        <w:tblW w:w="69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1"/>
        <w:gridCol w:w="1385"/>
        <w:gridCol w:w="1842"/>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71" w:type="dxa"/>
          </w:tcPr>
          <w:p>
            <w:pPr>
              <w:pStyle w:val="28"/>
              <w:ind w:firstLine="0" w:firstLineChars="0"/>
              <w:jc w:val="center"/>
              <w:rPr>
                <w:sz w:val="18"/>
                <w:szCs w:val="18"/>
              </w:rPr>
            </w:pPr>
            <w:r>
              <w:rPr>
                <w:rFonts w:hint="eastAsia"/>
                <w:sz w:val="18"/>
                <w:szCs w:val="18"/>
              </w:rPr>
              <w:t>筛孔尺寸  mm</w:t>
            </w:r>
          </w:p>
        </w:tc>
        <w:tc>
          <w:tcPr>
            <w:tcW w:w="1385" w:type="dxa"/>
          </w:tcPr>
          <w:p>
            <w:pPr>
              <w:pStyle w:val="28"/>
              <w:ind w:firstLine="0" w:firstLineChars="0"/>
              <w:jc w:val="center"/>
              <w:rPr>
                <w:sz w:val="18"/>
                <w:szCs w:val="18"/>
              </w:rPr>
            </w:pPr>
            <w:r>
              <w:rPr>
                <w:rFonts w:hint="eastAsia"/>
                <w:sz w:val="18"/>
                <w:szCs w:val="18"/>
              </w:rPr>
              <w:t>10.0</w:t>
            </w:r>
          </w:p>
        </w:tc>
        <w:tc>
          <w:tcPr>
            <w:tcW w:w="1842" w:type="dxa"/>
          </w:tcPr>
          <w:p>
            <w:pPr>
              <w:pStyle w:val="28"/>
              <w:ind w:firstLine="0" w:firstLineChars="0"/>
              <w:jc w:val="center"/>
              <w:rPr>
                <w:sz w:val="18"/>
                <w:szCs w:val="18"/>
              </w:rPr>
            </w:pPr>
            <w:r>
              <w:rPr>
                <w:rFonts w:hint="eastAsia"/>
                <w:sz w:val="18"/>
                <w:szCs w:val="18"/>
              </w:rPr>
              <w:t>5.0</w:t>
            </w:r>
          </w:p>
        </w:tc>
        <w:tc>
          <w:tcPr>
            <w:tcW w:w="1843" w:type="dxa"/>
          </w:tcPr>
          <w:p>
            <w:pPr>
              <w:pStyle w:val="28"/>
              <w:ind w:firstLine="0" w:firstLineChars="0"/>
              <w:jc w:val="center"/>
              <w:rPr>
                <w:sz w:val="18"/>
                <w:szCs w:val="18"/>
              </w:rPr>
            </w:pPr>
            <w:r>
              <w:rPr>
                <w:rFonts w:hint="eastAsia"/>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71" w:type="dxa"/>
          </w:tcPr>
          <w:p>
            <w:pPr>
              <w:pStyle w:val="28"/>
              <w:ind w:firstLine="0" w:firstLineChars="0"/>
              <w:jc w:val="center"/>
              <w:rPr>
                <w:sz w:val="18"/>
                <w:szCs w:val="18"/>
              </w:rPr>
            </w:pPr>
            <w:r>
              <w:rPr>
                <w:rFonts w:hint="eastAsia"/>
                <w:sz w:val="18"/>
                <w:szCs w:val="18"/>
              </w:rPr>
              <w:t>通过率  %</w:t>
            </w:r>
          </w:p>
        </w:tc>
        <w:tc>
          <w:tcPr>
            <w:tcW w:w="1385" w:type="dxa"/>
          </w:tcPr>
          <w:p>
            <w:pPr>
              <w:pStyle w:val="28"/>
              <w:ind w:firstLine="0" w:firstLineChars="0"/>
              <w:jc w:val="center"/>
              <w:rPr>
                <w:sz w:val="18"/>
                <w:szCs w:val="18"/>
              </w:rPr>
            </w:pPr>
            <w:r>
              <w:rPr>
                <w:rFonts w:hint="eastAsia"/>
                <w:sz w:val="18"/>
                <w:szCs w:val="18"/>
              </w:rPr>
              <w:t>100</w:t>
            </w:r>
          </w:p>
        </w:tc>
        <w:tc>
          <w:tcPr>
            <w:tcW w:w="1842" w:type="dxa"/>
          </w:tcPr>
          <w:p>
            <w:pPr>
              <w:pStyle w:val="28"/>
              <w:ind w:firstLine="0" w:firstLineChars="0"/>
              <w:jc w:val="center"/>
              <w:rPr>
                <w:sz w:val="18"/>
                <w:szCs w:val="18"/>
              </w:rPr>
            </w:pPr>
            <w:r>
              <w:rPr>
                <w:rFonts w:hint="eastAsia"/>
                <w:sz w:val="18"/>
                <w:szCs w:val="18"/>
              </w:rPr>
              <w:t>0～15</w:t>
            </w:r>
          </w:p>
        </w:tc>
        <w:tc>
          <w:tcPr>
            <w:tcW w:w="1843" w:type="dxa"/>
          </w:tcPr>
          <w:p>
            <w:pPr>
              <w:pStyle w:val="28"/>
              <w:ind w:firstLine="0" w:firstLineChars="0"/>
              <w:jc w:val="center"/>
              <w:rPr>
                <w:sz w:val="18"/>
                <w:szCs w:val="18"/>
              </w:rPr>
            </w:pPr>
            <w:r>
              <w:rPr>
                <w:rFonts w:hint="eastAsia"/>
                <w:sz w:val="18"/>
                <w:szCs w:val="18"/>
              </w:rPr>
              <w:t>0～5</w:t>
            </w:r>
          </w:p>
        </w:tc>
      </w:tr>
    </w:tbl>
    <w:p>
      <w:pPr>
        <w:pStyle w:val="84"/>
        <w:numPr>
          <w:ilvl w:val="0"/>
          <w:numId w:val="0"/>
        </w:numPr>
        <w:spacing w:before="0" w:beforeLines="0" w:after="0" w:afterLines="0"/>
        <w:ind w:left="850" w:hanging="425"/>
        <w:jc w:val="both"/>
        <w:rPr>
          <w:rFonts w:ascii="Times New Roman" w:eastAsia="宋体"/>
        </w:rPr>
      </w:pPr>
      <w:r>
        <w:rPr>
          <w:rFonts w:ascii="Times New Roman" w:eastAsia="宋体"/>
        </w:rPr>
        <w:t>b</w:t>
      </w:r>
      <w:r>
        <w:rPr>
          <w:rFonts w:hint="eastAsia" w:ascii="Times New Roman" w:eastAsia="宋体"/>
        </w:rPr>
        <w:t>）砂含泥量小于2%；泥块含量小于1%；含水率小于3%；级配应符合表3规定。</w:t>
      </w:r>
    </w:p>
    <w:p>
      <w:pPr>
        <w:pStyle w:val="85"/>
      </w:pPr>
      <w:bookmarkStart w:id="68" w:name="_Toc225136160"/>
      <w:r>
        <w:rPr>
          <w:rFonts w:hint="eastAsia"/>
        </w:rPr>
        <w:t>表3 找平层用砂级配要求</w:t>
      </w:r>
      <w:bookmarkEnd w:id="68"/>
    </w:p>
    <w:tbl>
      <w:tblPr>
        <w:tblStyle w:val="19"/>
        <w:tblW w:w="807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850"/>
        <w:gridCol w:w="1134"/>
        <w:gridCol w:w="1134"/>
        <w:gridCol w:w="1134"/>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55" w:type="dxa"/>
          </w:tcPr>
          <w:p>
            <w:pPr>
              <w:pStyle w:val="28"/>
              <w:ind w:firstLine="0" w:firstLineChars="0"/>
              <w:jc w:val="center"/>
              <w:rPr>
                <w:sz w:val="18"/>
                <w:szCs w:val="18"/>
              </w:rPr>
            </w:pPr>
            <w:r>
              <w:rPr>
                <w:rFonts w:hint="eastAsia"/>
                <w:sz w:val="18"/>
                <w:szCs w:val="18"/>
              </w:rPr>
              <w:t>筛孔尺寸  mm</w:t>
            </w:r>
          </w:p>
        </w:tc>
        <w:tc>
          <w:tcPr>
            <w:tcW w:w="850" w:type="dxa"/>
          </w:tcPr>
          <w:p>
            <w:pPr>
              <w:pStyle w:val="28"/>
              <w:ind w:firstLine="0" w:firstLineChars="0"/>
              <w:jc w:val="center"/>
              <w:rPr>
                <w:sz w:val="18"/>
                <w:szCs w:val="18"/>
              </w:rPr>
            </w:pPr>
            <w:r>
              <w:rPr>
                <w:rFonts w:hint="eastAsia"/>
                <w:sz w:val="18"/>
                <w:szCs w:val="18"/>
              </w:rPr>
              <w:t>9.5</w:t>
            </w:r>
          </w:p>
        </w:tc>
        <w:tc>
          <w:tcPr>
            <w:tcW w:w="1134" w:type="dxa"/>
          </w:tcPr>
          <w:p>
            <w:pPr>
              <w:pStyle w:val="28"/>
              <w:ind w:firstLine="0" w:firstLineChars="0"/>
              <w:jc w:val="center"/>
              <w:rPr>
                <w:sz w:val="18"/>
                <w:szCs w:val="18"/>
              </w:rPr>
            </w:pPr>
            <w:r>
              <w:rPr>
                <w:rFonts w:hint="eastAsia"/>
                <w:sz w:val="18"/>
                <w:szCs w:val="18"/>
              </w:rPr>
              <w:t>4.75</w:t>
            </w:r>
          </w:p>
        </w:tc>
        <w:tc>
          <w:tcPr>
            <w:tcW w:w="1134" w:type="dxa"/>
          </w:tcPr>
          <w:p>
            <w:pPr>
              <w:pStyle w:val="28"/>
              <w:ind w:firstLine="0" w:firstLineChars="0"/>
              <w:jc w:val="center"/>
              <w:rPr>
                <w:sz w:val="18"/>
                <w:szCs w:val="18"/>
              </w:rPr>
            </w:pPr>
            <w:r>
              <w:rPr>
                <w:rFonts w:hint="eastAsia"/>
                <w:sz w:val="18"/>
                <w:szCs w:val="18"/>
              </w:rPr>
              <w:t>2.36</w:t>
            </w:r>
          </w:p>
        </w:tc>
        <w:tc>
          <w:tcPr>
            <w:tcW w:w="1134" w:type="dxa"/>
          </w:tcPr>
          <w:p>
            <w:pPr>
              <w:pStyle w:val="28"/>
              <w:ind w:firstLine="0" w:firstLineChars="0"/>
              <w:jc w:val="center"/>
              <w:rPr>
                <w:sz w:val="18"/>
                <w:szCs w:val="18"/>
              </w:rPr>
            </w:pPr>
            <w:r>
              <w:rPr>
                <w:rFonts w:hint="eastAsia"/>
                <w:sz w:val="18"/>
                <w:szCs w:val="18"/>
              </w:rPr>
              <w:t>1.18</w:t>
            </w:r>
          </w:p>
        </w:tc>
        <w:tc>
          <w:tcPr>
            <w:tcW w:w="1134" w:type="dxa"/>
          </w:tcPr>
          <w:p>
            <w:pPr>
              <w:pStyle w:val="28"/>
              <w:ind w:firstLine="0" w:firstLineChars="0"/>
              <w:jc w:val="center"/>
              <w:rPr>
                <w:sz w:val="18"/>
                <w:szCs w:val="18"/>
              </w:rPr>
            </w:pPr>
            <w:r>
              <w:rPr>
                <w:rFonts w:hint="eastAsia"/>
                <w:sz w:val="18"/>
                <w:szCs w:val="18"/>
              </w:rPr>
              <w:t>0.60</w:t>
            </w:r>
          </w:p>
        </w:tc>
        <w:tc>
          <w:tcPr>
            <w:tcW w:w="1134" w:type="dxa"/>
          </w:tcPr>
          <w:p>
            <w:pPr>
              <w:pStyle w:val="28"/>
              <w:ind w:firstLine="0" w:firstLineChars="0"/>
              <w:jc w:val="center"/>
              <w:rPr>
                <w:sz w:val="18"/>
                <w:szCs w:val="18"/>
              </w:rPr>
            </w:pPr>
            <w:r>
              <w:rPr>
                <w:rFonts w:hint="eastAsia"/>
                <w:sz w:val="18"/>
                <w:szCs w:val="18"/>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55" w:type="dxa"/>
          </w:tcPr>
          <w:p>
            <w:pPr>
              <w:pStyle w:val="28"/>
              <w:ind w:firstLine="0" w:firstLineChars="0"/>
              <w:jc w:val="center"/>
              <w:rPr>
                <w:sz w:val="18"/>
                <w:szCs w:val="18"/>
              </w:rPr>
            </w:pPr>
            <w:r>
              <w:rPr>
                <w:rFonts w:hint="eastAsia"/>
                <w:sz w:val="18"/>
                <w:szCs w:val="18"/>
              </w:rPr>
              <w:t>通过率  %</w:t>
            </w:r>
          </w:p>
        </w:tc>
        <w:tc>
          <w:tcPr>
            <w:tcW w:w="850" w:type="dxa"/>
          </w:tcPr>
          <w:p>
            <w:pPr>
              <w:pStyle w:val="28"/>
              <w:ind w:firstLine="0" w:firstLineChars="0"/>
              <w:jc w:val="center"/>
              <w:rPr>
                <w:sz w:val="18"/>
                <w:szCs w:val="18"/>
              </w:rPr>
            </w:pPr>
            <w:r>
              <w:rPr>
                <w:rFonts w:hint="eastAsia"/>
                <w:sz w:val="18"/>
                <w:szCs w:val="18"/>
              </w:rPr>
              <w:t>100</w:t>
            </w:r>
          </w:p>
        </w:tc>
        <w:tc>
          <w:tcPr>
            <w:tcW w:w="1134" w:type="dxa"/>
          </w:tcPr>
          <w:p>
            <w:pPr>
              <w:pStyle w:val="28"/>
              <w:ind w:firstLine="0" w:firstLineChars="0"/>
              <w:jc w:val="center"/>
              <w:rPr>
                <w:sz w:val="18"/>
                <w:szCs w:val="18"/>
              </w:rPr>
            </w:pPr>
            <w:r>
              <w:rPr>
                <w:rFonts w:hint="eastAsia"/>
                <w:sz w:val="18"/>
                <w:szCs w:val="18"/>
              </w:rPr>
              <w:t>80～100</w:t>
            </w:r>
          </w:p>
        </w:tc>
        <w:tc>
          <w:tcPr>
            <w:tcW w:w="1134" w:type="dxa"/>
          </w:tcPr>
          <w:p>
            <w:pPr>
              <w:pStyle w:val="28"/>
              <w:ind w:firstLine="0" w:firstLineChars="0"/>
              <w:jc w:val="center"/>
              <w:rPr>
                <w:sz w:val="18"/>
                <w:szCs w:val="18"/>
              </w:rPr>
            </w:pPr>
            <w:r>
              <w:rPr>
                <w:rFonts w:hint="eastAsia"/>
                <w:sz w:val="18"/>
                <w:szCs w:val="18"/>
              </w:rPr>
              <w:t>60～100</w:t>
            </w:r>
          </w:p>
        </w:tc>
        <w:tc>
          <w:tcPr>
            <w:tcW w:w="1134" w:type="dxa"/>
          </w:tcPr>
          <w:p>
            <w:pPr>
              <w:pStyle w:val="28"/>
              <w:ind w:firstLine="0" w:firstLineChars="0"/>
              <w:jc w:val="center"/>
              <w:rPr>
                <w:sz w:val="18"/>
                <w:szCs w:val="18"/>
              </w:rPr>
            </w:pPr>
            <w:r>
              <w:rPr>
                <w:rFonts w:hint="eastAsia"/>
                <w:sz w:val="18"/>
                <w:szCs w:val="18"/>
              </w:rPr>
              <w:t>25～80</w:t>
            </w:r>
          </w:p>
        </w:tc>
        <w:tc>
          <w:tcPr>
            <w:tcW w:w="1134" w:type="dxa"/>
          </w:tcPr>
          <w:p>
            <w:pPr>
              <w:pStyle w:val="28"/>
              <w:ind w:firstLine="0" w:firstLineChars="0"/>
              <w:jc w:val="center"/>
              <w:rPr>
                <w:sz w:val="18"/>
                <w:szCs w:val="18"/>
              </w:rPr>
            </w:pPr>
            <w:r>
              <w:rPr>
                <w:rFonts w:hint="eastAsia"/>
                <w:sz w:val="18"/>
                <w:szCs w:val="18"/>
              </w:rPr>
              <w:t>5～30</w:t>
            </w:r>
          </w:p>
        </w:tc>
        <w:tc>
          <w:tcPr>
            <w:tcW w:w="1134" w:type="dxa"/>
          </w:tcPr>
          <w:p>
            <w:pPr>
              <w:pStyle w:val="28"/>
              <w:ind w:firstLine="0" w:firstLineChars="0"/>
              <w:jc w:val="center"/>
              <w:rPr>
                <w:sz w:val="18"/>
                <w:szCs w:val="18"/>
              </w:rPr>
            </w:pPr>
            <w:r>
              <w:rPr>
                <w:rFonts w:hint="eastAsia"/>
                <w:sz w:val="18"/>
                <w:szCs w:val="18"/>
              </w:rPr>
              <w:t>0～15</w:t>
            </w:r>
          </w:p>
        </w:tc>
      </w:tr>
    </w:tbl>
    <w:p>
      <w:pPr>
        <w:pStyle w:val="69"/>
        <w:numPr>
          <w:ilvl w:val="2"/>
          <w:numId w:val="2"/>
        </w:numPr>
        <w:rPr>
          <w:rFonts w:ascii="Times New Roman"/>
        </w:rPr>
      </w:pPr>
      <w:r>
        <w:rPr>
          <w:rFonts w:hint="eastAsia" w:ascii="Times New Roman"/>
        </w:rPr>
        <w:t>摊铺砂找平层的方法可采用刮板法。根据路面使用功能的不同，按照设计要求，确定相应摊铺厚度，但不宜低于20mm。</w:t>
      </w:r>
    </w:p>
    <w:p>
      <w:pPr>
        <w:pStyle w:val="69"/>
        <w:numPr>
          <w:ilvl w:val="2"/>
          <w:numId w:val="2"/>
        </w:numPr>
        <w:rPr>
          <w:rFonts w:ascii="Times New Roman"/>
        </w:rPr>
      </w:pPr>
      <w:r>
        <w:rPr>
          <w:rFonts w:hint="eastAsia" w:ascii="Times New Roman"/>
        </w:rPr>
        <w:t>找平层应拍打密实。砂层和垫层之间应铺设透水性土工布分隔。</w:t>
      </w:r>
    </w:p>
    <w:p>
      <w:pPr>
        <w:pStyle w:val="69"/>
        <w:numPr>
          <w:ilvl w:val="2"/>
          <w:numId w:val="2"/>
        </w:numPr>
        <w:rPr>
          <w:rFonts w:ascii="Times New Roman"/>
        </w:rPr>
      </w:pPr>
      <w:r>
        <w:rPr>
          <w:rFonts w:hint="eastAsia" w:ascii="Times New Roman"/>
        </w:rPr>
        <w:t>找平层表面应密实，与透水面层结合应牢固。</w:t>
      </w:r>
    </w:p>
    <w:p>
      <w:pPr>
        <w:pStyle w:val="77"/>
        <w:numPr>
          <w:ilvl w:val="1"/>
          <w:numId w:val="2"/>
        </w:numPr>
        <w:ind w:firstLineChars="0"/>
        <w:rPr>
          <w:rFonts w:ascii="黑体" w:hAnsi="黑体" w:eastAsia="黑体" w:cs="黑体"/>
          <w:kern w:val="0"/>
          <w:szCs w:val="20"/>
        </w:rPr>
      </w:pPr>
      <w:r>
        <w:rPr>
          <w:rFonts w:hint="eastAsia" w:ascii="黑体" w:hAnsi="黑体" w:eastAsia="黑体" w:cs="黑体"/>
          <w:kern w:val="0"/>
          <w:szCs w:val="20"/>
        </w:rPr>
        <w:t>透水面层</w:t>
      </w:r>
    </w:p>
    <w:p>
      <w:pPr>
        <w:pStyle w:val="69"/>
        <w:numPr>
          <w:ilvl w:val="2"/>
          <w:numId w:val="2"/>
        </w:numPr>
        <w:rPr>
          <w:rFonts w:ascii="Times New Roman"/>
        </w:rPr>
      </w:pPr>
      <w:r>
        <w:rPr>
          <w:rFonts w:hint="eastAsia" w:ascii="Times New Roman"/>
        </w:rPr>
        <w:t>施工前，应根据设计文件进行路面的定位及标定高程。</w:t>
      </w:r>
    </w:p>
    <w:p>
      <w:pPr>
        <w:pStyle w:val="69"/>
        <w:numPr>
          <w:ilvl w:val="2"/>
          <w:numId w:val="2"/>
        </w:numPr>
        <w:rPr>
          <w:rFonts w:ascii="Times New Roman"/>
        </w:rPr>
      </w:pPr>
      <w:r>
        <w:rPr>
          <w:rFonts w:hint="eastAsia" w:ascii="Times New Roman"/>
        </w:rPr>
        <w:t>面层施工控制标志施放应满足下列条件：</w:t>
      </w:r>
    </w:p>
    <w:p>
      <w:pPr>
        <w:pStyle w:val="69"/>
        <w:numPr>
          <w:ilvl w:val="1"/>
          <w:numId w:val="7"/>
        </w:numPr>
        <w:ind w:left="850" w:hanging="425"/>
        <w:rPr>
          <w:rFonts w:ascii="Times New Roman"/>
        </w:rPr>
      </w:pPr>
      <w:r>
        <w:rPr>
          <w:rFonts w:hint="eastAsia" w:ascii="Times New Roman"/>
        </w:rPr>
        <w:t>铺装控制网格不大于6.0m×6.0m；</w:t>
      </w:r>
    </w:p>
    <w:p>
      <w:pPr>
        <w:pStyle w:val="69"/>
        <w:numPr>
          <w:ilvl w:val="1"/>
          <w:numId w:val="7"/>
        </w:numPr>
        <w:ind w:left="850" w:hanging="425"/>
        <w:rPr>
          <w:rFonts w:ascii="Times New Roman"/>
        </w:rPr>
      </w:pPr>
      <w:r>
        <w:rPr>
          <w:rFonts w:hint="eastAsia" w:ascii="Times New Roman"/>
        </w:rPr>
        <w:t>设置标高控制点，控制点间距不超过10m；</w:t>
      </w:r>
    </w:p>
    <w:p>
      <w:pPr>
        <w:pStyle w:val="69"/>
        <w:numPr>
          <w:ilvl w:val="1"/>
          <w:numId w:val="7"/>
        </w:numPr>
        <w:ind w:left="850" w:hanging="425"/>
        <w:rPr>
          <w:rFonts w:ascii="Times New Roman"/>
        </w:rPr>
      </w:pPr>
      <w:r>
        <w:rPr>
          <w:rFonts w:hint="eastAsia" w:ascii="Times New Roman"/>
        </w:rPr>
        <w:t>相邻标志点间拉通线。</w:t>
      </w:r>
    </w:p>
    <w:p>
      <w:pPr>
        <w:pStyle w:val="69"/>
        <w:numPr>
          <w:ilvl w:val="2"/>
          <w:numId w:val="2"/>
        </w:numPr>
        <w:rPr>
          <w:rFonts w:ascii="Times New Roman"/>
        </w:rPr>
      </w:pPr>
      <w:r>
        <w:rPr>
          <w:rFonts w:hint="eastAsia" w:ascii="Times New Roman"/>
        </w:rPr>
        <w:t>按放线高程，在方格内按线砌第一行样板砖，然后以此挂纵横线，纵线不动，横线平移，依次按线及样板砖砌筑。</w:t>
      </w:r>
    </w:p>
    <w:p>
      <w:pPr>
        <w:pStyle w:val="69"/>
        <w:numPr>
          <w:ilvl w:val="2"/>
          <w:numId w:val="2"/>
        </w:numPr>
        <w:rPr>
          <w:rFonts w:ascii="Times New Roman"/>
        </w:rPr>
      </w:pPr>
      <w:r>
        <w:rPr>
          <w:rFonts w:hint="eastAsia" w:ascii="Times New Roman"/>
        </w:rPr>
        <w:t>直线段纵线应向远处延伸，纵缝应直顺。曲线段可砌筑成扇形状，空隙部分用切割砖填筑，也可按直线顺延铺筑，然后填补边缘处空隙。</w:t>
      </w:r>
    </w:p>
    <w:p>
      <w:pPr>
        <w:pStyle w:val="69"/>
        <w:numPr>
          <w:ilvl w:val="2"/>
          <w:numId w:val="2"/>
        </w:numPr>
        <w:rPr>
          <w:rFonts w:ascii="Times New Roman"/>
        </w:rPr>
      </w:pPr>
      <w:r>
        <w:rPr>
          <w:rFonts w:hint="eastAsia" w:ascii="Times New Roman"/>
        </w:rPr>
        <w:t>铺装时应避免与路缘石出现空隙，如有空隙应甩在建筑物一侧，当建筑物一侧及井边出现空隙可用切割砖填平。</w:t>
      </w:r>
    </w:p>
    <w:p>
      <w:pPr>
        <w:pStyle w:val="69"/>
        <w:numPr>
          <w:ilvl w:val="2"/>
          <w:numId w:val="2"/>
        </w:numPr>
        <w:rPr>
          <w:rFonts w:ascii="Times New Roman"/>
        </w:rPr>
      </w:pPr>
      <w:r>
        <w:rPr>
          <w:rFonts w:hint="eastAsia" w:ascii="Times New Roman"/>
        </w:rPr>
        <w:t>切割砖时，应弹线切割；遇到连续切割砖的现象，应保证切边在一条直线，偏差不应大于2mm。</w:t>
      </w:r>
    </w:p>
    <w:p>
      <w:pPr>
        <w:pStyle w:val="69"/>
        <w:numPr>
          <w:ilvl w:val="2"/>
          <w:numId w:val="2"/>
        </w:numPr>
        <w:rPr>
          <w:rFonts w:ascii="Times New Roman"/>
        </w:rPr>
      </w:pPr>
      <w:r>
        <w:rPr>
          <w:rFonts w:hint="eastAsia" w:ascii="Times New Roman"/>
        </w:rPr>
        <w:t>铺装时，砖应轻、平放，落砖应贴近已铺好的砖垂直落下，不能推砖，造成积砂现象，并应观察和调整好砖面图案的方向。用木锤或胶锤轻击砖的中间1/3面积处，不应损伤砖的边角，直至透水顶面与标志点引拉的通线在同一标高线，并使砖平铺在找平层上稳定。铺砌时应随时用水平尺检验平整度。</w:t>
      </w:r>
    </w:p>
    <w:p>
      <w:pPr>
        <w:pStyle w:val="69"/>
        <w:numPr>
          <w:ilvl w:val="2"/>
          <w:numId w:val="2"/>
        </w:numPr>
        <w:rPr>
          <w:rFonts w:ascii="Times New Roman"/>
        </w:rPr>
      </w:pPr>
      <w:r>
        <w:rPr>
          <w:rFonts w:hint="eastAsia" w:ascii="Times New Roman"/>
        </w:rPr>
        <w:t>直线或规则区域内两块相邻透水的接缝宽度不宜大于3mm。</w:t>
      </w:r>
    </w:p>
    <w:p>
      <w:pPr>
        <w:pStyle w:val="69"/>
        <w:numPr>
          <w:ilvl w:val="2"/>
          <w:numId w:val="2"/>
        </w:numPr>
        <w:rPr>
          <w:rFonts w:ascii="Times New Roman"/>
        </w:rPr>
      </w:pPr>
      <w:r>
        <w:rPr>
          <w:rFonts w:hint="eastAsia" w:ascii="Times New Roman"/>
        </w:rPr>
        <w:t>透水面层铺砌完成并养护24h后，用填缝砂填缝（当缝隙小于2mm时不进行填缝），分多次进行，直至缝隙饱满，同时将遗留在砖表面的余砂清理干净。互嵌式缝隙透水砖采用3mm-5mm米石填缝，压实，填缝高度低于面层2mm（互嵌式缝隙透水砖缝隙宽度不小于6mm）。</w:t>
      </w:r>
    </w:p>
    <w:p>
      <w:pPr>
        <w:pStyle w:val="69"/>
        <w:numPr>
          <w:ilvl w:val="2"/>
          <w:numId w:val="2"/>
        </w:numPr>
        <w:rPr>
          <w:rFonts w:ascii="Times New Roman"/>
        </w:rPr>
      </w:pPr>
      <w:r>
        <w:rPr>
          <w:rFonts w:hint="eastAsia" w:ascii="Times New Roman"/>
        </w:rPr>
        <w:t>透水砖铺装过程中，不应在新铺装的路面上拌和砂浆、堆放材料或遗撒灰土。面层铺装完成到基层达到规定强度前，应设置围挡，维持铺装完成面的平整。</w:t>
      </w:r>
    </w:p>
    <w:p>
      <w:pPr>
        <w:pStyle w:val="69"/>
        <w:numPr>
          <w:ilvl w:val="2"/>
          <w:numId w:val="2"/>
        </w:numPr>
        <w:rPr>
          <w:rFonts w:ascii="Times New Roman"/>
        </w:rPr>
      </w:pPr>
      <w:r>
        <w:rPr>
          <w:rFonts w:hint="eastAsia" w:ascii="Times New Roman"/>
        </w:rPr>
        <w:t>每班次收工时应做收边处理。</w:t>
      </w:r>
    </w:p>
    <w:p>
      <w:pPr>
        <w:pStyle w:val="69"/>
        <w:numPr>
          <w:ilvl w:val="2"/>
          <w:numId w:val="2"/>
        </w:numPr>
        <w:rPr>
          <w:rFonts w:ascii="Times New Roman"/>
        </w:rPr>
      </w:pPr>
      <w:r>
        <w:rPr>
          <w:rFonts w:hint="eastAsia" w:ascii="Times New Roman"/>
        </w:rPr>
        <w:t>铺砌后的砖面应平整一致，同时坡向要根据施工现场利于排水而调整。</w:t>
      </w:r>
    </w:p>
    <w:p>
      <w:pPr>
        <w:pStyle w:val="69"/>
        <w:numPr>
          <w:ilvl w:val="2"/>
          <w:numId w:val="2"/>
        </w:numPr>
        <w:rPr>
          <w:rFonts w:ascii="Times New Roman"/>
        </w:rPr>
      </w:pPr>
      <w:r>
        <w:rPr>
          <w:rFonts w:hint="eastAsia" w:ascii="Times New Roman"/>
        </w:rPr>
        <w:t>对基层强度不足产生的沉陷、破碎损坏，应先加固基层，再铺砌面层砌块。</w:t>
      </w:r>
    </w:p>
    <w:p>
      <w:pPr>
        <w:pStyle w:val="69"/>
        <w:numPr>
          <w:ilvl w:val="2"/>
          <w:numId w:val="2"/>
        </w:numPr>
        <w:rPr>
          <w:rFonts w:ascii="Times New Roman"/>
        </w:rPr>
      </w:pPr>
      <w:r>
        <w:rPr>
          <w:rFonts w:hint="eastAsia" w:ascii="Times New Roman"/>
        </w:rPr>
        <w:t>面层砌块发生错台、凸出、沉陷时，应将其取出，整理基层和找平层，重新铺装面层，填缝。更换的砌块色彩、强度、块型、尺寸均应与原面层砌块一致，砌块的修补部位宜大于损坏部位一整砖。</w:t>
      </w:r>
    </w:p>
    <w:p>
      <w:pPr>
        <w:pStyle w:val="69"/>
        <w:numPr>
          <w:ilvl w:val="2"/>
          <w:numId w:val="2"/>
        </w:numPr>
        <w:rPr>
          <w:rFonts w:ascii="Times New Roman"/>
        </w:rPr>
      </w:pPr>
      <w:r>
        <w:rPr>
          <w:rFonts w:hint="eastAsia" w:ascii="Times New Roman"/>
        </w:rPr>
        <w:t>检查井周围或与构筑物接壤的砌块宜切块补齐，不宜切块补齐的部分应及时填补平整。</w:t>
      </w:r>
    </w:p>
    <w:p>
      <w:pPr>
        <w:pStyle w:val="69"/>
        <w:numPr>
          <w:ilvl w:val="2"/>
          <w:numId w:val="2"/>
        </w:numPr>
        <w:rPr>
          <w:rFonts w:ascii="Times New Roman"/>
        </w:rPr>
      </w:pPr>
      <w:r>
        <w:rPr>
          <w:rFonts w:hint="eastAsia" w:ascii="Times New Roman"/>
        </w:rPr>
        <w:t>填缝用砂材料应符合下列要求：</w:t>
      </w:r>
    </w:p>
    <w:p>
      <w:pPr>
        <w:pStyle w:val="69"/>
        <w:numPr>
          <w:ilvl w:val="2"/>
          <w:numId w:val="8"/>
        </w:numPr>
        <w:ind w:left="850" w:hanging="425"/>
        <w:rPr>
          <w:rFonts w:ascii="Times New Roman"/>
        </w:rPr>
      </w:pPr>
      <w:r>
        <w:rPr>
          <w:rFonts w:hint="eastAsia" w:ascii="Times New Roman"/>
        </w:rPr>
        <w:t>含泥量小于1%；泥块含量小于0.5%；含水率小于2%；</w:t>
      </w:r>
    </w:p>
    <w:p>
      <w:pPr>
        <w:pStyle w:val="69"/>
        <w:numPr>
          <w:ilvl w:val="2"/>
          <w:numId w:val="8"/>
        </w:numPr>
        <w:ind w:left="850" w:hanging="425"/>
        <w:rPr>
          <w:rFonts w:ascii="Times New Roman"/>
        </w:rPr>
      </w:pPr>
      <w:r>
        <w:rPr>
          <w:rFonts w:hint="eastAsia" w:ascii="Times New Roman"/>
        </w:rPr>
        <w:t>级配应符合表4的规定。</w:t>
      </w:r>
    </w:p>
    <w:p>
      <w:pPr>
        <w:pStyle w:val="85"/>
      </w:pPr>
      <w:r>
        <w:rPr>
          <w:rFonts w:hint="eastAsia"/>
        </w:rPr>
        <w:t>表4 填缝用砂级配要求</w:t>
      </w:r>
    </w:p>
    <w:tbl>
      <w:tblPr>
        <w:tblStyle w:val="19"/>
        <w:tblW w:w="821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8"/>
        <w:gridCol w:w="829"/>
        <w:gridCol w:w="1134"/>
        <w:gridCol w:w="1134"/>
        <w:gridCol w:w="1134"/>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18" w:type="dxa"/>
          </w:tcPr>
          <w:p>
            <w:pPr>
              <w:pStyle w:val="28"/>
              <w:ind w:firstLine="0" w:firstLineChars="0"/>
              <w:jc w:val="center"/>
              <w:rPr>
                <w:sz w:val="18"/>
                <w:szCs w:val="18"/>
              </w:rPr>
            </w:pPr>
            <w:r>
              <w:rPr>
                <w:rFonts w:hint="eastAsia"/>
                <w:sz w:val="18"/>
                <w:szCs w:val="18"/>
              </w:rPr>
              <w:t>筛孔尺寸  mm</w:t>
            </w:r>
          </w:p>
        </w:tc>
        <w:tc>
          <w:tcPr>
            <w:tcW w:w="829" w:type="dxa"/>
          </w:tcPr>
          <w:p>
            <w:pPr>
              <w:pStyle w:val="28"/>
              <w:ind w:firstLine="0" w:firstLineChars="0"/>
              <w:jc w:val="center"/>
              <w:rPr>
                <w:sz w:val="18"/>
                <w:szCs w:val="18"/>
              </w:rPr>
            </w:pPr>
            <w:r>
              <w:rPr>
                <w:rFonts w:hint="eastAsia"/>
                <w:sz w:val="18"/>
                <w:szCs w:val="18"/>
              </w:rPr>
              <w:t>4.75</w:t>
            </w:r>
          </w:p>
        </w:tc>
        <w:tc>
          <w:tcPr>
            <w:tcW w:w="1134" w:type="dxa"/>
          </w:tcPr>
          <w:p>
            <w:pPr>
              <w:pStyle w:val="28"/>
              <w:ind w:firstLine="0" w:firstLineChars="0"/>
              <w:jc w:val="center"/>
              <w:rPr>
                <w:sz w:val="18"/>
                <w:szCs w:val="18"/>
              </w:rPr>
            </w:pPr>
            <w:r>
              <w:rPr>
                <w:rFonts w:hint="eastAsia"/>
                <w:sz w:val="18"/>
                <w:szCs w:val="18"/>
              </w:rPr>
              <w:t>2.36</w:t>
            </w:r>
          </w:p>
        </w:tc>
        <w:tc>
          <w:tcPr>
            <w:tcW w:w="1134" w:type="dxa"/>
          </w:tcPr>
          <w:p>
            <w:pPr>
              <w:pStyle w:val="28"/>
              <w:ind w:firstLine="0" w:firstLineChars="0"/>
              <w:jc w:val="center"/>
              <w:rPr>
                <w:sz w:val="18"/>
                <w:szCs w:val="18"/>
              </w:rPr>
            </w:pPr>
            <w:r>
              <w:rPr>
                <w:rFonts w:hint="eastAsia"/>
                <w:sz w:val="18"/>
                <w:szCs w:val="18"/>
              </w:rPr>
              <w:t>1.18</w:t>
            </w:r>
          </w:p>
        </w:tc>
        <w:tc>
          <w:tcPr>
            <w:tcW w:w="1134" w:type="dxa"/>
          </w:tcPr>
          <w:p>
            <w:pPr>
              <w:pStyle w:val="28"/>
              <w:ind w:firstLine="0" w:firstLineChars="0"/>
              <w:jc w:val="center"/>
              <w:rPr>
                <w:sz w:val="18"/>
                <w:szCs w:val="18"/>
              </w:rPr>
            </w:pPr>
            <w:r>
              <w:rPr>
                <w:rFonts w:hint="eastAsia"/>
                <w:sz w:val="18"/>
                <w:szCs w:val="18"/>
              </w:rPr>
              <w:t>0.6</w:t>
            </w:r>
          </w:p>
        </w:tc>
        <w:tc>
          <w:tcPr>
            <w:tcW w:w="1134" w:type="dxa"/>
          </w:tcPr>
          <w:p>
            <w:pPr>
              <w:pStyle w:val="28"/>
              <w:ind w:firstLine="0" w:firstLineChars="0"/>
              <w:jc w:val="center"/>
              <w:rPr>
                <w:sz w:val="18"/>
                <w:szCs w:val="18"/>
              </w:rPr>
            </w:pPr>
            <w:r>
              <w:rPr>
                <w:rFonts w:hint="eastAsia"/>
                <w:sz w:val="18"/>
                <w:szCs w:val="18"/>
              </w:rPr>
              <w:t>0.3</w:t>
            </w:r>
          </w:p>
        </w:tc>
        <w:tc>
          <w:tcPr>
            <w:tcW w:w="1134" w:type="dxa"/>
          </w:tcPr>
          <w:p>
            <w:pPr>
              <w:pStyle w:val="28"/>
              <w:ind w:firstLine="0" w:firstLineChars="0"/>
              <w:jc w:val="center"/>
              <w:rPr>
                <w:sz w:val="18"/>
                <w:szCs w:val="18"/>
              </w:rPr>
            </w:pPr>
            <w:r>
              <w:rPr>
                <w:rFonts w:hint="eastAsia"/>
                <w:sz w:val="18"/>
                <w:szCs w:val="18"/>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18" w:type="dxa"/>
          </w:tcPr>
          <w:p>
            <w:pPr>
              <w:pStyle w:val="28"/>
              <w:ind w:firstLine="0" w:firstLineChars="0"/>
              <w:jc w:val="center"/>
              <w:rPr>
                <w:sz w:val="18"/>
                <w:szCs w:val="18"/>
              </w:rPr>
            </w:pPr>
            <w:r>
              <w:rPr>
                <w:rFonts w:hint="eastAsia"/>
                <w:sz w:val="18"/>
                <w:szCs w:val="18"/>
              </w:rPr>
              <w:t>通过率  %</w:t>
            </w:r>
          </w:p>
        </w:tc>
        <w:tc>
          <w:tcPr>
            <w:tcW w:w="829" w:type="dxa"/>
          </w:tcPr>
          <w:p>
            <w:pPr>
              <w:pStyle w:val="28"/>
              <w:ind w:firstLine="0" w:firstLineChars="0"/>
              <w:jc w:val="center"/>
              <w:rPr>
                <w:sz w:val="18"/>
                <w:szCs w:val="18"/>
              </w:rPr>
            </w:pPr>
            <w:r>
              <w:rPr>
                <w:rFonts w:hint="eastAsia"/>
                <w:sz w:val="18"/>
                <w:szCs w:val="18"/>
              </w:rPr>
              <w:t>100</w:t>
            </w:r>
          </w:p>
        </w:tc>
        <w:tc>
          <w:tcPr>
            <w:tcW w:w="1134" w:type="dxa"/>
          </w:tcPr>
          <w:p>
            <w:pPr>
              <w:pStyle w:val="28"/>
              <w:ind w:firstLine="0" w:firstLineChars="0"/>
              <w:jc w:val="center"/>
              <w:rPr>
                <w:sz w:val="18"/>
                <w:szCs w:val="18"/>
              </w:rPr>
            </w:pPr>
            <w:r>
              <w:rPr>
                <w:rFonts w:hint="eastAsia"/>
                <w:sz w:val="18"/>
                <w:szCs w:val="18"/>
              </w:rPr>
              <w:t>95～100</w:t>
            </w:r>
          </w:p>
        </w:tc>
        <w:tc>
          <w:tcPr>
            <w:tcW w:w="1134" w:type="dxa"/>
          </w:tcPr>
          <w:p>
            <w:pPr>
              <w:pStyle w:val="28"/>
              <w:ind w:firstLine="0" w:firstLineChars="0"/>
              <w:jc w:val="center"/>
              <w:rPr>
                <w:sz w:val="18"/>
                <w:szCs w:val="18"/>
              </w:rPr>
            </w:pPr>
            <w:r>
              <w:rPr>
                <w:rFonts w:hint="eastAsia"/>
                <w:sz w:val="18"/>
                <w:szCs w:val="18"/>
              </w:rPr>
              <w:t>80～100</w:t>
            </w:r>
          </w:p>
        </w:tc>
        <w:tc>
          <w:tcPr>
            <w:tcW w:w="1134" w:type="dxa"/>
          </w:tcPr>
          <w:p>
            <w:pPr>
              <w:pStyle w:val="28"/>
              <w:ind w:firstLine="0" w:firstLineChars="0"/>
              <w:jc w:val="center"/>
              <w:rPr>
                <w:sz w:val="18"/>
                <w:szCs w:val="18"/>
              </w:rPr>
            </w:pPr>
            <w:r>
              <w:rPr>
                <w:rFonts w:hint="eastAsia"/>
                <w:sz w:val="18"/>
                <w:szCs w:val="18"/>
              </w:rPr>
              <w:t>25～85</w:t>
            </w:r>
          </w:p>
        </w:tc>
        <w:tc>
          <w:tcPr>
            <w:tcW w:w="1134" w:type="dxa"/>
          </w:tcPr>
          <w:p>
            <w:pPr>
              <w:pStyle w:val="28"/>
              <w:ind w:firstLine="0" w:firstLineChars="0"/>
              <w:jc w:val="center"/>
              <w:rPr>
                <w:sz w:val="18"/>
                <w:szCs w:val="18"/>
              </w:rPr>
            </w:pPr>
            <w:r>
              <w:rPr>
                <w:rFonts w:hint="eastAsia"/>
                <w:sz w:val="18"/>
                <w:szCs w:val="18"/>
              </w:rPr>
              <w:t>10～40</w:t>
            </w:r>
          </w:p>
        </w:tc>
        <w:tc>
          <w:tcPr>
            <w:tcW w:w="1134" w:type="dxa"/>
          </w:tcPr>
          <w:p>
            <w:pPr>
              <w:pStyle w:val="28"/>
              <w:ind w:firstLine="0" w:firstLineChars="0"/>
              <w:jc w:val="center"/>
              <w:rPr>
                <w:sz w:val="18"/>
                <w:szCs w:val="18"/>
              </w:rPr>
            </w:pPr>
            <w:r>
              <w:rPr>
                <w:rFonts w:hint="eastAsia"/>
                <w:sz w:val="18"/>
                <w:szCs w:val="18"/>
              </w:rPr>
              <w:t>0～10</w:t>
            </w:r>
          </w:p>
        </w:tc>
      </w:tr>
    </w:tbl>
    <w:p>
      <w:pPr>
        <w:pStyle w:val="69"/>
        <w:numPr>
          <w:ilvl w:val="2"/>
          <w:numId w:val="2"/>
        </w:numPr>
        <w:rPr>
          <w:rFonts w:ascii="Times New Roman"/>
        </w:rPr>
      </w:pPr>
      <w:r>
        <w:rPr>
          <w:rFonts w:hint="eastAsia" w:ascii="Times New Roman"/>
        </w:rPr>
        <w:t>面层养护应符合下列规定：</w:t>
      </w:r>
    </w:p>
    <w:p>
      <w:pPr>
        <w:pStyle w:val="69"/>
        <w:numPr>
          <w:ilvl w:val="2"/>
          <w:numId w:val="9"/>
        </w:numPr>
        <w:ind w:left="850" w:hanging="425"/>
        <w:rPr>
          <w:rFonts w:ascii="Times New Roman"/>
        </w:rPr>
      </w:pPr>
      <w:r>
        <w:rPr>
          <w:rFonts w:hint="eastAsia" w:ascii="Times New Roman"/>
        </w:rPr>
        <w:t>填缝后及时洒水直至灌缝密实，保证透水面的清洁；</w:t>
      </w:r>
    </w:p>
    <w:p>
      <w:pPr>
        <w:pStyle w:val="69"/>
        <w:numPr>
          <w:ilvl w:val="2"/>
          <w:numId w:val="9"/>
        </w:numPr>
        <w:ind w:left="850" w:hanging="425"/>
        <w:rPr>
          <w:rFonts w:ascii="Times New Roman"/>
        </w:rPr>
      </w:pPr>
      <w:r>
        <w:rPr>
          <w:rFonts w:hint="eastAsia" w:ascii="Times New Roman"/>
        </w:rPr>
        <w:t>铺设后的养护期不少于2d。</w:t>
      </w:r>
    </w:p>
    <w:bookmarkEnd w:id="59"/>
    <w:bookmarkEnd w:id="62"/>
    <w:p>
      <w:pPr>
        <w:pStyle w:val="49"/>
        <w:numPr>
          <w:ilvl w:val="0"/>
          <w:numId w:val="2"/>
        </w:numPr>
        <w:spacing w:before="312" w:after="312"/>
        <w:rPr>
          <w:rFonts w:ascii="Times New Roman"/>
        </w:rPr>
      </w:pPr>
      <w:bookmarkStart w:id="69" w:name="_Toc106212268"/>
      <w:r>
        <w:rPr>
          <w:rFonts w:hint="eastAsia" w:ascii="Times New Roman"/>
        </w:rPr>
        <w:t>质量</w:t>
      </w:r>
      <w:r>
        <w:rPr>
          <w:rFonts w:ascii="Times New Roman"/>
        </w:rPr>
        <w:t>验收</w:t>
      </w:r>
      <w:bookmarkEnd w:id="69"/>
    </w:p>
    <w:p>
      <w:pPr>
        <w:pStyle w:val="49"/>
        <w:numPr>
          <w:ilvl w:val="0"/>
          <w:numId w:val="0"/>
        </w:numPr>
        <w:spacing w:before="312" w:after="312"/>
        <w:rPr>
          <w:rFonts w:ascii="Times New Roman"/>
        </w:rPr>
      </w:pPr>
      <w:bookmarkStart w:id="70" w:name="_Toc106212269"/>
      <w:bookmarkStart w:id="71" w:name="_Toc87209357"/>
      <w:bookmarkStart w:id="72" w:name="_Hlk86573889"/>
      <w:r>
        <w:rPr>
          <w:rFonts w:hint="eastAsia" w:ascii="Times New Roman"/>
        </w:rPr>
        <w:t>6.</w:t>
      </w:r>
      <w:r>
        <w:rPr>
          <w:rFonts w:ascii="Times New Roman"/>
        </w:rPr>
        <w:t xml:space="preserve">1  </w:t>
      </w:r>
      <w:r>
        <w:rPr>
          <w:rFonts w:hint="eastAsia" w:ascii="Times New Roman"/>
        </w:rPr>
        <w:t>一般规定</w:t>
      </w:r>
      <w:bookmarkEnd w:id="70"/>
    </w:p>
    <w:p>
      <w:pPr>
        <w:pStyle w:val="69"/>
        <w:numPr>
          <w:ilvl w:val="2"/>
          <w:numId w:val="2"/>
        </w:numPr>
        <w:rPr>
          <w:rFonts w:ascii="Times New Roman"/>
        </w:rPr>
      </w:pPr>
      <w:r>
        <w:rPr>
          <w:rFonts w:hint="eastAsia" w:ascii="Times New Roman"/>
        </w:rPr>
        <w:t>透水砖的透水性能、抗滑性、耐磨性、抗冻性、强度等级、外观质量、尺寸偏差等应符合设计要求。</w:t>
      </w:r>
    </w:p>
    <w:p>
      <w:pPr>
        <w:pStyle w:val="69"/>
        <w:numPr>
          <w:ilvl w:val="2"/>
          <w:numId w:val="2"/>
        </w:numPr>
        <w:rPr>
          <w:rFonts w:ascii="Times New Roman"/>
        </w:rPr>
      </w:pPr>
      <w:r>
        <w:rPr>
          <w:rFonts w:hint="eastAsia" w:ascii="Times New Roman"/>
        </w:rPr>
        <w:t>透水砖路面土基、透水底基层、透水基层、透水找平层与面层的施工应按工序逐批进行质量验收，未经检验或验收不合格不得进行下道工序；透水砖路面工程完成后，应经过工程验收，合格后方可交付使用。</w:t>
      </w:r>
    </w:p>
    <w:p>
      <w:pPr>
        <w:pStyle w:val="69"/>
        <w:numPr>
          <w:ilvl w:val="2"/>
          <w:numId w:val="2"/>
        </w:numPr>
        <w:rPr>
          <w:rFonts w:ascii="Times New Roman"/>
        </w:rPr>
      </w:pPr>
      <w:r>
        <w:rPr>
          <w:rFonts w:hint="eastAsia" w:ascii="Times New Roman"/>
        </w:rPr>
        <w:t xml:space="preserve">工程验收应具备下列文件： </w:t>
      </w:r>
    </w:p>
    <w:p>
      <w:pPr>
        <w:pStyle w:val="69"/>
        <w:numPr>
          <w:ilvl w:val="2"/>
          <w:numId w:val="10"/>
        </w:numPr>
        <w:ind w:left="850" w:hanging="425"/>
        <w:rPr>
          <w:rFonts w:ascii="Times New Roman"/>
        </w:rPr>
      </w:pPr>
      <w:r>
        <w:rPr>
          <w:rFonts w:hint="eastAsia" w:ascii="Times New Roman"/>
        </w:rPr>
        <w:t>设计文件及变更、洽商资料；</w:t>
      </w:r>
    </w:p>
    <w:p>
      <w:pPr>
        <w:pStyle w:val="69"/>
        <w:numPr>
          <w:ilvl w:val="2"/>
          <w:numId w:val="10"/>
        </w:numPr>
        <w:ind w:left="850" w:hanging="425"/>
        <w:rPr>
          <w:rFonts w:ascii="Times New Roman"/>
        </w:rPr>
      </w:pPr>
      <w:r>
        <w:rPr>
          <w:rFonts w:hint="eastAsia" w:ascii="Times New Roman"/>
        </w:rPr>
        <w:t>透水工程的施工竣工报告和其他有关文件；</w:t>
      </w:r>
    </w:p>
    <w:p>
      <w:pPr>
        <w:pStyle w:val="69"/>
        <w:numPr>
          <w:ilvl w:val="2"/>
          <w:numId w:val="10"/>
        </w:numPr>
        <w:ind w:left="850" w:hanging="425"/>
        <w:rPr>
          <w:rFonts w:ascii="Times New Roman"/>
        </w:rPr>
      </w:pPr>
      <w:r>
        <w:rPr>
          <w:rFonts w:hint="eastAsia" w:ascii="Times New Roman"/>
        </w:rPr>
        <w:t>各种材料的质量合格证书、性能检测报告和进场验收记录；</w:t>
      </w:r>
    </w:p>
    <w:p>
      <w:pPr>
        <w:pStyle w:val="69"/>
        <w:numPr>
          <w:ilvl w:val="2"/>
          <w:numId w:val="10"/>
        </w:numPr>
        <w:ind w:left="850" w:hanging="425"/>
        <w:rPr>
          <w:rFonts w:ascii="Times New Roman"/>
        </w:rPr>
      </w:pPr>
      <w:r>
        <w:rPr>
          <w:rFonts w:hint="eastAsia" w:ascii="Times New Roman"/>
        </w:rPr>
        <w:t>各检验批次的质量验收记录；</w:t>
      </w:r>
    </w:p>
    <w:p>
      <w:pPr>
        <w:pStyle w:val="69"/>
        <w:numPr>
          <w:ilvl w:val="2"/>
          <w:numId w:val="10"/>
        </w:numPr>
        <w:ind w:left="850" w:hanging="425"/>
        <w:rPr>
          <w:rFonts w:ascii="Times New Roman"/>
        </w:rPr>
      </w:pPr>
      <w:r>
        <w:rPr>
          <w:rFonts w:hint="eastAsia" w:ascii="Times New Roman"/>
        </w:rPr>
        <w:t>各层的检验、试验报告。</w:t>
      </w:r>
    </w:p>
    <w:p>
      <w:pPr>
        <w:pStyle w:val="69"/>
        <w:numPr>
          <w:ilvl w:val="2"/>
          <w:numId w:val="2"/>
        </w:numPr>
        <w:rPr>
          <w:rFonts w:ascii="Times New Roman"/>
        </w:rPr>
      </w:pPr>
      <w:r>
        <w:rPr>
          <w:rFonts w:hint="eastAsia" w:ascii="Times New Roman"/>
        </w:rPr>
        <w:t>透水砖路面工程的施工验收应在各检验批验收合格的基础上进行。施工中检验批的验收，由质量监理、施工和其他有关单位经共同验收，并填写验收记录。</w:t>
      </w:r>
    </w:p>
    <w:bookmarkEnd w:id="71"/>
    <w:p>
      <w:pPr>
        <w:pStyle w:val="75"/>
        <w:numPr>
          <w:ilvl w:val="1"/>
          <w:numId w:val="2"/>
        </w:numPr>
        <w:spacing w:before="156" w:after="156"/>
        <w:rPr>
          <w:rFonts w:ascii="Times New Roman"/>
        </w:rPr>
      </w:pPr>
      <w:bookmarkStart w:id="73" w:name="_Toc106212270"/>
      <w:r>
        <w:rPr>
          <w:rFonts w:hint="eastAsia" w:ascii="Times New Roman"/>
        </w:rPr>
        <w:t>主控项目</w:t>
      </w:r>
      <w:bookmarkEnd w:id="73"/>
    </w:p>
    <w:p>
      <w:pPr>
        <w:pStyle w:val="78"/>
        <w:numPr>
          <w:ilvl w:val="2"/>
          <w:numId w:val="2"/>
        </w:numPr>
        <w:rPr>
          <w:rFonts w:ascii="Times New Roman"/>
        </w:rPr>
      </w:pPr>
      <w:r>
        <w:rPr>
          <w:rFonts w:hint="eastAsia" w:ascii="Times New Roman"/>
        </w:rPr>
        <w:t>透水砖路面外观不应有污损、空鼓、掉角及断裂等缺陷。</w:t>
      </w:r>
    </w:p>
    <w:p>
      <w:pPr>
        <w:pStyle w:val="78"/>
        <w:numPr>
          <w:ilvl w:val="2"/>
          <w:numId w:val="2"/>
        </w:numPr>
        <w:rPr>
          <w:rFonts w:ascii="Times New Roman"/>
        </w:rPr>
      </w:pPr>
      <w:r>
        <w:rPr>
          <w:rFonts w:hint="eastAsia" w:ascii="Times New Roman"/>
        </w:rPr>
        <w:t>透水砖块形、颜色、厚度、强度应符合设计要求。</w:t>
      </w:r>
    </w:p>
    <w:p>
      <w:pPr>
        <w:pStyle w:val="78"/>
        <w:numPr>
          <w:ilvl w:val="2"/>
          <w:numId w:val="2"/>
        </w:numPr>
        <w:rPr>
          <w:rFonts w:ascii="Times New Roman"/>
        </w:rPr>
      </w:pPr>
      <w:r>
        <w:rPr>
          <w:rFonts w:hint="eastAsia" w:ascii="Times New Roman"/>
        </w:rPr>
        <w:t>透水砖以同一块形，同一颜色，同一强度且以20000块为一验收批；不足20000块按一批计。每一批中应随机抽取50块试件。</w:t>
      </w:r>
    </w:p>
    <w:p>
      <w:pPr>
        <w:pStyle w:val="78"/>
        <w:numPr>
          <w:ilvl w:val="2"/>
          <w:numId w:val="2"/>
        </w:numPr>
        <w:rPr>
          <w:rFonts w:ascii="Times New Roman"/>
        </w:rPr>
      </w:pPr>
      <w:r>
        <w:rPr>
          <w:rFonts w:hint="eastAsia" w:ascii="Times New Roman"/>
        </w:rPr>
        <w:t>接缝、找平层、垫层用砂分别以200m</w:t>
      </w:r>
      <w:r>
        <w:rPr>
          <w:rFonts w:hint="eastAsia" w:ascii="Times New Roman"/>
          <w:vertAlign w:val="superscript"/>
        </w:rPr>
        <w:t>3</w:t>
      </w:r>
      <w:r>
        <w:rPr>
          <w:rFonts w:hint="eastAsia" w:ascii="Times New Roman"/>
        </w:rPr>
        <w:t>或300t为一验收批，不足200m</w:t>
      </w:r>
      <w:r>
        <w:rPr>
          <w:rFonts w:hint="eastAsia" w:ascii="Times New Roman"/>
          <w:vertAlign w:val="superscript"/>
        </w:rPr>
        <w:t>3</w:t>
      </w:r>
      <w:r>
        <w:rPr>
          <w:rFonts w:hint="eastAsia" w:ascii="Times New Roman"/>
        </w:rPr>
        <w:t>或300t按一批计。</w:t>
      </w:r>
    </w:p>
    <w:p>
      <w:pPr>
        <w:pStyle w:val="78"/>
        <w:numPr>
          <w:ilvl w:val="2"/>
          <w:numId w:val="2"/>
        </w:numPr>
        <w:rPr>
          <w:rFonts w:hint="eastAsia" w:ascii="Times New Roman"/>
        </w:rPr>
      </w:pPr>
      <w:r>
        <w:rPr>
          <w:rFonts w:hint="eastAsia" w:ascii="Times New Roman"/>
        </w:rPr>
        <w:t>透水砖路面施工主控项目允许偏差值应符合表5要求。</w:t>
      </w:r>
    </w:p>
    <w:p>
      <w:pPr>
        <w:pStyle w:val="84"/>
        <w:numPr>
          <w:ilvl w:val="0"/>
          <w:numId w:val="0"/>
        </w:numPr>
      </w:pPr>
      <w:bookmarkStart w:id="74" w:name="_Toc225136162"/>
      <w:r>
        <w:rPr>
          <w:rFonts w:hint="eastAsia"/>
        </w:rPr>
        <w:t>表5 透水砖路面施工主控项目允许偏差表</w:t>
      </w:r>
      <w:bookmarkEnd w:id="74"/>
    </w:p>
    <w:tbl>
      <w:tblPr>
        <w:tblStyle w:val="19"/>
        <w:tblW w:w="8784" w:type="dxa"/>
        <w:jc w:val="center"/>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510"/>
        <w:gridCol w:w="1149"/>
        <w:gridCol w:w="1609"/>
        <w:gridCol w:w="1984"/>
        <w:gridCol w:w="184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89" w:type="dxa"/>
            <w:tcBorders>
              <w:top w:val="single" w:color="auto" w:sz="4" w:space="0"/>
              <w:left w:val="single" w:color="auto" w:sz="4" w:space="0"/>
              <w:bottom w:val="single" w:color="auto" w:sz="4" w:space="0"/>
            </w:tcBorders>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2659" w:type="dxa"/>
            <w:gridSpan w:val="2"/>
            <w:tcBorders>
              <w:top w:val="single" w:color="auto" w:sz="4" w:space="0"/>
              <w:bottom w:val="single" w:color="auto" w:sz="4" w:space="0"/>
            </w:tcBorders>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w:t>
            </w:r>
          </w:p>
        </w:tc>
        <w:tc>
          <w:tcPr>
            <w:tcW w:w="1609" w:type="dxa"/>
            <w:tcBorders>
              <w:top w:val="single" w:color="auto" w:sz="4" w:space="0"/>
              <w:bottom w:val="single" w:color="auto" w:sz="4" w:space="0"/>
            </w:tcBorders>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频率</w:t>
            </w:r>
          </w:p>
        </w:tc>
        <w:tc>
          <w:tcPr>
            <w:tcW w:w="1984" w:type="dxa"/>
            <w:tcBorders>
              <w:top w:val="single" w:color="auto" w:sz="4" w:space="0"/>
              <w:bottom w:val="single" w:color="auto" w:sz="4" w:space="0"/>
            </w:tcBorders>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规定值或允许偏差</w:t>
            </w:r>
          </w:p>
        </w:tc>
        <w:tc>
          <w:tcPr>
            <w:tcW w:w="1843" w:type="dxa"/>
            <w:tcBorders>
              <w:top w:val="single" w:color="auto" w:sz="4" w:space="0"/>
              <w:bottom w:val="single" w:color="auto" w:sz="4" w:space="0"/>
              <w:right w:val="single" w:color="auto" w:sz="4" w:space="0"/>
            </w:tcBorders>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检查方法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 w:hRule="atLeast"/>
          <w:jc w:val="center"/>
        </w:trPr>
        <w:tc>
          <w:tcPr>
            <w:tcW w:w="689" w:type="dxa"/>
            <w:vMerge w:val="restart"/>
            <w:tcBorders>
              <w:top w:val="single" w:color="auto" w:sz="4" w:space="0"/>
            </w:tcBorders>
            <w:vAlign w:val="center"/>
          </w:tcPr>
          <w:p>
            <w:pPr>
              <w:pStyle w:val="28"/>
              <w:ind w:firstLine="0" w:firstLineChars="0"/>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w:t>
            </w:r>
          </w:p>
        </w:tc>
        <w:tc>
          <w:tcPr>
            <w:tcW w:w="1510" w:type="dxa"/>
            <w:vMerge w:val="restart"/>
            <w:tcBorders>
              <w:top w:val="single" w:color="auto" w:sz="4" w:space="0"/>
            </w:tcBorders>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土基</w:t>
            </w:r>
          </w:p>
        </w:tc>
        <w:tc>
          <w:tcPr>
            <w:tcW w:w="1149" w:type="dxa"/>
            <w:tcBorders>
              <w:top w:val="single" w:color="auto" w:sz="4" w:space="0"/>
            </w:tcBorders>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压实度</w:t>
            </w:r>
          </w:p>
        </w:tc>
        <w:tc>
          <w:tcPr>
            <w:tcW w:w="1609" w:type="dxa"/>
            <w:vMerge w:val="restart"/>
            <w:tcBorders>
              <w:top w:val="single" w:color="auto" w:sz="4" w:space="0"/>
            </w:tcBorders>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每1000m</w:t>
            </w:r>
            <w:r>
              <w:rPr>
                <w:rFonts w:hint="eastAsia" w:asciiTheme="minorEastAsia" w:hAnsiTheme="minorEastAsia" w:eastAsiaTheme="minorEastAsia" w:cstheme="minorEastAsia"/>
                <w:sz w:val="18"/>
                <w:szCs w:val="18"/>
                <w:vertAlign w:val="superscript"/>
              </w:rPr>
              <w:t>2</w:t>
            </w:r>
            <w:r>
              <w:rPr>
                <w:rFonts w:hint="eastAsia" w:asciiTheme="minorEastAsia" w:hAnsiTheme="minorEastAsia" w:eastAsiaTheme="minorEastAsia" w:cstheme="minorEastAsia"/>
                <w:sz w:val="18"/>
                <w:szCs w:val="18"/>
              </w:rPr>
              <w:t>，2点</w:t>
            </w:r>
          </w:p>
        </w:tc>
        <w:tc>
          <w:tcPr>
            <w:tcW w:w="1984" w:type="dxa"/>
            <w:tcBorders>
              <w:top w:val="single" w:color="auto" w:sz="4" w:space="0"/>
            </w:tcBorders>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≥90％且≤93%</w:t>
            </w:r>
          </w:p>
        </w:tc>
        <w:tc>
          <w:tcPr>
            <w:tcW w:w="1843" w:type="dxa"/>
            <w:tcBorders>
              <w:top w:val="single" w:color="auto" w:sz="4" w:space="0"/>
            </w:tcBorders>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环刀法或灌砂法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 w:hRule="atLeast"/>
          <w:jc w:val="center"/>
        </w:trPr>
        <w:tc>
          <w:tcPr>
            <w:tcW w:w="689" w:type="dxa"/>
            <w:vMerge w:val="continue"/>
            <w:tcBorders>
              <w:top w:val="single" w:color="auto" w:sz="4" w:space="0"/>
            </w:tcBorders>
            <w:vAlign w:val="center"/>
          </w:tcPr>
          <w:p>
            <w:pPr>
              <w:pStyle w:val="28"/>
              <w:ind w:firstLine="0" w:firstLineChars="0"/>
              <w:jc w:val="center"/>
              <w:rPr>
                <w:rFonts w:asciiTheme="minorEastAsia" w:hAnsiTheme="minorEastAsia" w:eastAsiaTheme="minorEastAsia" w:cstheme="minorEastAsia"/>
                <w:sz w:val="18"/>
                <w:szCs w:val="18"/>
              </w:rPr>
            </w:pPr>
          </w:p>
        </w:tc>
        <w:tc>
          <w:tcPr>
            <w:tcW w:w="1510"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149" w:type="dxa"/>
            <w:tcBorders>
              <w:top w:val="single" w:color="auto" w:sz="4" w:space="0"/>
            </w:tcBorders>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坑底标高</w:t>
            </w:r>
          </w:p>
        </w:tc>
        <w:tc>
          <w:tcPr>
            <w:tcW w:w="1609"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984" w:type="dxa"/>
            <w:tcBorders>
              <w:top w:val="single" w:color="auto" w:sz="4" w:space="0"/>
            </w:tcBorders>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±20mm</w:t>
            </w:r>
          </w:p>
        </w:tc>
        <w:tc>
          <w:tcPr>
            <w:tcW w:w="1843" w:type="dxa"/>
            <w:vMerge w:val="restart"/>
            <w:tcBorders>
              <w:top w:val="single" w:color="auto" w:sz="4" w:space="0"/>
            </w:tcBorders>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见DB11T 1888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 w:hRule="atLeast"/>
          <w:jc w:val="center"/>
        </w:trPr>
        <w:tc>
          <w:tcPr>
            <w:tcW w:w="689" w:type="dxa"/>
            <w:vMerge w:val="continue"/>
            <w:tcBorders>
              <w:top w:val="single" w:color="auto" w:sz="4" w:space="0"/>
            </w:tcBorders>
            <w:vAlign w:val="center"/>
          </w:tcPr>
          <w:p>
            <w:pPr>
              <w:pStyle w:val="28"/>
              <w:ind w:firstLine="0" w:firstLineChars="0"/>
              <w:jc w:val="center"/>
              <w:rPr>
                <w:rFonts w:asciiTheme="minorEastAsia" w:hAnsiTheme="minorEastAsia" w:eastAsiaTheme="minorEastAsia" w:cstheme="minorEastAsia"/>
                <w:sz w:val="18"/>
                <w:szCs w:val="18"/>
              </w:rPr>
            </w:pPr>
          </w:p>
        </w:tc>
        <w:tc>
          <w:tcPr>
            <w:tcW w:w="1510"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149" w:type="dxa"/>
            <w:tcBorders>
              <w:top w:val="single" w:color="auto" w:sz="4" w:space="0"/>
            </w:tcBorders>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回填材料</w:t>
            </w:r>
          </w:p>
        </w:tc>
        <w:tc>
          <w:tcPr>
            <w:tcW w:w="1609"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984" w:type="dxa"/>
            <w:tcBorders>
              <w:top w:val="single" w:color="auto" w:sz="4" w:space="0"/>
            </w:tcBorders>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符合设计要求</w:t>
            </w:r>
          </w:p>
        </w:tc>
        <w:tc>
          <w:tcPr>
            <w:tcW w:w="1843" w:type="dxa"/>
            <w:vMerge w:val="continue"/>
            <w:vAlign w:val="center"/>
          </w:tcPr>
          <w:p>
            <w:pPr>
              <w:pStyle w:val="28"/>
              <w:ind w:firstLine="0" w:firstLineChars="0"/>
              <w:rPr>
                <w:rFonts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 w:hRule="atLeast"/>
          <w:jc w:val="center"/>
        </w:trPr>
        <w:tc>
          <w:tcPr>
            <w:tcW w:w="689" w:type="dxa"/>
            <w:vMerge w:val="continue"/>
            <w:vAlign w:val="center"/>
          </w:tcPr>
          <w:p>
            <w:pPr>
              <w:pStyle w:val="28"/>
              <w:ind w:firstLine="0" w:firstLineChars="0"/>
              <w:jc w:val="center"/>
              <w:rPr>
                <w:rFonts w:asciiTheme="minorEastAsia" w:hAnsiTheme="minorEastAsia" w:eastAsiaTheme="minorEastAsia" w:cstheme="minorEastAsia"/>
                <w:sz w:val="18"/>
                <w:szCs w:val="18"/>
              </w:rPr>
            </w:pPr>
          </w:p>
        </w:tc>
        <w:tc>
          <w:tcPr>
            <w:tcW w:w="1510"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底基层</w:t>
            </w:r>
          </w:p>
        </w:tc>
        <w:tc>
          <w:tcPr>
            <w:tcW w:w="114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压实度</w:t>
            </w:r>
          </w:p>
        </w:tc>
        <w:tc>
          <w:tcPr>
            <w:tcW w:w="160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每1000m</w:t>
            </w:r>
            <w:r>
              <w:rPr>
                <w:rFonts w:hint="eastAsia" w:asciiTheme="minorEastAsia" w:hAnsiTheme="minorEastAsia" w:eastAsiaTheme="minorEastAsia" w:cstheme="minorEastAsia"/>
                <w:sz w:val="18"/>
                <w:szCs w:val="18"/>
                <w:vertAlign w:val="superscript"/>
              </w:rPr>
              <w:t>2</w:t>
            </w:r>
            <w:r>
              <w:rPr>
                <w:rFonts w:hint="eastAsia" w:asciiTheme="minorEastAsia" w:hAnsiTheme="minorEastAsia" w:eastAsiaTheme="minorEastAsia" w:cstheme="minorEastAsia"/>
                <w:sz w:val="18"/>
                <w:szCs w:val="18"/>
              </w:rPr>
              <w:t>，2点</w:t>
            </w:r>
          </w:p>
        </w:tc>
        <w:tc>
          <w:tcPr>
            <w:tcW w:w="1984"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≥95%</w:t>
            </w:r>
          </w:p>
        </w:tc>
        <w:tc>
          <w:tcPr>
            <w:tcW w:w="1843"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环刀法或灌砂法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89" w:type="dxa"/>
            <w:vMerge w:val="continue"/>
            <w:vAlign w:val="center"/>
          </w:tcPr>
          <w:p>
            <w:pPr>
              <w:pStyle w:val="28"/>
              <w:ind w:firstLine="0" w:firstLineChars="0"/>
              <w:jc w:val="center"/>
              <w:rPr>
                <w:rFonts w:asciiTheme="minorEastAsia" w:hAnsiTheme="minorEastAsia" w:eastAsiaTheme="minorEastAsia" w:cstheme="minorEastAsia"/>
                <w:sz w:val="18"/>
                <w:szCs w:val="18"/>
              </w:rPr>
            </w:pPr>
          </w:p>
        </w:tc>
        <w:tc>
          <w:tcPr>
            <w:tcW w:w="1510"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级配碎石基层</w:t>
            </w:r>
          </w:p>
        </w:tc>
        <w:tc>
          <w:tcPr>
            <w:tcW w:w="114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压实度</w:t>
            </w:r>
          </w:p>
        </w:tc>
        <w:tc>
          <w:tcPr>
            <w:tcW w:w="160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每1000m</w:t>
            </w:r>
            <w:r>
              <w:rPr>
                <w:rFonts w:hint="eastAsia" w:asciiTheme="minorEastAsia" w:hAnsiTheme="minorEastAsia" w:eastAsiaTheme="minorEastAsia" w:cstheme="minorEastAsia"/>
                <w:sz w:val="18"/>
                <w:szCs w:val="18"/>
                <w:vertAlign w:val="superscript"/>
              </w:rPr>
              <w:t>2</w:t>
            </w:r>
            <w:r>
              <w:rPr>
                <w:rFonts w:hint="eastAsia" w:asciiTheme="minorEastAsia" w:hAnsiTheme="minorEastAsia" w:eastAsiaTheme="minorEastAsia" w:cstheme="minorEastAsia"/>
                <w:sz w:val="18"/>
                <w:szCs w:val="18"/>
              </w:rPr>
              <w:t>，2点</w:t>
            </w:r>
          </w:p>
        </w:tc>
        <w:tc>
          <w:tcPr>
            <w:tcW w:w="1984"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≥95％</w:t>
            </w:r>
          </w:p>
        </w:tc>
        <w:tc>
          <w:tcPr>
            <w:tcW w:w="1843"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振动台法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89" w:type="dxa"/>
            <w:vMerge w:val="restart"/>
            <w:vAlign w:val="center"/>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510" w:type="dxa"/>
            <w:vMerge w:val="restart"/>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透水混凝土基层</w:t>
            </w:r>
          </w:p>
        </w:tc>
        <w:tc>
          <w:tcPr>
            <w:tcW w:w="114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透水性能</w:t>
            </w:r>
          </w:p>
        </w:tc>
        <w:tc>
          <w:tcPr>
            <w:tcW w:w="160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每500m</w:t>
            </w:r>
            <w:r>
              <w:rPr>
                <w:rFonts w:hint="eastAsia" w:asciiTheme="minorEastAsia" w:hAnsiTheme="minorEastAsia" w:eastAsiaTheme="minorEastAsia" w:cstheme="minorEastAsia"/>
                <w:sz w:val="18"/>
                <w:szCs w:val="18"/>
                <w:vertAlign w:val="superscript"/>
              </w:rPr>
              <w:t>2</w:t>
            </w:r>
            <w:r>
              <w:rPr>
                <w:rFonts w:hint="eastAsia" w:asciiTheme="minorEastAsia" w:hAnsiTheme="minorEastAsia" w:eastAsiaTheme="minorEastAsia" w:cstheme="minorEastAsia"/>
                <w:sz w:val="18"/>
                <w:szCs w:val="18"/>
              </w:rPr>
              <w:t>，3点</w:t>
            </w:r>
          </w:p>
        </w:tc>
        <w:tc>
          <w:tcPr>
            <w:tcW w:w="1984"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符合设计要求且≥0.15mm/s</w:t>
            </w:r>
          </w:p>
        </w:tc>
        <w:tc>
          <w:tcPr>
            <w:tcW w:w="1843"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CJJT 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89" w:type="dxa"/>
            <w:vMerge w:val="continue"/>
            <w:vAlign w:val="center"/>
          </w:tcPr>
          <w:p>
            <w:pPr>
              <w:pStyle w:val="28"/>
              <w:ind w:firstLine="0" w:firstLineChars="0"/>
              <w:jc w:val="center"/>
              <w:rPr>
                <w:rFonts w:asciiTheme="minorEastAsia" w:hAnsiTheme="minorEastAsia" w:eastAsiaTheme="minorEastAsia" w:cstheme="minorEastAsia"/>
                <w:sz w:val="18"/>
                <w:szCs w:val="18"/>
              </w:rPr>
            </w:pPr>
          </w:p>
        </w:tc>
        <w:tc>
          <w:tcPr>
            <w:tcW w:w="1510"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14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强度</w:t>
            </w:r>
          </w:p>
        </w:tc>
        <w:tc>
          <w:tcPr>
            <w:tcW w:w="160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每100m</w:t>
            </w:r>
            <w:r>
              <w:rPr>
                <w:rFonts w:hint="eastAsia" w:asciiTheme="minorEastAsia" w:hAnsiTheme="minorEastAsia" w:eastAsiaTheme="minorEastAsia" w:cstheme="minorEastAsia"/>
                <w:sz w:val="18"/>
                <w:szCs w:val="18"/>
                <w:vertAlign w:val="superscript"/>
              </w:rPr>
              <w:t>3</w:t>
            </w:r>
            <w:r>
              <w:rPr>
                <w:rFonts w:hint="eastAsia" w:asciiTheme="minorEastAsia" w:hAnsiTheme="minorEastAsia" w:eastAsiaTheme="minorEastAsia" w:cstheme="minorEastAsia"/>
                <w:sz w:val="18"/>
                <w:szCs w:val="18"/>
              </w:rPr>
              <w:t>，1次</w:t>
            </w:r>
          </w:p>
        </w:tc>
        <w:tc>
          <w:tcPr>
            <w:tcW w:w="1984"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符合设计要求</w:t>
            </w:r>
          </w:p>
        </w:tc>
        <w:tc>
          <w:tcPr>
            <w:tcW w:w="1843"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CJJT 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89" w:type="dxa"/>
            <w:vMerge w:val="continue"/>
            <w:vAlign w:val="center"/>
          </w:tcPr>
          <w:p>
            <w:pPr>
              <w:pStyle w:val="28"/>
              <w:ind w:firstLine="0" w:firstLineChars="0"/>
              <w:jc w:val="center"/>
              <w:rPr>
                <w:rFonts w:asciiTheme="minorEastAsia" w:hAnsiTheme="minorEastAsia" w:eastAsiaTheme="minorEastAsia" w:cstheme="minorEastAsia"/>
                <w:sz w:val="18"/>
                <w:szCs w:val="18"/>
              </w:rPr>
            </w:pPr>
          </w:p>
        </w:tc>
        <w:tc>
          <w:tcPr>
            <w:tcW w:w="1510"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14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厚度</w:t>
            </w:r>
          </w:p>
        </w:tc>
        <w:tc>
          <w:tcPr>
            <w:tcW w:w="160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每500m</w:t>
            </w:r>
            <w:r>
              <w:rPr>
                <w:rFonts w:hint="eastAsia" w:asciiTheme="minorEastAsia" w:hAnsiTheme="minorEastAsia" w:eastAsiaTheme="minorEastAsia" w:cstheme="minorEastAsia"/>
                <w:sz w:val="18"/>
                <w:szCs w:val="18"/>
                <w:vertAlign w:val="superscript"/>
              </w:rPr>
              <w:t>2</w:t>
            </w:r>
            <w:r>
              <w:rPr>
                <w:rFonts w:hint="eastAsia" w:asciiTheme="minorEastAsia" w:hAnsiTheme="minorEastAsia" w:eastAsiaTheme="minorEastAsia" w:cstheme="minorEastAsia"/>
                <w:sz w:val="18"/>
                <w:szCs w:val="18"/>
              </w:rPr>
              <w:t>，3点</w:t>
            </w:r>
          </w:p>
        </w:tc>
        <w:tc>
          <w:tcPr>
            <w:tcW w:w="1984"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符合设计要求且≤5mm</w:t>
            </w:r>
          </w:p>
        </w:tc>
        <w:tc>
          <w:tcPr>
            <w:tcW w:w="1843"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钢尺量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89" w:type="dxa"/>
            <w:vMerge w:val="restart"/>
            <w:vAlign w:val="center"/>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510" w:type="dxa"/>
            <w:vMerge w:val="restart"/>
            <w:vAlign w:val="center"/>
          </w:tcPr>
          <w:p>
            <w:pPr>
              <w:pStyle w:val="28"/>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透水砖</w:t>
            </w:r>
          </w:p>
        </w:tc>
        <w:tc>
          <w:tcPr>
            <w:tcW w:w="114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透水性能</w:t>
            </w:r>
          </w:p>
        </w:tc>
        <w:tc>
          <w:tcPr>
            <w:tcW w:w="1609" w:type="dxa"/>
            <w:vMerge w:val="restart"/>
            <w:vAlign w:val="center"/>
          </w:tcPr>
          <w:p>
            <w:pPr>
              <w:pStyle w:val="28"/>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每批，1组</w:t>
            </w:r>
          </w:p>
        </w:tc>
        <w:tc>
          <w:tcPr>
            <w:tcW w:w="1984" w:type="dxa"/>
            <w:vMerge w:val="restart"/>
            <w:vAlign w:val="center"/>
          </w:tcPr>
          <w:p>
            <w:pPr>
              <w:pStyle w:val="28"/>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符合设计要求</w:t>
            </w:r>
          </w:p>
        </w:tc>
        <w:tc>
          <w:tcPr>
            <w:tcW w:w="1843"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见GBT 25993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89" w:type="dxa"/>
            <w:vMerge w:val="continue"/>
            <w:vAlign w:val="center"/>
          </w:tcPr>
          <w:p>
            <w:pPr>
              <w:pStyle w:val="28"/>
              <w:ind w:firstLine="0" w:firstLineChars="0"/>
              <w:jc w:val="center"/>
              <w:rPr>
                <w:rFonts w:asciiTheme="minorEastAsia" w:hAnsiTheme="minorEastAsia" w:eastAsiaTheme="minorEastAsia" w:cstheme="minorEastAsia"/>
                <w:sz w:val="18"/>
                <w:szCs w:val="18"/>
              </w:rPr>
            </w:pPr>
          </w:p>
        </w:tc>
        <w:tc>
          <w:tcPr>
            <w:tcW w:w="1510"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14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抗压强度</w:t>
            </w:r>
          </w:p>
        </w:tc>
        <w:tc>
          <w:tcPr>
            <w:tcW w:w="1609"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984"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843" w:type="dxa"/>
            <w:vMerge w:val="restart"/>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见GB 28635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89" w:type="dxa"/>
            <w:vMerge w:val="continue"/>
            <w:vAlign w:val="center"/>
          </w:tcPr>
          <w:p>
            <w:pPr>
              <w:pStyle w:val="28"/>
              <w:ind w:firstLine="0" w:firstLineChars="0"/>
              <w:jc w:val="center"/>
              <w:rPr>
                <w:rFonts w:asciiTheme="minorEastAsia" w:hAnsiTheme="minorEastAsia" w:eastAsiaTheme="minorEastAsia" w:cstheme="minorEastAsia"/>
                <w:sz w:val="18"/>
                <w:szCs w:val="18"/>
              </w:rPr>
            </w:pPr>
          </w:p>
        </w:tc>
        <w:tc>
          <w:tcPr>
            <w:tcW w:w="1510"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14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抗折强度</w:t>
            </w:r>
          </w:p>
        </w:tc>
        <w:tc>
          <w:tcPr>
            <w:tcW w:w="1609"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984"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843" w:type="dxa"/>
            <w:vMerge w:val="continue"/>
            <w:vAlign w:val="center"/>
          </w:tcPr>
          <w:p>
            <w:pPr>
              <w:pStyle w:val="28"/>
              <w:ind w:firstLine="0" w:firstLineChars="0"/>
              <w:rPr>
                <w:rFonts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89" w:type="dxa"/>
            <w:vMerge w:val="continue"/>
            <w:vAlign w:val="center"/>
          </w:tcPr>
          <w:p>
            <w:pPr>
              <w:pStyle w:val="28"/>
              <w:ind w:firstLine="0" w:firstLineChars="0"/>
              <w:jc w:val="center"/>
              <w:rPr>
                <w:rFonts w:asciiTheme="minorEastAsia" w:hAnsiTheme="minorEastAsia" w:eastAsiaTheme="minorEastAsia" w:cstheme="minorEastAsia"/>
                <w:sz w:val="18"/>
                <w:szCs w:val="18"/>
              </w:rPr>
            </w:pPr>
          </w:p>
        </w:tc>
        <w:tc>
          <w:tcPr>
            <w:tcW w:w="1510"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14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劈裂抗拉强度</w:t>
            </w:r>
          </w:p>
        </w:tc>
        <w:tc>
          <w:tcPr>
            <w:tcW w:w="1609"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984"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843"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见GBT 25993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89" w:type="dxa"/>
            <w:vMerge w:val="restart"/>
            <w:vAlign w:val="center"/>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510" w:type="dxa"/>
            <w:vMerge w:val="restart"/>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互嵌式缝隙透水砖</w:t>
            </w:r>
          </w:p>
        </w:tc>
        <w:tc>
          <w:tcPr>
            <w:tcW w:w="114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抗压强度</w:t>
            </w:r>
          </w:p>
        </w:tc>
        <w:tc>
          <w:tcPr>
            <w:tcW w:w="1609" w:type="dxa"/>
            <w:vMerge w:val="restart"/>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每批，1组</w:t>
            </w:r>
          </w:p>
        </w:tc>
        <w:tc>
          <w:tcPr>
            <w:tcW w:w="1984" w:type="dxa"/>
            <w:vMerge w:val="restart"/>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符合要求</w:t>
            </w:r>
          </w:p>
        </w:tc>
        <w:tc>
          <w:tcPr>
            <w:tcW w:w="1843" w:type="dxa"/>
          </w:tcPr>
          <w:p>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见GB 28635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89" w:type="dxa"/>
            <w:vMerge w:val="continue"/>
            <w:vAlign w:val="center"/>
          </w:tcPr>
          <w:p>
            <w:pPr>
              <w:pStyle w:val="28"/>
              <w:ind w:firstLine="0" w:firstLineChars="0"/>
              <w:jc w:val="center"/>
              <w:rPr>
                <w:rFonts w:asciiTheme="minorEastAsia" w:hAnsiTheme="minorEastAsia" w:eastAsiaTheme="minorEastAsia" w:cstheme="minorEastAsia"/>
                <w:sz w:val="18"/>
                <w:szCs w:val="18"/>
              </w:rPr>
            </w:pPr>
          </w:p>
        </w:tc>
        <w:tc>
          <w:tcPr>
            <w:tcW w:w="1510"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14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抗折强度</w:t>
            </w:r>
          </w:p>
        </w:tc>
        <w:tc>
          <w:tcPr>
            <w:tcW w:w="1609"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984"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843" w:type="dxa"/>
          </w:tcPr>
          <w:p>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见GB 28635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89" w:type="dxa"/>
            <w:vMerge w:val="continue"/>
            <w:vAlign w:val="center"/>
          </w:tcPr>
          <w:p>
            <w:pPr>
              <w:pStyle w:val="28"/>
              <w:ind w:firstLine="0" w:firstLineChars="0"/>
              <w:jc w:val="center"/>
              <w:rPr>
                <w:rFonts w:asciiTheme="minorEastAsia" w:hAnsiTheme="minorEastAsia" w:eastAsiaTheme="minorEastAsia" w:cstheme="minorEastAsia"/>
                <w:sz w:val="18"/>
                <w:szCs w:val="18"/>
              </w:rPr>
            </w:pPr>
          </w:p>
        </w:tc>
        <w:tc>
          <w:tcPr>
            <w:tcW w:w="1510"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14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吸水率</w:t>
            </w:r>
          </w:p>
        </w:tc>
        <w:tc>
          <w:tcPr>
            <w:tcW w:w="1609"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984"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843" w:type="dxa"/>
          </w:tcPr>
          <w:p>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见GB 28635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89" w:type="dxa"/>
            <w:vMerge w:val="continue"/>
            <w:vAlign w:val="center"/>
          </w:tcPr>
          <w:p>
            <w:pPr>
              <w:pStyle w:val="28"/>
              <w:ind w:firstLine="0" w:firstLineChars="0"/>
              <w:jc w:val="center"/>
              <w:rPr>
                <w:rFonts w:asciiTheme="minorEastAsia" w:hAnsiTheme="minorEastAsia" w:eastAsiaTheme="minorEastAsia" w:cstheme="minorEastAsia"/>
                <w:sz w:val="18"/>
                <w:szCs w:val="18"/>
              </w:rPr>
            </w:pPr>
          </w:p>
        </w:tc>
        <w:tc>
          <w:tcPr>
            <w:tcW w:w="1510" w:type="dxa"/>
            <w:vMerge w:val="continue"/>
            <w:vAlign w:val="center"/>
          </w:tcPr>
          <w:p>
            <w:pPr>
              <w:pStyle w:val="28"/>
              <w:ind w:firstLine="0" w:firstLineChars="0"/>
              <w:rPr>
                <w:rFonts w:asciiTheme="minorEastAsia" w:hAnsiTheme="minorEastAsia" w:eastAsiaTheme="minorEastAsia" w:cstheme="minorEastAsia"/>
                <w:sz w:val="18"/>
                <w:szCs w:val="18"/>
              </w:rPr>
            </w:pPr>
          </w:p>
        </w:tc>
        <w:tc>
          <w:tcPr>
            <w:tcW w:w="114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透水性能</w:t>
            </w:r>
          </w:p>
        </w:tc>
        <w:tc>
          <w:tcPr>
            <w:tcW w:w="1609"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现场测试，2处</w:t>
            </w:r>
          </w:p>
        </w:tc>
        <w:tc>
          <w:tcPr>
            <w:tcW w:w="1984"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符合设计要求且≥0.2mm/s</w:t>
            </w:r>
          </w:p>
        </w:tc>
        <w:tc>
          <w:tcPr>
            <w:tcW w:w="1843" w:type="dxa"/>
          </w:tcPr>
          <w:p>
            <w:pPr>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见GB/T50123</w:t>
            </w:r>
          </w:p>
        </w:tc>
      </w:tr>
      <w:bookmarkEnd w:id="72"/>
    </w:tbl>
    <w:p>
      <w:pPr>
        <w:pStyle w:val="75"/>
        <w:numPr>
          <w:ilvl w:val="1"/>
          <w:numId w:val="2"/>
        </w:numPr>
        <w:spacing w:before="156" w:after="156"/>
        <w:rPr>
          <w:rFonts w:ascii="Times New Roman"/>
        </w:rPr>
      </w:pPr>
      <w:bookmarkStart w:id="75" w:name="_Toc106212271"/>
      <w:bookmarkStart w:id="76" w:name="_Hlk86573916"/>
      <w:bookmarkStart w:id="77" w:name="_Toc87209358"/>
      <w:r>
        <w:rPr>
          <w:rFonts w:hint="eastAsia" w:ascii="Times New Roman"/>
        </w:rPr>
        <w:t>一般项目</w:t>
      </w:r>
      <w:bookmarkEnd w:id="75"/>
      <w:r>
        <w:rPr>
          <w:rFonts w:ascii="Times New Roman"/>
        </w:rPr>
        <w:t xml:space="preserve"> </w:t>
      </w:r>
    </w:p>
    <w:p>
      <w:pPr>
        <w:pStyle w:val="78"/>
        <w:numPr>
          <w:ilvl w:val="2"/>
          <w:numId w:val="2"/>
        </w:numPr>
        <w:rPr>
          <w:rFonts w:ascii="Times New Roman"/>
        </w:rPr>
      </w:pPr>
      <w:r>
        <w:rPr>
          <w:rFonts w:hint="eastAsia" w:ascii="Times New Roman"/>
        </w:rPr>
        <w:t>透水砖铺砌应平整稳固，不应有翘动现象。灌缝饱满，缝隙一致。</w:t>
      </w:r>
    </w:p>
    <w:p>
      <w:pPr>
        <w:pStyle w:val="78"/>
        <w:numPr>
          <w:ilvl w:val="2"/>
          <w:numId w:val="2"/>
        </w:numPr>
        <w:rPr>
          <w:rFonts w:ascii="Times New Roman"/>
        </w:rPr>
      </w:pPr>
      <w:r>
        <w:rPr>
          <w:rFonts w:hint="eastAsia" w:ascii="Times New Roman"/>
        </w:rPr>
        <w:t>透水砖表面应整洁美观，砌缝直顺。</w:t>
      </w:r>
    </w:p>
    <w:p>
      <w:pPr>
        <w:pStyle w:val="78"/>
        <w:numPr>
          <w:ilvl w:val="2"/>
          <w:numId w:val="2"/>
        </w:numPr>
        <w:rPr>
          <w:rFonts w:ascii="Times New Roman"/>
        </w:rPr>
      </w:pPr>
      <w:r>
        <w:rPr>
          <w:rFonts w:hint="eastAsia" w:ascii="Times New Roman"/>
        </w:rPr>
        <w:t>透水砖与路缘石及其它构筑物应接顺，不应有反坡、积水现象。</w:t>
      </w:r>
    </w:p>
    <w:p>
      <w:pPr>
        <w:pStyle w:val="78"/>
        <w:numPr>
          <w:ilvl w:val="2"/>
          <w:numId w:val="2"/>
        </w:numPr>
        <w:rPr>
          <w:rFonts w:ascii="Times New Roman"/>
        </w:rPr>
      </w:pPr>
      <w:r>
        <w:rPr>
          <w:rFonts w:hint="eastAsia" w:ascii="Times New Roman"/>
        </w:rPr>
        <w:t>透水砖表面的坡度应符合设计要求。</w:t>
      </w:r>
    </w:p>
    <w:p>
      <w:pPr>
        <w:pStyle w:val="78"/>
        <w:numPr>
          <w:ilvl w:val="2"/>
          <w:numId w:val="2"/>
        </w:numPr>
        <w:rPr>
          <w:rFonts w:ascii="Times New Roman"/>
        </w:rPr>
      </w:pPr>
      <w:r>
        <w:rPr>
          <w:rFonts w:hint="eastAsia" w:ascii="Times New Roman"/>
        </w:rPr>
        <w:t>透水砖路面施工一般项目允许偏差值应符合表6要求。</w:t>
      </w:r>
    </w:p>
    <w:p>
      <w:pPr>
        <w:pStyle w:val="84"/>
        <w:numPr>
          <w:ilvl w:val="0"/>
          <w:numId w:val="0"/>
        </w:numPr>
      </w:pPr>
      <w:r>
        <w:rPr>
          <w:rFonts w:hint="eastAsia"/>
        </w:rPr>
        <w:t>表6 面层检查数量和合格标准值</w:t>
      </w:r>
    </w:p>
    <w:tbl>
      <w:tblPr>
        <w:tblStyle w:val="19"/>
        <w:tblW w:w="9422" w:type="dxa"/>
        <w:tblInd w:w="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5"/>
        <w:gridCol w:w="1722"/>
        <w:gridCol w:w="1673"/>
        <w:gridCol w:w="1922"/>
        <w:gridCol w:w="2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65" w:type="dxa"/>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722" w:type="dxa"/>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w:t>
            </w:r>
          </w:p>
        </w:tc>
        <w:tc>
          <w:tcPr>
            <w:tcW w:w="1673" w:type="dxa"/>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频率</w:t>
            </w:r>
          </w:p>
        </w:tc>
        <w:tc>
          <w:tcPr>
            <w:tcW w:w="1922" w:type="dxa"/>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允许偏差</w:t>
            </w:r>
          </w:p>
        </w:tc>
        <w:tc>
          <w:tcPr>
            <w:tcW w:w="2940" w:type="dxa"/>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检查方法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65" w:type="dxa"/>
            <w:vAlign w:val="center"/>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722"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表面平整度</w:t>
            </w:r>
          </w:p>
        </w:tc>
        <w:tc>
          <w:tcPr>
            <w:tcW w:w="1673"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每20m，1处</w:t>
            </w:r>
          </w:p>
        </w:tc>
        <w:tc>
          <w:tcPr>
            <w:tcW w:w="1922"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≤5mm</w:t>
            </w:r>
          </w:p>
        </w:tc>
        <w:tc>
          <w:tcPr>
            <w:tcW w:w="2940"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3m靠尺和楔形塞尺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65" w:type="dxa"/>
            <w:vAlign w:val="center"/>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722"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宽度</w:t>
            </w:r>
          </w:p>
        </w:tc>
        <w:tc>
          <w:tcPr>
            <w:tcW w:w="1673"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每40m，1处</w:t>
            </w:r>
          </w:p>
        </w:tc>
        <w:tc>
          <w:tcPr>
            <w:tcW w:w="1922"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不小于设计规定</w:t>
            </w:r>
          </w:p>
        </w:tc>
        <w:tc>
          <w:tcPr>
            <w:tcW w:w="2940"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钢尺量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65" w:type="dxa"/>
            <w:vAlign w:val="center"/>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722"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相邻块高差</w:t>
            </w:r>
          </w:p>
        </w:tc>
        <w:tc>
          <w:tcPr>
            <w:tcW w:w="1673"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每20m，1处</w:t>
            </w:r>
          </w:p>
        </w:tc>
        <w:tc>
          <w:tcPr>
            <w:tcW w:w="1922"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≤2mm</w:t>
            </w:r>
          </w:p>
        </w:tc>
        <w:tc>
          <w:tcPr>
            <w:tcW w:w="2940"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钢尺和楔形塞尺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65" w:type="dxa"/>
            <w:vAlign w:val="center"/>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722"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横坡</w:t>
            </w:r>
          </w:p>
        </w:tc>
        <w:tc>
          <w:tcPr>
            <w:tcW w:w="1673"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每20m，1处</w:t>
            </w:r>
          </w:p>
        </w:tc>
        <w:tc>
          <w:tcPr>
            <w:tcW w:w="1922"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±0.3％</w:t>
            </w:r>
          </w:p>
        </w:tc>
        <w:tc>
          <w:tcPr>
            <w:tcW w:w="2940"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水准仪测量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65" w:type="dxa"/>
            <w:vAlign w:val="center"/>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722"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纵缝直顺度</w:t>
            </w:r>
          </w:p>
        </w:tc>
        <w:tc>
          <w:tcPr>
            <w:tcW w:w="1673"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每40m，1处</w:t>
            </w:r>
          </w:p>
        </w:tc>
        <w:tc>
          <w:tcPr>
            <w:tcW w:w="1922"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≤10mm</w:t>
            </w:r>
          </w:p>
        </w:tc>
        <w:tc>
          <w:tcPr>
            <w:tcW w:w="2940"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拉5m线和用钢尺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65" w:type="dxa"/>
            <w:vAlign w:val="center"/>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722"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横缝直顺度</w:t>
            </w:r>
          </w:p>
        </w:tc>
        <w:tc>
          <w:tcPr>
            <w:tcW w:w="1673"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每20m，1处</w:t>
            </w:r>
          </w:p>
        </w:tc>
        <w:tc>
          <w:tcPr>
            <w:tcW w:w="1922"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≤10mm</w:t>
            </w:r>
          </w:p>
        </w:tc>
        <w:tc>
          <w:tcPr>
            <w:tcW w:w="2940"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拉5m线和用钢尺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65" w:type="dxa"/>
            <w:vAlign w:val="center"/>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722"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缝宽</w:t>
            </w:r>
          </w:p>
        </w:tc>
        <w:tc>
          <w:tcPr>
            <w:tcW w:w="1673"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每20m，1处</w:t>
            </w:r>
          </w:p>
        </w:tc>
        <w:tc>
          <w:tcPr>
            <w:tcW w:w="1922"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≤2mm</w:t>
            </w:r>
          </w:p>
        </w:tc>
        <w:tc>
          <w:tcPr>
            <w:tcW w:w="2940"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钢尺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65" w:type="dxa"/>
            <w:vAlign w:val="center"/>
          </w:tcPr>
          <w:p>
            <w:pPr>
              <w:pStyle w:val="28"/>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722"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井框与路面高差</w:t>
            </w:r>
          </w:p>
        </w:tc>
        <w:tc>
          <w:tcPr>
            <w:tcW w:w="1673"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每座4处</w:t>
            </w:r>
          </w:p>
        </w:tc>
        <w:tc>
          <w:tcPr>
            <w:tcW w:w="1922"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≤5mm</w:t>
            </w:r>
          </w:p>
        </w:tc>
        <w:tc>
          <w:tcPr>
            <w:tcW w:w="2940" w:type="dxa"/>
            <w:vAlign w:val="center"/>
          </w:tcPr>
          <w:p>
            <w:pPr>
              <w:pStyle w:val="28"/>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钢尺和楔形塞尺</w:t>
            </w:r>
          </w:p>
        </w:tc>
      </w:tr>
      <w:bookmarkEnd w:id="76"/>
      <w:bookmarkEnd w:id="77"/>
    </w:tbl>
    <w:p>
      <w:pPr>
        <w:pStyle w:val="49"/>
        <w:numPr>
          <w:ilvl w:val="0"/>
          <w:numId w:val="2"/>
        </w:numPr>
        <w:spacing w:before="312" w:after="312"/>
        <w:rPr>
          <w:rFonts w:ascii="Times New Roman"/>
        </w:rPr>
      </w:pPr>
      <w:bookmarkStart w:id="78" w:name="_Toc103272332"/>
      <w:bookmarkEnd w:id="78"/>
      <w:bookmarkStart w:id="79" w:name="_Toc103272333"/>
      <w:bookmarkEnd w:id="79"/>
      <w:bookmarkStart w:id="80" w:name="_Toc103272344"/>
      <w:bookmarkEnd w:id="80"/>
      <w:bookmarkStart w:id="81" w:name="_Toc103272334"/>
      <w:bookmarkEnd w:id="81"/>
      <w:bookmarkStart w:id="82" w:name="_Toc103272347"/>
      <w:bookmarkEnd w:id="82"/>
      <w:bookmarkStart w:id="83" w:name="_Toc103272340"/>
      <w:bookmarkEnd w:id="83"/>
      <w:bookmarkStart w:id="84" w:name="_Toc103272341"/>
      <w:bookmarkEnd w:id="84"/>
      <w:bookmarkStart w:id="85" w:name="_Toc103272335"/>
      <w:bookmarkEnd w:id="85"/>
      <w:bookmarkStart w:id="86" w:name="_Toc103272336"/>
      <w:bookmarkEnd w:id="86"/>
      <w:bookmarkStart w:id="87" w:name="_Toc103272338"/>
      <w:bookmarkEnd w:id="87"/>
      <w:bookmarkStart w:id="88" w:name="_Toc103272339"/>
      <w:bookmarkEnd w:id="88"/>
      <w:bookmarkStart w:id="89" w:name="_Toc103272342"/>
      <w:bookmarkEnd w:id="89"/>
      <w:bookmarkStart w:id="90" w:name="_Toc103272343"/>
      <w:bookmarkEnd w:id="90"/>
      <w:bookmarkStart w:id="91" w:name="_Toc103272337"/>
      <w:bookmarkEnd w:id="91"/>
      <w:bookmarkStart w:id="92" w:name="_Toc103272374"/>
      <w:bookmarkEnd w:id="92"/>
      <w:bookmarkStart w:id="93" w:name="_Toc103272368"/>
      <w:bookmarkEnd w:id="93"/>
      <w:bookmarkStart w:id="94" w:name="_Toc103272364"/>
      <w:bookmarkEnd w:id="94"/>
      <w:bookmarkStart w:id="95" w:name="_Toc103272370"/>
      <w:bookmarkEnd w:id="95"/>
      <w:bookmarkStart w:id="96" w:name="_Toc103272363"/>
      <w:bookmarkEnd w:id="96"/>
      <w:bookmarkStart w:id="97" w:name="_Toc103272372"/>
      <w:bookmarkEnd w:id="97"/>
      <w:bookmarkStart w:id="98" w:name="_Toc103272371"/>
      <w:bookmarkEnd w:id="98"/>
      <w:bookmarkStart w:id="99" w:name="_Toc103272367"/>
      <w:bookmarkEnd w:id="99"/>
      <w:bookmarkStart w:id="100" w:name="_Toc103272365"/>
      <w:bookmarkEnd w:id="100"/>
      <w:bookmarkStart w:id="101" w:name="_Toc103272373"/>
      <w:bookmarkEnd w:id="101"/>
      <w:bookmarkStart w:id="102" w:name="_Toc103272369"/>
      <w:bookmarkEnd w:id="102"/>
      <w:bookmarkStart w:id="103" w:name="_Toc103272359"/>
      <w:bookmarkEnd w:id="103"/>
      <w:bookmarkStart w:id="104" w:name="_Toc103272362"/>
      <w:bookmarkEnd w:id="104"/>
      <w:bookmarkStart w:id="105" w:name="_Toc103272366"/>
      <w:bookmarkEnd w:id="105"/>
      <w:bookmarkStart w:id="106" w:name="_Toc103272357"/>
      <w:bookmarkEnd w:id="106"/>
      <w:bookmarkStart w:id="107" w:name="_Toc103272356"/>
      <w:bookmarkEnd w:id="107"/>
      <w:bookmarkStart w:id="108" w:name="_Toc103272355"/>
      <w:bookmarkEnd w:id="108"/>
      <w:bookmarkStart w:id="109" w:name="_Toc103272360"/>
      <w:bookmarkEnd w:id="109"/>
      <w:bookmarkStart w:id="110" w:name="_Toc103272358"/>
      <w:bookmarkEnd w:id="110"/>
      <w:bookmarkStart w:id="111" w:name="_Toc103272361"/>
      <w:bookmarkEnd w:id="111"/>
      <w:bookmarkStart w:id="112" w:name="_Toc103272318"/>
      <w:bookmarkEnd w:id="112"/>
      <w:bookmarkStart w:id="113" w:name="_Toc103272319"/>
      <w:bookmarkEnd w:id="113"/>
      <w:bookmarkStart w:id="114" w:name="_Toc103272330"/>
      <w:bookmarkEnd w:id="114"/>
      <w:bookmarkStart w:id="115" w:name="_Toc103272320"/>
      <w:bookmarkEnd w:id="115"/>
      <w:bookmarkStart w:id="116" w:name="_Toc103272331"/>
      <w:bookmarkEnd w:id="116"/>
      <w:bookmarkStart w:id="117" w:name="_Toc103272326"/>
      <w:bookmarkEnd w:id="117"/>
      <w:bookmarkStart w:id="118" w:name="_Toc103272327"/>
      <w:bookmarkEnd w:id="118"/>
      <w:bookmarkStart w:id="119" w:name="_Toc103272321"/>
      <w:bookmarkEnd w:id="119"/>
      <w:bookmarkStart w:id="120" w:name="_Toc103272322"/>
      <w:bookmarkEnd w:id="120"/>
      <w:bookmarkStart w:id="121" w:name="_Toc103272324"/>
      <w:bookmarkEnd w:id="121"/>
      <w:bookmarkStart w:id="122" w:name="_Toc103272325"/>
      <w:bookmarkEnd w:id="122"/>
      <w:bookmarkStart w:id="123" w:name="_Toc103272328"/>
      <w:bookmarkEnd w:id="123"/>
      <w:bookmarkStart w:id="124" w:name="_Toc103272329"/>
      <w:bookmarkEnd w:id="124"/>
      <w:bookmarkStart w:id="125" w:name="_Toc103272323"/>
      <w:bookmarkEnd w:id="125"/>
      <w:bookmarkStart w:id="126" w:name="_Toc103272304"/>
      <w:bookmarkEnd w:id="126"/>
      <w:bookmarkStart w:id="127" w:name="_Toc103272305"/>
      <w:bookmarkEnd w:id="127"/>
      <w:bookmarkStart w:id="128" w:name="_Toc103272316"/>
      <w:bookmarkEnd w:id="128"/>
      <w:bookmarkStart w:id="129" w:name="_Toc103272306"/>
      <w:bookmarkEnd w:id="129"/>
      <w:bookmarkStart w:id="130" w:name="_Toc103272317"/>
      <w:bookmarkEnd w:id="130"/>
      <w:bookmarkStart w:id="131" w:name="_Toc103272312"/>
      <w:bookmarkEnd w:id="131"/>
      <w:bookmarkStart w:id="132" w:name="_Toc103272313"/>
      <w:bookmarkEnd w:id="132"/>
      <w:bookmarkStart w:id="133" w:name="_Toc103272307"/>
      <w:bookmarkEnd w:id="133"/>
      <w:bookmarkStart w:id="134" w:name="_Toc103272308"/>
      <w:bookmarkEnd w:id="134"/>
      <w:bookmarkStart w:id="135" w:name="_Toc103272310"/>
      <w:bookmarkEnd w:id="135"/>
      <w:bookmarkStart w:id="136" w:name="_Toc103272311"/>
      <w:bookmarkEnd w:id="136"/>
      <w:bookmarkStart w:id="137" w:name="_Toc103272314"/>
      <w:bookmarkEnd w:id="137"/>
      <w:bookmarkStart w:id="138" w:name="_Toc103272315"/>
      <w:bookmarkEnd w:id="138"/>
      <w:bookmarkStart w:id="139" w:name="_Toc103272309"/>
      <w:bookmarkEnd w:id="139"/>
      <w:bookmarkStart w:id="140" w:name="_Toc103272301"/>
      <w:bookmarkEnd w:id="140"/>
      <w:bookmarkStart w:id="141" w:name="_Toc103272303"/>
      <w:bookmarkEnd w:id="141"/>
      <w:bookmarkStart w:id="142" w:name="_Toc103272345"/>
      <w:bookmarkEnd w:id="142"/>
      <w:bookmarkStart w:id="143" w:name="_Toc103272298"/>
      <w:bookmarkEnd w:id="143"/>
      <w:bookmarkStart w:id="144" w:name="_Toc103272346"/>
      <w:bookmarkEnd w:id="144"/>
      <w:bookmarkStart w:id="145" w:name="_Toc103272299"/>
      <w:bookmarkEnd w:id="145"/>
      <w:bookmarkStart w:id="146" w:name="_Toc103272300"/>
      <w:bookmarkEnd w:id="146"/>
      <w:bookmarkStart w:id="147" w:name="_Toc106212272"/>
      <w:r>
        <w:rPr>
          <w:rFonts w:hint="eastAsia" w:ascii="Times New Roman"/>
        </w:rPr>
        <w:t>运行</w:t>
      </w:r>
      <w:r>
        <w:rPr>
          <w:rFonts w:ascii="Times New Roman"/>
        </w:rPr>
        <w:t>维护</w:t>
      </w:r>
      <w:bookmarkEnd w:id="147"/>
    </w:p>
    <w:p>
      <w:pPr>
        <w:pStyle w:val="49"/>
        <w:numPr>
          <w:ilvl w:val="1"/>
          <w:numId w:val="2"/>
        </w:numPr>
        <w:spacing w:before="312" w:after="312"/>
        <w:rPr>
          <w:rFonts w:ascii="Times New Roman"/>
        </w:rPr>
      </w:pPr>
      <w:bookmarkStart w:id="148" w:name="_Toc106212273"/>
      <w:bookmarkStart w:id="149" w:name="_Toc87209366"/>
      <w:bookmarkStart w:id="150" w:name="_Hlk86574445"/>
      <w:r>
        <w:rPr>
          <w:rFonts w:hint="eastAsia" w:ascii="Times New Roman"/>
        </w:rPr>
        <w:t>一般规定</w:t>
      </w:r>
      <w:bookmarkEnd w:id="148"/>
    </w:p>
    <w:p>
      <w:pPr>
        <w:pStyle w:val="69"/>
        <w:numPr>
          <w:ilvl w:val="2"/>
          <w:numId w:val="2"/>
        </w:numPr>
        <w:rPr>
          <w:rFonts w:ascii="Times New Roman"/>
        </w:rPr>
      </w:pPr>
      <w:r>
        <w:rPr>
          <w:rFonts w:hint="eastAsia" w:ascii="Times New Roman"/>
        </w:rPr>
        <w:t>查透水砖路面的维护管理部门宜对设施的效果进行监测和评估，确保设施的功能得以正常发挥。</w:t>
      </w:r>
    </w:p>
    <w:p>
      <w:pPr>
        <w:pStyle w:val="69"/>
        <w:numPr>
          <w:ilvl w:val="2"/>
          <w:numId w:val="2"/>
        </w:numPr>
        <w:rPr>
          <w:rFonts w:ascii="Times New Roman"/>
        </w:rPr>
      </w:pPr>
      <w:r>
        <w:rPr>
          <w:rFonts w:hint="eastAsia" w:ascii="Times New Roman"/>
        </w:rPr>
        <w:t>透水砖路面应定期维护保持清洁，减缓堵塞。维护周期宜为7日，维护内容主要为污/杂物清理排除、渗漏检查。</w:t>
      </w:r>
    </w:p>
    <w:p>
      <w:pPr>
        <w:pStyle w:val="69"/>
        <w:numPr>
          <w:ilvl w:val="2"/>
          <w:numId w:val="2"/>
        </w:numPr>
        <w:rPr>
          <w:rFonts w:ascii="Times New Roman"/>
        </w:rPr>
      </w:pPr>
      <w:r>
        <w:rPr>
          <w:rFonts w:hint="eastAsia" w:ascii="Times New Roman"/>
        </w:rPr>
        <w:t>透水铺装路面宜设置标识，说明雨水控制功能、使用注意事项及维护要求。</w:t>
      </w:r>
    </w:p>
    <w:bookmarkEnd w:id="149"/>
    <w:p>
      <w:pPr>
        <w:pStyle w:val="75"/>
        <w:numPr>
          <w:ilvl w:val="1"/>
          <w:numId w:val="2"/>
        </w:numPr>
        <w:spacing w:before="156" w:after="156"/>
        <w:rPr>
          <w:rFonts w:ascii="Times New Roman"/>
        </w:rPr>
      </w:pPr>
      <w:bookmarkStart w:id="151" w:name="_Toc106212274"/>
      <w:r>
        <w:rPr>
          <w:rFonts w:hint="eastAsia" w:ascii="Times New Roman"/>
        </w:rPr>
        <w:t>维护要点</w:t>
      </w:r>
      <w:bookmarkEnd w:id="151"/>
    </w:p>
    <w:p>
      <w:pPr>
        <w:pStyle w:val="78"/>
        <w:numPr>
          <w:ilvl w:val="2"/>
          <w:numId w:val="2"/>
        </w:numPr>
        <w:rPr>
          <w:rFonts w:ascii="Times New Roman"/>
        </w:rPr>
      </w:pPr>
      <w:r>
        <w:rPr>
          <w:rFonts w:hint="eastAsia" w:ascii="Times New Roman"/>
        </w:rPr>
        <w:t>透水铺装维护的核心内容是避免透水铺装堵塞，避免污染物、融雪盐等物质的进入，以及定期检查是否存在积水。主要维护任务及频率应符合表7要求</w:t>
      </w:r>
      <w:r>
        <w:rPr>
          <w:rFonts w:hint="eastAsia" w:ascii="Times New Roman"/>
          <w:sz w:val="22"/>
        </w:rPr>
        <w:t>。</w:t>
      </w:r>
      <w:r>
        <w:rPr>
          <w:rFonts w:hint="eastAsia" w:ascii="Times New Roman"/>
        </w:rPr>
        <w:t xml:space="preserve">  </w:t>
      </w:r>
    </w:p>
    <w:p>
      <w:pPr>
        <w:pStyle w:val="84"/>
        <w:numPr>
          <w:ilvl w:val="0"/>
          <w:numId w:val="0"/>
        </w:numPr>
        <w:rPr>
          <w:rFonts w:asciiTheme="minorEastAsia" w:hAnsiTheme="minorEastAsia" w:eastAsiaTheme="minorEastAsia" w:cstheme="minorEastAsia"/>
        </w:rPr>
      </w:pPr>
      <w:bookmarkStart w:id="152" w:name="_Ref94189150"/>
      <w:r>
        <w:rPr>
          <w:rFonts w:hint="eastAsia"/>
        </w:rPr>
        <w:t>表7 透水铺装维护要求</w:t>
      </w:r>
      <w:bookmarkEnd w:id="152"/>
    </w:p>
    <w:tbl>
      <w:tblPr>
        <w:tblStyle w:val="19"/>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40"/>
        <w:gridCol w:w="3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240" w:type="dxa"/>
          </w:tcPr>
          <w:p>
            <w:pPr>
              <w:ind w:firstLine="361"/>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养护任务</w:t>
            </w:r>
          </w:p>
        </w:tc>
        <w:tc>
          <w:tcPr>
            <w:tcW w:w="3056" w:type="dxa"/>
          </w:tcPr>
          <w:p>
            <w:pPr>
              <w:ind w:firstLine="361"/>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240" w:type="dxa"/>
          </w:tcPr>
          <w:p>
            <w:pPr>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建成后的6个月内，每次发生超过中雨等级的降雨，就应该巡视铺装，发现问题及时修补</w:t>
            </w:r>
          </w:p>
        </w:tc>
        <w:tc>
          <w:tcPr>
            <w:tcW w:w="3056" w:type="dxa"/>
          </w:tcPr>
          <w:p>
            <w:pPr>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建成后马上实施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240" w:type="dxa"/>
          </w:tcPr>
          <w:p>
            <w:pPr>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割草</w:t>
            </w:r>
          </w:p>
        </w:tc>
        <w:tc>
          <w:tcPr>
            <w:tcW w:w="3056" w:type="dxa"/>
          </w:tcPr>
          <w:p>
            <w:pPr>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生长季每1</w:t>
            </w:r>
            <w:r>
              <w:rPr>
                <w:rFonts w:hint="eastAsia"/>
                <w:sz w:val="18"/>
                <w:szCs w:val="18"/>
              </w:rPr>
              <w:t>～</w:t>
            </w:r>
            <w:r>
              <w:rPr>
                <w:rFonts w:hint="eastAsia" w:asciiTheme="minorEastAsia" w:hAnsiTheme="minorEastAsia" w:eastAsiaTheme="minorEastAsia" w:cstheme="minorEastAsia"/>
                <w:sz w:val="18"/>
                <w:szCs w:val="18"/>
              </w:rPr>
              <w:t>2月1次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240" w:type="dxa"/>
          </w:tcPr>
          <w:p>
            <w:pPr>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检查汇水区并采取措施避免水土流失；清除铺装表面的泥土等污染物；更换、维修破损路面；</w:t>
            </w:r>
          </w:p>
        </w:tc>
        <w:tc>
          <w:tcPr>
            <w:tcW w:w="3056" w:type="dxa"/>
          </w:tcPr>
          <w:p>
            <w:pPr>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按需要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240" w:type="dxa"/>
          </w:tcPr>
          <w:p>
            <w:pPr>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清洁车抽吸地面颗粒物避免堵塞</w:t>
            </w:r>
          </w:p>
        </w:tc>
        <w:tc>
          <w:tcPr>
            <w:tcW w:w="3056" w:type="dxa"/>
          </w:tcPr>
          <w:p>
            <w:pPr>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每年2</w:t>
            </w:r>
            <w:r>
              <w:rPr>
                <w:rFonts w:hint="eastAsia"/>
                <w:sz w:val="18"/>
                <w:szCs w:val="18"/>
              </w:rPr>
              <w:t>～</w:t>
            </w:r>
            <w:r>
              <w:rPr>
                <w:rFonts w:hint="eastAsia" w:asciiTheme="minorEastAsia" w:hAnsiTheme="minorEastAsia" w:eastAsiaTheme="minorEastAsia" w:cstheme="minorEastAsia"/>
                <w:sz w:val="18"/>
                <w:szCs w:val="18"/>
              </w:rPr>
              <w:t>4次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240" w:type="dxa"/>
          </w:tcPr>
          <w:p>
            <w:pPr>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定期巡检；除草</w:t>
            </w:r>
          </w:p>
        </w:tc>
        <w:tc>
          <w:tcPr>
            <w:tcW w:w="3056" w:type="dxa"/>
          </w:tcPr>
          <w:p>
            <w:pPr>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240" w:type="dxa"/>
          </w:tcPr>
          <w:p>
            <w:pPr>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清除汇水区沉积物</w:t>
            </w:r>
          </w:p>
        </w:tc>
        <w:tc>
          <w:tcPr>
            <w:tcW w:w="3056" w:type="dxa"/>
          </w:tcPr>
          <w:p>
            <w:pPr>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每2</w:t>
            </w:r>
            <w:r>
              <w:rPr>
                <w:rFonts w:hint="eastAsia"/>
                <w:sz w:val="18"/>
                <w:szCs w:val="18"/>
              </w:rPr>
              <w:t>～</w:t>
            </w:r>
            <w:r>
              <w:rPr>
                <w:rFonts w:hint="eastAsia" w:asciiTheme="minorEastAsia" w:hAnsiTheme="minorEastAsia" w:eastAsiaTheme="minorEastAsia" w:cstheme="minorEastAsia"/>
                <w:sz w:val="18"/>
                <w:szCs w:val="18"/>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240" w:type="dxa"/>
          </w:tcPr>
          <w:p>
            <w:pPr>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特定工具清理堵塞；更换材料；</w:t>
            </w:r>
          </w:p>
        </w:tc>
        <w:tc>
          <w:tcPr>
            <w:tcW w:w="3056" w:type="dxa"/>
          </w:tcPr>
          <w:p>
            <w:pPr>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如果发生堵塞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240" w:type="dxa"/>
          </w:tcPr>
          <w:p>
            <w:pPr>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清理互嵌式缝隙透水砖缝隙内杂物，避免缝隙堵塞；</w:t>
            </w:r>
          </w:p>
        </w:tc>
        <w:tc>
          <w:tcPr>
            <w:tcW w:w="3056" w:type="dxa"/>
          </w:tcPr>
          <w:p>
            <w:pPr>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每年1</w:t>
            </w:r>
            <w:r>
              <w:rPr>
                <w:rFonts w:hint="eastAsia"/>
                <w:sz w:val="18"/>
                <w:szCs w:val="18"/>
              </w:rPr>
              <w:t>～</w:t>
            </w:r>
            <w:r>
              <w:rPr>
                <w:rFonts w:hint="eastAsia" w:asciiTheme="minorEastAsia" w:hAnsiTheme="minorEastAsia" w:eastAsiaTheme="minorEastAsia" w:cstheme="minorEastAsia"/>
                <w:sz w:val="18"/>
                <w:szCs w:val="18"/>
              </w:rPr>
              <w:t>2次</w:t>
            </w:r>
          </w:p>
        </w:tc>
      </w:tr>
    </w:tbl>
    <w:p>
      <w:pPr>
        <w:pStyle w:val="78"/>
        <w:numPr>
          <w:ilvl w:val="2"/>
          <w:numId w:val="2"/>
        </w:numPr>
        <w:rPr>
          <w:rFonts w:ascii="Times New Roman"/>
        </w:rPr>
      </w:pPr>
      <w:r>
        <w:rPr>
          <w:rFonts w:hint="eastAsia" w:ascii="Times New Roman"/>
        </w:rPr>
        <w:t>定透水铺装路面严谨堆放沙、土等建筑材料；周边堆放料应及时苫盖避免沙尘进入铺装地面。</w:t>
      </w:r>
    </w:p>
    <w:p>
      <w:pPr>
        <w:pStyle w:val="78"/>
        <w:numPr>
          <w:ilvl w:val="2"/>
          <w:numId w:val="2"/>
        </w:numPr>
        <w:rPr>
          <w:rFonts w:ascii="Times New Roman"/>
        </w:rPr>
      </w:pPr>
      <w:r>
        <w:rPr>
          <w:rFonts w:hint="eastAsia" w:ascii="Times New Roman"/>
        </w:rPr>
        <w:t>植草砖应及时收割植被；透水铺装及周边绿地收割后应及时运走，避免碎屑堵塞铺装地面。</w:t>
      </w:r>
    </w:p>
    <w:p>
      <w:pPr>
        <w:pStyle w:val="78"/>
        <w:numPr>
          <w:ilvl w:val="2"/>
          <w:numId w:val="2"/>
        </w:numPr>
        <w:rPr>
          <w:rFonts w:ascii="Times New Roman"/>
        </w:rPr>
      </w:pPr>
      <w:r>
        <w:rPr>
          <w:rFonts w:hint="eastAsia" w:ascii="Times New Roman"/>
        </w:rPr>
        <w:t>施工车辆严禁驶入透水铺装地面。</w:t>
      </w:r>
    </w:p>
    <w:p>
      <w:pPr>
        <w:pStyle w:val="78"/>
        <w:numPr>
          <w:ilvl w:val="2"/>
          <w:numId w:val="2"/>
        </w:numPr>
        <w:rPr>
          <w:rFonts w:ascii="Times New Roman"/>
        </w:rPr>
      </w:pPr>
      <w:r>
        <w:rPr>
          <w:rFonts w:hint="eastAsia" w:ascii="Times New Roman"/>
        </w:rPr>
        <w:t>周边地形改变时，应注意避免由于坡度变更而使得含有泥沙的地表径流进入透水铺装路面，造成堵塞。</w:t>
      </w:r>
    </w:p>
    <w:p>
      <w:pPr>
        <w:pStyle w:val="78"/>
        <w:numPr>
          <w:ilvl w:val="2"/>
          <w:numId w:val="2"/>
        </w:numPr>
        <w:rPr>
          <w:rFonts w:ascii="Times New Roman"/>
        </w:rPr>
      </w:pPr>
      <w:r>
        <w:rPr>
          <w:rFonts w:hint="eastAsia" w:ascii="Times New Roman"/>
        </w:rPr>
        <w:t>当透水砖路面的透水功能减弱后，可利用高压水流冲洗透水砖表面或利用真空吸附法清洁透水砖表面进行恢复。</w:t>
      </w:r>
    </w:p>
    <w:p>
      <w:pPr>
        <w:pStyle w:val="78"/>
        <w:numPr>
          <w:ilvl w:val="2"/>
          <w:numId w:val="2"/>
        </w:numPr>
        <w:rPr>
          <w:rFonts w:ascii="Times New Roman"/>
        </w:rPr>
      </w:pPr>
      <w:r>
        <w:rPr>
          <w:rFonts w:hint="eastAsia" w:ascii="Times New Roman"/>
        </w:rPr>
        <w:t>在水源保护区，使用透水砖路面的场地应避免使用化学融雪剂。</w:t>
      </w:r>
    </w:p>
    <w:p>
      <w:pPr>
        <w:pStyle w:val="78"/>
        <w:numPr>
          <w:ilvl w:val="2"/>
          <w:numId w:val="2"/>
        </w:numPr>
        <w:rPr>
          <w:rFonts w:ascii="Times New Roman"/>
        </w:rPr>
      </w:pPr>
      <w:r>
        <w:rPr>
          <w:rFonts w:hint="eastAsia" w:ascii="Times New Roman"/>
        </w:rPr>
        <w:t>透水面层出现破损时应及时采用同类型透水铺装材料进行修补或更换。</w:t>
      </w:r>
    </w:p>
    <w:p>
      <w:pPr>
        <w:pStyle w:val="78"/>
        <w:numPr>
          <w:ilvl w:val="2"/>
          <w:numId w:val="2"/>
        </w:numPr>
        <w:rPr>
          <w:rFonts w:ascii="Times New Roman"/>
        </w:rPr>
      </w:pPr>
      <w:r>
        <w:rPr>
          <w:rFonts w:hint="eastAsia" w:ascii="Times New Roman"/>
        </w:rPr>
        <w:t>冬季养护应注意如下事项：避免大量堆雪；严禁使用沙子、煤渣等融雪措施；使用铲雪设备时注意铲头距地面1cm，避免破坏表面</w:t>
      </w:r>
      <w:r>
        <w:rPr>
          <w:rFonts w:hint="eastAsia" w:ascii="Times New Roman"/>
          <w:color w:val="000000" w:themeColor="text1"/>
          <w:sz w:val="22"/>
          <w14:textFill>
            <w14:solidFill>
              <w14:schemeClr w14:val="tx1"/>
            </w14:solidFill>
          </w14:textFill>
        </w:rPr>
        <w:t>。</w:t>
      </w:r>
      <w:bookmarkEnd w:id="150"/>
    </w:p>
    <w:p>
      <w:pPr>
        <w:pStyle w:val="86"/>
        <w:framePr/>
        <w:ind w:firstLine="420"/>
      </w:pPr>
      <w:r>
        <w:t>_________________________________</w:t>
      </w:r>
    </w:p>
    <w:p>
      <w:pPr>
        <w:pStyle w:val="78"/>
        <w:rPr>
          <w:rFonts w:ascii="Times New Roman"/>
        </w:rPr>
      </w:pPr>
    </w:p>
    <w:sectPr>
      <w:footerReference r:id="rId11"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014939"/>
    </w:sdtPr>
    <w:sdtContent>
      <w:p>
        <w:pPr>
          <w:pStyle w:val="10"/>
          <w:ind w:firstLine="360"/>
          <w:jc w:val="right"/>
        </w:pPr>
        <w:r>
          <w:fldChar w:fldCharType="begin"/>
        </w:r>
        <w:r>
          <w:instrText xml:space="preserve">PAGE   \* MERGEFORMAT</w:instrText>
        </w:r>
        <w:r>
          <w:fldChar w:fldCharType="separate"/>
        </w:r>
        <w:r>
          <w:rPr>
            <w:lang w:val="zh-CN"/>
          </w:rPr>
          <w:t>II</w:t>
        </w:r>
        <w:r>
          <w:fldChar w:fldCharType="end"/>
        </w:r>
      </w:p>
    </w:sdtContent>
  </w:sdt>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6226584"/>
    </w:sdtPr>
    <w:sdtContent>
      <w:p>
        <w:pPr>
          <w:pStyle w:val="10"/>
          <w:ind w:firstLine="360"/>
          <w:jc w:val="right"/>
        </w:pPr>
        <w:r>
          <w:fldChar w:fldCharType="begin"/>
        </w:r>
        <w:r>
          <w:instrText xml:space="preserve">PAGE   \* MERGEFORMAT</w:instrText>
        </w:r>
        <w:r>
          <w:fldChar w:fldCharType="separate"/>
        </w:r>
        <w:r>
          <w:rPr>
            <w:lang w:val="zh-CN"/>
          </w:rPr>
          <w:t>8</w:t>
        </w:r>
        <w:r>
          <w:fldChar w:fldCharType="end"/>
        </w:r>
      </w:p>
    </w:sdtContent>
  </w:sdt>
  <w:p>
    <w:pPr>
      <w:spacing w:line="1" w:lineRule="exact"/>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DB</w:t>
    </w:r>
    <w:r>
      <w:rPr>
        <w:rFonts w:hint="eastAsia"/>
      </w:rPr>
      <w:t>11</w:t>
    </w:r>
    <w:r>
      <w:t>/</w:t>
    </w:r>
    <w:r>
      <w:rPr>
        <w:rFonts w:hint="eastAsia"/>
      </w:rPr>
      <w:t>T</w:t>
    </w:r>
    <w:r>
      <w:t xml:space="preserve"> </w:t>
    </w:r>
    <w:r>
      <w:rPr>
        <w:rFonts w:hint="eastAsia" w:ascii="Times New Roman"/>
        <w:lang w:val="en-US" w:eastAsia="zh-CN"/>
      </w:rPr>
      <w:t>686</w:t>
    </w:r>
    <w:r>
      <w:t>—</w:t>
    </w:r>
    <w:r>
      <w:rPr>
        <w:rFonts w:ascii="Times New Roma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1C5"/>
    <w:multiLevelType w:val="multilevel"/>
    <w:tmpl w:val="00CC31C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lowerLetter"/>
      <w:lvlText w:val="%3)"/>
      <w:lvlJc w:val="left"/>
      <w:pPr>
        <w:ind w:left="0"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B394665"/>
    <w:multiLevelType w:val="multilevel"/>
    <w:tmpl w:val="0B394665"/>
    <w:lvl w:ilvl="0" w:tentative="0">
      <w:start w:val="1"/>
      <w:numFmt w:val="decimal"/>
      <w:pStyle w:val="49"/>
      <w:lvlText w:val="%1."/>
      <w:lvlJc w:val="left"/>
      <w:pPr>
        <w:tabs>
          <w:tab w:val="left" w:pos="720"/>
        </w:tabs>
        <w:ind w:left="720" w:hanging="720"/>
      </w:pPr>
    </w:lvl>
    <w:lvl w:ilvl="1" w:tentative="0">
      <w:start w:val="1"/>
      <w:numFmt w:val="decimal"/>
      <w:pStyle w:val="43"/>
      <w:lvlText w:val="%2."/>
      <w:lvlJc w:val="left"/>
      <w:pPr>
        <w:tabs>
          <w:tab w:val="left" w:pos="1440"/>
        </w:tabs>
        <w:ind w:left="1440" w:hanging="720"/>
      </w:pPr>
    </w:lvl>
    <w:lvl w:ilvl="2" w:tentative="0">
      <w:start w:val="1"/>
      <w:numFmt w:val="decimal"/>
      <w:pStyle w:val="42"/>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1FC91163"/>
    <w:multiLevelType w:val="multilevel"/>
    <w:tmpl w:val="1FC91163"/>
    <w:lvl w:ilvl="0" w:tentative="0">
      <w:start w:val="1"/>
      <w:numFmt w:val="decimal"/>
      <w:pStyle w:val="8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0C756E7"/>
    <w:multiLevelType w:val="multilevel"/>
    <w:tmpl w:val="40C756E7"/>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lowerLetter"/>
      <w:lvlText w:val="%2)"/>
      <w:lvlJc w:val="left"/>
      <w:pPr>
        <w:ind w:left="0" w:firstLine="0"/>
      </w:pPr>
      <w:rPr>
        <w:rFonts w:hint="eastAsia"/>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0D436B2"/>
    <w:multiLevelType w:val="multilevel"/>
    <w:tmpl w:val="40D436B2"/>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lowerLetter"/>
      <w:lvlText w:val="%2)"/>
      <w:lvlJc w:val="left"/>
      <w:pPr>
        <w:ind w:left="0" w:firstLine="0"/>
      </w:pPr>
      <w:rPr>
        <w:rFonts w:hint="eastAsia"/>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4A4505E3"/>
    <w:multiLevelType w:val="multilevel"/>
    <w:tmpl w:val="4A4505E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lowerLetter"/>
      <w:lvlText w:val="%3)"/>
      <w:lvlJc w:val="left"/>
      <w:pPr>
        <w:ind w:left="0"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54E63C1B"/>
    <w:multiLevelType w:val="multilevel"/>
    <w:tmpl w:val="54E63C1B"/>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lowerLetter"/>
      <w:lvlText w:val="%2)"/>
      <w:lvlJc w:val="left"/>
      <w:pPr>
        <w:ind w:left="0" w:firstLine="0"/>
      </w:pPr>
      <w:rPr>
        <w:rFonts w:hint="eastAsia"/>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557C2AF5"/>
    <w:multiLevelType w:val="multilevel"/>
    <w:tmpl w:val="557C2AF5"/>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0AB4A9A"/>
    <w:multiLevelType w:val="multilevel"/>
    <w:tmpl w:val="60AB4A9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lowerLetter"/>
      <w:lvlText w:val="%2)"/>
      <w:lvlJc w:val="left"/>
      <w:pPr>
        <w:ind w:left="0" w:firstLine="0"/>
      </w:pPr>
      <w:rPr>
        <w:rFonts w:hint="eastAsia"/>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5B73433"/>
    <w:multiLevelType w:val="multilevel"/>
    <w:tmpl w:val="75B7343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lowerLetter"/>
      <w:lvlText w:val="%3)"/>
      <w:lvlJc w:val="left"/>
      <w:pPr>
        <w:ind w:left="0"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7"/>
  </w:num>
  <w:num w:numId="4">
    <w:abstractNumId w:val="4"/>
  </w:num>
  <w:num w:numId="5">
    <w:abstractNumId w:val="3"/>
  </w:num>
  <w:num w:numId="6">
    <w:abstractNumId w:val="8"/>
  </w:num>
  <w:num w:numId="7">
    <w:abstractNumId w:val="6"/>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3YWNkMzkyNjlmN2JlODdlMjVlZDNiZjUzNGNhMzUifQ=="/>
  </w:docVars>
  <w:rsids>
    <w:rsidRoot w:val="009F7C7E"/>
    <w:rsid w:val="00030CD6"/>
    <w:rsid w:val="0004613C"/>
    <w:rsid w:val="0004619F"/>
    <w:rsid w:val="00050316"/>
    <w:rsid w:val="00052A53"/>
    <w:rsid w:val="00062718"/>
    <w:rsid w:val="00062BB3"/>
    <w:rsid w:val="00071CC6"/>
    <w:rsid w:val="00076A7E"/>
    <w:rsid w:val="00086A5A"/>
    <w:rsid w:val="000A1E98"/>
    <w:rsid w:val="000A273A"/>
    <w:rsid w:val="000A59F3"/>
    <w:rsid w:val="000A6956"/>
    <w:rsid w:val="000B05D3"/>
    <w:rsid w:val="000B4047"/>
    <w:rsid w:val="000C275B"/>
    <w:rsid w:val="000E20E4"/>
    <w:rsid w:val="000E5C7C"/>
    <w:rsid w:val="000E69EA"/>
    <w:rsid w:val="000F0245"/>
    <w:rsid w:val="000F02D7"/>
    <w:rsid w:val="000F0633"/>
    <w:rsid w:val="00101E8F"/>
    <w:rsid w:val="00105688"/>
    <w:rsid w:val="0012385A"/>
    <w:rsid w:val="00125BE1"/>
    <w:rsid w:val="00127C15"/>
    <w:rsid w:val="00136865"/>
    <w:rsid w:val="0015335E"/>
    <w:rsid w:val="00154215"/>
    <w:rsid w:val="00155849"/>
    <w:rsid w:val="001757EE"/>
    <w:rsid w:val="001808DF"/>
    <w:rsid w:val="0019175C"/>
    <w:rsid w:val="001A23C6"/>
    <w:rsid w:val="001B1E35"/>
    <w:rsid w:val="001C0906"/>
    <w:rsid w:val="001C45C0"/>
    <w:rsid w:val="001D0666"/>
    <w:rsid w:val="001E16A5"/>
    <w:rsid w:val="001F5598"/>
    <w:rsid w:val="001F57D1"/>
    <w:rsid w:val="002021FD"/>
    <w:rsid w:val="00202FDF"/>
    <w:rsid w:val="00214D79"/>
    <w:rsid w:val="0022763F"/>
    <w:rsid w:val="00232175"/>
    <w:rsid w:val="00235434"/>
    <w:rsid w:val="00235622"/>
    <w:rsid w:val="00235AC8"/>
    <w:rsid w:val="0024210D"/>
    <w:rsid w:val="00243DCD"/>
    <w:rsid w:val="00255B07"/>
    <w:rsid w:val="0025615A"/>
    <w:rsid w:val="002609EB"/>
    <w:rsid w:val="002767B3"/>
    <w:rsid w:val="0029789C"/>
    <w:rsid w:val="002B6280"/>
    <w:rsid w:val="002C11F3"/>
    <w:rsid w:val="002C59F2"/>
    <w:rsid w:val="002D362F"/>
    <w:rsid w:val="002D4819"/>
    <w:rsid w:val="002F6433"/>
    <w:rsid w:val="003005A2"/>
    <w:rsid w:val="0030215C"/>
    <w:rsid w:val="00302B4E"/>
    <w:rsid w:val="00304C12"/>
    <w:rsid w:val="00314C06"/>
    <w:rsid w:val="003155C5"/>
    <w:rsid w:val="00326DF5"/>
    <w:rsid w:val="00333652"/>
    <w:rsid w:val="00334AE7"/>
    <w:rsid w:val="0034512E"/>
    <w:rsid w:val="0034786D"/>
    <w:rsid w:val="00350833"/>
    <w:rsid w:val="003516EC"/>
    <w:rsid w:val="00351D1F"/>
    <w:rsid w:val="0035295B"/>
    <w:rsid w:val="00364413"/>
    <w:rsid w:val="00374475"/>
    <w:rsid w:val="003811B5"/>
    <w:rsid w:val="00381F2F"/>
    <w:rsid w:val="0039113D"/>
    <w:rsid w:val="00392F8C"/>
    <w:rsid w:val="00394EC9"/>
    <w:rsid w:val="00396DDB"/>
    <w:rsid w:val="003A370D"/>
    <w:rsid w:val="003C1D0B"/>
    <w:rsid w:val="003C5FCD"/>
    <w:rsid w:val="003C6CAF"/>
    <w:rsid w:val="003D5B6E"/>
    <w:rsid w:val="003D7931"/>
    <w:rsid w:val="003E2888"/>
    <w:rsid w:val="003F1139"/>
    <w:rsid w:val="004027BC"/>
    <w:rsid w:val="00420278"/>
    <w:rsid w:val="00431599"/>
    <w:rsid w:val="004325C9"/>
    <w:rsid w:val="00433C81"/>
    <w:rsid w:val="00442A68"/>
    <w:rsid w:val="00466FDA"/>
    <w:rsid w:val="00492101"/>
    <w:rsid w:val="00492A87"/>
    <w:rsid w:val="00494FD4"/>
    <w:rsid w:val="00496102"/>
    <w:rsid w:val="004A1FDC"/>
    <w:rsid w:val="004A2D68"/>
    <w:rsid w:val="004A73AD"/>
    <w:rsid w:val="004D2E3A"/>
    <w:rsid w:val="004E0B85"/>
    <w:rsid w:val="004E2625"/>
    <w:rsid w:val="004E5D07"/>
    <w:rsid w:val="004F229C"/>
    <w:rsid w:val="004F3885"/>
    <w:rsid w:val="004F5151"/>
    <w:rsid w:val="005030C8"/>
    <w:rsid w:val="00505556"/>
    <w:rsid w:val="0050592C"/>
    <w:rsid w:val="00512147"/>
    <w:rsid w:val="005176C7"/>
    <w:rsid w:val="00520181"/>
    <w:rsid w:val="00524C40"/>
    <w:rsid w:val="005265D7"/>
    <w:rsid w:val="00537CB1"/>
    <w:rsid w:val="005407EC"/>
    <w:rsid w:val="00575F9F"/>
    <w:rsid w:val="0058400D"/>
    <w:rsid w:val="00587ADB"/>
    <w:rsid w:val="0059462A"/>
    <w:rsid w:val="005A488C"/>
    <w:rsid w:val="005B37A3"/>
    <w:rsid w:val="005B4A58"/>
    <w:rsid w:val="005B4A8B"/>
    <w:rsid w:val="005C03C4"/>
    <w:rsid w:val="005C2B27"/>
    <w:rsid w:val="005C5A1D"/>
    <w:rsid w:val="005D29D7"/>
    <w:rsid w:val="005D4DEA"/>
    <w:rsid w:val="005E56A9"/>
    <w:rsid w:val="005F08C9"/>
    <w:rsid w:val="005F2C06"/>
    <w:rsid w:val="005F3D8E"/>
    <w:rsid w:val="00603721"/>
    <w:rsid w:val="00612768"/>
    <w:rsid w:val="00622D47"/>
    <w:rsid w:val="00640A85"/>
    <w:rsid w:val="006434A2"/>
    <w:rsid w:val="00647A63"/>
    <w:rsid w:val="006500A4"/>
    <w:rsid w:val="00653933"/>
    <w:rsid w:val="006624F1"/>
    <w:rsid w:val="006638B4"/>
    <w:rsid w:val="00665AB3"/>
    <w:rsid w:val="00667423"/>
    <w:rsid w:val="006756FE"/>
    <w:rsid w:val="006823A7"/>
    <w:rsid w:val="006A2C11"/>
    <w:rsid w:val="006A3BDA"/>
    <w:rsid w:val="006A4B33"/>
    <w:rsid w:val="006B0F8C"/>
    <w:rsid w:val="006B2163"/>
    <w:rsid w:val="006D4C17"/>
    <w:rsid w:val="006D799F"/>
    <w:rsid w:val="006E51ED"/>
    <w:rsid w:val="006F0C18"/>
    <w:rsid w:val="006F1ECE"/>
    <w:rsid w:val="006F4656"/>
    <w:rsid w:val="006F6A8B"/>
    <w:rsid w:val="006F70CC"/>
    <w:rsid w:val="007015FC"/>
    <w:rsid w:val="007040BF"/>
    <w:rsid w:val="007051A2"/>
    <w:rsid w:val="00707B62"/>
    <w:rsid w:val="0071446E"/>
    <w:rsid w:val="00717D4B"/>
    <w:rsid w:val="00717E2E"/>
    <w:rsid w:val="0074427C"/>
    <w:rsid w:val="00754052"/>
    <w:rsid w:val="00762C0B"/>
    <w:rsid w:val="00762F10"/>
    <w:rsid w:val="00775E7E"/>
    <w:rsid w:val="00777DF1"/>
    <w:rsid w:val="00787412"/>
    <w:rsid w:val="00791CBF"/>
    <w:rsid w:val="0079427E"/>
    <w:rsid w:val="00797A8B"/>
    <w:rsid w:val="007C6EEA"/>
    <w:rsid w:val="007D4018"/>
    <w:rsid w:val="007E6F97"/>
    <w:rsid w:val="007F41C9"/>
    <w:rsid w:val="007F4222"/>
    <w:rsid w:val="00802CA0"/>
    <w:rsid w:val="0082172B"/>
    <w:rsid w:val="00823248"/>
    <w:rsid w:val="00827F01"/>
    <w:rsid w:val="008506D3"/>
    <w:rsid w:val="00856741"/>
    <w:rsid w:val="008736F0"/>
    <w:rsid w:val="00873D4E"/>
    <w:rsid w:val="0087516A"/>
    <w:rsid w:val="0087622B"/>
    <w:rsid w:val="00894131"/>
    <w:rsid w:val="00896520"/>
    <w:rsid w:val="008A62B2"/>
    <w:rsid w:val="008B6D96"/>
    <w:rsid w:val="008C0E2D"/>
    <w:rsid w:val="008C5B95"/>
    <w:rsid w:val="008D0CD3"/>
    <w:rsid w:val="008D43AB"/>
    <w:rsid w:val="008D5FA7"/>
    <w:rsid w:val="008E3CC3"/>
    <w:rsid w:val="008E5598"/>
    <w:rsid w:val="008E5ACD"/>
    <w:rsid w:val="008F0D0D"/>
    <w:rsid w:val="008F1799"/>
    <w:rsid w:val="008F1B4E"/>
    <w:rsid w:val="00911B8B"/>
    <w:rsid w:val="00915025"/>
    <w:rsid w:val="00916FEC"/>
    <w:rsid w:val="00922E01"/>
    <w:rsid w:val="00930274"/>
    <w:rsid w:val="00931613"/>
    <w:rsid w:val="009368CE"/>
    <w:rsid w:val="00944B2A"/>
    <w:rsid w:val="00971F1A"/>
    <w:rsid w:val="009814A1"/>
    <w:rsid w:val="00992953"/>
    <w:rsid w:val="009A3512"/>
    <w:rsid w:val="009A40E4"/>
    <w:rsid w:val="009B08B8"/>
    <w:rsid w:val="009C5CE3"/>
    <w:rsid w:val="009C6358"/>
    <w:rsid w:val="009D42BD"/>
    <w:rsid w:val="009E484A"/>
    <w:rsid w:val="009F6245"/>
    <w:rsid w:val="009F7C7E"/>
    <w:rsid w:val="00A11B4E"/>
    <w:rsid w:val="00A340A7"/>
    <w:rsid w:val="00A4128D"/>
    <w:rsid w:val="00A5041A"/>
    <w:rsid w:val="00A54D6E"/>
    <w:rsid w:val="00A655CA"/>
    <w:rsid w:val="00A72783"/>
    <w:rsid w:val="00A830C2"/>
    <w:rsid w:val="00A908D2"/>
    <w:rsid w:val="00AA6C9B"/>
    <w:rsid w:val="00AB0AEA"/>
    <w:rsid w:val="00AB0F47"/>
    <w:rsid w:val="00AC2F01"/>
    <w:rsid w:val="00AC54EC"/>
    <w:rsid w:val="00AC658E"/>
    <w:rsid w:val="00AC66A3"/>
    <w:rsid w:val="00AE1E18"/>
    <w:rsid w:val="00AF2F65"/>
    <w:rsid w:val="00B126EE"/>
    <w:rsid w:val="00B1642E"/>
    <w:rsid w:val="00B21A98"/>
    <w:rsid w:val="00B22B67"/>
    <w:rsid w:val="00B30272"/>
    <w:rsid w:val="00B33AB9"/>
    <w:rsid w:val="00B37B0A"/>
    <w:rsid w:val="00B604F2"/>
    <w:rsid w:val="00B618F5"/>
    <w:rsid w:val="00B624EC"/>
    <w:rsid w:val="00B92FBB"/>
    <w:rsid w:val="00B96F0D"/>
    <w:rsid w:val="00BB725E"/>
    <w:rsid w:val="00BD27E3"/>
    <w:rsid w:val="00BE1BB4"/>
    <w:rsid w:val="00BF7480"/>
    <w:rsid w:val="00C03821"/>
    <w:rsid w:val="00C038FC"/>
    <w:rsid w:val="00C03F4D"/>
    <w:rsid w:val="00C10303"/>
    <w:rsid w:val="00C123EE"/>
    <w:rsid w:val="00C23496"/>
    <w:rsid w:val="00C27B10"/>
    <w:rsid w:val="00C35729"/>
    <w:rsid w:val="00C371A3"/>
    <w:rsid w:val="00C56336"/>
    <w:rsid w:val="00C5746F"/>
    <w:rsid w:val="00C6066B"/>
    <w:rsid w:val="00C7175C"/>
    <w:rsid w:val="00C72118"/>
    <w:rsid w:val="00C7664E"/>
    <w:rsid w:val="00C9670F"/>
    <w:rsid w:val="00C96EA6"/>
    <w:rsid w:val="00CA6244"/>
    <w:rsid w:val="00CB2834"/>
    <w:rsid w:val="00CC32EE"/>
    <w:rsid w:val="00CC5E78"/>
    <w:rsid w:val="00CC6E92"/>
    <w:rsid w:val="00CC7E75"/>
    <w:rsid w:val="00CD5735"/>
    <w:rsid w:val="00CE5429"/>
    <w:rsid w:val="00CF2CA6"/>
    <w:rsid w:val="00CF60A1"/>
    <w:rsid w:val="00CF6ABD"/>
    <w:rsid w:val="00D00830"/>
    <w:rsid w:val="00D0279E"/>
    <w:rsid w:val="00D05685"/>
    <w:rsid w:val="00D05839"/>
    <w:rsid w:val="00D24A2D"/>
    <w:rsid w:val="00D25DB8"/>
    <w:rsid w:val="00D26D5F"/>
    <w:rsid w:val="00D327E9"/>
    <w:rsid w:val="00D4154E"/>
    <w:rsid w:val="00D525F9"/>
    <w:rsid w:val="00D536F1"/>
    <w:rsid w:val="00D61B76"/>
    <w:rsid w:val="00D72CB7"/>
    <w:rsid w:val="00D74AF8"/>
    <w:rsid w:val="00D817CD"/>
    <w:rsid w:val="00D85BF2"/>
    <w:rsid w:val="00D94389"/>
    <w:rsid w:val="00DA0748"/>
    <w:rsid w:val="00DA29D7"/>
    <w:rsid w:val="00DA738F"/>
    <w:rsid w:val="00DB07C6"/>
    <w:rsid w:val="00DC0AF9"/>
    <w:rsid w:val="00DC2A0F"/>
    <w:rsid w:val="00DE0E56"/>
    <w:rsid w:val="00DE31B9"/>
    <w:rsid w:val="00DF169B"/>
    <w:rsid w:val="00DF6745"/>
    <w:rsid w:val="00DF79A5"/>
    <w:rsid w:val="00E031F2"/>
    <w:rsid w:val="00E10177"/>
    <w:rsid w:val="00E15BBD"/>
    <w:rsid w:val="00E21D9B"/>
    <w:rsid w:val="00E227FB"/>
    <w:rsid w:val="00E255E3"/>
    <w:rsid w:val="00E26A8A"/>
    <w:rsid w:val="00E53EBB"/>
    <w:rsid w:val="00E56F79"/>
    <w:rsid w:val="00E57E17"/>
    <w:rsid w:val="00E608FD"/>
    <w:rsid w:val="00E72370"/>
    <w:rsid w:val="00E84C44"/>
    <w:rsid w:val="00EA1378"/>
    <w:rsid w:val="00EA4690"/>
    <w:rsid w:val="00EA5641"/>
    <w:rsid w:val="00EB2C23"/>
    <w:rsid w:val="00EB4080"/>
    <w:rsid w:val="00EC09E6"/>
    <w:rsid w:val="00ED028A"/>
    <w:rsid w:val="00ED09DE"/>
    <w:rsid w:val="00EE045A"/>
    <w:rsid w:val="00EE525C"/>
    <w:rsid w:val="00EE5F30"/>
    <w:rsid w:val="00EE65FA"/>
    <w:rsid w:val="00EF5C95"/>
    <w:rsid w:val="00F12234"/>
    <w:rsid w:val="00F13010"/>
    <w:rsid w:val="00F15AE0"/>
    <w:rsid w:val="00F23165"/>
    <w:rsid w:val="00F233C4"/>
    <w:rsid w:val="00F329E3"/>
    <w:rsid w:val="00F41C6A"/>
    <w:rsid w:val="00F56685"/>
    <w:rsid w:val="00F60CAD"/>
    <w:rsid w:val="00F72F73"/>
    <w:rsid w:val="00F871D5"/>
    <w:rsid w:val="00F922CF"/>
    <w:rsid w:val="00F926BC"/>
    <w:rsid w:val="00F92F69"/>
    <w:rsid w:val="00FB2277"/>
    <w:rsid w:val="00FB32D3"/>
    <w:rsid w:val="00FB39FF"/>
    <w:rsid w:val="00FB654C"/>
    <w:rsid w:val="00FB7E78"/>
    <w:rsid w:val="00FC2EEE"/>
    <w:rsid w:val="00FC38B0"/>
    <w:rsid w:val="00FD67FC"/>
    <w:rsid w:val="00FD72C0"/>
    <w:rsid w:val="00FE0598"/>
    <w:rsid w:val="00FE4F6D"/>
    <w:rsid w:val="00FE6C31"/>
    <w:rsid w:val="00FF083B"/>
    <w:rsid w:val="00FF3EE7"/>
    <w:rsid w:val="00FF58C9"/>
    <w:rsid w:val="0105219A"/>
    <w:rsid w:val="061F57D6"/>
    <w:rsid w:val="089A411D"/>
    <w:rsid w:val="08CF17EC"/>
    <w:rsid w:val="095820C0"/>
    <w:rsid w:val="09A531DA"/>
    <w:rsid w:val="0A7C1AFB"/>
    <w:rsid w:val="109E44C8"/>
    <w:rsid w:val="1367041E"/>
    <w:rsid w:val="136C6E13"/>
    <w:rsid w:val="13807638"/>
    <w:rsid w:val="148448DD"/>
    <w:rsid w:val="189D27E2"/>
    <w:rsid w:val="1A34264C"/>
    <w:rsid w:val="1B236249"/>
    <w:rsid w:val="1D286C02"/>
    <w:rsid w:val="217F7A65"/>
    <w:rsid w:val="21BA7728"/>
    <w:rsid w:val="2474222A"/>
    <w:rsid w:val="24763A34"/>
    <w:rsid w:val="29D06A97"/>
    <w:rsid w:val="2B364FE9"/>
    <w:rsid w:val="2D254C49"/>
    <w:rsid w:val="2D5D2416"/>
    <w:rsid w:val="31265713"/>
    <w:rsid w:val="353513A9"/>
    <w:rsid w:val="35920F4B"/>
    <w:rsid w:val="35C010BA"/>
    <w:rsid w:val="38FF1F28"/>
    <w:rsid w:val="399A7EA0"/>
    <w:rsid w:val="39C644DA"/>
    <w:rsid w:val="3C4F36BC"/>
    <w:rsid w:val="3EF78858"/>
    <w:rsid w:val="3F395ECE"/>
    <w:rsid w:val="3FDF12B3"/>
    <w:rsid w:val="423A3FEA"/>
    <w:rsid w:val="427D2CF9"/>
    <w:rsid w:val="447B14AD"/>
    <w:rsid w:val="44AA2FDA"/>
    <w:rsid w:val="44DA2008"/>
    <w:rsid w:val="45352474"/>
    <w:rsid w:val="48CB53B9"/>
    <w:rsid w:val="49F936B2"/>
    <w:rsid w:val="4ADC5013"/>
    <w:rsid w:val="4B2E5AE1"/>
    <w:rsid w:val="4BCF37F3"/>
    <w:rsid w:val="4CD38742"/>
    <w:rsid w:val="4E33738C"/>
    <w:rsid w:val="4E8E0DF1"/>
    <w:rsid w:val="4FFF8FEF"/>
    <w:rsid w:val="511A09EC"/>
    <w:rsid w:val="5293769B"/>
    <w:rsid w:val="536D3417"/>
    <w:rsid w:val="54304E4F"/>
    <w:rsid w:val="547D7B17"/>
    <w:rsid w:val="55FFBED6"/>
    <w:rsid w:val="56820A5A"/>
    <w:rsid w:val="573D2DD9"/>
    <w:rsid w:val="58386026"/>
    <w:rsid w:val="589EF25C"/>
    <w:rsid w:val="59340B10"/>
    <w:rsid w:val="5BEF1895"/>
    <w:rsid w:val="5C1E0F24"/>
    <w:rsid w:val="5C542A1D"/>
    <w:rsid w:val="5FEAE786"/>
    <w:rsid w:val="624C14EC"/>
    <w:rsid w:val="63973EB3"/>
    <w:rsid w:val="668B1FEE"/>
    <w:rsid w:val="66C110C7"/>
    <w:rsid w:val="66FC50FC"/>
    <w:rsid w:val="6F5FFEB2"/>
    <w:rsid w:val="6F727157"/>
    <w:rsid w:val="6FB8566A"/>
    <w:rsid w:val="6FFA68DC"/>
    <w:rsid w:val="71F595DD"/>
    <w:rsid w:val="73FD9264"/>
    <w:rsid w:val="74266A70"/>
    <w:rsid w:val="745E0F2A"/>
    <w:rsid w:val="747C4607"/>
    <w:rsid w:val="769FA201"/>
    <w:rsid w:val="77BF411F"/>
    <w:rsid w:val="78263265"/>
    <w:rsid w:val="797DADBD"/>
    <w:rsid w:val="79811E40"/>
    <w:rsid w:val="7A4102BB"/>
    <w:rsid w:val="7A96AA3B"/>
    <w:rsid w:val="7D5FC766"/>
    <w:rsid w:val="7D6616A8"/>
    <w:rsid w:val="7DBB67B1"/>
    <w:rsid w:val="7E046A91"/>
    <w:rsid w:val="7E2B81FD"/>
    <w:rsid w:val="7E5B20A5"/>
    <w:rsid w:val="7EB52D54"/>
    <w:rsid w:val="7EEFD54A"/>
    <w:rsid w:val="7F522443"/>
    <w:rsid w:val="7F8FCEE9"/>
    <w:rsid w:val="7FADC9EA"/>
    <w:rsid w:val="7FAF9E36"/>
    <w:rsid w:val="7FBB1F49"/>
    <w:rsid w:val="7FCBEA2D"/>
    <w:rsid w:val="7FDF0B55"/>
    <w:rsid w:val="7FE92E23"/>
    <w:rsid w:val="95DDE97D"/>
    <w:rsid w:val="B5EB08FC"/>
    <w:rsid w:val="B7FDB4D3"/>
    <w:rsid w:val="BF9B806A"/>
    <w:rsid w:val="D7ACE014"/>
    <w:rsid w:val="DCDB9CA4"/>
    <w:rsid w:val="DF5EDA26"/>
    <w:rsid w:val="DFFE2676"/>
    <w:rsid w:val="E7FE084E"/>
    <w:rsid w:val="ED7D5B0C"/>
    <w:rsid w:val="EFFD4CFF"/>
    <w:rsid w:val="F37E38B1"/>
    <w:rsid w:val="F3FE986C"/>
    <w:rsid w:val="F5F74E4A"/>
    <w:rsid w:val="F9FD010C"/>
    <w:rsid w:val="FB4D4F68"/>
    <w:rsid w:val="FCC7AAE3"/>
    <w:rsid w:val="FDEFBAA7"/>
    <w:rsid w:val="FDF4CC2C"/>
    <w:rsid w:val="FF8E026E"/>
    <w:rsid w:val="FFBDCBFD"/>
    <w:rsid w:val="FFF78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39" w:semiHidden="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ind w:firstLine="200" w:firstLineChars="20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8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83"/>
    <w:semiHidden/>
    <w:unhideWhenUsed/>
    <w:qFormat/>
    <w:uiPriority w:val="0"/>
    <w:pPr>
      <w:keepNext/>
      <w:keepLines/>
      <w:spacing w:before="260" w:after="260" w:line="416" w:lineRule="auto"/>
      <w:outlineLvl w:val="2"/>
    </w:pPr>
    <w:rPr>
      <w:b/>
      <w:bCs/>
      <w:sz w:val="32"/>
      <w:szCs w:val="32"/>
    </w:rPr>
  </w:style>
  <w:style w:type="paragraph" w:styleId="5">
    <w:name w:val="heading 6"/>
    <w:basedOn w:val="1"/>
    <w:next w:val="1"/>
    <w:link w:val="81"/>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16">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60"/>
    <w:semiHidden/>
    <w:unhideWhenUsed/>
    <w:qFormat/>
    <w:uiPriority w:val="0"/>
    <w:rPr>
      <w:b/>
      <w:bCs/>
    </w:rPr>
  </w:style>
  <w:style w:type="paragraph" w:styleId="7">
    <w:name w:val="annotation text"/>
    <w:basedOn w:val="1"/>
    <w:link w:val="59"/>
    <w:qFormat/>
    <w:uiPriority w:val="0"/>
    <w:pPr>
      <w:jc w:val="left"/>
    </w:pPr>
  </w:style>
  <w:style w:type="paragraph" w:styleId="8">
    <w:name w:val="toc 3"/>
    <w:basedOn w:val="1"/>
    <w:next w:val="1"/>
    <w:unhideWhenUsed/>
    <w:qFormat/>
    <w:uiPriority w:val="39"/>
    <w:pPr>
      <w:ind w:left="840" w:leftChars="400"/>
    </w:pPr>
  </w:style>
  <w:style w:type="paragraph" w:styleId="9">
    <w:name w:val="Balloon Text"/>
    <w:basedOn w:val="1"/>
    <w:link w:val="62"/>
    <w:semiHidden/>
    <w:unhideWhenUsed/>
    <w:qFormat/>
    <w:uiPriority w:val="0"/>
    <w:rPr>
      <w:sz w:val="18"/>
      <w:szCs w:val="18"/>
    </w:rPr>
  </w:style>
  <w:style w:type="paragraph" w:styleId="10">
    <w:name w:val="footer"/>
    <w:basedOn w:val="1"/>
    <w:link w:val="56"/>
    <w:qFormat/>
    <w:uiPriority w:val="99"/>
    <w:pPr>
      <w:tabs>
        <w:tab w:val="center" w:pos="4153"/>
        <w:tab w:val="right" w:pos="8306"/>
      </w:tabs>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2">
    <w:name w:val="toc 1"/>
    <w:basedOn w:val="1"/>
    <w:next w:val="1"/>
    <w:qFormat/>
    <w:uiPriority w:val="39"/>
  </w:style>
  <w:style w:type="paragraph" w:styleId="13">
    <w:name w:val="toc 4"/>
    <w:basedOn w:val="1"/>
    <w:next w:val="1"/>
    <w:unhideWhenUsed/>
    <w:uiPriority w:val="39"/>
    <w:pPr>
      <w:ind w:left="1260" w:leftChars="600"/>
    </w:pPr>
  </w:style>
  <w:style w:type="paragraph" w:styleId="14">
    <w:name w:val="toc 2"/>
    <w:basedOn w:val="1"/>
    <w:next w:val="1"/>
    <w:qFormat/>
    <w:uiPriority w:val="39"/>
    <w:pPr>
      <w:ind w:left="420" w:leftChars="200"/>
    </w:pPr>
  </w:style>
  <w:style w:type="paragraph" w:styleId="15">
    <w:name w:val="Normal (Web)"/>
    <w:basedOn w:val="1"/>
    <w:semiHidden/>
    <w:unhideWhenUsed/>
    <w:uiPriority w:val="99"/>
    <w:pPr>
      <w:widowControl/>
      <w:adjustRightInd/>
      <w:snapToGrid/>
      <w:spacing w:before="100" w:beforeAutospacing="1" w:after="100" w:afterAutospacing="1"/>
      <w:ind w:firstLine="0" w:firstLineChars="0"/>
      <w:jc w:val="left"/>
    </w:pPr>
    <w:rPr>
      <w:rFonts w:ascii="宋体" w:hAnsi="宋体" w:cs="宋体"/>
      <w:kern w:val="0"/>
      <w:sz w:val="24"/>
    </w:rPr>
  </w:style>
  <w:style w:type="character" w:styleId="17">
    <w:name w:val="Hyperlink"/>
    <w:basedOn w:val="16"/>
    <w:qFormat/>
    <w:uiPriority w:val="99"/>
    <w:rPr>
      <w:color w:val="0000FF"/>
      <w:u w:val="single"/>
    </w:rPr>
  </w:style>
  <w:style w:type="character" w:styleId="18">
    <w:name w:val="annotation reference"/>
    <w:qFormat/>
    <w:uiPriority w:val="0"/>
    <w:rPr>
      <w:sz w:val="21"/>
      <w:szCs w:val="21"/>
    </w:rPr>
  </w:style>
  <w:style w:type="character" w:customStyle="1" w:styleId="20">
    <w:name w:val="Body text|2_"/>
    <w:basedOn w:val="16"/>
    <w:link w:val="21"/>
    <w:qFormat/>
    <w:uiPriority w:val="0"/>
    <w:rPr>
      <w:sz w:val="20"/>
      <w:szCs w:val="20"/>
      <w:u w:val="none"/>
      <w:shd w:val="clear" w:color="auto" w:fill="auto"/>
      <w:lang w:val="zh-TW" w:eastAsia="zh-TW" w:bidi="zh-TW"/>
    </w:rPr>
  </w:style>
  <w:style w:type="paragraph" w:customStyle="1" w:styleId="21">
    <w:name w:val="Body text|2"/>
    <w:basedOn w:val="1"/>
    <w:link w:val="20"/>
    <w:qFormat/>
    <w:uiPriority w:val="0"/>
    <w:pPr>
      <w:spacing w:line="316" w:lineRule="exact"/>
    </w:pPr>
    <w:rPr>
      <w:sz w:val="20"/>
      <w:szCs w:val="20"/>
      <w:lang w:val="zh-TW" w:eastAsia="zh-TW" w:bidi="zh-TW"/>
    </w:rPr>
  </w:style>
  <w:style w:type="paragraph" w:customStyle="1" w:styleId="22">
    <w:name w:val="其他标准标志"/>
    <w:basedOn w:val="23"/>
    <w:qFormat/>
    <w:uiPriority w:val="0"/>
    <w:pPr>
      <w:framePr w:w="6101" w:vAnchor="page" w:hAnchor="page" w:x="4673" w:y="942"/>
    </w:pPr>
    <w:rPr>
      <w:w w:val="130"/>
    </w:rPr>
  </w:style>
  <w:style w:type="paragraph" w:customStyle="1" w:styleId="2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5">
    <w:name w:val="Header or footer|1"/>
    <w:basedOn w:val="1"/>
    <w:qFormat/>
    <w:uiPriority w:val="0"/>
    <w:rPr>
      <w:sz w:val="20"/>
      <w:szCs w:val="20"/>
      <w:lang w:val="zh-TW" w:eastAsia="zh-TW" w:bidi="zh-TW"/>
    </w:rPr>
  </w:style>
  <w:style w:type="paragraph" w:customStyle="1" w:styleId="2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7">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8">
    <w:name w:val="段"/>
    <w:link w:val="5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9">
    <w:name w:val="Body text|1"/>
    <w:basedOn w:val="1"/>
    <w:qFormat/>
    <w:uiPriority w:val="0"/>
    <w:pPr>
      <w:spacing w:line="331" w:lineRule="auto"/>
    </w:pPr>
    <w:rPr>
      <w:rFonts w:ascii="宋体" w:hAnsi="宋体" w:cs="宋体"/>
      <w:sz w:val="20"/>
      <w:szCs w:val="20"/>
      <w:lang w:val="zh-TW" w:eastAsia="zh-TW" w:bidi="zh-TW"/>
    </w:rPr>
  </w:style>
  <w:style w:type="paragraph" w:customStyle="1" w:styleId="3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1">
    <w:name w:val="封面标准英文名称"/>
    <w:basedOn w:val="32"/>
    <w:qFormat/>
    <w:uiPriority w:val="0"/>
    <w:pPr>
      <w:framePr/>
      <w:spacing w:before="370" w:line="400" w:lineRule="exact"/>
    </w:pPr>
    <w:rPr>
      <w:rFonts w:ascii="Times New Roman"/>
      <w:sz w:val="28"/>
      <w:szCs w:val="28"/>
    </w:rPr>
  </w:style>
  <w:style w:type="paragraph" w:customStyle="1" w:styleId="3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4">
    <w:name w:val="Heading #1|1"/>
    <w:basedOn w:val="1"/>
    <w:qFormat/>
    <w:uiPriority w:val="0"/>
    <w:pPr>
      <w:spacing w:after="360"/>
      <w:jc w:val="center"/>
      <w:outlineLvl w:val="0"/>
    </w:pPr>
    <w:rPr>
      <w:sz w:val="34"/>
      <w:szCs w:val="34"/>
      <w:lang w:val="zh-TW" w:eastAsia="zh-TW" w:bidi="zh-TW"/>
    </w:rPr>
  </w:style>
  <w:style w:type="paragraph" w:customStyle="1" w:styleId="35">
    <w:name w:val="封面标准文稿编辑信息"/>
    <w:basedOn w:val="36"/>
    <w:qFormat/>
    <w:uiPriority w:val="0"/>
    <w:pPr>
      <w:framePr/>
      <w:spacing w:before="180" w:line="180" w:lineRule="exact"/>
    </w:pPr>
    <w:rPr>
      <w:sz w:val="21"/>
    </w:rPr>
  </w:style>
  <w:style w:type="paragraph" w:customStyle="1" w:styleId="36">
    <w:name w:val="封面标准文稿类别"/>
    <w:basedOn w:val="37"/>
    <w:qFormat/>
    <w:uiPriority w:val="0"/>
    <w:pPr>
      <w:framePr/>
      <w:spacing w:after="160" w:line="240" w:lineRule="auto"/>
    </w:pPr>
    <w:rPr>
      <w:sz w:val="24"/>
    </w:rPr>
  </w:style>
  <w:style w:type="paragraph" w:customStyle="1" w:styleId="37">
    <w:name w:val="封面一致性程度标识"/>
    <w:basedOn w:val="31"/>
    <w:qFormat/>
    <w:uiPriority w:val="0"/>
    <w:pPr>
      <w:framePr/>
      <w:spacing w:before="440"/>
    </w:pPr>
    <w:rPr>
      <w:rFonts w:ascii="宋体" w:eastAsia="宋体"/>
    </w:rPr>
  </w:style>
  <w:style w:type="paragraph" w:customStyle="1" w:styleId="38">
    <w:name w:val="Table caption|1"/>
    <w:basedOn w:val="1"/>
    <w:qFormat/>
    <w:uiPriority w:val="0"/>
    <w:rPr>
      <w:rFonts w:ascii="宋体" w:hAnsi="宋体" w:cs="宋体"/>
      <w:sz w:val="20"/>
      <w:szCs w:val="20"/>
      <w:lang w:val="zh-TW" w:eastAsia="zh-TW" w:bidi="zh-TW"/>
    </w:rPr>
  </w:style>
  <w:style w:type="paragraph" w:customStyle="1" w:styleId="39">
    <w:name w:val="发布部门"/>
    <w:next w:val="2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40">
    <w:name w:val="Other|1"/>
    <w:basedOn w:val="1"/>
    <w:qFormat/>
    <w:uiPriority w:val="0"/>
    <w:pPr>
      <w:spacing w:line="331" w:lineRule="auto"/>
    </w:pPr>
    <w:rPr>
      <w:rFonts w:ascii="宋体" w:hAnsi="宋体" w:cs="宋体"/>
      <w:sz w:val="20"/>
      <w:szCs w:val="20"/>
      <w:lang w:val="zh-TW" w:eastAsia="zh-TW" w:bidi="zh-TW"/>
    </w:rPr>
  </w:style>
  <w:style w:type="paragraph" w:customStyle="1" w:styleId="41">
    <w:name w:val="Body text|4"/>
    <w:basedOn w:val="1"/>
    <w:qFormat/>
    <w:uiPriority w:val="0"/>
    <w:pPr>
      <w:spacing w:after="60"/>
      <w:jc w:val="center"/>
    </w:pPr>
    <w:rPr>
      <w:rFonts w:ascii="宋体" w:hAnsi="宋体" w:cs="宋体"/>
      <w:sz w:val="18"/>
      <w:szCs w:val="18"/>
      <w:lang w:val="zh-TW" w:eastAsia="zh-TW" w:bidi="zh-TW"/>
    </w:rPr>
  </w:style>
  <w:style w:type="paragraph" w:customStyle="1" w:styleId="42">
    <w:name w:val="二级条标题"/>
    <w:basedOn w:val="43"/>
    <w:next w:val="28"/>
    <w:qFormat/>
    <w:uiPriority w:val="0"/>
    <w:pPr>
      <w:numPr>
        <w:ilvl w:val="2"/>
      </w:numPr>
      <w:tabs>
        <w:tab w:val="left" w:pos="1440"/>
      </w:tabs>
      <w:spacing w:before="50" w:after="50"/>
      <w:outlineLvl w:val="3"/>
    </w:pPr>
  </w:style>
  <w:style w:type="paragraph" w:customStyle="1" w:styleId="43">
    <w:name w:val="一级条标题"/>
    <w:next w:val="28"/>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46">
    <w:name w:val="Body text|6"/>
    <w:basedOn w:val="1"/>
    <w:qFormat/>
    <w:uiPriority w:val="0"/>
    <w:pPr>
      <w:spacing w:after="80"/>
    </w:pPr>
    <w:rPr>
      <w:rFonts w:ascii="宋体" w:hAnsi="宋体" w:cs="宋体"/>
      <w:sz w:val="30"/>
      <w:szCs w:val="30"/>
      <w:lang w:val="zh-TW" w:eastAsia="zh-TW" w:bidi="zh-TW"/>
    </w:rPr>
  </w:style>
  <w:style w:type="paragraph" w:customStyle="1" w:styleId="4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8">
    <w:name w:val="样式1"/>
    <w:basedOn w:val="2"/>
    <w:next w:val="1"/>
    <w:qFormat/>
    <w:uiPriority w:val="0"/>
    <w:pPr>
      <w:spacing w:beforeLines="100" w:afterLines="100"/>
    </w:pPr>
  </w:style>
  <w:style w:type="paragraph" w:customStyle="1" w:styleId="49">
    <w:name w:val="章标题"/>
    <w:next w:val="28"/>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50">
    <w:name w:val="其他发布日期"/>
    <w:basedOn w:val="45"/>
    <w:qFormat/>
    <w:uiPriority w:val="0"/>
    <w:pPr>
      <w:framePr w:vAnchor="page" w:hAnchor="text" w:x="1419"/>
    </w:pPr>
  </w:style>
  <w:style w:type="paragraph" w:customStyle="1" w:styleId="51">
    <w:name w:val="实施日期"/>
    <w:basedOn w:val="45"/>
    <w:qFormat/>
    <w:uiPriority w:val="0"/>
    <w:pPr>
      <w:framePr w:vAnchor="page" w:hAnchor="text"/>
      <w:jc w:val="right"/>
    </w:pPr>
  </w:style>
  <w:style w:type="paragraph" w:customStyle="1" w:styleId="52">
    <w:name w:val="其他实施日期"/>
    <w:basedOn w:val="51"/>
    <w:qFormat/>
    <w:uiPriority w:val="0"/>
    <w:pPr>
      <w:framePr/>
    </w:pPr>
  </w:style>
  <w:style w:type="paragraph" w:customStyle="1" w:styleId="53">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4">
    <w:name w:val="Other|2"/>
    <w:basedOn w:val="1"/>
    <w:qFormat/>
    <w:uiPriority w:val="0"/>
    <w:pPr>
      <w:jc w:val="center"/>
    </w:pPr>
    <w:rPr>
      <w:rFonts w:ascii="宋体" w:hAnsi="宋体" w:cs="宋体"/>
      <w:sz w:val="16"/>
      <w:szCs w:val="16"/>
      <w:lang w:val="zh-TW" w:eastAsia="zh-TW" w:bidi="zh-TW"/>
    </w:rPr>
  </w:style>
  <w:style w:type="paragraph" w:customStyle="1" w:styleId="55">
    <w:name w:val="其他发布部门"/>
    <w:basedOn w:val="39"/>
    <w:qFormat/>
    <w:uiPriority w:val="0"/>
    <w:pPr>
      <w:framePr w:y="15310"/>
      <w:spacing w:line="0" w:lineRule="atLeast"/>
    </w:pPr>
    <w:rPr>
      <w:rFonts w:ascii="黑体" w:eastAsia="黑体"/>
      <w:b w:val="0"/>
    </w:rPr>
  </w:style>
  <w:style w:type="character" w:customStyle="1" w:styleId="56">
    <w:name w:val="页脚 Char"/>
    <w:basedOn w:val="16"/>
    <w:link w:val="10"/>
    <w:qFormat/>
    <w:uiPriority w:val="99"/>
    <w:rPr>
      <w:rFonts w:ascii="Calibri" w:hAnsi="Calibri" w:eastAsia="宋体"/>
      <w:kern w:val="2"/>
      <w:sz w:val="18"/>
      <w:szCs w:val="24"/>
    </w:rPr>
  </w:style>
  <w:style w:type="paragraph" w:customStyle="1" w:styleId="57">
    <w:name w:val="WPSOffice手动目录 1"/>
    <w:qFormat/>
    <w:uiPriority w:val="0"/>
    <w:rPr>
      <w:rFonts w:ascii="Times New Roman" w:hAnsi="Times New Roman" w:cs="Times New Roman" w:eastAsiaTheme="minorEastAsia"/>
      <w:lang w:val="en-US" w:eastAsia="zh-CN" w:bidi="ar-SA"/>
    </w:rPr>
  </w:style>
  <w:style w:type="character" w:customStyle="1" w:styleId="58">
    <w:name w:val="段 Char"/>
    <w:link w:val="28"/>
    <w:qFormat/>
    <w:uiPriority w:val="0"/>
    <w:rPr>
      <w:rFonts w:ascii="宋体"/>
      <w:sz w:val="21"/>
    </w:rPr>
  </w:style>
  <w:style w:type="character" w:customStyle="1" w:styleId="59">
    <w:name w:val="批注文字 Char"/>
    <w:basedOn w:val="16"/>
    <w:link w:val="7"/>
    <w:qFormat/>
    <w:uiPriority w:val="0"/>
    <w:rPr>
      <w:rFonts w:ascii="Calibri" w:hAnsi="Calibri"/>
      <w:kern w:val="2"/>
      <w:sz w:val="21"/>
      <w:szCs w:val="24"/>
    </w:rPr>
  </w:style>
  <w:style w:type="character" w:customStyle="1" w:styleId="60">
    <w:name w:val="批注主题 Char"/>
    <w:basedOn w:val="59"/>
    <w:link w:val="6"/>
    <w:semiHidden/>
    <w:qFormat/>
    <w:uiPriority w:val="0"/>
    <w:rPr>
      <w:rFonts w:ascii="Calibri" w:hAnsi="Calibri"/>
      <w:b/>
      <w:bCs/>
      <w:kern w:val="2"/>
      <w:sz w:val="21"/>
      <w:szCs w:val="24"/>
    </w:rPr>
  </w:style>
  <w:style w:type="paragraph" w:customStyle="1" w:styleId="61">
    <w:name w:val="修订1"/>
    <w:hidden/>
    <w:semiHidden/>
    <w:qFormat/>
    <w:uiPriority w:val="99"/>
    <w:rPr>
      <w:rFonts w:ascii="Calibri" w:hAnsi="Calibri" w:eastAsia="宋体" w:cs="Times New Roman"/>
      <w:kern w:val="2"/>
      <w:sz w:val="21"/>
      <w:szCs w:val="24"/>
      <w:lang w:val="en-US" w:eastAsia="zh-CN" w:bidi="ar-SA"/>
    </w:rPr>
  </w:style>
  <w:style w:type="character" w:customStyle="1" w:styleId="62">
    <w:name w:val="批注框文本 Char"/>
    <w:basedOn w:val="16"/>
    <w:link w:val="9"/>
    <w:semiHidden/>
    <w:qFormat/>
    <w:uiPriority w:val="0"/>
    <w:rPr>
      <w:rFonts w:ascii="Calibri" w:hAnsi="Calibri"/>
      <w:kern w:val="2"/>
      <w:sz w:val="18"/>
      <w:szCs w:val="18"/>
    </w:rPr>
  </w:style>
  <w:style w:type="paragraph" w:customStyle="1" w:styleId="63">
    <w:name w:val="三级条标题"/>
    <w:basedOn w:val="42"/>
    <w:next w:val="28"/>
    <w:qFormat/>
    <w:uiPriority w:val="0"/>
    <w:pPr>
      <w:numPr>
        <w:ilvl w:val="0"/>
        <w:numId w:val="0"/>
      </w:numPr>
      <w:outlineLvl w:val="4"/>
    </w:pPr>
  </w:style>
  <w:style w:type="paragraph" w:customStyle="1" w:styleId="64">
    <w:name w:val="四级条标题"/>
    <w:basedOn w:val="63"/>
    <w:next w:val="28"/>
    <w:qFormat/>
    <w:uiPriority w:val="0"/>
    <w:pPr>
      <w:outlineLvl w:val="5"/>
    </w:pPr>
  </w:style>
  <w:style w:type="paragraph" w:customStyle="1" w:styleId="65">
    <w:name w:val="五级条标题"/>
    <w:basedOn w:val="64"/>
    <w:next w:val="28"/>
    <w:qFormat/>
    <w:uiPriority w:val="0"/>
    <w:pPr>
      <w:outlineLvl w:val="6"/>
    </w:pPr>
  </w:style>
  <w:style w:type="paragraph" w:customStyle="1" w:styleId="66">
    <w:name w:val="TOC 标题1"/>
    <w:basedOn w:val="2"/>
    <w:next w:val="1"/>
    <w:unhideWhenUsed/>
    <w:qFormat/>
    <w:uiPriority w:val="39"/>
    <w:pPr>
      <w:widowControl/>
      <w:adjustRightInd/>
      <w:snapToGrid/>
      <w:spacing w:before="240" w:after="0" w:line="259" w:lineRule="auto"/>
      <w:ind w:firstLine="0" w:firstLineChars="0"/>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6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68">
    <w:name w:val="标准文件_术语条一"/>
    <w:basedOn w:val="1"/>
    <w:next w:val="1"/>
    <w:qFormat/>
    <w:uiPriority w:val="0"/>
    <w:pPr>
      <w:widowControl/>
      <w:adjustRightInd/>
      <w:snapToGrid/>
      <w:ind w:firstLine="0" w:firstLineChars="0"/>
    </w:pPr>
    <w:rPr>
      <w:rFonts w:ascii="宋体" w:hAnsi="Times New Roman"/>
      <w:kern w:val="0"/>
      <w:szCs w:val="20"/>
    </w:rPr>
  </w:style>
  <w:style w:type="paragraph" w:customStyle="1" w:styleId="69">
    <w:name w:val="标准文件_一级无标题"/>
    <w:basedOn w:val="1"/>
    <w:qFormat/>
    <w:uiPriority w:val="0"/>
    <w:pPr>
      <w:widowControl/>
      <w:adjustRightInd/>
      <w:snapToGrid/>
      <w:ind w:firstLine="0" w:firstLineChars="0"/>
    </w:pPr>
    <w:rPr>
      <w:rFonts w:ascii="宋体" w:hAnsi="Times New Roman"/>
      <w:kern w:val="0"/>
      <w:szCs w:val="20"/>
    </w:rPr>
  </w:style>
  <w:style w:type="paragraph" w:customStyle="1" w:styleId="70">
    <w:name w:val="标准文件_二级条标题"/>
    <w:next w:val="1"/>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1">
    <w:name w:val="标准文件_三级条标题"/>
    <w:basedOn w:val="70"/>
    <w:next w:val="1"/>
    <w:qFormat/>
    <w:uiPriority w:val="0"/>
    <w:pPr>
      <w:widowControl/>
      <w:outlineLvl w:val="3"/>
    </w:pPr>
  </w:style>
  <w:style w:type="paragraph" w:customStyle="1" w:styleId="72">
    <w:name w:val="标准文件_四级条标题"/>
    <w:next w:val="1"/>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73">
    <w:name w:val="标准文件_五级条标题"/>
    <w:next w:val="1"/>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74">
    <w:name w:val="标准文件_章标题"/>
    <w:next w:val="1"/>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75">
    <w:name w:val="标准文件_一级条标题"/>
    <w:basedOn w:val="74"/>
    <w:next w:val="1"/>
    <w:qFormat/>
    <w:uiPriority w:val="0"/>
    <w:pPr>
      <w:spacing w:before="50" w:beforeLines="50" w:after="50" w:afterLines="50"/>
      <w:outlineLvl w:val="1"/>
    </w:pPr>
  </w:style>
  <w:style w:type="paragraph" w:customStyle="1" w:styleId="76">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styleId="77">
    <w:name w:val="List Paragraph"/>
    <w:basedOn w:val="1"/>
    <w:qFormat/>
    <w:uiPriority w:val="99"/>
    <w:pPr>
      <w:ind w:firstLine="420"/>
    </w:pPr>
  </w:style>
  <w:style w:type="paragraph" w:customStyle="1" w:styleId="78">
    <w:name w:val="标准文件_二级无标题"/>
    <w:basedOn w:val="70"/>
    <w:qFormat/>
    <w:uiPriority w:val="0"/>
    <w:pPr>
      <w:spacing w:before="0" w:beforeLines="0" w:after="0" w:afterLines="0"/>
      <w:outlineLvl w:val="9"/>
    </w:pPr>
    <w:rPr>
      <w:rFonts w:ascii="宋体" w:eastAsia="宋体"/>
    </w:rPr>
  </w:style>
  <w:style w:type="paragraph" w:customStyle="1" w:styleId="79">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80">
    <w:name w:val="修订2"/>
    <w:hidden/>
    <w:semiHidden/>
    <w:qFormat/>
    <w:uiPriority w:val="99"/>
    <w:rPr>
      <w:rFonts w:ascii="Calibri" w:hAnsi="Calibri" w:eastAsia="宋体" w:cs="Times New Roman"/>
      <w:kern w:val="2"/>
      <w:sz w:val="21"/>
      <w:szCs w:val="24"/>
      <w:lang w:val="en-US" w:eastAsia="zh-CN" w:bidi="ar-SA"/>
    </w:rPr>
  </w:style>
  <w:style w:type="character" w:customStyle="1" w:styleId="81">
    <w:name w:val="标题 6 Char"/>
    <w:basedOn w:val="16"/>
    <w:link w:val="5"/>
    <w:semiHidden/>
    <w:qFormat/>
    <w:uiPriority w:val="0"/>
    <w:rPr>
      <w:rFonts w:asciiTheme="majorHAnsi" w:hAnsiTheme="majorHAnsi" w:eastAsiaTheme="majorEastAsia" w:cstheme="majorBidi"/>
      <w:b/>
      <w:bCs/>
      <w:kern w:val="2"/>
      <w:sz w:val="24"/>
      <w:szCs w:val="24"/>
    </w:rPr>
  </w:style>
  <w:style w:type="character" w:customStyle="1" w:styleId="82">
    <w:name w:val="标题 2 Char"/>
    <w:basedOn w:val="16"/>
    <w:link w:val="3"/>
    <w:semiHidden/>
    <w:qFormat/>
    <w:uiPriority w:val="0"/>
    <w:rPr>
      <w:rFonts w:asciiTheme="majorHAnsi" w:hAnsiTheme="majorHAnsi" w:eastAsiaTheme="majorEastAsia" w:cstheme="majorBidi"/>
      <w:b/>
      <w:bCs/>
      <w:kern w:val="2"/>
      <w:sz w:val="32"/>
      <w:szCs w:val="32"/>
    </w:rPr>
  </w:style>
  <w:style w:type="character" w:customStyle="1" w:styleId="83">
    <w:name w:val="标题 3 Char"/>
    <w:basedOn w:val="16"/>
    <w:link w:val="4"/>
    <w:semiHidden/>
    <w:qFormat/>
    <w:uiPriority w:val="0"/>
    <w:rPr>
      <w:rFonts w:ascii="Calibri" w:hAnsi="Calibri"/>
      <w:b/>
      <w:bCs/>
      <w:kern w:val="2"/>
      <w:sz w:val="32"/>
      <w:szCs w:val="32"/>
    </w:rPr>
  </w:style>
  <w:style w:type="paragraph" w:customStyle="1" w:styleId="84">
    <w:name w:val="正文图标题"/>
    <w:next w:val="28"/>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85">
    <w:name w:val="正文表标题"/>
    <w:next w:val="28"/>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86">
    <w:name w:val="终结线"/>
    <w:basedOn w:val="1"/>
    <w:qFormat/>
    <w:uiPriority w:val="0"/>
    <w:pPr>
      <w:framePr w:hSpace="181" w:vSpace="181" w:wrap="around" w:vAnchor="text" w:hAnchor="margin" w:xAlign="center" w:y="285"/>
    </w:pPr>
  </w:style>
  <w:style w:type="paragraph" w:customStyle="1" w:styleId="87">
    <w:name w:val="标准书眉_偶数页"/>
    <w:basedOn w:val="26"/>
    <w:next w:val="1"/>
    <w:qFormat/>
    <w:uiPriority w:val="0"/>
    <w:pPr>
      <w:jc w:val="left"/>
    </w:pPr>
  </w:style>
  <w:style w:type="paragraph" w:customStyle="1" w:styleId="88">
    <w:name w:val="标准书脚_偶数页"/>
    <w:qFormat/>
    <w:uiPriority w:val="0"/>
    <w:pPr>
      <w:spacing w:before="120"/>
      <w:ind w:left="221"/>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C0268DD9530476D9AD36700D744D22E"/>
        <w:style w:val=""/>
        <w:category>
          <w:name w:val="常规"/>
          <w:gallery w:val="placeholder"/>
        </w:category>
        <w:types>
          <w:type w:val="bbPlcHdr"/>
        </w:types>
        <w:behaviors>
          <w:behavior w:val="content"/>
        </w:behaviors>
        <w:description w:val=""/>
        <w:guid w:val="{F009F030-AFE2-4467-AB09-8CC1504399B4}"/>
      </w:docPartPr>
      <w:docPartBody>
        <w:p>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E2"/>
    <w:rsid w:val="00032DD0"/>
    <w:rsid w:val="000466C4"/>
    <w:rsid w:val="00087FE2"/>
    <w:rsid w:val="000D0346"/>
    <w:rsid w:val="000D6089"/>
    <w:rsid w:val="00104C5E"/>
    <w:rsid w:val="00194C14"/>
    <w:rsid w:val="001E4A6C"/>
    <w:rsid w:val="00206D2D"/>
    <w:rsid w:val="00233ED3"/>
    <w:rsid w:val="002359BF"/>
    <w:rsid w:val="00254229"/>
    <w:rsid w:val="00353B56"/>
    <w:rsid w:val="003653FA"/>
    <w:rsid w:val="004546C6"/>
    <w:rsid w:val="0047123F"/>
    <w:rsid w:val="004B6307"/>
    <w:rsid w:val="0073751B"/>
    <w:rsid w:val="007B22AF"/>
    <w:rsid w:val="007C5D51"/>
    <w:rsid w:val="007C615F"/>
    <w:rsid w:val="00877505"/>
    <w:rsid w:val="00B15CF8"/>
    <w:rsid w:val="00B34041"/>
    <w:rsid w:val="00B60CD4"/>
    <w:rsid w:val="00BF1D38"/>
    <w:rsid w:val="00C01EC6"/>
    <w:rsid w:val="00C33484"/>
    <w:rsid w:val="00C34BD0"/>
    <w:rsid w:val="00C645B1"/>
    <w:rsid w:val="00C777CB"/>
    <w:rsid w:val="00C94545"/>
    <w:rsid w:val="00D22F14"/>
    <w:rsid w:val="00D311B2"/>
    <w:rsid w:val="00E74838"/>
    <w:rsid w:val="00E74B40"/>
    <w:rsid w:val="00EA10C4"/>
    <w:rsid w:val="00EB0587"/>
    <w:rsid w:val="00EE561F"/>
    <w:rsid w:val="00FA3D3E"/>
    <w:rsid w:val="00FB2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C0268DD9530476D9AD36700D744D2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C303201DCA94CF9A6BBDC3A6BAC22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2C7066DE9D448BDAE32C2EEB66656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321387677A7414DBF606297565B306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D6CB8-AD9B-45D3-92C6-9643DE07E89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1296</Words>
  <Characters>7391</Characters>
  <Lines>61</Lines>
  <Paragraphs>17</Paragraphs>
  <TotalTime>18</TotalTime>
  <ScaleCrop>false</ScaleCrop>
  <LinksUpToDate>false</LinksUpToDate>
  <CharactersWithSpaces>8670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2022-06-16T09:24:00Z</dcterms:created>
  <dc:creator>Lenovo</dc:creator>
  <cp:lastModifiedBy>LenovoN</cp:lastModifiedBy>
  <dcterms:modified xsi:type="dcterms:W3CDTF">2022-06-16T09:54:39Z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2C3A5BE5B85244F3A769EEE14AF35A2B</vt:lpwstr>
  </property>
</Properties>
</file>